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48AF126" wp14:paraId="15DA30B1" wp14:textId="4EBF05DF">
      <w:pPr>
        <w:spacing w:before="0" w:beforeAutospacing="off" w:after="0" w:afterAutospacing="off"/>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Task 1. </w:t>
      </w:r>
    </w:p>
    <w:p xmlns:wp14="http://schemas.microsoft.com/office/word/2010/wordml" wp14:paraId="66D9518D" wp14:textId="38DCD222"/>
    <w:p xmlns:wp14="http://schemas.microsoft.com/office/word/2010/wordml" w:rsidP="548AF126" wp14:paraId="62500C95" wp14:textId="3512DF10">
      <w:pPr>
        <w:spacing w:before="0" w:beforeAutospacing="off" w:after="0" w:afterAutospacing="off"/>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To </w:t>
      </w:r>
      <w:r w:rsidRPr="548AF126" w:rsidR="0018DD1F">
        <w:rPr>
          <w:rFonts w:ascii="Arial" w:hAnsi="Arial" w:eastAsia="Arial" w:cs="Arial"/>
          <w:b w:val="0"/>
          <w:bCs w:val="0"/>
          <w:i w:val="0"/>
          <w:iCs w:val="0"/>
          <w:strike w:val="0"/>
          <w:dstrike w:val="0"/>
          <w:noProof w:val="0"/>
          <w:color w:val="000000" w:themeColor="text1" w:themeTint="FF" w:themeShade="FF"/>
          <w:sz w:val="22"/>
          <w:szCs w:val="22"/>
          <w:u w:val="none"/>
          <w:lang w:val="en-US"/>
        </w:rPr>
        <w:t>begin with</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548AF126" w:rsidR="587FB49C">
        <w:rPr>
          <w:rFonts w:ascii="Arial" w:hAnsi="Arial" w:eastAsia="Arial" w:cs="Arial"/>
          <w:b w:val="0"/>
          <w:bCs w:val="0"/>
          <w:i w:val="0"/>
          <w:iCs w:val="0"/>
          <w:strike w:val="0"/>
          <w:dstrike w:val="0"/>
          <w:noProof w:val="0"/>
          <w:color w:val="000000" w:themeColor="text1" w:themeTint="FF" w:themeShade="FF"/>
          <w:sz w:val="22"/>
          <w:szCs w:val="22"/>
          <w:u w:val="none"/>
          <w:lang w:val="en-US"/>
        </w:rPr>
        <w:t>regarding</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your first question, in </w:t>
      </w:r>
      <w:r w:rsidRPr="548AF126" w:rsidR="42AF4554">
        <w:rPr>
          <w:rFonts w:ascii="Arial" w:hAnsi="Arial" w:eastAsia="Arial" w:cs="Arial"/>
          <w:b w:val="0"/>
          <w:bCs w:val="0"/>
          <w:i w:val="0"/>
          <w:iCs w:val="0"/>
          <w:strike w:val="0"/>
          <w:dstrike w:val="0"/>
          <w:noProof w:val="0"/>
          <w:color w:val="000000" w:themeColor="text1" w:themeTint="FF" w:themeShade="FF"/>
          <w:sz w:val="22"/>
          <w:szCs w:val="22"/>
          <w:u w:val="none"/>
          <w:lang w:val="en-US"/>
        </w:rPr>
        <w:t>short,</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548AF126" w:rsidR="70815B65">
        <w:rPr>
          <w:rFonts w:ascii="Arial" w:hAnsi="Arial" w:eastAsia="Arial" w:cs="Arial"/>
          <w:b w:val="0"/>
          <w:bCs w:val="0"/>
          <w:i w:val="0"/>
          <w:iCs w:val="0"/>
          <w:strike w:val="0"/>
          <w:dstrike w:val="0"/>
          <w:noProof w:val="0"/>
          <w:color w:val="000000" w:themeColor="text1" w:themeTint="FF" w:themeShade="FF"/>
          <w:sz w:val="22"/>
          <w:szCs w:val="22"/>
          <w:u w:val="none"/>
          <w:lang w:val="en-US"/>
        </w:rPr>
        <w:t>if</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creation of this gift was done correctly and was not created by you or another member of our </w:t>
      </w:r>
      <w:r w:rsidRPr="548AF126" w:rsidR="027A5032">
        <w:rPr>
          <w:rFonts w:ascii="Arial" w:hAnsi="Arial" w:eastAsia="Arial" w:cs="Arial"/>
          <w:b w:val="0"/>
          <w:bCs w:val="0"/>
          <w:i w:val="0"/>
          <w:iCs w:val="0"/>
          <w:strike w:val="0"/>
          <w:dstrike w:val="0"/>
          <w:noProof w:val="0"/>
          <w:color w:val="000000" w:themeColor="text1" w:themeTint="FF" w:themeShade="FF"/>
          <w:sz w:val="22"/>
          <w:szCs w:val="22"/>
          <w:u w:val="none"/>
          <w:lang w:val="en-US"/>
        </w:rPr>
        <w:t>firm,</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we should be able to accept said gift.  As was </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stated</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in your email as there was no lack of </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capacity</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which is </w:t>
      </w:r>
      <w:r w:rsidRPr="548AF126" w:rsidR="6565815E">
        <w:rPr>
          <w:rFonts w:ascii="Arial" w:hAnsi="Arial" w:eastAsia="Arial" w:cs="Arial"/>
          <w:b w:val="0"/>
          <w:bCs w:val="0"/>
          <w:i w:val="0"/>
          <w:iCs w:val="0"/>
          <w:strike w:val="0"/>
          <w:dstrike w:val="0"/>
          <w:noProof w:val="0"/>
          <w:color w:val="000000" w:themeColor="text1" w:themeTint="FF" w:themeShade="FF"/>
          <w:sz w:val="22"/>
          <w:szCs w:val="22"/>
          <w:u w:val="none"/>
          <w:lang w:val="en-US"/>
        </w:rPr>
        <w:t>good,</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however you must </w:t>
      </w:r>
      <w:r w:rsidRPr="548AF126" w:rsidR="4BBD66F7">
        <w:rPr>
          <w:rFonts w:ascii="Arial" w:hAnsi="Arial" w:eastAsia="Arial" w:cs="Arial"/>
          <w:b w:val="0"/>
          <w:bCs w:val="0"/>
          <w:i w:val="0"/>
          <w:iCs w:val="0"/>
          <w:strike w:val="0"/>
          <w:dstrike w:val="0"/>
          <w:noProof w:val="0"/>
          <w:color w:val="000000" w:themeColor="text1" w:themeTint="FF" w:themeShade="FF"/>
          <w:sz w:val="22"/>
          <w:szCs w:val="22"/>
          <w:u w:val="none"/>
          <w:lang w:val="en-US"/>
        </w:rPr>
        <w:t>investigate</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what solicitors aided in the creation of </w:t>
      </w:r>
      <w:r w:rsidRPr="548AF126" w:rsidR="3A0F571D">
        <w:rPr>
          <w:rFonts w:ascii="Arial" w:hAnsi="Arial" w:eastAsia="Arial" w:cs="Arial"/>
          <w:b w:val="0"/>
          <w:bCs w:val="0"/>
          <w:i w:val="0"/>
          <w:iCs w:val="0"/>
          <w:strike w:val="0"/>
          <w:dstrike w:val="0"/>
          <w:noProof w:val="0"/>
          <w:color w:val="000000" w:themeColor="text1" w:themeTint="FF" w:themeShade="FF"/>
          <w:sz w:val="22"/>
          <w:szCs w:val="22"/>
          <w:u w:val="none"/>
          <w:lang w:val="en-US"/>
        </w:rPr>
        <w:t>Mrs.</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548AF126" w:rsidR="4C3B98CE">
        <w:rPr>
          <w:rFonts w:ascii="Arial" w:hAnsi="Arial" w:eastAsia="Arial" w:cs="Arial"/>
          <w:b w:val="0"/>
          <w:bCs w:val="0"/>
          <w:i w:val="0"/>
          <w:iCs w:val="0"/>
          <w:strike w:val="0"/>
          <w:dstrike w:val="0"/>
          <w:noProof w:val="0"/>
          <w:color w:val="000000" w:themeColor="text1" w:themeTint="FF" w:themeShade="FF"/>
          <w:sz w:val="22"/>
          <w:szCs w:val="22"/>
          <w:u w:val="none"/>
          <w:lang w:val="en-US"/>
        </w:rPr>
        <w:t>Spain's</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will. This is due to the fact that if a solicitor at our firm was part of the construction of this will it could be considered a breach of the SRA code of conduct 1.2 (Solicitors Regulation Authority, 2019) abusing our position by taking unfair advantage of clients or others, and SRA code of conduct 6.2 (Solicitors Regulation Authority, 2019) which relates to a conflict of interest. This was litigated in a 2013 case involving a solicitor </w:t>
      </w:r>
      <w:r w:rsidRPr="548AF126" w:rsidR="72D41AE0">
        <w:rPr>
          <w:rFonts w:ascii="Arial" w:hAnsi="Arial" w:eastAsia="Arial" w:cs="Arial"/>
          <w:b w:val="0"/>
          <w:bCs w:val="0"/>
          <w:i w:val="0"/>
          <w:iCs w:val="0"/>
          <w:strike w:val="0"/>
          <w:dstrike w:val="0"/>
          <w:noProof w:val="0"/>
          <w:color w:val="000000" w:themeColor="text1" w:themeTint="FF" w:themeShade="FF"/>
          <w:sz w:val="22"/>
          <w:szCs w:val="22"/>
          <w:u w:val="none"/>
          <w:lang w:val="en-US"/>
        </w:rPr>
        <w:t>by the</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548AF126" w:rsidR="3D9FDEAD">
        <w:rPr>
          <w:rFonts w:ascii="Arial" w:hAnsi="Arial" w:eastAsia="Arial" w:cs="Arial"/>
          <w:b w:val="0"/>
          <w:bCs w:val="0"/>
          <w:i w:val="0"/>
          <w:iCs w:val="0"/>
          <w:strike w:val="0"/>
          <w:dstrike w:val="0"/>
          <w:noProof w:val="0"/>
          <w:color w:val="000000" w:themeColor="text1" w:themeTint="FF" w:themeShade="FF"/>
          <w:sz w:val="22"/>
          <w:szCs w:val="22"/>
          <w:u w:val="none"/>
          <w:lang w:val="en-US"/>
        </w:rPr>
        <w:t>name Piers</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Matthew Beach (Bindman, 2018). </w:t>
      </w:r>
      <w:r w:rsidRPr="548AF126" w:rsidR="2C29DE29">
        <w:rPr>
          <w:rFonts w:ascii="Arial" w:hAnsi="Arial" w:eastAsia="Arial" w:cs="Arial"/>
          <w:b w:val="0"/>
          <w:bCs w:val="0"/>
          <w:i w:val="0"/>
          <w:iCs w:val="0"/>
          <w:strike w:val="0"/>
          <w:dstrike w:val="0"/>
          <w:noProof w:val="0"/>
          <w:color w:val="000000" w:themeColor="text1" w:themeTint="FF" w:themeShade="FF"/>
          <w:sz w:val="22"/>
          <w:szCs w:val="22"/>
          <w:u w:val="none"/>
          <w:lang w:val="en-US"/>
        </w:rPr>
        <w:t>This solicitor had to face the Solicitor Disciplinary Tribunal (Home, 2023) (SDT) because he was accepting legacies from clients.</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result was a fine of £7,500</w:t>
      </w:r>
      <w:r w:rsidRPr="548AF126" w:rsidR="15619AFA">
        <w:rPr>
          <w:rFonts w:ascii="Arial" w:hAnsi="Arial" w:eastAsia="Arial" w:cs="Arial"/>
          <w:b w:val="0"/>
          <w:bCs w:val="0"/>
          <w:i w:val="0"/>
          <w:iCs w:val="0"/>
          <w:strike w:val="0"/>
          <w:dstrike w:val="0"/>
          <w:noProof w:val="0"/>
          <w:color w:val="000000" w:themeColor="text1" w:themeTint="FF" w:themeShade="FF"/>
          <w:sz w:val="22"/>
          <w:szCs w:val="22"/>
          <w:u w:val="none"/>
          <w:lang w:val="en-US"/>
        </w:rPr>
        <w:t>. It</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was found that the mistake made by </w:t>
      </w:r>
      <w:r w:rsidRPr="548AF126" w:rsidR="4D440C35">
        <w:rPr>
          <w:rFonts w:ascii="Arial" w:hAnsi="Arial" w:eastAsia="Arial" w:cs="Arial"/>
          <w:b w:val="0"/>
          <w:bCs w:val="0"/>
          <w:i w:val="0"/>
          <w:iCs w:val="0"/>
          <w:strike w:val="0"/>
          <w:dstrike w:val="0"/>
          <w:noProof w:val="0"/>
          <w:color w:val="000000" w:themeColor="text1" w:themeTint="FF" w:themeShade="FF"/>
          <w:sz w:val="22"/>
          <w:szCs w:val="22"/>
          <w:u w:val="none"/>
          <w:lang w:val="en-US"/>
        </w:rPr>
        <w:t>Mr.</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Beach was that he had his clients get a second opinion from solicitors that worked within his own firm. The issue found by the SDT was the potential for conflict of interest to occur due to the negligence of </w:t>
      </w:r>
      <w:r w:rsidRPr="548AF126" w:rsidR="29CB56B7">
        <w:rPr>
          <w:rFonts w:ascii="Arial" w:hAnsi="Arial" w:eastAsia="Arial" w:cs="Arial"/>
          <w:b w:val="0"/>
          <w:bCs w:val="0"/>
          <w:i w:val="0"/>
          <w:iCs w:val="0"/>
          <w:strike w:val="0"/>
          <w:dstrike w:val="0"/>
          <w:noProof w:val="0"/>
          <w:color w:val="000000" w:themeColor="text1" w:themeTint="FF" w:themeShade="FF"/>
          <w:sz w:val="22"/>
          <w:szCs w:val="22"/>
          <w:u w:val="none"/>
          <w:lang w:val="en-US"/>
        </w:rPr>
        <w:t>Mr.</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Beach’s actions of not instructing the client to get a second opinion from a separate law firm. This is why before accepting any legacies from </w:t>
      </w:r>
      <w:r w:rsidRPr="548AF126" w:rsidR="4BB75EB4">
        <w:rPr>
          <w:rFonts w:ascii="Arial" w:hAnsi="Arial" w:eastAsia="Arial" w:cs="Arial"/>
          <w:b w:val="0"/>
          <w:bCs w:val="0"/>
          <w:i w:val="0"/>
          <w:iCs w:val="0"/>
          <w:strike w:val="0"/>
          <w:dstrike w:val="0"/>
          <w:noProof w:val="0"/>
          <w:color w:val="000000" w:themeColor="text1" w:themeTint="FF" w:themeShade="FF"/>
          <w:sz w:val="22"/>
          <w:szCs w:val="22"/>
          <w:u w:val="none"/>
          <w:lang w:val="en-US"/>
        </w:rPr>
        <w:t>Mrs.</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Spain I would recommend ensuring that the will was constructed by a lawyer not associated with our firm.</w:t>
      </w:r>
    </w:p>
    <w:p xmlns:wp14="http://schemas.microsoft.com/office/word/2010/wordml" wp14:paraId="00A51BDA" wp14:textId="7E80DC70"/>
    <w:p xmlns:wp14="http://schemas.microsoft.com/office/word/2010/wordml" w:rsidP="548AF126" wp14:paraId="42BDF112" wp14:textId="631AC837">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548AF126" w:rsidR="530F6714">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Next, </w:t>
      </w:r>
      <w:r w:rsidRPr="548AF126" w:rsidR="530F6714">
        <w:rPr>
          <w:rFonts w:ascii="Arial" w:hAnsi="Arial" w:eastAsia="Arial" w:cs="Arial"/>
          <w:b w:val="0"/>
          <w:bCs w:val="0"/>
          <w:i w:val="0"/>
          <w:iCs w:val="0"/>
          <w:strike w:val="0"/>
          <w:dstrike w:val="0"/>
          <w:noProof w:val="0"/>
          <w:color w:val="000000" w:themeColor="text1" w:themeTint="FF" w:themeShade="FF"/>
          <w:sz w:val="22"/>
          <w:szCs w:val="22"/>
          <w:u w:val="none"/>
          <w:lang w:val="en-US"/>
        </w:rPr>
        <w:t>regarding</w:t>
      </w:r>
      <w:r w:rsidRPr="548AF126" w:rsidR="530F6714">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your second question, the answer is less certain.</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In </w:t>
      </w:r>
      <w:r w:rsidRPr="548AF126" w:rsidR="7A6EB14E">
        <w:rPr>
          <w:rFonts w:ascii="Arial" w:hAnsi="Arial" w:eastAsia="Arial" w:cs="Arial"/>
          <w:b w:val="0"/>
          <w:bCs w:val="0"/>
          <w:i w:val="0"/>
          <w:iCs w:val="0"/>
          <w:strike w:val="0"/>
          <w:dstrike w:val="0"/>
          <w:noProof w:val="0"/>
          <w:color w:val="000000" w:themeColor="text1" w:themeTint="FF" w:themeShade="FF"/>
          <w:sz w:val="22"/>
          <w:szCs w:val="22"/>
          <w:u w:val="none"/>
          <w:lang w:val="en-US"/>
        </w:rPr>
        <w:t>short,</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administration of estates act 1925 (Administration of Estates Act 1925, 2011) gives executors their power. Due to this </w:t>
      </w:r>
      <w:r w:rsidRPr="548AF126" w:rsidR="0E09ED02">
        <w:rPr>
          <w:rFonts w:ascii="Arial" w:hAnsi="Arial" w:eastAsia="Arial" w:cs="Arial"/>
          <w:b w:val="0"/>
          <w:bCs w:val="0"/>
          <w:i w:val="0"/>
          <w:iCs w:val="0"/>
          <w:strike w:val="0"/>
          <w:dstrike w:val="0"/>
          <w:noProof w:val="0"/>
          <w:color w:val="000000" w:themeColor="text1" w:themeTint="FF" w:themeShade="FF"/>
          <w:sz w:val="22"/>
          <w:szCs w:val="22"/>
          <w:u w:val="none"/>
          <w:lang w:val="en-US"/>
        </w:rPr>
        <w:t>regarding</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your question the executor has the discretion to decide on who they allow to see the will and how they </w:t>
      </w:r>
      <w:r w:rsidRPr="548AF126" w:rsidR="2B849D3B">
        <w:rPr>
          <w:rFonts w:ascii="Arial" w:hAnsi="Arial" w:eastAsia="Arial" w:cs="Arial"/>
          <w:b w:val="0"/>
          <w:bCs w:val="0"/>
          <w:i w:val="0"/>
          <w:iCs w:val="0"/>
          <w:strike w:val="0"/>
          <w:dstrike w:val="0"/>
          <w:noProof w:val="0"/>
          <w:color w:val="000000" w:themeColor="text1" w:themeTint="FF" w:themeShade="FF"/>
          <w:sz w:val="22"/>
          <w:szCs w:val="22"/>
          <w:u w:val="none"/>
          <w:lang w:val="en-US"/>
        </w:rPr>
        <w:t>divvy</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up the assets </w:t>
      </w:r>
      <w:r w:rsidRPr="548AF126" w:rsidR="71B2BC58">
        <w:rPr>
          <w:rFonts w:ascii="Arial" w:hAnsi="Arial" w:eastAsia="Arial" w:cs="Arial"/>
          <w:b w:val="0"/>
          <w:bCs w:val="0"/>
          <w:i w:val="0"/>
          <w:iCs w:val="0"/>
          <w:strike w:val="0"/>
          <w:dstrike w:val="0"/>
          <w:noProof w:val="0"/>
          <w:color w:val="000000" w:themeColor="text1" w:themeTint="FF" w:themeShade="FF"/>
          <w:sz w:val="22"/>
          <w:szCs w:val="22"/>
          <w:u w:val="none"/>
          <w:lang w:val="en-US"/>
        </w:rPr>
        <w:t>if</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it is </w:t>
      </w:r>
      <w:r w:rsidRPr="548AF126" w:rsidR="71EE43F9">
        <w:rPr>
          <w:rFonts w:ascii="Arial" w:hAnsi="Arial" w:eastAsia="Arial" w:cs="Arial"/>
          <w:b w:val="0"/>
          <w:bCs w:val="0"/>
          <w:i w:val="0"/>
          <w:iCs w:val="0"/>
          <w:strike w:val="0"/>
          <w:dstrike w:val="0"/>
          <w:noProof w:val="0"/>
          <w:color w:val="000000" w:themeColor="text1" w:themeTint="FF" w:themeShade="FF"/>
          <w:sz w:val="22"/>
          <w:szCs w:val="22"/>
          <w:u w:val="none"/>
          <w:lang w:val="en-US"/>
        </w:rPr>
        <w:t>in line</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with the testator's wishes. To begin at </w:t>
      </w:r>
      <w:r w:rsidRPr="548AF126" w:rsidR="566E0459">
        <w:rPr>
          <w:rFonts w:ascii="Arial" w:hAnsi="Arial" w:eastAsia="Arial" w:cs="Arial"/>
          <w:b w:val="0"/>
          <w:bCs w:val="0"/>
          <w:i w:val="0"/>
          <w:iCs w:val="0"/>
          <w:strike w:val="0"/>
          <w:dstrike w:val="0"/>
          <w:noProof w:val="0"/>
          <w:color w:val="000000" w:themeColor="text1" w:themeTint="FF" w:themeShade="FF"/>
          <w:sz w:val="22"/>
          <w:szCs w:val="22"/>
          <w:u w:val="none"/>
          <w:lang w:val="en-US"/>
        </w:rPr>
        <w:t>first,</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 considered a </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Donatio</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Mortis Causa (</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Donatio</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mortis causa Definition | Legal Glossary | LexisNexis, 2024), however I </w:t>
      </w:r>
      <w:r w:rsidRPr="548AF126" w:rsidR="31D0B62D">
        <w:rPr>
          <w:rFonts w:ascii="Arial" w:hAnsi="Arial" w:eastAsia="Arial" w:cs="Arial"/>
          <w:b w:val="0"/>
          <w:bCs w:val="0"/>
          <w:i w:val="0"/>
          <w:iCs w:val="0"/>
          <w:strike w:val="0"/>
          <w:dstrike w:val="0"/>
          <w:noProof w:val="0"/>
          <w:color w:val="000000" w:themeColor="text1" w:themeTint="FF" w:themeShade="FF"/>
          <w:sz w:val="22"/>
          <w:szCs w:val="22"/>
          <w:u w:val="none"/>
          <w:lang w:val="en-US"/>
        </w:rPr>
        <w:t>do not</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believe this situation meets the criteria necessary as laid out in the case (King v </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Durbey</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2015). The criteria that </w:t>
      </w:r>
      <w:r w:rsidRPr="548AF126" w:rsidR="455D330B">
        <w:rPr>
          <w:rFonts w:ascii="Arial" w:hAnsi="Arial" w:eastAsia="Arial" w:cs="Arial"/>
          <w:b w:val="0"/>
          <w:bCs w:val="0"/>
          <w:i w:val="0"/>
          <w:iCs w:val="0"/>
          <w:strike w:val="0"/>
          <w:dstrike w:val="0"/>
          <w:noProof w:val="0"/>
          <w:color w:val="000000" w:themeColor="text1" w:themeTint="FF" w:themeShade="FF"/>
          <w:sz w:val="22"/>
          <w:szCs w:val="22"/>
          <w:u w:val="none"/>
          <w:lang w:val="en-US"/>
        </w:rPr>
        <w:t>fail</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548AF126" w:rsidR="1B75A618">
        <w:rPr>
          <w:rFonts w:ascii="Arial" w:hAnsi="Arial" w:eastAsia="Arial" w:cs="Arial"/>
          <w:b w:val="0"/>
          <w:bCs w:val="0"/>
          <w:i w:val="0"/>
          <w:iCs w:val="0"/>
          <w:strike w:val="0"/>
          <w:dstrike w:val="0"/>
          <w:noProof w:val="0"/>
          <w:color w:val="000000" w:themeColor="text1" w:themeTint="FF" w:themeShade="FF"/>
          <w:sz w:val="22"/>
          <w:szCs w:val="22"/>
          <w:u w:val="none"/>
          <w:lang w:val="en-US"/>
        </w:rPr>
        <w:t>regarding</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this case is the fact that from what is currently known </w:t>
      </w:r>
      <w:r w:rsidRPr="548AF126" w:rsidR="2D5C4325">
        <w:rPr>
          <w:rFonts w:ascii="Arial" w:hAnsi="Arial" w:eastAsia="Arial" w:cs="Arial"/>
          <w:b w:val="0"/>
          <w:bCs w:val="0"/>
          <w:i w:val="0"/>
          <w:iCs w:val="0"/>
          <w:strike w:val="0"/>
          <w:dstrike w:val="0"/>
          <w:noProof w:val="0"/>
          <w:color w:val="000000" w:themeColor="text1" w:themeTint="FF" w:themeShade="FF"/>
          <w:sz w:val="22"/>
          <w:szCs w:val="22"/>
          <w:u w:val="none"/>
          <w:lang w:val="en-US"/>
        </w:rPr>
        <w:t>Mrs.</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548AF126" w:rsidR="04ABA616">
        <w:rPr>
          <w:rFonts w:ascii="Arial" w:hAnsi="Arial" w:eastAsia="Arial" w:cs="Arial"/>
          <w:b w:val="0"/>
          <w:bCs w:val="0"/>
          <w:i w:val="0"/>
          <w:iCs w:val="0"/>
          <w:strike w:val="0"/>
          <w:dstrike w:val="0"/>
          <w:noProof w:val="0"/>
          <w:color w:val="000000" w:themeColor="text1" w:themeTint="FF" w:themeShade="FF"/>
          <w:sz w:val="22"/>
          <w:szCs w:val="22"/>
          <w:u w:val="none"/>
          <w:lang w:val="en-US"/>
        </w:rPr>
        <w:t>Spain's</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death was natural </w:t>
      </w:r>
      <w:r w:rsidRPr="548AF126" w:rsidR="405288D7">
        <w:rPr>
          <w:rFonts w:ascii="Arial" w:hAnsi="Arial" w:eastAsia="Arial" w:cs="Arial"/>
          <w:b w:val="0"/>
          <w:bCs w:val="0"/>
          <w:i w:val="0"/>
          <w:iCs w:val="0"/>
          <w:strike w:val="0"/>
          <w:dstrike w:val="0"/>
          <w:noProof w:val="0"/>
          <w:color w:val="000000" w:themeColor="text1" w:themeTint="FF" w:themeShade="FF"/>
          <w:sz w:val="22"/>
          <w:szCs w:val="22"/>
          <w:u w:val="none"/>
          <w:lang w:val="en-US"/>
        </w:rPr>
        <w:t>causes;</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gold must have been bought with the intention of a specified death. Following on from that, as the gold is not mentioned within </w:t>
      </w:r>
      <w:r w:rsidRPr="548AF126" w:rsidR="37E7D023">
        <w:rPr>
          <w:rFonts w:ascii="Arial" w:hAnsi="Arial" w:eastAsia="Arial" w:cs="Arial"/>
          <w:b w:val="0"/>
          <w:bCs w:val="0"/>
          <w:i w:val="0"/>
          <w:iCs w:val="0"/>
          <w:strike w:val="0"/>
          <w:dstrike w:val="0"/>
          <w:noProof w:val="0"/>
          <w:color w:val="000000" w:themeColor="text1" w:themeTint="FF" w:themeShade="FF"/>
          <w:sz w:val="22"/>
          <w:szCs w:val="22"/>
          <w:u w:val="none"/>
          <w:lang w:val="en-US"/>
        </w:rPr>
        <w:t>Mrs.</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Spain’s will, Fiona could </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attempt</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route of legal ownership. For this Fiona would need substantial evidence to support her claim for said gold by providing written documentation or witness testimony. </w:t>
      </w:r>
      <w:r w:rsidRPr="548AF126" w:rsidR="71094BA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Following this, </w:t>
      </w:r>
      <w:bookmarkStart w:name="_Int_I0IMt878" w:id="1939632610"/>
      <w:r w:rsidRPr="548AF126" w:rsidR="71094BAD">
        <w:rPr>
          <w:rFonts w:ascii="Arial" w:hAnsi="Arial" w:eastAsia="Arial" w:cs="Arial"/>
          <w:b w:val="0"/>
          <w:bCs w:val="0"/>
          <w:i w:val="0"/>
          <w:iCs w:val="0"/>
          <w:strike w:val="0"/>
          <w:dstrike w:val="0"/>
          <w:noProof w:val="0"/>
          <w:color w:val="000000" w:themeColor="text1" w:themeTint="FF" w:themeShade="FF"/>
          <w:sz w:val="22"/>
          <w:szCs w:val="22"/>
          <w:u w:val="none"/>
          <w:lang w:val="en-US"/>
        </w:rPr>
        <w:t>Fiona could receive said</w:t>
      </w:r>
      <w:bookmarkEnd w:id="1939632610"/>
      <w:r w:rsidRPr="548AF126" w:rsidR="71094BA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gold through a constructive trust.</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For this to work Fiona must prove two specific criteria, the first being common intention. This would </w:t>
      </w:r>
      <w:bookmarkStart w:name="_Int_UFEXSjM0" w:id="894006438"/>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be proving</w:t>
      </w:r>
      <w:bookmarkEnd w:id="894006438"/>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that both parties had a common intention that Fiona would have a beneficial interest in the gold, this can be proven through actions, </w:t>
      </w:r>
      <w:r w:rsidRPr="548AF126" w:rsidR="36C487F1">
        <w:rPr>
          <w:rFonts w:ascii="Arial" w:hAnsi="Arial" w:eastAsia="Arial" w:cs="Arial"/>
          <w:b w:val="0"/>
          <w:bCs w:val="0"/>
          <w:i w:val="0"/>
          <w:iCs w:val="0"/>
          <w:strike w:val="0"/>
          <w:dstrike w:val="0"/>
          <w:noProof w:val="0"/>
          <w:color w:val="000000" w:themeColor="text1" w:themeTint="FF" w:themeShade="FF"/>
          <w:sz w:val="22"/>
          <w:szCs w:val="22"/>
          <w:u w:val="none"/>
          <w:lang w:val="en-US"/>
        </w:rPr>
        <w:t>statements,</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or documentation. Next the second criteria needed is referred to as detrimental reliance, this means that Fiona needs to </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demonstrate</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that she acted to her detriment based on </w:t>
      </w:r>
      <w:r w:rsidRPr="548AF126" w:rsidR="62A77FA3">
        <w:rPr>
          <w:rFonts w:ascii="Arial" w:hAnsi="Arial" w:eastAsia="Arial" w:cs="Arial"/>
          <w:b w:val="0"/>
          <w:bCs w:val="0"/>
          <w:i w:val="0"/>
          <w:iCs w:val="0"/>
          <w:strike w:val="0"/>
          <w:dstrike w:val="0"/>
          <w:noProof w:val="0"/>
          <w:color w:val="000000" w:themeColor="text1" w:themeTint="FF" w:themeShade="FF"/>
          <w:sz w:val="22"/>
          <w:szCs w:val="22"/>
          <w:u w:val="none"/>
          <w:lang w:val="en-US"/>
        </w:rPr>
        <w:t>Mrs.</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Spain’s intention. An example of this in action would be the case (Thorner v Major 2009). </w:t>
      </w:r>
      <w:r w:rsidRPr="548AF126" w:rsidR="2557FA6E">
        <w:rPr>
          <w:rFonts w:ascii="Arial" w:hAnsi="Arial" w:eastAsia="Arial" w:cs="Arial"/>
          <w:b w:val="0"/>
          <w:bCs w:val="0"/>
          <w:i w:val="0"/>
          <w:iCs w:val="0"/>
          <w:strike w:val="0"/>
          <w:dstrike w:val="0"/>
          <w:noProof w:val="0"/>
          <w:color w:val="000000" w:themeColor="text1" w:themeTint="FF" w:themeShade="FF"/>
          <w:sz w:val="22"/>
          <w:szCs w:val="22"/>
          <w:u w:val="none"/>
          <w:lang w:val="en-US"/>
        </w:rPr>
        <w:t>Finally, my recommendation would be to speak with the executor of the will, as the way the assets are handled/paid out falls on their discretion.</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Another </w:t>
      </w:r>
      <w:r w:rsidRPr="548AF126" w:rsidR="27B60F17">
        <w:rPr>
          <w:rFonts w:ascii="Arial" w:hAnsi="Arial" w:eastAsia="Arial" w:cs="Arial"/>
          <w:b w:val="0"/>
          <w:bCs w:val="0"/>
          <w:i w:val="0"/>
          <w:iCs w:val="0"/>
          <w:strike w:val="0"/>
          <w:dstrike w:val="0"/>
          <w:noProof w:val="0"/>
          <w:color w:val="000000" w:themeColor="text1" w:themeTint="FF" w:themeShade="FF"/>
          <w:sz w:val="22"/>
          <w:szCs w:val="22"/>
          <w:u w:val="none"/>
          <w:lang w:val="en-US"/>
        </w:rPr>
        <w:t>reason</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this would be the most prudent course of action is that the (Administration of Estates Act 1925, 2011) allows discretion, which is one aspect that Fiona appeared to </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necessitate</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p14:paraId="7B4C0183" wp14:textId="38B523C1"/>
    <w:p xmlns:wp14="http://schemas.microsoft.com/office/word/2010/wordml" wp14:paraId="3DCEF143" wp14:textId="2F9FFE6D"/>
    <w:p xmlns:wp14="http://schemas.microsoft.com/office/word/2010/wordml" wp14:paraId="3C1F1299" wp14:textId="73BEC920"/>
    <w:p xmlns:wp14="http://schemas.microsoft.com/office/word/2010/wordml" w:rsidP="548AF126" wp14:paraId="789EC959" wp14:textId="72CC36ED">
      <w:pPr>
        <w:spacing w:before="0" w:beforeAutospacing="off" w:after="0" w:afterAutospacing="off"/>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References:</w:t>
      </w:r>
    </w:p>
    <w:p xmlns:wp14="http://schemas.microsoft.com/office/word/2010/wordml" wp14:paraId="1FDDA2D5" wp14:textId="03BC4CDE"/>
    <w:p xmlns:wp14="http://schemas.microsoft.com/office/word/2010/wordml" w:rsidP="548AF126" wp14:paraId="1729E3BB" wp14:textId="441226CE">
      <w:pPr>
        <w:pStyle w:val="ListParagraph"/>
        <w:numPr>
          <w:ilvl w:val="0"/>
          <w:numId w:val="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Administration of Estates Act 1925 (2011) Legislation.gov.uk. Available at: </w:t>
      </w:r>
      <w:hyperlink r:id="R12e1a0b72b8740cb">
        <w:r w:rsidRPr="548AF126" w:rsidR="7AE58F9D">
          <w:rPr>
            <w:rStyle w:val="Hyperlink"/>
            <w:rFonts w:ascii="Arial" w:hAnsi="Arial" w:eastAsia="Arial" w:cs="Arial"/>
            <w:b w:val="0"/>
            <w:bCs w:val="0"/>
            <w:i w:val="0"/>
            <w:iCs w:val="0"/>
            <w:strike w:val="0"/>
            <w:dstrike w:val="0"/>
            <w:noProof w:val="0"/>
            <w:color w:val="1155CC"/>
            <w:sz w:val="22"/>
            <w:szCs w:val="22"/>
            <w:u w:val="none"/>
            <w:lang w:val="en-US"/>
          </w:rPr>
          <w:t>https://www.legislation.gov.uk/ukpga/Geo5/15-16/23/contents</w:t>
        </w:r>
      </w:hyperlink>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548AF126" wp14:paraId="0AF273A3" wp14:textId="013A2FCD">
      <w:pPr>
        <w:pStyle w:val="ListParagraph"/>
        <w:numPr>
          <w:ilvl w:val="0"/>
          <w:numId w:val="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Bindman, D. (2018) Solicitor fined over actions when receiving legacies from clients, Legal Futures. Available at: </w:t>
      </w:r>
      <w:hyperlink r:id="Rf7f1ac40f3134d35">
        <w:r w:rsidRPr="548AF126" w:rsidR="7AE58F9D">
          <w:rPr>
            <w:rStyle w:val="Hyperlink"/>
            <w:rFonts w:ascii="Arial" w:hAnsi="Arial" w:eastAsia="Arial" w:cs="Arial"/>
            <w:b w:val="0"/>
            <w:bCs w:val="0"/>
            <w:i w:val="0"/>
            <w:iCs w:val="0"/>
            <w:strike w:val="0"/>
            <w:dstrike w:val="0"/>
            <w:noProof w:val="0"/>
            <w:sz w:val="22"/>
            <w:szCs w:val="22"/>
            <w:lang w:val="en-US"/>
          </w:rPr>
          <w:t>https://www.legalfutures.co.uk/latest-news/solicitor-fined-over-actions-when-receiving-legacies-from-clients</w:t>
        </w:r>
      </w:hyperlink>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(Accessed: 21 March 2025). </w:t>
      </w:r>
    </w:p>
    <w:p xmlns:wp14="http://schemas.microsoft.com/office/word/2010/wordml" w:rsidP="548AF126" wp14:paraId="1143D170" wp14:textId="267FAFBF">
      <w:pPr>
        <w:pStyle w:val="ListParagraph"/>
        <w:numPr>
          <w:ilvl w:val="0"/>
          <w:numId w:val="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Donatio mortis causa Definition | Legal Glossary | LexisNexis (2024) @lexisnexis. Available at: </w:t>
      </w:r>
      <w:hyperlink r:id="Ra1241bb26a9e455d">
        <w:r w:rsidRPr="548AF126" w:rsidR="7AE58F9D">
          <w:rPr>
            <w:rStyle w:val="Hyperlink"/>
            <w:rFonts w:ascii="Arial" w:hAnsi="Arial" w:eastAsia="Arial" w:cs="Arial"/>
            <w:b w:val="0"/>
            <w:bCs w:val="0"/>
            <w:i w:val="0"/>
            <w:iCs w:val="0"/>
            <w:strike w:val="0"/>
            <w:dstrike w:val="0"/>
            <w:noProof w:val="0"/>
            <w:color w:val="1155CC"/>
            <w:sz w:val="22"/>
            <w:szCs w:val="22"/>
            <w:u w:val="none"/>
            <w:lang w:val="en-US"/>
          </w:rPr>
          <w:t>https://www.lexisnexis.co.uk/legal/glossary/donatio-mortis-causa</w:t>
        </w:r>
      </w:hyperlink>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548AF126" wp14:paraId="012FEDB0" wp14:textId="0DBB2C26">
      <w:pPr>
        <w:pStyle w:val="ListParagraph"/>
        <w:numPr>
          <w:ilvl w:val="0"/>
          <w:numId w:val="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Home (2023) Solicitors Disciplinary Tribunal. Available at: </w:t>
      </w:r>
      <w:hyperlink r:id="R0ef7ce3fbc914b35">
        <w:r w:rsidRPr="548AF126" w:rsidR="7AE58F9D">
          <w:rPr>
            <w:rStyle w:val="Hyperlink"/>
            <w:rFonts w:ascii="Arial" w:hAnsi="Arial" w:eastAsia="Arial" w:cs="Arial"/>
            <w:b w:val="0"/>
            <w:bCs w:val="0"/>
            <w:i w:val="0"/>
            <w:iCs w:val="0"/>
            <w:strike w:val="0"/>
            <w:dstrike w:val="0"/>
            <w:noProof w:val="0"/>
            <w:color w:val="1155CC"/>
            <w:sz w:val="22"/>
            <w:szCs w:val="22"/>
            <w:u w:val="none"/>
            <w:lang w:val="en-US"/>
          </w:rPr>
          <w:t>https://solicitorstribunal.org.uk</w:t>
        </w:r>
      </w:hyperlink>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548AF126" wp14:paraId="4E0A8AC7" wp14:textId="70701DE2">
      <w:pPr>
        <w:pStyle w:val="ListParagraph"/>
        <w:numPr>
          <w:ilvl w:val="0"/>
          <w:numId w:val="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King v Dubrey (2015) EWCA Civ 58</w:t>
      </w:r>
    </w:p>
    <w:p xmlns:wp14="http://schemas.microsoft.com/office/word/2010/wordml" w:rsidP="548AF126" wp14:paraId="7BAA9D63" wp14:textId="6FA92D40">
      <w:pPr>
        <w:pStyle w:val="ListParagraph"/>
        <w:numPr>
          <w:ilvl w:val="0"/>
          <w:numId w:val="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Solicitors Regulation Authority (2019) SRA Code of Conduct for Solicitors, RELs and RFLs, Solicitors Regulation Authority. Available at: </w:t>
      </w:r>
      <w:hyperlink r:id="R862540cd2ae345a1">
        <w:r w:rsidRPr="548AF126" w:rsidR="7AE58F9D">
          <w:rPr>
            <w:rStyle w:val="Hyperlink"/>
            <w:rFonts w:ascii="Arial" w:hAnsi="Arial" w:eastAsia="Arial" w:cs="Arial"/>
            <w:b w:val="0"/>
            <w:bCs w:val="0"/>
            <w:i w:val="0"/>
            <w:iCs w:val="0"/>
            <w:strike w:val="0"/>
            <w:dstrike w:val="0"/>
            <w:noProof w:val="0"/>
            <w:color w:val="1155CC"/>
            <w:sz w:val="22"/>
            <w:szCs w:val="22"/>
            <w:u w:val="none"/>
            <w:lang w:val="en-US"/>
          </w:rPr>
          <w:t>https://www.sra.org.uk/solicitors/standards-regulations/code-conduct-solicitors/</w:t>
        </w:r>
      </w:hyperlink>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548AF126" wp14:paraId="489F8F62" wp14:textId="0F347EB5">
      <w:pPr>
        <w:pStyle w:val="ListParagraph"/>
        <w:numPr>
          <w:ilvl w:val="0"/>
          <w:numId w:val="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Thorner v Major (2009)</w:t>
      </w:r>
    </w:p>
    <w:p xmlns:wp14="http://schemas.microsoft.com/office/word/2010/wordml" wp14:paraId="533D8255" wp14:textId="269E04F5"/>
    <w:p xmlns:wp14="http://schemas.microsoft.com/office/word/2010/wordml" wp14:paraId="1A909F63" wp14:textId="4115DCAD"/>
    <w:p xmlns:wp14="http://schemas.microsoft.com/office/word/2010/wordml" wp14:paraId="2224D5DB" wp14:textId="6AD3B98D"/>
    <w:p xmlns:wp14="http://schemas.microsoft.com/office/word/2010/wordml" wp14:paraId="24690E20" wp14:textId="1F321CF5"/>
    <w:p xmlns:wp14="http://schemas.microsoft.com/office/word/2010/wordml" wp14:paraId="38C411BA" wp14:textId="2CEC88DE"/>
    <w:p xmlns:wp14="http://schemas.microsoft.com/office/word/2010/wordml" wp14:paraId="756DDB0A" wp14:textId="4D9641C8"/>
    <w:p xmlns:wp14="http://schemas.microsoft.com/office/word/2010/wordml" wp14:paraId="7971B745" wp14:textId="3D510EA5"/>
    <w:p xmlns:wp14="http://schemas.microsoft.com/office/word/2010/wordml" wp14:paraId="0C245662" wp14:textId="7F9639E4"/>
    <w:p xmlns:wp14="http://schemas.microsoft.com/office/word/2010/wordml" wp14:paraId="1FC87672" wp14:textId="0D7A3395"/>
    <w:p xmlns:wp14="http://schemas.microsoft.com/office/word/2010/wordml" wp14:paraId="5FB28AEC" wp14:textId="7CB4CE08"/>
    <w:p xmlns:wp14="http://schemas.microsoft.com/office/word/2010/wordml" wp14:paraId="4D868D9B" wp14:textId="6C78C1BB"/>
    <w:p xmlns:wp14="http://schemas.microsoft.com/office/word/2010/wordml" wp14:paraId="618DCA6C" wp14:textId="23E0F0D2"/>
    <w:p xmlns:wp14="http://schemas.microsoft.com/office/word/2010/wordml" wp14:paraId="724AC354" wp14:textId="29F5E741"/>
    <w:p xmlns:wp14="http://schemas.microsoft.com/office/word/2010/wordml" wp14:paraId="4F16F361" wp14:textId="7C3265CA"/>
    <w:p xmlns:wp14="http://schemas.microsoft.com/office/word/2010/wordml" w:rsidP="548AF126" wp14:paraId="068D1745" wp14:textId="23DEB372">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7814DABA" wp14:textId="5984A902">
      <w:pPr>
        <w:pStyle w:val="Normal"/>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Task 2a. </w:t>
      </w:r>
    </w:p>
    <w:p xmlns:wp14="http://schemas.microsoft.com/office/word/2010/wordml" wp14:paraId="262D9490" wp14:textId="41E2D3F5"/>
    <w:p xmlns:wp14="http://schemas.microsoft.com/office/word/2010/wordml" w:rsidP="548AF126" wp14:paraId="12B8C6D1" wp14:textId="1A8315B4">
      <w:pPr>
        <w:spacing w:before="0" w:beforeAutospacing="off" w:after="0" w:afterAutospacing="off"/>
      </w:pPr>
      <w:r w:rsidRPr="548AF126" w:rsidR="7AE58F9D">
        <w:rPr>
          <w:rFonts w:ascii="Arial" w:hAnsi="Arial" w:eastAsia="Arial" w:cs="Arial"/>
          <w:b w:val="1"/>
          <w:bCs w:val="1"/>
          <w:i w:val="0"/>
          <w:iCs w:val="0"/>
          <w:strike w:val="0"/>
          <w:dstrike w:val="0"/>
          <w:noProof w:val="0"/>
          <w:color w:val="000000" w:themeColor="text1" w:themeTint="FF" w:themeShade="FF"/>
          <w:sz w:val="22"/>
          <w:szCs w:val="22"/>
          <w:u w:val="none"/>
          <w:lang w:val="en-US"/>
        </w:rPr>
        <w:t xml:space="preserve">What is the upcoming Inheritance tax reform and how does it affect the agriculture and Business </w:t>
      </w:r>
      <w:r w:rsidRPr="548AF126" w:rsidR="29C99378">
        <w:rPr>
          <w:rFonts w:ascii="Arial" w:hAnsi="Arial" w:eastAsia="Arial" w:cs="Arial"/>
          <w:b w:val="1"/>
          <w:bCs w:val="1"/>
          <w:i w:val="0"/>
          <w:iCs w:val="0"/>
          <w:strike w:val="0"/>
          <w:dstrike w:val="0"/>
          <w:noProof w:val="0"/>
          <w:color w:val="000000" w:themeColor="text1" w:themeTint="FF" w:themeShade="FF"/>
          <w:sz w:val="22"/>
          <w:szCs w:val="22"/>
          <w:u w:val="none"/>
          <w:lang w:val="en-US"/>
        </w:rPr>
        <w:t>sectors</w:t>
      </w:r>
      <w:r w:rsidRPr="548AF126" w:rsidR="7AE58F9D">
        <w:rPr>
          <w:rFonts w:ascii="Arial" w:hAnsi="Arial" w:eastAsia="Arial" w:cs="Arial"/>
          <w:b w:val="1"/>
          <w:bCs w:val="1"/>
          <w:i w:val="0"/>
          <w:iCs w:val="0"/>
          <w:strike w:val="0"/>
          <w:dstrike w:val="0"/>
          <w:noProof w:val="0"/>
          <w:color w:val="000000" w:themeColor="text1" w:themeTint="FF" w:themeShade="FF"/>
          <w:sz w:val="22"/>
          <w:szCs w:val="22"/>
          <w:u w:val="none"/>
          <w:lang w:val="en-US"/>
        </w:rPr>
        <w:t>?</w:t>
      </w:r>
    </w:p>
    <w:p xmlns:wp14="http://schemas.microsoft.com/office/word/2010/wordml" wp14:paraId="4135852F" wp14:textId="596A6122"/>
    <w:p xmlns:wp14="http://schemas.microsoft.com/office/word/2010/wordml" w:rsidP="548AF126" wp14:paraId="3CFEB213" wp14:textId="7635EE74">
      <w:pPr>
        <w:spacing w:before="0" w:beforeAutospacing="off" w:after="0" w:afterAutospacing="off"/>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This </w:t>
      </w:r>
      <w:r w:rsidRPr="548AF126" w:rsidR="45502310">
        <w:rPr>
          <w:rFonts w:ascii="Arial" w:hAnsi="Arial" w:eastAsia="Arial" w:cs="Arial"/>
          <w:b w:val="0"/>
          <w:bCs w:val="0"/>
          <w:i w:val="0"/>
          <w:iCs w:val="0"/>
          <w:strike w:val="0"/>
          <w:dstrike w:val="0"/>
          <w:noProof w:val="0"/>
          <w:color w:val="000000" w:themeColor="text1" w:themeTint="FF" w:themeShade="FF"/>
          <w:sz w:val="22"/>
          <w:szCs w:val="22"/>
          <w:u w:val="none"/>
          <w:lang w:val="en-US"/>
        </w:rPr>
        <w:t>article examines</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upcoming inheritance tax reform focusing on agriculture and businesses effective April 2026. Effective April 2026 inheritance tax </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regarding</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APR and BPR will have 100% relief for the first £1 million following that all further equity will only receive 50% tax relief. </w:t>
      </w:r>
      <w:r w:rsidRPr="548AF126" w:rsidR="08F2FE63">
        <w:rPr>
          <w:rFonts w:ascii="Arial" w:hAnsi="Arial" w:eastAsia="Arial" w:cs="Arial"/>
          <w:b w:val="0"/>
          <w:bCs w:val="0"/>
          <w:i w:val="0"/>
          <w:iCs w:val="0"/>
          <w:strike w:val="0"/>
          <w:dstrike w:val="0"/>
          <w:noProof w:val="0"/>
          <w:color w:val="000000" w:themeColor="text1" w:themeTint="FF" w:themeShade="FF"/>
          <w:sz w:val="22"/>
          <w:szCs w:val="22"/>
          <w:u w:val="none"/>
          <w:lang w:val="en-US"/>
        </w:rPr>
        <w:t>The reason</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for this is </w:t>
      </w:r>
      <w:r w:rsidRPr="548AF126" w:rsidR="67379CB0">
        <w:rPr>
          <w:rFonts w:ascii="Arial" w:hAnsi="Arial" w:eastAsia="Arial" w:cs="Arial"/>
          <w:b w:val="0"/>
          <w:bCs w:val="0"/>
          <w:i w:val="0"/>
          <w:iCs w:val="0"/>
          <w:strike w:val="0"/>
          <w:dstrike w:val="0"/>
          <w:noProof w:val="0"/>
          <w:color w:val="000000" w:themeColor="text1" w:themeTint="FF" w:themeShade="FF"/>
          <w:sz w:val="22"/>
          <w:szCs w:val="22"/>
          <w:u w:val="none"/>
          <w:lang w:val="en-US"/>
        </w:rPr>
        <w:t>reportedly</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to protect family run farms from outsiders buying land for tax avoidance.</w:t>
      </w:r>
    </w:p>
    <w:p xmlns:wp14="http://schemas.microsoft.com/office/word/2010/wordml" wp14:paraId="45CB4B4A" wp14:textId="2344ADF3"/>
    <w:p xmlns:wp14="http://schemas.microsoft.com/office/word/2010/wordml" wp14:paraId="01F612F1" wp14:textId="59D2BA05"/>
    <w:p xmlns:wp14="http://schemas.microsoft.com/office/word/2010/wordml" w:rsidP="548AF126" wp14:paraId="4F0A6CD3" wp14:textId="521D1FDA">
      <w:pPr>
        <w:spacing w:before="0" w:beforeAutospacing="off" w:after="0" w:afterAutospacing="off"/>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When it comes to </w:t>
      </w:r>
      <w:r w:rsidRPr="548AF126" w:rsidR="4D3C0050">
        <w:rPr>
          <w:rFonts w:ascii="Arial" w:hAnsi="Arial" w:eastAsia="Arial" w:cs="Arial"/>
          <w:b w:val="0"/>
          <w:bCs w:val="0"/>
          <w:i w:val="0"/>
          <w:iCs w:val="0"/>
          <w:strike w:val="0"/>
          <w:dstrike w:val="0"/>
          <w:noProof w:val="0"/>
          <w:color w:val="000000" w:themeColor="text1" w:themeTint="FF" w:themeShade="FF"/>
          <w:sz w:val="22"/>
          <w:szCs w:val="22"/>
          <w:u w:val="none"/>
          <w:lang w:val="en-US"/>
        </w:rPr>
        <w:t>Inheritance</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tax the rate in which you may pay is dependent upon </w:t>
      </w:r>
      <w:r w:rsidRPr="548AF126" w:rsidR="3119918A">
        <w:rPr>
          <w:rFonts w:ascii="Arial" w:hAnsi="Arial" w:eastAsia="Arial" w:cs="Arial"/>
          <w:b w:val="0"/>
          <w:bCs w:val="0"/>
          <w:i w:val="0"/>
          <w:iCs w:val="0"/>
          <w:strike w:val="0"/>
          <w:dstrike w:val="0"/>
          <w:noProof w:val="0"/>
          <w:color w:val="000000" w:themeColor="text1" w:themeTint="FF" w:themeShade="FF"/>
          <w:sz w:val="22"/>
          <w:szCs w:val="22"/>
          <w:u w:val="none"/>
          <w:lang w:val="en-US"/>
        </w:rPr>
        <w:t>varied factors</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 example of this can be seen in the </w:t>
      </w:r>
      <w:r w:rsidRPr="548AF126" w:rsidR="0D534F26">
        <w:rPr>
          <w:rFonts w:ascii="Arial" w:hAnsi="Arial" w:eastAsia="Arial" w:cs="Arial"/>
          <w:b w:val="0"/>
          <w:bCs w:val="0"/>
          <w:i w:val="0"/>
          <w:iCs w:val="0"/>
          <w:strike w:val="0"/>
          <w:dstrike w:val="0"/>
          <w:noProof w:val="0"/>
          <w:color w:val="000000" w:themeColor="text1" w:themeTint="FF" w:themeShade="FF"/>
          <w:sz w:val="22"/>
          <w:szCs w:val="22"/>
          <w:u w:val="none"/>
          <w:lang w:val="en-US"/>
        </w:rPr>
        <w:t>so-called</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nil-Rate band, the first £325,000 of an individual's estate is exempt from inheritance tax therefore getting the name of nil-rate band. If the estate is over said threshold it is taxed at a flat rate of 40%.  For further clarity when inheritance tax is applied it is applied to the net estate value at death, minus any debts.</w:t>
      </w:r>
      <w:r w:rsidRPr="548AF126" w:rsidR="7AE58F9D">
        <w:rPr>
          <w:rFonts w:ascii="Arial" w:hAnsi="Arial" w:eastAsia="Arial" w:cs="Arial"/>
          <w:b w:val="1"/>
          <w:bCs w:val="1"/>
          <w:i w:val="0"/>
          <w:iCs w:val="0"/>
          <w:strike w:val="0"/>
          <w:dstrike w:val="0"/>
          <w:noProof w:val="0"/>
          <w:color w:val="000000" w:themeColor="text1" w:themeTint="FF" w:themeShade="FF"/>
          <w:sz w:val="22"/>
          <w:szCs w:val="22"/>
          <w:u w:val="none"/>
          <w:lang w:val="en-US"/>
        </w:rPr>
        <w:t xml:space="preserve"> </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548AF126" w:rsidR="1DD4B0F8">
        <w:rPr>
          <w:rFonts w:ascii="Arial" w:hAnsi="Arial" w:eastAsia="Arial" w:cs="Arial"/>
          <w:b w:val="0"/>
          <w:bCs w:val="0"/>
          <w:i w:val="0"/>
          <w:iCs w:val="0"/>
          <w:strike w:val="0"/>
          <w:dstrike w:val="0"/>
          <w:noProof w:val="0"/>
          <w:color w:val="000000" w:themeColor="text1" w:themeTint="FF" w:themeShade="FF"/>
          <w:sz w:val="22"/>
          <w:szCs w:val="22"/>
          <w:u w:val="none"/>
          <w:lang w:val="en-US"/>
        </w:rPr>
        <w:t>Moving on, this article is about businesses and agriculture, so there are certain reliefs/ exemptions.</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These are APR and BPR</w:t>
      </w:r>
      <w:r w:rsidRPr="548AF126" w:rsidR="72596EF9">
        <w:rPr>
          <w:rFonts w:ascii="Arial" w:hAnsi="Arial" w:eastAsia="Arial" w:cs="Arial"/>
          <w:b w:val="0"/>
          <w:bCs w:val="0"/>
          <w:i w:val="0"/>
          <w:iCs w:val="0"/>
          <w:strike w:val="0"/>
          <w:dstrike w:val="0"/>
          <w:noProof w:val="0"/>
          <w:color w:val="000000" w:themeColor="text1" w:themeTint="FF" w:themeShade="FF"/>
          <w:sz w:val="22"/>
          <w:szCs w:val="22"/>
          <w:u w:val="none"/>
          <w:lang w:val="en-US"/>
        </w:rPr>
        <w:t>. The</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main goal of these is to lower the inheritance burden of these properties through taxation </w:t>
      </w:r>
      <w:r w:rsidRPr="548AF126" w:rsidR="44EB1C32">
        <w:rPr>
          <w:rFonts w:ascii="Arial" w:hAnsi="Arial" w:eastAsia="Arial" w:cs="Arial"/>
          <w:b w:val="0"/>
          <w:bCs w:val="0"/>
          <w:i w:val="0"/>
          <w:iCs w:val="0"/>
          <w:strike w:val="0"/>
          <w:dstrike w:val="0"/>
          <w:noProof w:val="0"/>
          <w:color w:val="000000" w:themeColor="text1" w:themeTint="FF" w:themeShade="FF"/>
          <w:sz w:val="22"/>
          <w:szCs w:val="22"/>
          <w:u w:val="none"/>
          <w:lang w:val="en-US"/>
        </w:rPr>
        <w:t>relief. This</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has been the status quo since 1992 allowing agricultural </w:t>
      </w:r>
      <w:r w:rsidRPr="548AF126" w:rsidR="65A17696">
        <w:rPr>
          <w:rFonts w:ascii="Arial" w:hAnsi="Arial" w:eastAsia="Arial" w:cs="Arial"/>
          <w:b w:val="0"/>
          <w:bCs w:val="0"/>
          <w:i w:val="0"/>
          <w:iCs w:val="0"/>
          <w:strike w:val="0"/>
          <w:dstrike w:val="0"/>
          <w:noProof w:val="0"/>
          <w:color w:val="000000" w:themeColor="text1" w:themeTint="FF" w:themeShade="FF"/>
          <w:sz w:val="22"/>
          <w:szCs w:val="22"/>
          <w:u w:val="none"/>
          <w:lang w:val="en-US"/>
        </w:rPr>
        <w:t>businesses inheritance</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tax relief of 100% on their assets and business. </w:t>
      </w:r>
    </w:p>
    <w:p xmlns:wp14="http://schemas.microsoft.com/office/word/2010/wordml" wp14:paraId="76B4B849" wp14:textId="494FACA4"/>
    <w:p xmlns:wp14="http://schemas.microsoft.com/office/word/2010/wordml" wp14:paraId="4FAAF5B4" wp14:textId="5B250797"/>
    <w:p xmlns:wp14="http://schemas.microsoft.com/office/word/2010/wordml" w:rsidP="548AF126" wp14:paraId="09B7D732" wp14:textId="1517ED0C">
      <w:pPr>
        <w:spacing w:before="0" w:beforeAutospacing="off" w:after="0" w:afterAutospacing="off"/>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w:t>
      </w:r>
      <w:r w:rsidRPr="548AF126" w:rsidR="7AE58F9D">
        <w:rPr>
          <w:rFonts w:ascii="Arial" w:hAnsi="Arial" w:eastAsia="Arial" w:cs="Arial"/>
          <w:b w:val="1"/>
          <w:bCs w:val="1"/>
          <w:i w:val="0"/>
          <w:iCs w:val="0"/>
          <w:strike w:val="0"/>
          <w:dstrike w:val="0"/>
          <w:noProof w:val="0"/>
          <w:color w:val="000000" w:themeColor="text1" w:themeTint="FF" w:themeShade="FF"/>
          <w:sz w:val="22"/>
          <w:szCs w:val="22"/>
          <w:u w:val="none"/>
          <w:lang w:val="en-US"/>
        </w:rPr>
        <w:t xml:space="preserve">It is often supposed that this regressivity is driven by reliefs for particular asset classes, particularly Business Relief and Agricultural Relief. We show that this is </w:t>
      </w:r>
      <w:r w:rsidRPr="548AF126" w:rsidR="7AE58F9D">
        <w:rPr>
          <w:rFonts w:ascii="Arial" w:hAnsi="Arial" w:eastAsia="Arial" w:cs="Arial"/>
          <w:b w:val="1"/>
          <w:bCs w:val="1"/>
          <w:i w:val="0"/>
          <w:iCs w:val="0"/>
          <w:strike w:val="0"/>
          <w:dstrike w:val="0"/>
          <w:noProof w:val="0"/>
          <w:color w:val="000000" w:themeColor="text1" w:themeTint="FF" w:themeShade="FF"/>
          <w:sz w:val="22"/>
          <w:szCs w:val="22"/>
          <w:u w:val="none"/>
          <w:lang w:val="en-US"/>
        </w:rPr>
        <w:t>largely false</w:t>
      </w:r>
      <w:r w:rsidRPr="548AF126" w:rsidR="7AE58F9D">
        <w:rPr>
          <w:rFonts w:ascii="Arial" w:hAnsi="Arial" w:eastAsia="Arial" w:cs="Arial"/>
          <w:b w:val="1"/>
          <w:bCs w:val="1"/>
          <w:i w:val="0"/>
          <w:iCs w:val="0"/>
          <w:strike w:val="0"/>
          <w:dstrike w:val="0"/>
          <w:noProof w:val="0"/>
          <w:color w:val="000000" w:themeColor="text1" w:themeTint="FF" w:themeShade="FF"/>
          <w:sz w:val="22"/>
          <w:szCs w:val="22"/>
          <w:u w:val="none"/>
          <w:lang w:val="en-US"/>
        </w:rPr>
        <w:t xml:space="preserve">: the overall regressivity in IHT stems </w:t>
      </w:r>
      <w:r w:rsidRPr="548AF126" w:rsidR="60B77133">
        <w:rPr>
          <w:rFonts w:ascii="Arial" w:hAnsi="Arial" w:eastAsia="Arial" w:cs="Arial"/>
          <w:b w:val="1"/>
          <w:bCs w:val="1"/>
          <w:i w:val="0"/>
          <w:iCs w:val="0"/>
          <w:strike w:val="0"/>
          <w:dstrike w:val="0"/>
          <w:noProof w:val="0"/>
          <w:color w:val="000000" w:themeColor="text1" w:themeTint="FF" w:themeShade="FF"/>
          <w:sz w:val="22"/>
          <w:szCs w:val="22"/>
          <w:u w:val="none"/>
          <w:lang w:val="en-US"/>
        </w:rPr>
        <w:t>from</w:t>
      </w:r>
      <w:r w:rsidRPr="548AF126" w:rsidR="7AE58F9D">
        <w:rPr>
          <w:rFonts w:ascii="Arial" w:hAnsi="Arial" w:eastAsia="Arial" w:cs="Arial"/>
          <w:b w:val="1"/>
          <w:bCs w:val="1"/>
          <w:i w:val="0"/>
          <w:iCs w:val="0"/>
          <w:strike w:val="0"/>
          <w:dstrike w:val="0"/>
          <w:noProof w:val="0"/>
          <w:color w:val="000000" w:themeColor="text1" w:themeTint="FF" w:themeShade="FF"/>
          <w:sz w:val="22"/>
          <w:szCs w:val="22"/>
          <w:u w:val="none"/>
          <w:lang w:val="en-US"/>
        </w:rPr>
        <w:t xml:space="preserve"> the uncapped nature of the spouse exemption</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(Inheritance Tax reliefs: Time for reform? Centre for the Analysis of Taxation Policy Report, 2024)</w:t>
      </w:r>
    </w:p>
    <w:p xmlns:wp14="http://schemas.microsoft.com/office/word/2010/wordml" wp14:paraId="4F3D5C61" wp14:textId="32C7D90B"/>
    <w:p xmlns:wp14="http://schemas.microsoft.com/office/word/2010/wordml" w:rsidP="548AF126" wp14:paraId="235067D6" wp14:textId="2DBFDC65">
      <w:pPr>
        <w:spacing w:before="0" w:beforeAutospacing="off" w:after="0" w:afterAutospacing="off"/>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In </w:t>
      </w:r>
      <w:r w:rsidRPr="548AF126" w:rsidR="2B4E390C">
        <w:rPr>
          <w:rFonts w:ascii="Arial" w:hAnsi="Arial" w:eastAsia="Arial" w:cs="Arial"/>
          <w:b w:val="0"/>
          <w:bCs w:val="0"/>
          <w:i w:val="0"/>
          <w:iCs w:val="0"/>
          <w:strike w:val="0"/>
          <w:dstrike w:val="0"/>
          <w:noProof w:val="0"/>
          <w:color w:val="000000" w:themeColor="text1" w:themeTint="FF" w:themeShade="FF"/>
          <w:sz w:val="22"/>
          <w:szCs w:val="22"/>
          <w:u w:val="none"/>
          <w:lang w:val="en-US"/>
        </w:rPr>
        <w:t>April 2026,</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 introduction of a £1 million cap for 100% relief on combined agriculture and business assets will become effective in the United Kingdom. Once the cap of £1 million is hit both agriculture and business properties will only be eligible for 50% tax relief through inheritance </w:t>
      </w:r>
      <w:r w:rsidRPr="548AF126" w:rsidR="240A208E">
        <w:rPr>
          <w:rFonts w:ascii="Arial" w:hAnsi="Arial" w:eastAsia="Arial" w:cs="Arial"/>
          <w:b w:val="0"/>
          <w:bCs w:val="0"/>
          <w:i w:val="0"/>
          <w:iCs w:val="0"/>
          <w:strike w:val="0"/>
          <w:dstrike w:val="0"/>
          <w:noProof w:val="0"/>
          <w:color w:val="000000" w:themeColor="text1" w:themeTint="FF" w:themeShade="FF"/>
          <w:sz w:val="22"/>
          <w:szCs w:val="22"/>
          <w:u w:val="none"/>
          <w:lang w:val="en-US"/>
        </w:rPr>
        <w:t>regarding</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rest of the </w:t>
      </w:r>
      <w:r w:rsidRPr="548AF126" w:rsidR="3B3E10BC">
        <w:rPr>
          <w:rFonts w:ascii="Arial" w:hAnsi="Arial" w:eastAsia="Arial" w:cs="Arial"/>
          <w:b w:val="0"/>
          <w:bCs w:val="0"/>
          <w:i w:val="0"/>
          <w:iCs w:val="0"/>
          <w:strike w:val="0"/>
          <w:dstrike w:val="0"/>
          <w:noProof w:val="0"/>
          <w:color w:val="000000" w:themeColor="text1" w:themeTint="FF" w:themeShade="FF"/>
          <w:sz w:val="22"/>
          <w:szCs w:val="22"/>
          <w:u w:val="none"/>
          <w:lang w:val="en-US"/>
        </w:rPr>
        <w:t>estate's</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assets.</w:t>
      </w:r>
      <w:r w:rsidRPr="548AF126" w:rsidR="7AE58F9D">
        <w:rPr>
          <w:rFonts w:ascii="Arial" w:hAnsi="Arial" w:eastAsia="Arial" w:cs="Arial"/>
          <w:b w:val="1"/>
          <w:bCs w:val="1"/>
          <w:i w:val="0"/>
          <w:iCs w:val="0"/>
          <w:strike w:val="0"/>
          <w:dstrike w:val="0"/>
          <w:noProof w:val="0"/>
          <w:color w:val="000000" w:themeColor="text1" w:themeTint="FF" w:themeShade="FF"/>
          <w:sz w:val="22"/>
          <w:szCs w:val="22"/>
          <w:u w:val="none"/>
          <w:lang w:val="en-US"/>
        </w:rPr>
        <w:t xml:space="preserve">  </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According to the farming minister Daniel Zeichner when he appeared at the Northern Farming Conference the reason for these reforms is to stop “people coming in from outside [the industry] with large amounts of money, buying up land, not for farming, but frankly, to use the current tax system for their advantage”. The way in which this helps small family run farms is by </w:t>
      </w:r>
      <w:r w:rsidRPr="548AF126" w:rsidR="79D8D448">
        <w:rPr>
          <w:rFonts w:ascii="Arial" w:hAnsi="Arial" w:eastAsia="Arial" w:cs="Arial"/>
          <w:b w:val="0"/>
          <w:bCs w:val="0"/>
          <w:i w:val="0"/>
          <w:iCs w:val="0"/>
          <w:strike w:val="0"/>
          <w:dstrike w:val="0"/>
          <w:noProof w:val="0"/>
          <w:color w:val="000000" w:themeColor="text1" w:themeTint="FF" w:themeShade="FF"/>
          <w:sz w:val="22"/>
          <w:szCs w:val="22"/>
          <w:u w:val="none"/>
          <w:lang w:val="en-US"/>
        </w:rPr>
        <w:t>disincentivizing</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wealthy people buying large properties of land and not using them and furthermore </w:t>
      </w:r>
      <w:r w:rsidRPr="548AF126" w:rsidR="2C0794B0">
        <w:rPr>
          <w:rFonts w:ascii="Arial" w:hAnsi="Arial" w:eastAsia="Arial" w:cs="Arial"/>
          <w:b w:val="0"/>
          <w:bCs w:val="0"/>
          <w:i w:val="0"/>
          <w:iCs w:val="0"/>
          <w:strike w:val="0"/>
          <w:dstrike w:val="0"/>
          <w:noProof w:val="0"/>
          <w:color w:val="000000" w:themeColor="text1" w:themeTint="FF" w:themeShade="FF"/>
          <w:sz w:val="22"/>
          <w:szCs w:val="22"/>
          <w:u w:val="none"/>
          <w:lang w:val="en-US"/>
        </w:rPr>
        <w:t>incentivizing</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family run farms to pass over agriculture earlier to </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maintain</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productivity. That is due to the fact inheritance tax </w:t>
      </w:r>
      <w:r w:rsidRPr="548AF126" w:rsidR="598B6BD5">
        <w:rPr>
          <w:rFonts w:ascii="Arial" w:hAnsi="Arial" w:eastAsia="Arial" w:cs="Arial"/>
          <w:b w:val="0"/>
          <w:bCs w:val="0"/>
          <w:i w:val="0"/>
          <w:iCs w:val="0"/>
          <w:strike w:val="0"/>
          <w:dstrike w:val="0"/>
          <w:noProof w:val="0"/>
          <w:color w:val="000000" w:themeColor="text1" w:themeTint="FF" w:themeShade="FF"/>
          <w:sz w:val="22"/>
          <w:szCs w:val="22"/>
          <w:u w:val="none"/>
          <w:lang w:val="en-US"/>
        </w:rPr>
        <w:t>will not</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be paid if the property is passed over while they are still alive.</w:t>
      </w:r>
    </w:p>
    <w:p xmlns:wp14="http://schemas.microsoft.com/office/word/2010/wordml" wp14:paraId="074D12D2" wp14:textId="3AF9014B"/>
    <w:p xmlns:wp14="http://schemas.microsoft.com/office/word/2010/wordml" wp14:paraId="74B32EEE" wp14:textId="5ADCED2E"/>
    <w:p xmlns:wp14="http://schemas.microsoft.com/office/word/2010/wordml" wp14:paraId="267A05F8" wp14:textId="02319747"/>
    <w:p xmlns:wp14="http://schemas.microsoft.com/office/word/2010/wordml" w:rsidP="548AF126" wp14:paraId="3433374F" wp14:textId="69042888">
      <w:pPr>
        <w:spacing w:before="0" w:beforeAutospacing="off" w:after="0" w:afterAutospacing="off"/>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Keywords:</w:t>
      </w:r>
    </w:p>
    <w:p xmlns:wp14="http://schemas.microsoft.com/office/word/2010/wordml" wp14:paraId="318F7FE2" wp14:textId="7722275F"/>
    <w:p xmlns:wp14="http://schemas.microsoft.com/office/word/2010/wordml" w:rsidP="548AF126" wp14:paraId="7EB3AC70" wp14:textId="5E203C57">
      <w:pPr>
        <w:pStyle w:val="ListParagraph"/>
        <w:numPr>
          <w:ilvl w:val="0"/>
          <w:numId w:val="2"/>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APR - Agricultural Property Relief - This is a mechanism within inheritance tax designed to provide relief on qualifying agricultural assets </w:t>
      </w:r>
    </w:p>
    <w:p xmlns:wp14="http://schemas.microsoft.com/office/word/2010/wordml" w:rsidP="548AF126" wp14:paraId="3CB59D5F" wp14:textId="56BEB09C">
      <w:pPr>
        <w:pStyle w:val="ListParagraph"/>
        <w:numPr>
          <w:ilvl w:val="0"/>
          <w:numId w:val="2"/>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BPR - Business Property Relief - This is a mechanism within inheritance tax designed to provide relief on qualifying Business assets </w:t>
      </w:r>
    </w:p>
    <w:p xmlns:wp14="http://schemas.microsoft.com/office/word/2010/wordml" wp14:paraId="5BF7BB59" wp14:textId="67C6DED5"/>
    <w:p xmlns:wp14="http://schemas.microsoft.com/office/word/2010/wordml" w:rsidP="548AF126" wp14:paraId="15712FAB" wp14:textId="498E63AE">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11AB200F" wp14:textId="5AC42572">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714CB190" wp14:textId="0A37E899">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78AA8358" wp14:textId="47D2BDEC">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5D1C0FA6" wp14:textId="7024815B">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33A43EE3" wp14:textId="62416232">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52999C88" wp14:textId="4820D23E">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6FAD73D1" wp14:textId="722F6077">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24AFED8E" wp14:textId="6E8550F5">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29B50AB7" wp14:textId="29DFCB1F">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0B1D3DAE" wp14:textId="50C4058A">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5A70A7C8" wp14:textId="64D054EB">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53435ADC" wp14:textId="7124F752">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5F440E49" wp14:textId="7109C62E">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26FC5064" wp14:textId="619C18BF">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36AE04FC" wp14:textId="78770384">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2223A40F" wp14:textId="060ADBEB">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089BBF8F" wp14:textId="55FB0BC4">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2BFE0103" wp14:textId="7399C4F4">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6E90C95C" wp14:textId="32CEB14A">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508977F8" wp14:textId="37727B8D">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66E0984E" wp14:textId="14F91248">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42A2416C" wp14:textId="73002F36">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7C577022" wp14:textId="3E37448C">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44F3FD9A" wp14:textId="3ED1F975">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478F0931" wp14:textId="7B1B5968">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21DEF581" wp14:textId="499CC9C0">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6484A499" wp14:textId="03867338">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6C88C4FC" wp14:textId="69E7B12B">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4CD48B57" wp14:textId="4BCC496B">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2ABC3768" wp14:textId="6F76B92C">
      <w:pPr>
        <w:spacing w:before="0" w:beforeAutospacing="off" w:after="0" w:afterAutospacing="off"/>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Reference List</w:t>
      </w:r>
    </w:p>
    <w:p xmlns:wp14="http://schemas.microsoft.com/office/word/2010/wordml" wp14:paraId="6A62C084" wp14:textId="659804C1"/>
    <w:p xmlns:wp14="http://schemas.microsoft.com/office/word/2010/wordml" wp14:paraId="6A658B7A" wp14:textId="31B674D2"/>
    <w:p xmlns:wp14="http://schemas.microsoft.com/office/word/2010/wordml" w:rsidP="548AF126" wp14:paraId="0E7F9293" wp14:textId="769C23E9">
      <w:pPr>
        <w:pStyle w:val="ListParagraph"/>
        <w:numPr>
          <w:ilvl w:val="0"/>
          <w:numId w:val="3"/>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HM Revenue &amp; Customs (2025) Reforms to Inheritance Tax agricultural property relief and business property relief: application in relation to trusts, GOV.UK. Available at: </w:t>
      </w:r>
      <w:hyperlink r:id="R0305c60a97d24c91">
        <w:r w:rsidRPr="548AF126" w:rsidR="7AE58F9D">
          <w:rPr>
            <w:rStyle w:val="Hyperlink"/>
            <w:rFonts w:ascii="Arial" w:hAnsi="Arial" w:eastAsia="Arial" w:cs="Arial"/>
            <w:b w:val="0"/>
            <w:bCs w:val="0"/>
            <w:i w:val="0"/>
            <w:iCs w:val="0"/>
            <w:strike w:val="0"/>
            <w:dstrike w:val="0"/>
            <w:noProof w:val="0"/>
            <w:color w:val="000000" w:themeColor="text1" w:themeTint="FF" w:themeShade="FF"/>
            <w:sz w:val="22"/>
            <w:szCs w:val="22"/>
            <w:u w:val="none"/>
            <w:lang w:val="en-US"/>
          </w:rPr>
          <w:t>https://www.gov.uk/government/consultations/reforms-to-inheritance-tax-reliefs-consultation-on-property-settled-into-trust/reforms-to-inheritance-tax-agricultural-property-relief-and-business-property-relief-application-in-relation-to-trusts</w:t>
        </w:r>
      </w:hyperlink>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548AF126" wp14:paraId="37EFE13C" wp14:textId="7116A542">
      <w:pPr>
        <w:pStyle w:val="ListParagraph"/>
        <w:numPr>
          <w:ilvl w:val="0"/>
          <w:numId w:val="3"/>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HM Revenue &amp; Customs (2025) Reforms to Inheritance Tax agricultural property relief and business property relief: application in relation to trusts, GOV.UK. Available at: </w:t>
      </w:r>
      <w:hyperlink r:id="Rd4496ef21bf648f7">
        <w:r w:rsidRPr="548AF126" w:rsidR="7AE58F9D">
          <w:rPr>
            <w:rStyle w:val="Hyperlink"/>
            <w:rFonts w:ascii="Arial" w:hAnsi="Arial" w:eastAsia="Arial" w:cs="Arial"/>
            <w:b w:val="0"/>
            <w:bCs w:val="0"/>
            <w:i w:val="0"/>
            <w:iCs w:val="0"/>
            <w:strike w:val="0"/>
            <w:dstrike w:val="0"/>
            <w:noProof w:val="0"/>
            <w:color w:val="000000" w:themeColor="text1" w:themeTint="FF" w:themeShade="FF"/>
            <w:sz w:val="22"/>
            <w:szCs w:val="22"/>
            <w:u w:val="none"/>
            <w:lang w:val="en-US"/>
          </w:rPr>
          <w:t>https://www.gov.uk/government/consultations/reforms-to-inheritance-tax-reliefs-consultation-on-property-settled-into-trust/reforms-to-inheritance-tax-agricultural-property-relief-and-business-property-relief-application-in-relation-to-trusts</w:t>
        </w:r>
      </w:hyperlink>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548AF126" wp14:paraId="3999C023" wp14:textId="0AB3FD75">
      <w:pPr>
        <w:pStyle w:val="ListParagraph"/>
        <w:numPr>
          <w:ilvl w:val="0"/>
          <w:numId w:val="3"/>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HM Treasury (2024) Summary of reforms to agricultural property relief and business property relief, GOV.UK. Available at: </w:t>
      </w:r>
      <w:hyperlink r:id="R475fed718c0d4e46">
        <w:r w:rsidRPr="548AF126" w:rsidR="7AE58F9D">
          <w:rPr>
            <w:rStyle w:val="Hyperlink"/>
            <w:rFonts w:ascii="Arial" w:hAnsi="Arial" w:eastAsia="Arial" w:cs="Arial"/>
            <w:b w:val="0"/>
            <w:bCs w:val="0"/>
            <w:i w:val="0"/>
            <w:iCs w:val="0"/>
            <w:strike w:val="0"/>
            <w:dstrike w:val="0"/>
            <w:noProof w:val="0"/>
            <w:color w:val="000000" w:themeColor="text1" w:themeTint="FF" w:themeShade="FF"/>
            <w:sz w:val="22"/>
            <w:szCs w:val="22"/>
            <w:u w:val="none"/>
            <w:lang w:val="en-US"/>
          </w:rPr>
          <w:t>https://www.gov.uk/government/publications/agricultural-property-relief-and-business-property-relief-reforms/summary-of-reforms-to-agricultural-property-relief-and-business-property-relief</w:t>
        </w:r>
      </w:hyperlink>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548AF126" wp14:paraId="61B80D94" wp14:textId="30D99E1E">
      <w:pPr>
        <w:pStyle w:val="ListParagraph"/>
        <w:numPr>
          <w:ilvl w:val="0"/>
          <w:numId w:val="3"/>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HM Treasury (2024) What are the changes to agricultural property </w:t>
      </w:r>
      <w:r w:rsidRPr="548AF126" w:rsidR="666E4DF6">
        <w:rPr>
          <w:rFonts w:ascii="Arial" w:hAnsi="Arial" w:eastAsia="Arial" w:cs="Arial"/>
          <w:b w:val="0"/>
          <w:bCs w:val="0"/>
          <w:i w:val="0"/>
          <w:iCs w:val="0"/>
          <w:strike w:val="0"/>
          <w:dstrike w:val="0"/>
          <w:noProof w:val="0"/>
          <w:color w:val="000000" w:themeColor="text1" w:themeTint="FF" w:themeShade="FF"/>
          <w:sz w:val="22"/>
          <w:szCs w:val="22"/>
          <w:u w:val="none"/>
          <w:lang w:val="en-US"/>
        </w:rPr>
        <w:t>relief?</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GOV.UK. Available at: </w:t>
      </w:r>
      <w:hyperlink r:id="Ra0261baad53248e0">
        <w:r w:rsidRPr="548AF126" w:rsidR="7AE58F9D">
          <w:rPr>
            <w:rStyle w:val="Hyperlink"/>
            <w:rFonts w:ascii="Arial" w:hAnsi="Arial" w:eastAsia="Arial" w:cs="Arial"/>
            <w:b w:val="0"/>
            <w:bCs w:val="0"/>
            <w:i w:val="0"/>
            <w:iCs w:val="0"/>
            <w:strike w:val="0"/>
            <w:dstrike w:val="0"/>
            <w:noProof w:val="0"/>
            <w:color w:val="000000" w:themeColor="text1" w:themeTint="FF" w:themeShade="FF"/>
            <w:sz w:val="22"/>
            <w:szCs w:val="22"/>
            <w:u w:val="none"/>
            <w:lang w:val="en-US"/>
          </w:rPr>
          <w:t>https://www.gov.uk/government/news/what-are-the-changes-to-agricultural-property-relief</w:t>
        </w:r>
      </w:hyperlink>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548AF126" wp14:paraId="2C9012D1" wp14:textId="4BC511A0">
      <w:pPr>
        <w:pStyle w:val="ListParagraph"/>
        <w:numPr>
          <w:ilvl w:val="0"/>
          <w:numId w:val="3"/>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How will inheritance tax reform impact farmers? (2017) Savills.co.uk. Available at: </w:t>
      </w:r>
      <w:hyperlink r:id="R120d54111bce43d0">
        <w:r w:rsidRPr="548AF126" w:rsidR="7AE58F9D">
          <w:rPr>
            <w:rStyle w:val="Hyperlink"/>
            <w:rFonts w:ascii="Arial" w:hAnsi="Arial" w:eastAsia="Arial" w:cs="Arial"/>
            <w:b w:val="0"/>
            <w:bCs w:val="0"/>
            <w:i w:val="0"/>
            <w:iCs w:val="0"/>
            <w:strike w:val="0"/>
            <w:dstrike w:val="0"/>
            <w:noProof w:val="0"/>
            <w:color w:val="000000" w:themeColor="text1" w:themeTint="FF" w:themeShade="FF"/>
            <w:sz w:val="22"/>
            <w:szCs w:val="22"/>
            <w:u w:val="none"/>
            <w:lang w:val="en-US"/>
          </w:rPr>
          <w:t>https://www.savills.co.uk/research_articles/229130/371254-0</w:t>
        </w:r>
      </w:hyperlink>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548AF126" wp14:paraId="145046CE" wp14:textId="5CF2C26D">
      <w:pPr>
        <w:pStyle w:val="ListParagraph"/>
        <w:numPr>
          <w:ilvl w:val="0"/>
          <w:numId w:val="3"/>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Inheritance Tax reliefs: Time for reform? Centre for the Analysis of Taxation Policy Report (2024). Available at: </w:t>
      </w:r>
      <w:hyperlink r:id="R6c92cc352cad4f65">
        <w:r w:rsidRPr="548AF126" w:rsidR="7AE58F9D">
          <w:rPr>
            <w:rStyle w:val="Hyperlink"/>
            <w:rFonts w:ascii="Arial" w:hAnsi="Arial" w:eastAsia="Arial" w:cs="Arial"/>
            <w:b w:val="0"/>
            <w:bCs w:val="0"/>
            <w:i w:val="0"/>
            <w:iCs w:val="0"/>
            <w:strike w:val="0"/>
            <w:dstrike w:val="0"/>
            <w:noProof w:val="0"/>
            <w:color w:val="000000" w:themeColor="text1" w:themeTint="FF" w:themeShade="FF"/>
            <w:sz w:val="22"/>
            <w:szCs w:val="22"/>
            <w:u w:val="none"/>
            <w:lang w:val="en-US"/>
          </w:rPr>
          <w:t>https://centax.org.uk/wp-content/uploads/2024/10/AdvaniDisslbacherForresterSummers2024_IHTReliefs.pdf</w:t>
        </w:r>
      </w:hyperlink>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548AF126" wp14:paraId="15130B27" wp14:textId="4C330521">
      <w:pPr>
        <w:pStyle w:val="ListParagraph"/>
        <w:numPr>
          <w:ilvl w:val="0"/>
          <w:numId w:val="3"/>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Merritt, E.C. (2024) Budget 2024: Inheritance tax and family farms, House of Lords Library. Available at: </w:t>
      </w:r>
      <w:hyperlink r:id="R71f935ff563b4e66">
        <w:r w:rsidRPr="548AF126" w:rsidR="7AE58F9D">
          <w:rPr>
            <w:rStyle w:val="Hyperlink"/>
            <w:rFonts w:ascii="Arial" w:hAnsi="Arial" w:eastAsia="Arial" w:cs="Arial"/>
            <w:b w:val="0"/>
            <w:bCs w:val="0"/>
            <w:i w:val="0"/>
            <w:iCs w:val="0"/>
            <w:strike w:val="0"/>
            <w:dstrike w:val="0"/>
            <w:noProof w:val="0"/>
            <w:color w:val="000000" w:themeColor="text1" w:themeTint="FF" w:themeShade="FF"/>
            <w:sz w:val="22"/>
            <w:szCs w:val="22"/>
            <w:u w:val="none"/>
            <w:lang w:val="en-US"/>
          </w:rPr>
          <w:t>https://lordslibrary.parliament.uk/budget-2024-inheritance-tax-and-family-farms/</w:t>
        </w:r>
      </w:hyperlink>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548AF126" wp14:paraId="7F907185" wp14:textId="413335CE">
      <w:pPr>
        <w:pStyle w:val="ListParagraph"/>
        <w:numPr>
          <w:ilvl w:val="0"/>
          <w:numId w:val="3"/>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Seely, A., Masala, F. and Keep, M. (2024) Inheritance tax: Current policy and debates, House of Commons Library. Available at: </w:t>
      </w:r>
      <w:hyperlink r:id="R19f94c89e3464c90">
        <w:r w:rsidRPr="548AF126" w:rsidR="7AE58F9D">
          <w:rPr>
            <w:rStyle w:val="Hyperlink"/>
            <w:rFonts w:ascii="Arial" w:hAnsi="Arial" w:eastAsia="Arial" w:cs="Arial"/>
            <w:b w:val="0"/>
            <w:bCs w:val="0"/>
            <w:i w:val="0"/>
            <w:iCs w:val="0"/>
            <w:strike w:val="0"/>
            <w:dstrike w:val="0"/>
            <w:noProof w:val="0"/>
            <w:color w:val="000000" w:themeColor="text1" w:themeTint="FF" w:themeShade="FF"/>
            <w:sz w:val="22"/>
            <w:szCs w:val="22"/>
            <w:u w:val="none"/>
            <w:lang w:val="en-US"/>
          </w:rPr>
          <w:t>https://commonslibrary.parliament.uk/research-briefings/sn00093/</w:t>
        </w:r>
      </w:hyperlink>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p14:paraId="495ADE69" wp14:textId="5C6920A8"/>
    <w:p xmlns:wp14="http://schemas.microsoft.com/office/word/2010/wordml" wp14:paraId="5D71BDB9" wp14:textId="2A14C854"/>
    <w:p xmlns:wp14="http://schemas.microsoft.com/office/word/2010/wordml" wp14:paraId="105F83C7" wp14:textId="4EA21BEC"/>
    <w:p xmlns:wp14="http://schemas.microsoft.com/office/word/2010/wordml" wp14:paraId="79622F79" wp14:textId="512ADD46"/>
    <w:p xmlns:wp14="http://schemas.microsoft.com/office/word/2010/wordml" w:rsidP="548AF126" wp14:paraId="43667308" wp14:textId="50E424C8">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72758F20" wp14:textId="3D29EF95">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39539394" wp14:textId="387CFBF8">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3E58F8D6" wp14:textId="68285D4A">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548AF126" wp14:paraId="5676F665" wp14:textId="0C9D4907">
      <w:pPr>
        <w:spacing w:before="0" w:beforeAutospacing="off" w:after="0" w:afterAutospacing="off"/>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Task 2b. </w:t>
      </w:r>
    </w:p>
    <w:p xmlns:wp14="http://schemas.microsoft.com/office/word/2010/wordml" wp14:paraId="2C57C74C" wp14:textId="7248E8A5"/>
    <w:p xmlns:wp14="http://schemas.microsoft.com/office/word/2010/wordml" w:rsidP="548AF126" wp14:paraId="3B3D4E16" wp14:textId="559224C1">
      <w:pPr>
        <w:spacing w:before="0" w:beforeAutospacing="off" w:after="0" w:afterAutospacing="off"/>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To begin with my </w:t>
      </w:r>
      <w:r w:rsidRPr="548AF126" w:rsidR="4361AA72">
        <w:rPr>
          <w:rFonts w:ascii="Arial" w:hAnsi="Arial" w:eastAsia="Arial" w:cs="Arial"/>
          <w:b w:val="0"/>
          <w:bCs w:val="0"/>
          <w:i w:val="0"/>
          <w:iCs w:val="0"/>
          <w:strike w:val="0"/>
          <w:dstrike w:val="0"/>
          <w:noProof w:val="0"/>
          <w:color w:val="000000" w:themeColor="text1" w:themeTint="FF" w:themeShade="FF"/>
          <w:sz w:val="22"/>
          <w:szCs w:val="22"/>
          <w:u w:val="none"/>
          <w:lang w:val="en-US"/>
        </w:rPr>
        <w:t>approach,</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 first Read </w:t>
      </w:r>
      <w:r w:rsidRPr="548AF126" w:rsidR="5ACC3C84">
        <w:rPr>
          <w:rFonts w:ascii="Arial" w:hAnsi="Arial" w:eastAsia="Arial" w:cs="Arial"/>
          <w:b w:val="0"/>
          <w:bCs w:val="0"/>
          <w:i w:val="0"/>
          <w:iCs w:val="0"/>
          <w:strike w:val="0"/>
          <w:dstrike w:val="0"/>
          <w:noProof w:val="0"/>
          <w:color w:val="000000" w:themeColor="text1" w:themeTint="FF" w:themeShade="FF"/>
          <w:sz w:val="22"/>
          <w:szCs w:val="22"/>
          <w:u w:val="none"/>
          <w:lang w:val="en-US"/>
        </w:rPr>
        <w:t>through</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provided article within the assignment document. After reading it I began to take </w:t>
      </w:r>
      <w:r w:rsidRPr="548AF126" w:rsidR="08335A5C">
        <w:rPr>
          <w:rFonts w:ascii="Arial" w:hAnsi="Arial" w:eastAsia="Arial" w:cs="Arial"/>
          <w:b w:val="0"/>
          <w:bCs w:val="0"/>
          <w:i w:val="0"/>
          <w:iCs w:val="0"/>
          <w:strike w:val="0"/>
          <w:dstrike w:val="0"/>
          <w:noProof w:val="0"/>
          <w:color w:val="000000" w:themeColor="text1" w:themeTint="FF" w:themeShade="FF"/>
          <w:sz w:val="22"/>
          <w:szCs w:val="22"/>
          <w:u w:val="none"/>
          <w:lang w:val="en-US"/>
        </w:rPr>
        <w:t>out specific</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parts and </w:t>
      </w:r>
      <w:r w:rsidRPr="548AF126" w:rsidR="7710AF0B">
        <w:rPr>
          <w:rFonts w:ascii="Arial" w:hAnsi="Arial" w:eastAsia="Arial" w:cs="Arial"/>
          <w:b w:val="0"/>
          <w:bCs w:val="0"/>
          <w:i w:val="0"/>
          <w:iCs w:val="0"/>
          <w:strike w:val="0"/>
          <w:dstrike w:val="0"/>
          <w:noProof w:val="0"/>
          <w:color w:val="000000" w:themeColor="text1" w:themeTint="FF" w:themeShade="FF"/>
          <w:sz w:val="22"/>
          <w:szCs w:val="22"/>
          <w:u w:val="none"/>
          <w:lang w:val="en-US"/>
        </w:rPr>
        <w:t>bullet point</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what I considered to be the most necessary parts. The reason for this is that for a task such as this </w:t>
      </w:r>
      <w:r w:rsidRPr="548AF126" w:rsidR="2C6EC9BB">
        <w:rPr>
          <w:rFonts w:ascii="Arial" w:hAnsi="Arial" w:eastAsia="Arial" w:cs="Arial"/>
          <w:b w:val="0"/>
          <w:bCs w:val="0"/>
          <w:i w:val="0"/>
          <w:iCs w:val="0"/>
          <w:strike w:val="0"/>
          <w:dstrike w:val="0"/>
          <w:noProof w:val="0"/>
          <w:color w:val="000000" w:themeColor="text1" w:themeTint="FF" w:themeShade="FF"/>
          <w:sz w:val="22"/>
          <w:szCs w:val="22"/>
          <w:u w:val="none"/>
          <w:lang w:val="en-US"/>
        </w:rPr>
        <w:t>it</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is important to use the provided source/ information as a base point. By that I mean this is the starting info needed to know therefore when researching I know to look for sources explaining alternative/ </w:t>
      </w:r>
      <w:r w:rsidRPr="548AF126" w:rsidR="50ED081C">
        <w:rPr>
          <w:rFonts w:ascii="Arial" w:hAnsi="Arial" w:eastAsia="Arial" w:cs="Arial"/>
          <w:b w:val="0"/>
          <w:bCs w:val="0"/>
          <w:i w:val="0"/>
          <w:iCs w:val="0"/>
          <w:strike w:val="0"/>
          <w:dstrike w:val="0"/>
          <w:noProof w:val="0"/>
          <w:color w:val="000000" w:themeColor="text1" w:themeTint="FF" w:themeShade="FF"/>
          <w:sz w:val="22"/>
          <w:szCs w:val="22"/>
          <w:u w:val="none"/>
          <w:lang w:val="en-US"/>
        </w:rPr>
        <w:t>various aspects</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that are still relevant to the topic. </w:t>
      </w:r>
    </w:p>
    <w:p xmlns:wp14="http://schemas.microsoft.com/office/word/2010/wordml" wp14:paraId="715CFB85" wp14:textId="76B3DC36"/>
    <w:p xmlns:wp14="http://schemas.microsoft.com/office/word/2010/wordml" w:rsidP="548AF126" wp14:paraId="68EEF65B" wp14:textId="687A168E">
      <w:pPr>
        <w:spacing w:before="0" w:beforeAutospacing="off" w:after="0" w:afterAutospacing="off"/>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Following that I used the google scholar search engine and used the term ‘</w:t>
      </w:r>
      <w:r w:rsidRPr="548AF126" w:rsidR="6CC85460">
        <w:rPr>
          <w:rFonts w:ascii="Arial" w:hAnsi="Arial" w:eastAsia="Arial" w:cs="Arial"/>
          <w:b w:val="0"/>
          <w:bCs w:val="0"/>
          <w:i w:val="0"/>
          <w:iCs w:val="0"/>
          <w:strike w:val="0"/>
          <w:dstrike w:val="0"/>
          <w:noProof w:val="0"/>
          <w:color w:val="000000" w:themeColor="text1" w:themeTint="FF" w:themeShade="FF"/>
          <w:sz w:val="22"/>
          <w:szCs w:val="22"/>
          <w:u w:val="none"/>
          <w:lang w:val="en-US"/>
        </w:rPr>
        <w:t>inheritance</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reform tax laws UK</w:t>
      </w:r>
      <w:r w:rsidRPr="548AF126" w:rsidR="73A35C7E">
        <w:rPr>
          <w:rFonts w:ascii="Arial" w:hAnsi="Arial" w:eastAsia="Arial" w:cs="Arial"/>
          <w:b w:val="0"/>
          <w:bCs w:val="0"/>
          <w:i w:val="0"/>
          <w:iCs w:val="0"/>
          <w:strike w:val="0"/>
          <w:dstrike w:val="0"/>
          <w:noProof w:val="0"/>
          <w:color w:val="000000" w:themeColor="text1" w:themeTint="FF" w:themeShade="FF"/>
          <w:sz w:val="22"/>
          <w:szCs w:val="22"/>
          <w:u w:val="none"/>
          <w:lang w:val="en-US"/>
        </w:rPr>
        <w:t>.’</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 like using google scholar due to two specific reasons. The first is that it is free to use and provides a wide variety of academic sources and articles. The second is how unpredictable it is, by that I mean you can get a lot of different results, while many will not be relevant, vaguely reading them can provide inspiration to input different variants of the question relevant to the task. </w:t>
      </w:r>
    </w:p>
    <w:p xmlns:wp14="http://schemas.microsoft.com/office/word/2010/wordml" wp14:paraId="708E43B4" wp14:textId="4D5DC0D2"/>
    <w:p xmlns:wp14="http://schemas.microsoft.com/office/word/2010/wordml" w:rsidP="548AF126" wp14:paraId="5A21ECC5" wp14:textId="6BD99D9B">
      <w:pPr>
        <w:spacing w:before="0" w:beforeAutospacing="off" w:after="0" w:afterAutospacing="off"/>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At this point I was researching under a false notion of what the article was about. Rather than focusing on the agriculture and business </w:t>
      </w:r>
      <w:r w:rsidRPr="548AF126" w:rsidR="39650738">
        <w:rPr>
          <w:rFonts w:ascii="Arial" w:hAnsi="Arial" w:eastAsia="Arial" w:cs="Arial"/>
          <w:b w:val="0"/>
          <w:bCs w:val="0"/>
          <w:i w:val="0"/>
          <w:iCs w:val="0"/>
          <w:strike w:val="0"/>
          <w:dstrike w:val="0"/>
          <w:noProof w:val="0"/>
          <w:color w:val="000000" w:themeColor="text1" w:themeTint="FF" w:themeShade="FF"/>
          <w:sz w:val="22"/>
          <w:szCs w:val="22"/>
          <w:u w:val="none"/>
          <w:lang w:val="en-US"/>
        </w:rPr>
        <w:t>sectors</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 was focused on the private sector. This is a common mistake I make in which I will skim through the task provided then misinterpret/ not fully take </w:t>
      </w:r>
      <w:r w:rsidRPr="548AF126" w:rsidR="1195CE0B">
        <w:rPr>
          <w:rFonts w:ascii="Arial" w:hAnsi="Arial" w:eastAsia="Arial" w:cs="Arial"/>
          <w:b w:val="0"/>
          <w:bCs w:val="0"/>
          <w:i w:val="0"/>
          <w:iCs w:val="0"/>
          <w:strike w:val="0"/>
          <w:dstrike w:val="0"/>
          <w:noProof w:val="0"/>
          <w:color w:val="000000" w:themeColor="text1" w:themeTint="FF" w:themeShade="FF"/>
          <w:sz w:val="22"/>
          <w:szCs w:val="22"/>
          <w:u w:val="none"/>
          <w:lang w:val="en-US"/>
        </w:rPr>
        <w:t>I</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n what is needed. Due to this I heavily researched the wrong part of Inheritance tax reform, </w:t>
      </w:r>
      <w:r w:rsidRPr="548AF126" w:rsidR="2491E429">
        <w:rPr>
          <w:rFonts w:ascii="Arial" w:hAnsi="Arial" w:eastAsia="Arial" w:cs="Arial"/>
          <w:b w:val="0"/>
          <w:bCs w:val="0"/>
          <w:i w:val="0"/>
          <w:iCs w:val="0"/>
          <w:strike w:val="0"/>
          <w:dstrike w:val="0"/>
          <w:noProof w:val="0"/>
          <w:color w:val="000000" w:themeColor="text1" w:themeTint="FF" w:themeShade="FF"/>
          <w:sz w:val="22"/>
          <w:szCs w:val="22"/>
          <w:u w:val="none"/>
          <w:lang w:val="en-US"/>
        </w:rPr>
        <w:t>planned,</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even started </w:t>
      </w:r>
      <w:r w:rsidRPr="548AF126" w:rsidR="2223D006">
        <w:rPr>
          <w:rFonts w:ascii="Arial" w:hAnsi="Arial" w:eastAsia="Arial" w:cs="Arial"/>
          <w:b w:val="0"/>
          <w:bCs w:val="0"/>
          <w:i w:val="0"/>
          <w:iCs w:val="0"/>
          <w:strike w:val="0"/>
          <w:dstrike w:val="0"/>
          <w:noProof w:val="0"/>
          <w:color w:val="000000" w:themeColor="text1" w:themeTint="FF" w:themeShade="FF"/>
          <w:sz w:val="22"/>
          <w:szCs w:val="22"/>
          <w:u w:val="none"/>
          <w:lang w:val="en-US"/>
        </w:rPr>
        <w:t>drafting</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article on the wrong topic. The first couple of lines in the main body of my article still </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retains</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that first draft </w:t>
      </w:r>
    </w:p>
    <w:p xmlns:wp14="http://schemas.microsoft.com/office/word/2010/wordml" wp14:paraId="4164C66D" wp14:textId="00C684D0"/>
    <w:p xmlns:wp14="http://schemas.microsoft.com/office/word/2010/wordml" w:rsidP="548AF126" wp14:paraId="61F9E51A" wp14:textId="725C4336">
      <w:pPr>
        <w:spacing w:before="0" w:beforeAutospacing="off" w:after="0" w:afterAutospacing="off"/>
      </w:pP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After </w:t>
      </w:r>
      <w:r w:rsidRPr="548AF126" w:rsidR="68AFE497">
        <w:rPr>
          <w:rFonts w:ascii="Arial" w:hAnsi="Arial" w:eastAsia="Arial" w:cs="Arial"/>
          <w:b w:val="0"/>
          <w:bCs w:val="0"/>
          <w:i w:val="0"/>
          <w:iCs w:val="0"/>
          <w:strike w:val="0"/>
          <w:dstrike w:val="0"/>
          <w:noProof w:val="0"/>
          <w:color w:val="000000" w:themeColor="text1" w:themeTint="FF" w:themeShade="FF"/>
          <w:sz w:val="22"/>
          <w:szCs w:val="22"/>
          <w:u w:val="none"/>
          <w:lang w:val="en-US"/>
        </w:rPr>
        <w:t>realizing</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my </w:t>
      </w:r>
      <w:r w:rsidRPr="548AF126" w:rsidR="075DDF89">
        <w:rPr>
          <w:rFonts w:ascii="Arial" w:hAnsi="Arial" w:eastAsia="Arial" w:cs="Arial"/>
          <w:b w:val="0"/>
          <w:bCs w:val="0"/>
          <w:i w:val="0"/>
          <w:iCs w:val="0"/>
          <w:strike w:val="0"/>
          <w:dstrike w:val="0"/>
          <w:noProof w:val="0"/>
          <w:color w:val="000000" w:themeColor="text1" w:themeTint="FF" w:themeShade="FF"/>
          <w:sz w:val="22"/>
          <w:szCs w:val="22"/>
          <w:u w:val="none"/>
          <w:lang w:val="en-US"/>
        </w:rPr>
        <w:t>mistake,</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 did the same routine but on the correct topic this time. The main reason I chose the specific sources is due to the information they had within them. It was all </w:t>
      </w:r>
      <w:r w:rsidRPr="548AF126" w:rsidR="6B9E767C">
        <w:rPr>
          <w:rFonts w:ascii="Arial" w:hAnsi="Arial" w:eastAsia="Arial" w:cs="Arial"/>
          <w:b w:val="0"/>
          <w:bCs w:val="0"/>
          <w:i w:val="0"/>
          <w:iCs w:val="0"/>
          <w:strike w:val="0"/>
          <w:dstrike w:val="0"/>
          <w:noProof w:val="0"/>
          <w:color w:val="000000" w:themeColor="text1" w:themeTint="FF" w:themeShade="FF"/>
          <w:sz w:val="22"/>
          <w:szCs w:val="22"/>
          <w:u w:val="none"/>
          <w:lang w:val="en-US"/>
        </w:rPr>
        <w:t>specific</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to this topic and gave me the ability to form a certain narrative of how beneficial this reform act is. </w:t>
      </w:r>
      <w:r w:rsidRPr="548AF126" w:rsidR="771298CB">
        <w:rPr>
          <w:rFonts w:ascii="Arial" w:hAnsi="Arial" w:eastAsia="Arial" w:cs="Arial"/>
          <w:b w:val="0"/>
          <w:bCs w:val="0"/>
          <w:i w:val="0"/>
          <w:iCs w:val="0"/>
          <w:strike w:val="0"/>
          <w:dstrike w:val="0"/>
          <w:noProof w:val="0"/>
          <w:color w:val="000000" w:themeColor="text1" w:themeTint="FF" w:themeShade="FF"/>
          <w:sz w:val="22"/>
          <w:szCs w:val="22"/>
          <w:u w:val="none"/>
          <w:lang w:val="en-US"/>
        </w:rPr>
        <w:t>My approach</w:t>
      </w:r>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was </w:t>
      </w:r>
      <w:bookmarkStart w:name="_Int_VMrPaAUU" w:id="912675434"/>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somewhat successful</w:t>
      </w:r>
      <w:bookmarkEnd w:id="912675434"/>
      <w:r w:rsidRPr="548AF126" w:rsidR="7AE58F9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only way in which I would change it would be to read the task more carefully otherwise I believe in broad strokes it is a decent approach. </w:t>
      </w:r>
    </w:p>
    <w:p xmlns:wp14="http://schemas.microsoft.com/office/word/2010/wordml" wp14:paraId="19D01585" wp14:textId="6800835D"/>
    <w:p xmlns:wp14="http://schemas.microsoft.com/office/word/2010/wordml" wp14:paraId="2C078E63" wp14:textId="004B6EF4"/>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JkGUbwoe+NA/a" int2:id="Qfhd3U7h">
      <int2:state int2:type="AugLoop_Text_Critique" int2:value="Rejected"/>
    </int2:textHash>
    <int2:textHash int2:hashCode="2Q8g3u4swho69h" int2:id="WicSaUZ5">
      <int2:state int2:type="AugLoop_Text_Critique" int2:value="Rejected"/>
    </int2:textHash>
    <int2:bookmark int2:bookmarkName="_Int_VMrPaAUU" int2:invalidationBookmarkName="" int2:hashCode="iKc4HSOkUj0jf7" int2:id="jL8lc25B">
      <int2:state int2:type="AugLoop_Text_Critique" int2:value="Rejected"/>
    </int2:bookmark>
    <int2:bookmark int2:bookmarkName="_Int_UFEXSjM0" int2:invalidationBookmarkName="" int2:hashCode="1XJzDp3aocMKPp" int2:id="HgvnaVGP">
      <int2:state int2:type="AugLoop_Text_Critique" int2:value="Rejected"/>
    </int2:bookmark>
    <int2:bookmark int2:bookmarkName="_Int_I0IMt878" int2:invalidationBookmarkName="" int2:hashCode="oO85bjJGcO6BtC" int2:id="bxcnUbH4">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7abe47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d1a233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da516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32E300"/>
    <w:rsid w:val="0018DD1F"/>
    <w:rsid w:val="0232E300"/>
    <w:rsid w:val="027A5032"/>
    <w:rsid w:val="04ABA616"/>
    <w:rsid w:val="075DDF89"/>
    <w:rsid w:val="08335A5C"/>
    <w:rsid w:val="08954C8D"/>
    <w:rsid w:val="08F2FE63"/>
    <w:rsid w:val="0D534F26"/>
    <w:rsid w:val="0E09ED02"/>
    <w:rsid w:val="0E5E05CE"/>
    <w:rsid w:val="1195CE0B"/>
    <w:rsid w:val="15619AFA"/>
    <w:rsid w:val="17736D31"/>
    <w:rsid w:val="1B75A618"/>
    <w:rsid w:val="1DD4B0F8"/>
    <w:rsid w:val="2223D006"/>
    <w:rsid w:val="240A208E"/>
    <w:rsid w:val="2491E429"/>
    <w:rsid w:val="2557FA6E"/>
    <w:rsid w:val="27B60F17"/>
    <w:rsid w:val="29C99378"/>
    <w:rsid w:val="29CB56B7"/>
    <w:rsid w:val="2A88D043"/>
    <w:rsid w:val="2B4E390C"/>
    <w:rsid w:val="2B849D3B"/>
    <w:rsid w:val="2C0794B0"/>
    <w:rsid w:val="2C29DE29"/>
    <w:rsid w:val="2C6EC9BB"/>
    <w:rsid w:val="2D5C4325"/>
    <w:rsid w:val="3119918A"/>
    <w:rsid w:val="3142452C"/>
    <w:rsid w:val="31D0B62D"/>
    <w:rsid w:val="36C487F1"/>
    <w:rsid w:val="37E7D023"/>
    <w:rsid w:val="39650738"/>
    <w:rsid w:val="3A0F571D"/>
    <w:rsid w:val="3B3E10BC"/>
    <w:rsid w:val="3D261D22"/>
    <w:rsid w:val="3D9FDEAD"/>
    <w:rsid w:val="405288D7"/>
    <w:rsid w:val="427A4566"/>
    <w:rsid w:val="42AF4554"/>
    <w:rsid w:val="4361AA72"/>
    <w:rsid w:val="44EB1C32"/>
    <w:rsid w:val="45502310"/>
    <w:rsid w:val="455D330B"/>
    <w:rsid w:val="493319B4"/>
    <w:rsid w:val="4AE159B7"/>
    <w:rsid w:val="4BB75EB4"/>
    <w:rsid w:val="4BBD66F7"/>
    <w:rsid w:val="4C3B98CE"/>
    <w:rsid w:val="4D3C0050"/>
    <w:rsid w:val="4D440C35"/>
    <w:rsid w:val="50ED081C"/>
    <w:rsid w:val="530F6714"/>
    <w:rsid w:val="548AF126"/>
    <w:rsid w:val="566E0459"/>
    <w:rsid w:val="587FB49C"/>
    <w:rsid w:val="598B6BD5"/>
    <w:rsid w:val="5ACC3C84"/>
    <w:rsid w:val="60B77133"/>
    <w:rsid w:val="62A77FA3"/>
    <w:rsid w:val="6565815E"/>
    <w:rsid w:val="65A17696"/>
    <w:rsid w:val="666E4DF6"/>
    <w:rsid w:val="67379CB0"/>
    <w:rsid w:val="68AFE497"/>
    <w:rsid w:val="6B3413BB"/>
    <w:rsid w:val="6B9E767C"/>
    <w:rsid w:val="6CC85460"/>
    <w:rsid w:val="70815B65"/>
    <w:rsid w:val="71094BAD"/>
    <w:rsid w:val="71B2BC58"/>
    <w:rsid w:val="71EE43F9"/>
    <w:rsid w:val="72596EF9"/>
    <w:rsid w:val="72D41AE0"/>
    <w:rsid w:val="73A35C7E"/>
    <w:rsid w:val="7710AF0B"/>
    <w:rsid w:val="771298CB"/>
    <w:rsid w:val="79D8D448"/>
    <w:rsid w:val="7A55BB26"/>
    <w:rsid w:val="7A6EB14E"/>
    <w:rsid w:val="7AE58F9D"/>
    <w:rsid w:val="7B7DEE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2E300"/>
  <w15:chartTrackingRefBased/>
  <w15:docId w15:val="{EB956635-C81B-404F-9271-44C6B5A306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48AF126"/>
    <w:pPr>
      <w:spacing/>
      <w:ind w:left="720"/>
      <w:contextualSpacing/>
    </w:pPr>
  </w:style>
  <w:style w:type="character" w:styleId="Hyperlink">
    <w:uiPriority w:val="99"/>
    <w:name w:val="Hyperlink"/>
    <w:basedOn w:val="DefaultParagraphFont"/>
    <w:unhideWhenUsed/>
    <w:rsid w:val="548AF12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legislation.gov.uk/ukpga/Geo5/15-16/23/contents" TargetMode="External" Id="R12e1a0b72b8740cb" /><Relationship Type="http://schemas.openxmlformats.org/officeDocument/2006/relationships/hyperlink" Target="https://www.legalfutures.co.uk/latest-news/solicitor-fined-over-actions-when-receiving-legacies-from-clients" TargetMode="External" Id="Rf7f1ac40f3134d35" /><Relationship Type="http://schemas.openxmlformats.org/officeDocument/2006/relationships/hyperlink" Target="https://www.lexisnexis.co.uk/legal/glossary/donatio-mortis-causa" TargetMode="External" Id="Ra1241bb26a9e455d" /><Relationship Type="http://schemas.openxmlformats.org/officeDocument/2006/relationships/hyperlink" Target="https://solicitorstribunal.org.uk/" TargetMode="External" Id="R0ef7ce3fbc914b35" /><Relationship Type="http://schemas.openxmlformats.org/officeDocument/2006/relationships/hyperlink" Target="https://www.sra.org.uk/solicitors/standards-regulations/code-conduct-solicitors/" TargetMode="External" Id="R862540cd2ae345a1" /><Relationship Type="http://schemas.openxmlformats.org/officeDocument/2006/relationships/hyperlink" Target="https://www.gov.uk/government/consultations/reforms-to-inheritance-tax-reliefs-consultation-on-property-settled-into-trust/reforms-to-inheritance-tax-agricultural-property-relief-and-business-property-relief-application-in-relation-to-trusts" TargetMode="External" Id="R0305c60a97d24c91" /><Relationship Type="http://schemas.openxmlformats.org/officeDocument/2006/relationships/hyperlink" Target="https://www.gov.uk/government/consultations/reforms-to-inheritance-tax-reliefs-consultation-on-property-settled-into-trust/reforms-to-inheritance-tax-agricultural-property-relief-and-business-property-relief-application-in-relation-to-trusts" TargetMode="External" Id="Rd4496ef21bf648f7" /><Relationship Type="http://schemas.openxmlformats.org/officeDocument/2006/relationships/hyperlink" Target="https://www.gov.uk/government/publications/agricultural-property-relief-and-business-property-relief-reforms/summary-of-reforms-to-agricultural-property-relief-and-business-property-relief" TargetMode="External" Id="R475fed718c0d4e46" /><Relationship Type="http://schemas.openxmlformats.org/officeDocument/2006/relationships/hyperlink" Target="https://www.gov.uk/government/news/what-are-the-changes-to-agricultural-property-relief" TargetMode="External" Id="Ra0261baad53248e0" /><Relationship Type="http://schemas.openxmlformats.org/officeDocument/2006/relationships/hyperlink" Target="https://www.savills.co.uk/research_articles/229130/371254-0" TargetMode="External" Id="R120d54111bce43d0" /><Relationship Type="http://schemas.openxmlformats.org/officeDocument/2006/relationships/hyperlink" Target="https://centax.org.uk/wp-content/uploads/2024/10/AdvaniDisslbacherForresterSummers2024_IHTReliefs.pdf" TargetMode="External" Id="R6c92cc352cad4f65" /><Relationship Type="http://schemas.openxmlformats.org/officeDocument/2006/relationships/hyperlink" Target="https://lordslibrary.parliament.uk/budget-2024-inheritance-tax-and-family-farms/" TargetMode="External" Id="R71f935ff563b4e66" /><Relationship Type="http://schemas.openxmlformats.org/officeDocument/2006/relationships/hyperlink" Target="https://commonslibrary.parliament.uk/research-briefings/sn00093/" TargetMode="External" Id="R19f94c89e3464c90" /><Relationship Type="http://schemas.microsoft.com/office/2020/10/relationships/intelligence" Target="intelligence2.xml" Id="R2554497888034f2e" /><Relationship Type="http://schemas.openxmlformats.org/officeDocument/2006/relationships/numbering" Target="numbering.xml" Id="R4df04a85ec1f4f3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2025-03-21T16:15:18.1809198Z</dcterms:created>
  <dcterms:modified xsi:type="dcterms:W3CDTF">2025-03-21T16:22:40.5782658Z</dcterms:modified>
  <dc:creator>George Jones (2114229)</dc:creator>
  <lastModifiedBy>George Jones (2114229)</lastModifiedBy>
</coreProperties>
</file>