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31149" w14:textId="77777777" w:rsidR="000373FC" w:rsidRPr="002B6F1B" w:rsidRDefault="000373FC" w:rsidP="000373FC">
      <w:pPr>
        <w:rPr>
          <w:rFonts w:eastAsia="Calibri" w:cstheme="minorHAnsi"/>
          <w:color w:val="000000" w:themeColor="text1"/>
        </w:rPr>
      </w:pPr>
      <w:r w:rsidRPr="002B6F1B">
        <w:rPr>
          <w:rFonts w:eastAsia="Calibri" w:cstheme="minorHAnsi"/>
          <w:b/>
          <w:bCs/>
          <w:color w:val="000000" w:themeColor="text1"/>
          <w:u w:val="single"/>
        </w:rPr>
        <w:t>1. Explain the purpose of employment law and outline the role played by the tribunal and courts system in enforcing employment law.</w:t>
      </w:r>
    </w:p>
    <w:p w14:paraId="60CB0E36"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 xml:space="preserve">It is important for HR managers to know employment law in order to make decisions and manage oversights leading to employees, ex-employees and failed job applicants taking the organisation to an employment tribunal which could have financial and reputational damage (Taylor and Wilkinson, 2016, p. 25). </w:t>
      </w:r>
    </w:p>
    <w:p w14:paraId="68ED0EA6"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Employment law is important for social justice and balancing the power between employers and employees. Employment law lessens the temptation for employers to exploit employees such as disregarding the health and safety of an employee, paying unfair low wages, working staff too hard, terminating employees for no good reason, denying maternity/paternity leave and not paying men and women equally for the same work. Without employment law there would be less opportunities for minority groups, managers could bully employees, trade unions would have fewer rights and decisions could be made without consulting employees first. Employment law is attractive to employees which stops people from wanting to retire or work overseas. Employment regulation can attract skilled workers, increase employee commitment to an organisation and therefore increase productivity.</w:t>
      </w:r>
    </w:p>
    <w:p w14:paraId="6957D8C2"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However, employment law can increase unemployment rates and decrease economic growth with employers choosing to employ people overseas where conditions are more employer friendly. Employment law can also harm the people it is supposed to protect, as employers can avoid hiring certain groups of people because the employment rights they can claim (Taylor and Wilkinson, 2016, pp. 26-27).</w:t>
      </w:r>
    </w:p>
    <w:p w14:paraId="6A237E3D"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Industrial tribunals were created in 1964 to deal with appeals made against employees against industrial training levies. It was renamed in 1998 to Employment Tribunals and has grown greatly since then (Law Commission, 2018).</w:t>
      </w:r>
    </w:p>
    <w:p w14:paraId="6EAEDC59"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 xml:space="preserve">Claimants (employees/workers, ex-employees/ex-workers or failed job applicants) use the court and employment tribunal system to bring claims against their current/former employer if they have wronged them by law (CIPD, 2021a). </w:t>
      </w:r>
    </w:p>
    <w:p w14:paraId="45483BA4"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The court system is hierarchal starting with Employment Tribunal, then Employment Appeal Tribunal (EAT), then Court of Appeal, then the Supreme Court (Daniels, 2019, p. 7). Sources of law include statutes, codes of practice and common law (case law). Statutes are acts of Parliament and are created in response to politics, the EU and to address growing legislation. Codes of practice are not law but a good reason is needed to breach them. Case law is created from judges' decisions and is based off previous cases. These can be ‘binding’ where cases based on similar principles to previous cases and must be judged the same way. These can only be changed if an appeal is made against the decision which leads to a change in the decision or if a statute changes in the future which changes the principle. Case law can also be ‘persuasive’ if a judgement comes from a ruling from a lower level of court. The principle of ruling does not have to be followed if there is a good reason (Daniels, 2019, pp. 8-9).</w:t>
      </w:r>
    </w:p>
    <w:p w14:paraId="7F24DF69"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Appeals can be made only on points of law. Appeals are made to the EAT and if there are further appeals they go to the Court of Appeal and then the Supreme Court. Civil law claims go to the County Court instead of an Employment Tribunal. Appeals then go to the Court of Appeal and then the Supreme Court (Daniels, 2019, p. 7).</w:t>
      </w:r>
    </w:p>
    <w:p w14:paraId="449BC15F"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lastRenderedPageBreak/>
        <w:t xml:space="preserve">When a claimant wants to make a claim they first inform ACAS. ACAS contact the respondent (employer) and claimant to try to settle the dispute. </w:t>
      </w:r>
    </w:p>
    <w:p w14:paraId="265627AA"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 xml:space="preserve">If this fails the claimant can make a claim at the employment tribunal office (Taylor and Wilkinson, 2016, p. 28) by completing an ET1 FORM (Daniels, 2019, p. 24). The claimant has 3 months to lodge the claim from the date the alleged incident occurred. </w:t>
      </w:r>
    </w:p>
    <w:p w14:paraId="523C698B"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The ET1 is sent to the respondent and they have to then complete an ET3 within 28 days from the date the form was sent. They must outline factual details and their defence in this form. The case is then listed for an Employment Tribunal. If the responded fails to send the form in time they will not be included in further proceedings.</w:t>
      </w:r>
    </w:p>
    <w:p w14:paraId="72A9C997"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A preliminary hearing can happen before the full hearing to resolve issues needed for the full hearing or to rule out a claim.</w:t>
      </w:r>
    </w:p>
    <w:p w14:paraId="76A7ACB9"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Judicial mediation can also settle a claim before the Employment Tribunal. The judge reads the ET1 and ET3 and decides if the claim can be resolved through mediation instead. The judge facilitates a settlement between the claimant and respondent. If successful the case ends here otherwise it goes to Employment Tribunal.</w:t>
      </w:r>
    </w:p>
    <w:p w14:paraId="199A339D"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All witness statements need to be exchanged and sent to the Employment Tribunal usually 14 days prior to the hearing. Documents also need to be collated for the case. The claimant also needs to come up with a schedule of loss which can be looked at in the remedy hearing.</w:t>
      </w:r>
    </w:p>
    <w:p w14:paraId="4BBAD1FF"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Evidence is presented at the hearing and the witnesses are listened to.</w:t>
      </w:r>
    </w:p>
    <w:p w14:paraId="5916F3CF"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The verdict has to be a majority view. Decisions of remedies must also be made (Daniels, 2019, pp. 25 – 31).</w:t>
      </w:r>
    </w:p>
    <w:p w14:paraId="609433AC" w14:textId="77777777" w:rsidR="000373FC" w:rsidRPr="002B6F1B" w:rsidRDefault="000373FC" w:rsidP="000373FC">
      <w:pPr>
        <w:rPr>
          <w:rFonts w:eastAsia="Calibri" w:cstheme="minorHAnsi"/>
          <w:b/>
          <w:bCs/>
          <w:color w:val="000000" w:themeColor="text1"/>
          <w:u w:val="single"/>
        </w:rPr>
      </w:pPr>
    </w:p>
    <w:p w14:paraId="308F47C5" w14:textId="77777777" w:rsidR="000373FC" w:rsidRPr="002B6F1B" w:rsidRDefault="000373FC" w:rsidP="000373FC">
      <w:pPr>
        <w:rPr>
          <w:rFonts w:eastAsia="Calibri" w:cstheme="minorHAnsi"/>
          <w:b/>
          <w:bCs/>
          <w:color w:val="000000" w:themeColor="text1"/>
          <w:u w:val="single"/>
        </w:rPr>
      </w:pPr>
    </w:p>
    <w:p w14:paraId="03C114D5" w14:textId="77777777" w:rsidR="000373FC" w:rsidRPr="002B6F1B" w:rsidRDefault="000373FC" w:rsidP="000373FC">
      <w:pPr>
        <w:rPr>
          <w:rFonts w:eastAsia="Calibri" w:cstheme="minorHAnsi"/>
          <w:b/>
          <w:bCs/>
          <w:color w:val="000000" w:themeColor="text1"/>
          <w:u w:val="single"/>
        </w:rPr>
      </w:pPr>
    </w:p>
    <w:p w14:paraId="2148CEB3" w14:textId="77777777" w:rsidR="000373FC" w:rsidRPr="002B6F1B" w:rsidRDefault="000373FC" w:rsidP="000373FC">
      <w:pPr>
        <w:rPr>
          <w:rFonts w:eastAsia="Calibri" w:cstheme="minorHAnsi"/>
          <w:b/>
          <w:bCs/>
          <w:color w:val="000000" w:themeColor="text1"/>
          <w:u w:val="single"/>
        </w:rPr>
      </w:pPr>
    </w:p>
    <w:p w14:paraId="012E8006" w14:textId="77777777" w:rsidR="000373FC" w:rsidRPr="002B6F1B" w:rsidRDefault="000373FC" w:rsidP="000373FC">
      <w:pPr>
        <w:rPr>
          <w:rFonts w:eastAsia="Calibri" w:cstheme="minorHAnsi"/>
          <w:b/>
          <w:bCs/>
          <w:color w:val="000000" w:themeColor="text1"/>
          <w:u w:val="single"/>
        </w:rPr>
      </w:pPr>
    </w:p>
    <w:p w14:paraId="6FF2153B" w14:textId="77777777" w:rsidR="000373FC" w:rsidRPr="002B6F1B" w:rsidRDefault="000373FC" w:rsidP="000373FC">
      <w:pPr>
        <w:rPr>
          <w:rFonts w:eastAsia="Calibri" w:cstheme="minorHAnsi"/>
          <w:b/>
          <w:bCs/>
          <w:color w:val="000000" w:themeColor="text1"/>
          <w:u w:val="single"/>
        </w:rPr>
      </w:pPr>
    </w:p>
    <w:p w14:paraId="35257B56" w14:textId="77777777" w:rsidR="000373FC" w:rsidRPr="002B6F1B" w:rsidRDefault="000373FC" w:rsidP="000373FC">
      <w:pPr>
        <w:rPr>
          <w:rFonts w:eastAsia="Calibri" w:cstheme="minorHAnsi"/>
          <w:b/>
          <w:bCs/>
          <w:color w:val="000000" w:themeColor="text1"/>
          <w:u w:val="single"/>
        </w:rPr>
      </w:pPr>
    </w:p>
    <w:p w14:paraId="79F95DD7" w14:textId="77777777" w:rsidR="000373FC" w:rsidRPr="002B6F1B" w:rsidRDefault="000373FC" w:rsidP="000373FC">
      <w:pPr>
        <w:rPr>
          <w:rFonts w:eastAsia="Calibri" w:cstheme="minorHAnsi"/>
          <w:b/>
          <w:bCs/>
          <w:color w:val="000000" w:themeColor="text1"/>
          <w:u w:val="single"/>
        </w:rPr>
      </w:pPr>
    </w:p>
    <w:p w14:paraId="6E920BDF" w14:textId="77777777" w:rsidR="000373FC" w:rsidRPr="002B6F1B" w:rsidRDefault="000373FC" w:rsidP="000373FC">
      <w:pPr>
        <w:rPr>
          <w:rFonts w:eastAsia="Calibri" w:cstheme="minorHAnsi"/>
          <w:b/>
          <w:bCs/>
          <w:color w:val="000000" w:themeColor="text1"/>
          <w:u w:val="single"/>
        </w:rPr>
      </w:pPr>
    </w:p>
    <w:p w14:paraId="73DE5322" w14:textId="77777777" w:rsidR="000373FC" w:rsidRPr="002B6F1B" w:rsidRDefault="000373FC" w:rsidP="000373FC">
      <w:pPr>
        <w:rPr>
          <w:rFonts w:eastAsia="Calibri" w:cstheme="minorHAnsi"/>
          <w:b/>
          <w:bCs/>
          <w:color w:val="000000" w:themeColor="text1"/>
          <w:u w:val="single"/>
        </w:rPr>
      </w:pPr>
    </w:p>
    <w:p w14:paraId="33283990" w14:textId="77777777" w:rsidR="000373FC" w:rsidRPr="002B6F1B" w:rsidRDefault="000373FC" w:rsidP="000373FC">
      <w:pPr>
        <w:rPr>
          <w:rFonts w:eastAsia="Calibri" w:cstheme="minorHAnsi"/>
          <w:b/>
          <w:bCs/>
          <w:color w:val="000000" w:themeColor="text1"/>
          <w:u w:val="single"/>
        </w:rPr>
      </w:pPr>
    </w:p>
    <w:p w14:paraId="293506AE" w14:textId="77777777" w:rsidR="000373FC" w:rsidRPr="002B6F1B" w:rsidRDefault="000373FC" w:rsidP="000373FC">
      <w:pPr>
        <w:rPr>
          <w:rFonts w:eastAsia="Calibri" w:cstheme="minorHAnsi"/>
          <w:b/>
          <w:bCs/>
          <w:color w:val="000000" w:themeColor="text1"/>
          <w:u w:val="single"/>
        </w:rPr>
      </w:pPr>
    </w:p>
    <w:p w14:paraId="724E11FB" w14:textId="77777777" w:rsidR="000373FC" w:rsidRPr="002B6F1B" w:rsidRDefault="000373FC" w:rsidP="000373FC">
      <w:pPr>
        <w:rPr>
          <w:rFonts w:eastAsia="Calibri" w:cstheme="minorHAnsi"/>
          <w:b/>
          <w:bCs/>
          <w:color w:val="000000" w:themeColor="text1"/>
          <w:u w:val="single"/>
        </w:rPr>
      </w:pPr>
    </w:p>
    <w:p w14:paraId="3814C30B" w14:textId="77777777" w:rsidR="000373FC" w:rsidRPr="002B6F1B" w:rsidRDefault="000373FC" w:rsidP="000373FC">
      <w:pPr>
        <w:rPr>
          <w:rFonts w:eastAsia="Calibri" w:cstheme="minorHAnsi"/>
          <w:b/>
          <w:bCs/>
          <w:color w:val="000000" w:themeColor="text1"/>
          <w:u w:val="single"/>
        </w:rPr>
      </w:pPr>
    </w:p>
    <w:p w14:paraId="0F8B5664" w14:textId="77777777" w:rsidR="000373FC" w:rsidRPr="002B6F1B" w:rsidRDefault="000373FC" w:rsidP="000373FC">
      <w:pPr>
        <w:rPr>
          <w:rFonts w:eastAsia="Calibri" w:cstheme="minorHAnsi"/>
          <w:b/>
          <w:bCs/>
          <w:color w:val="000000" w:themeColor="text1"/>
          <w:u w:val="single"/>
        </w:rPr>
      </w:pPr>
    </w:p>
    <w:p w14:paraId="6F7DE230" w14:textId="77777777" w:rsidR="000373FC" w:rsidRPr="002B6F1B" w:rsidRDefault="000373FC" w:rsidP="000373FC">
      <w:pPr>
        <w:rPr>
          <w:rFonts w:eastAsia="Calibri" w:cstheme="minorHAnsi"/>
          <w:b/>
          <w:bCs/>
          <w:color w:val="000000" w:themeColor="text1"/>
          <w:u w:val="single"/>
        </w:rPr>
      </w:pPr>
    </w:p>
    <w:p w14:paraId="4B5B3D8E" w14:textId="77777777" w:rsidR="000373FC" w:rsidRPr="002B6F1B" w:rsidRDefault="000373FC" w:rsidP="000373FC">
      <w:pPr>
        <w:rPr>
          <w:rFonts w:eastAsia="Calibri" w:cstheme="minorHAnsi"/>
          <w:b/>
          <w:bCs/>
          <w:color w:val="000000" w:themeColor="text1"/>
          <w:u w:val="single"/>
        </w:rPr>
      </w:pPr>
    </w:p>
    <w:p w14:paraId="06553CA4" w14:textId="77777777" w:rsidR="000373FC" w:rsidRPr="002B6F1B" w:rsidRDefault="000373FC" w:rsidP="000373FC">
      <w:pPr>
        <w:rPr>
          <w:rFonts w:eastAsia="Calibri" w:cstheme="minorHAnsi"/>
          <w:b/>
          <w:bCs/>
          <w:color w:val="000000" w:themeColor="text1"/>
          <w:u w:val="single"/>
        </w:rPr>
      </w:pPr>
    </w:p>
    <w:p w14:paraId="0F042112" w14:textId="77777777" w:rsidR="000373FC" w:rsidRPr="002B6F1B" w:rsidRDefault="000373FC" w:rsidP="000373FC">
      <w:pPr>
        <w:rPr>
          <w:rFonts w:eastAsia="Calibri" w:cstheme="minorHAnsi"/>
          <w:b/>
          <w:bCs/>
          <w:color w:val="000000" w:themeColor="text1"/>
          <w:u w:val="single"/>
        </w:rPr>
      </w:pPr>
    </w:p>
    <w:p w14:paraId="2C755993" w14:textId="77777777" w:rsidR="000373FC" w:rsidRPr="002B6F1B" w:rsidRDefault="000373FC" w:rsidP="000373FC">
      <w:pPr>
        <w:rPr>
          <w:rFonts w:eastAsia="Calibri" w:cstheme="minorHAnsi"/>
          <w:b/>
          <w:bCs/>
          <w:color w:val="000000" w:themeColor="text1"/>
          <w:u w:val="single"/>
        </w:rPr>
      </w:pPr>
    </w:p>
    <w:p w14:paraId="2CFA326C" w14:textId="77777777" w:rsidR="000373FC" w:rsidRPr="002B6F1B" w:rsidRDefault="000373FC" w:rsidP="000373FC">
      <w:pPr>
        <w:rPr>
          <w:rFonts w:eastAsia="Calibri" w:cstheme="minorHAnsi"/>
          <w:b/>
          <w:bCs/>
          <w:color w:val="000000" w:themeColor="text1"/>
          <w:u w:val="single"/>
        </w:rPr>
      </w:pPr>
    </w:p>
    <w:p w14:paraId="156D20CB" w14:textId="77777777" w:rsidR="000373FC" w:rsidRPr="002B6F1B" w:rsidRDefault="000373FC" w:rsidP="000373FC">
      <w:pPr>
        <w:rPr>
          <w:rFonts w:eastAsia="Calibri" w:cstheme="minorHAnsi"/>
          <w:b/>
          <w:bCs/>
          <w:color w:val="000000" w:themeColor="text1"/>
          <w:u w:val="single"/>
        </w:rPr>
      </w:pPr>
    </w:p>
    <w:p w14:paraId="168FD122" w14:textId="77777777" w:rsidR="000373FC" w:rsidRPr="002B6F1B" w:rsidRDefault="000373FC" w:rsidP="000373FC">
      <w:pPr>
        <w:rPr>
          <w:rFonts w:eastAsia="Calibri" w:cstheme="minorHAnsi"/>
          <w:b/>
          <w:bCs/>
          <w:color w:val="000000" w:themeColor="text1"/>
          <w:u w:val="single"/>
        </w:rPr>
      </w:pPr>
    </w:p>
    <w:p w14:paraId="2656C079" w14:textId="77777777" w:rsidR="000373FC" w:rsidRPr="002B6F1B" w:rsidRDefault="000373FC" w:rsidP="000373FC">
      <w:pPr>
        <w:rPr>
          <w:rFonts w:eastAsia="Calibri" w:cstheme="minorHAnsi"/>
          <w:b/>
          <w:bCs/>
          <w:color w:val="000000" w:themeColor="text1"/>
          <w:u w:val="single"/>
        </w:rPr>
      </w:pPr>
    </w:p>
    <w:p w14:paraId="6922A17E" w14:textId="77777777" w:rsidR="000373FC" w:rsidRPr="002B6F1B" w:rsidRDefault="000373FC" w:rsidP="000373FC">
      <w:pPr>
        <w:rPr>
          <w:rFonts w:eastAsia="Calibri" w:cstheme="minorHAnsi"/>
          <w:b/>
          <w:bCs/>
          <w:color w:val="000000" w:themeColor="text1"/>
          <w:u w:val="single"/>
        </w:rPr>
      </w:pPr>
    </w:p>
    <w:p w14:paraId="709A602C" w14:textId="77777777" w:rsidR="000373FC" w:rsidRPr="002B6F1B" w:rsidRDefault="000373FC" w:rsidP="000373FC">
      <w:pPr>
        <w:rPr>
          <w:rFonts w:eastAsia="Calibri" w:cstheme="minorHAnsi"/>
          <w:b/>
          <w:bCs/>
          <w:color w:val="000000" w:themeColor="text1"/>
          <w:u w:val="single"/>
        </w:rPr>
      </w:pPr>
    </w:p>
    <w:p w14:paraId="6D686C6C" w14:textId="77777777" w:rsidR="000373FC" w:rsidRPr="002B6F1B" w:rsidRDefault="000373FC" w:rsidP="000373FC">
      <w:pPr>
        <w:rPr>
          <w:rFonts w:eastAsia="Calibri" w:cstheme="minorHAnsi"/>
          <w:b/>
          <w:bCs/>
          <w:color w:val="000000" w:themeColor="text1"/>
          <w:u w:val="single"/>
        </w:rPr>
      </w:pPr>
    </w:p>
    <w:p w14:paraId="5A144F90" w14:textId="77777777" w:rsidR="000373FC" w:rsidRPr="002B6F1B" w:rsidRDefault="000373FC" w:rsidP="000373FC">
      <w:pPr>
        <w:rPr>
          <w:rFonts w:eastAsia="Calibri" w:cstheme="minorHAnsi"/>
          <w:b/>
          <w:bCs/>
          <w:color w:val="000000" w:themeColor="text1"/>
          <w:u w:val="single"/>
        </w:rPr>
      </w:pPr>
      <w:r w:rsidRPr="002B6F1B">
        <w:rPr>
          <w:rFonts w:eastAsia="Calibri" w:cstheme="minorHAnsi"/>
          <w:b/>
          <w:bCs/>
          <w:color w:val="000000" w:themeColor="text1"/>
          <w:u w:val="single"/>
        </w:rPr>
        <w:t>2. Summarise the main principles of discrimination law in relation to recruitment and selection and explain how contracts of employment are established.</w:t>
      </w:r>
    </w:p>
    <w:p w14:paraId="583D298B"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HR managers must be aware of employment law in all aspects of their duties including recruitment and selection. People who have ‘protected characteristics’ are able to claim compensation lawfully if they face unfair discrimination. Therefore, managers must make sure they are seen to be treating people fairly (Taylor and Wilkinson, 2016, pp. 28-29).</w:t>
      </w:r>
    </w:p>
    <w:p w14:paraId="3D6F985B" w14:textId="77777777" w:rsidR="000373FC" w:rsidRPr="002B6F1B" w:rsidRDefault="000373FC" w:rsidP="000373FC">
      <w:pPr>
        <w:rPr>
          <w:rFonts w:cstheme="minorHAnsi"/>
        </w:rPr>
      </w:pPr>
      <w:r w:rsidRPr="002B6F1B">
        <w:rPr>
          <w:rFonts w:eastAsia="Calibri" w:cstheme="minorHAnsi"/>
          <w:color w:val="000000" w:themeColor="text1"/>
        </w:rPr>
        <w:t xml:space="preserve">The Equality Act 2010 protects people who have the following characteristics against unfair discrimination: age, disability, gender reassignment, marriage and civil partnership, pregnancy and maternity, race, ethnicity and national origin, religion or belief, sex and sexual orientation. </w:t>
      </w:r>
      <w:r w:rsidRPr="002B6F1B">
        <w:rPr>
          <w:rFonts w:cstheme="minorHAnsi"/>
        </w:rPr>
        <w:br/>
      </w:r>
    </w:p>
    <w:tbl>
      <w:tblPr>
        <w:tblStyle w:val="TableGrid"/>
        <w:tblW w:w="10583" w:type="dxa"/>
        <w:tblLayout w:type="fixed"/>
        <w:tblLook w:val="06A0" w:firstRow="1" w:lastRow="0" w:firstColumn="1" w:lastColumn="0" w:noHBand="1" w:noVBand="1"/>
      </w:tblPr>
      <w:tblGrid>
        <w:gridCol w:w="4508"/>
        <w:gridCol w:w="6075"/>
      </w:tblGrid>
      <w:tr w:rsidR="000373FC" w:rsidRPr="002B6F1B" w14:paraId="095149DE" w14:textId="77777777" w:rsidTr="00BB635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9DAF8"/>
          </w:tcPr>
          <w:p w14:paraId="7D34B33F" w14:textId="77777777" w:rsidR="000373FC" w:rsidRPr="002B6F1B" w:rsidRDefault="000373FC" w:rsidP="00BB635C">
            <w:pPr>
              <w:rPr>
                <w:rFonts w:cstheme="minorHAnsi"/>
              </w:rPr>
            </w:pPr>
            <w:r w:rsidRPr="002B6F1B">
              <w:rPr>
                <w:rFonts w:eastAsia="Arial" w:cstheme="minorHAnsi"/>
                <w:b/>
                <w:bCs/>
                <w:color w:val="000000" w:themeColor="text1"/>
              </w:rPr>
              <w:t>Term</w:t>
            </w:r>
          </w:p>
        </w:tc>
        <w:tc>
          <w:tcPr>
            <w:tcW w:w="60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9DAF8"/>
          </w:tcPr>
          <w:p w14:paraId="69CD7012" w14:textId="77777777" w:rsidR="000373FC" w:rsidRPr="002B6F1B" w:rsidRDefault="000373FC" w:rsidP="00BB635C">
            <w:pPr>
              <w:rPr>
                <w:rFonts w:cstheme="minorHAnsi"/>
              </w:rPr>
            </w:pPr>
            <w:r w:rsidRPr="002B6F1B">
              <w:rPr>
                <w:rFonts w:eastAsia="Arial" w:cstheme="minorHAnsi"/>
                <w:b/>
                <w:bCs/>
                <w:color w:val="000000" w:themeColor="text1"/>
              </w:rPr>
              <w:t>Definition</w:t>
            </w:r>
          </w:p>
        </w:tc>
      </w:tr>
      <w:tr w:rsidR="000373FC" w:rsidRPr="002B6F1B" w14:paraId="1D8A95FF" w14:textId="77777777" w:rsidTr="00BB635C">
        <w:trPr>
          <w:trHeight w:val="840"/>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8B8FA3" w14:textId="77777777" w:rsidR="000373FC" w:rsidRPr="002B6F1B" w:rsidRDefault="000373FC" w:rsidP="00BB635C">
            <w:pPr>
              <w:rPr>
                <w:rFonts w:cstheme="minorHAnsi"/>
              </w:rPr>
            </w:pPr>
            <w:r w:rsidRPr="002B6F1B">
              <w:rPr>
                <w:rFonts w:eastAsia="Arial" w:cstheme="minorHAnsi"/>
                <w:color w:val="000000" w:themeColor="text1"/>
              </w:rPr>
              <w:t>Direct Discrimination</w:t>
            </w:r>
          </w:p>
        </w:tc>
        <w:tc>
          <w:tcPr>
            <w:tcW w:w="60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12065B" w14:textId="77777777" w:rsidR="000373FC" w:rsidRPr="002B6F1B" w:rsidRDefault="000373FC" w:rsidP="00BB635C">
            <w:pPr>
              <w:rPr>
                <w:rFonts w:cstheme="minorHAnsi"/>
              </w:rPr>
            </w:pPr>
            <w:r w:rsidRPr="002B6F1B">
              <w:rPr>
                <w:rFonts w:eastAsia="Arial" w:cstheme="minorHAnsi"/>
                <w:color w:val="000000" w:themeColor="text1"/>
              </w:rPr>
              <w:t>Can occur at the recruitment stage when someone who is qualified for the job fails to be shortlisted or appointed on the groups that they have a protected characteristic. If an employer engages in direct discrimination involving the protected characteristics this is unlawful. No defence can be heard, no matter the reasons. One exception to this rule is if jobs have certain characteristics, they can be reserved for certain groups. An example where this rule would apply is in modelling and acting jobs. Another exception is when people are discriminated against because of their disability or age an employer can have a lawful reason for their direct discrimination. If a disabled person does not get the job because of their disability the employer must convince the tribunal that no reasonable adjustments can be made to accommodate their needs (Taylor and Wilkinson, 2016, p. 29).</w:t>
            </w:r>
          </w:p>
        </w:tc>
      </w:tr>
      <w:tr w:rsidR="000373FC" w:rsidRPr="002B6F1B" w14:paraId="4ACCD985" w14:textId="77777777" w:rsidTr="00BB635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A90F4E" w14:textId="77777777" w:rsidR="000373FC" w:rsidRPr="002B6F1B" w:rsidRDefault="000373FC" w:rsidP="00BB635C">
            <w:pPr>
              <w:rPr>
                <w:rFonts w:cstheme="minorHAnsi"/>
              </w:rPr>
            </w:pPr>
            <w:r w:rsidRPr="002B6F1B">
              <w:rPr>
                <w:rFonts w:eastAsia="Arial" w:cstheme="minorHAnsi"/>
                <w:color w:val="000000" w:themeColor="text1"/>
              </w:rPr>
              <w:t>Indirect Discrimination</w:t>
            </w:r>
          </w:p>
        </w:tc>
        <w:tc>
          <w:tcPr>
            <w:tcW w:w="60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BD21F7" w14:textId="77777777" w:rsidR="000373FC" w:rsidRPr="002B6F1B" w:rsidRDefault="000373FC" w:rsidP="00BB635C">
            <w:pPr>
              <w:rPr>
                <w:rFonts w:cstheme="minorHAnsi"/>
              </w:rPr>
            </w:pPr>
            <w:r w:rsidRPr="002B6F1B">
              <w:rPr>
                <w:rFonts w:eastAsia="Arial" w:cstheme="minorHAnsi"/>
                <w:color w:val="000000" w:themeColor="text1"/>
              </w:rPr>
              <w:t>When ‘a provision, criterion or practice’ (</w:t>
            </w:r>
            <w:r w:rsidRPr="002B6F1B">
              <w:rPr>
                <w:rFonts w:eastAsia="Arial" w:cstheme="minorHAnsi"/>
                <w:i/>
                <w:iCs/>
                <w:color w:val="000000" w:themeColor="text1"/>
              </w:rPr>
              <w:t>Equality Act 2010</w:t>
            </w:r>
            <w:r w:rsidRPr="002B6F1B">
              <w:rPr>
                <w:rFonts w:eastAsia="Arial" w:cstheme="minorHAnsi"/>
                <w:color w:val="000000" w:themeColor="text1"/>
              </w:rPr>
              <w:t xml:space="preserve">), set by an employer, affects a person/group who has a protected </w:t>
            </w:r>
            <w:r w:rsidRPr="002B6F1B">
              <w:rPr>
                <w:rFonts w:eastAsia="Arial" w:cstheme="minorHAnsi"/>
                <w:color w:val="000000" w:themeColor="text1"/>
              </w:rPr>
              <w:lastRenderedPageBreak/>
              <w:t>characteristic. Therefore, this is not direct discrimination but the PCP in place creates a disadvantage for those who have the protected characteristic. An example is when an employer is looking for someone who is over 6 feet tall. This is more likely to include men than women so this is indirect discrimination. Indirect discrimination is also unlawful unless the employer has a genuine business justification it (Taylor and Wilkinson, 2016, p. 30).</w:t>
            </w:r>
          </w:p>
        </w:tc>
      </w:tr>
      <w:tr w:rsidR="000373FC" w:rsidRPr="002B6F1B" w14:paraId="3929DD7B" w14:textId="77777777" w:rsidTr="00BB635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C1A686" w14:textId="77777777" w:rsidR="000373FC" w:rsidRPr="002B6F1B" w:rsidRDefault="000373FC" w:rsidP="00BB635C">
            <w:pPr>
              <w:rPr>
                <w:rFonts w:cstheme="minorHAnsi"/>
              </w:rPr>
            </w:pPr>
            <w:r w:rsidRPr="002B6F1B">
              <w:rPr>
                <w:rFonts w:eastAsia="Arial" w:cstheme="minorHAnsi"/>
                <w:color w:val="000000" w:themeColor="text1"/>
              </w:rPr>
              <w:lastRenderedPageBreak/>
              <w:t>Positive Action</w:t>
            </w:r>
          </w:p>
        </w:tc>
        <w:tc>
          <w:tcPr>
            <w:tcW w:w="60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1E290A" w14:textId="77777777" w:rsidR="000373FC" w:rsidRPr="002B6F1B" w:rsidRDefault="000373FC" w:rsidP="00BB635C">
            <w:pPr>
              <w:rPr>
                <w:rFonts w:cstheme="minorHAnsi"/>
              </w:rPr>
            </w:pPr>
            <w:r w:rsidRPr="002B6F1B">
              <w:rPr>
                <w:rFonts w:eastAsia="Arial" w:cstheme="minorHAnsi"/>
                <w:color w:val="000000" w:themeColor="text1"/>
              </w:rPr>
              <w:t>Where an employer thinks that people who share a protected characteristic are disadvantaged because of this characteristic and also have different needs from those who do not have this protected characteristic. Also, if the people who have a protected characteristic participate in an activity less than those who do not have this protected characteristic (</w:t>
            </w:r>
            <w:r w:rsidRPr="002B6F1B">
              <w:rPr>
                <w:rFonts w:eastAsia="Arial" w:cstheme="minorHAnsi"/>
                <w:i/>
                <w:iCs/>
                <w:color w:val="000000" w:themeColor="text1"/>
              </w:rPr>
              <w:t>Equality Act 2010</w:t>
            </w:r>
            <w:r w:rsidRPr="002B6F1B">
              <w:rPr>
                <w:rFonts w:eastAsia="Arial" w:cstheme="minorHAnsi"/>
                <w:color w:val="000000" w:themeColor="text1"/>
              </w:rPr>
              <w:t>).</w:t>
            </w:r>
          </w:p>
          <w:p w14:paraId="27192D9D" w14:textId="77777777" w:rsidR="000373FC" w:rsidRPr="002B6F1B" w:rsidRDefault="000373FC" w:rsidP="00BB635C">
            <w:pPr>
              <w:rPr>
                <w:rFonts w:cstheme="minorHAnsi"/>
              </w:rPr>
            </w:pPr>
            <w:r w:rsidRPr="002B6F1B">
              <w:rPr>
                <w:rFonts w:eastAsia="Arial" w:cstheme="minorHAnsi"/>
                <w:color w:val="000000" w:themeColor="text1"/>
              </w:rPr>
              <w:t>Positive action applies to recruitment and selection when an employer takes positive action to encourage those who share a protected characteristic to overcome or decrease the disadvantage related to the characteristic (CIPD, 2021b). Employers can also recruit someone with a protected characteristic over someone who is equally qualified without the protected characteristic as a way to boost participation of under-represented disadvantaged groups (CIPD, 2021b).</w:t>
            </w:r>
          </w:p>
          <w:p w14:paraId="0BF7B6BB" w14:textId="77777777" w:rsidR="000373FC" w:rsidRPr="002B6F1B" w:rsidRDefault="000373FC" w:rsidP="00BB635C">
            <w:pPr>
              <w:rPr>
                <w:rFonts w:cstheme="minorHAnsi"/>
              </w:rPr>
            </w:pPr>
            <w:r w:rsidRPr="002B6F1B">
              <w:rPr>
                <w:rFonts w:cstheme="minorHAnsi"/>
              </w:rPr>
              <w:br/>
            </w:r>
          </w:p>
        </w:tc>
      </w:tr>
    </w:tbl>
    <w:p w14:paraId="16227E58" w14:textId="77777777" w:rsidR="000373FC" w:rsidRPr="002B6F1B" w:rsidRDefault="000373FC" w:rsidP="000373FC">
      <w:pPr>
        <w:rPr>
          <w:rFonts w:cstheme="minorHAnsi"/>
        </w:rPr>
      </w:pPr>
      <w:r w:rsidRPr="002B6F1B">
        <w:rPr>
          <w:rFonts w:eastAsia="Calibri" w:cstheme="minorHAnsi"/>
          <w:color w:val="000000" w:themeColor="text1"/>
        </w:rPr>
        <w:t>Liability falls on both the employer if they discriminate (</w:t>
      </w:r>
      <w:r w:rsidRPr="002B6F1B">
        <w:rPr>
          <w:rFonts w:eastAsia="Calibri" w:cstheme="minorHAnsi"/>
          <w:i/>
          <w:iCs/>
          <w:color w:val="000000" w:themeColor="text1"/>
        </w:rPr>
        <w:t>Equality Act 2010</w:t>
      </w:r>
      <w:r w:rsidRPr="002B6F1B">
        <w:rPr>
          <w:rFonts w:eastAsia="Calibri" w:cstheme="minorHAnsi"/>
          <w:color w:val="000000" w:themeColor="text1"/>
        </w:rPr>
        <w:t>) and the employee they discriminate (</w:t>
      </w:r>
      <w:r w:rsidRPr="002B6F1B">
        <w:rPr>
          <w:rFonts w:eastAsia="Calibri" w:cstheme="minorHAnsi"/>
          <w:i/>
          <w:iCs/>
          <w:color w:val="000000" w:themeColor="text1"/>
        </w:rPr>
        <w:t>Equality Act 2010</w:t>
      </w:r>
      <w:r w:rsidRPr="002B6F1B">
        <w:rPr>
          <w:rFonts w:eastAsia="Calibri" w:cstheme="minorHAnsi"/>
          <w:color w:val="000000" w:themeColor="text1"/>
        </w:rPr>
        <w:t>). There is also vicarious liability where the employer takes responsibility for wrong actions committed by their employees during their employment (Daniels, 2019, p. 125).</w:t>
      </w:r>
    </w:p>
    <w:p w14:paraId="4455B476" w14:textId="77777777" w:rsidR="000373FC" w:rsidRPr="002B6F1B" w:rsidRDefault="000373FC" w:rsidP="000373FC">
      <w:pPr>
        <w:rPr>
          <w:rFonts w:cstheme="minorHAnsi"/>
        </w:rPr>
      </w:pPr>
      <w:r w:rsidRPr="002B6F1B">
        <w:rPr>
          <w:rFonts w:eastAsia="Calibri" w:cstheme="minorHAnsi"/>
          <w:color w:val="000000" w:themeColor="text1"/>
        </w:rPr>
        <w:t>Remedies include a declaration or the rights of those involved, recommendations for the employer to take and compensation for loss or damage including injured feelings. For claims presented on or after 6 April 2020, the lowest Vento band is £900 to £9,000, the middle is £9,000 to £27,000 and the upper is £27,000 to £45,000. The ‘most exceptional cases’ can exceed £45,000 (CIPD, 2021c, p. 8).</w:t>
      </w:r>
    </w:p>
    <w:p w14:paraId="26F8D914" w14:textId="77777777" w:rsidR="000373FC" w:rsidRPr="002B6F1B" w:rsidRDefault="000373FC" w:rsidP="000373FC">
      <w:pPr>
        <w:rPr>
          <w:rFonts w:cstheme="minorHAnsi"/>
        </w:rPr>
      </w:pPr>
      <w:r w:rsidRPr="002B6F1B">
        <w:rPr>
          <w:rFonts w:eastAsia="Calibri" w:cstheme="minorHAnsi"/>
          <w:color w:val="000000" w:themeColor="text1"/>
        </w:rPr>
        <w:t>There are three types of staff who work in an organisation. These are employees, workers and the self-employed. An employee is an ‘individual who has entered into or works under (or, where the employment has ceased, worked under) a contract of employment’ (</w:t>
      </w:r>
      <w:r w:rsidRPr="002B6F1B">
        <w:rPr>
          <w:rFonts w:eastAsia="Calibri" w:cstheme="minorHAnsi"/>
          <w:i/>
          <w:iCs/>
          <w:color w:val="000000" w:themeColor="text1"/>
        </w:rPr>
        <w:t>Employment Rights Act 1996</w:t>
      </w:r>
      <w:r w:rsidRPr="002B6F1B">
        <w:rPr>
          <w:rFonts w:eastAsia="Calibri" w:cstheme="minorHAnsi"/>
          <w:color w:val="000000" w:themeColor="text1"/>
        </w:rPr>
        <w:t>). A worker is an “individual who works under a contract of employment or works under any other contract where that individual agrees to personally perform work or services for another party” (</w:t>
      </w:r>
      <w:r w:rsidRPr="002B6F1B">
        <w:rPr>
          <w:rFonts w:eastAsia="Calibri" w:cstheme="minorHAnsi"/>
          <w:i/>
          <w:iCs/>
          <w:color w:val="000000" w:themeColor="text1"/>
        </w:rPr>
        <w:t>Employment Rights Act 1996</w:t>
      </w:r>
      <w:r w:rsidRPr="002B6F1B">
        <w:rPr>
          <w:rFonts w:eastAsia="Calibri" w:cstheme="minorHAnsi"/>
          <w:color w:val="000000" w:themeColor="text1"/>
        </w:rPr>
        <w:t xml:space="preserve">). </w:t>
      </w:r>
      <w:r w:rsidRPr="002B6F1B">
        <w:rPr>
          <w:rFonts w:eastAsia="Calibri" w:cstheme="minorHAnsi"/>
          <w:color w:val="FF0000"/>
        </w:rPr>
        <w:t xml:space="preserve"> </w:t>
      </w:r>
      <w:r w:rsidRPr="002B6F1B">
        <w:rPr>
          <w:rFonts w:eastAsia="Calibri" w:cstheme="minorHAnsi"/>
          <w:color w:val="000000" w:themeColor="text1"/>
        </w:rPr>
        <w:t>Workers have more protection in law than the self-employed but less than employees (Daniels, 2019, p. 43).</w:t>
      </w:r>
    </w:p>
    <w:p w14:paraId="33AC8F4F"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 xml:space="preserve">If it is unclear where an individual sits within these definitions, the courts have various tests they can use to judge individual cases (Daniels, 2019, p. 40). The most popular is ‘multiple test’ where the courts look at all aspects of the employment relationship instead of just focusing on one aspect as other tests do. Alongside this, the mutual obligations test is also used. This looks to see if a sufficient mutuality is present for an employment relationship between the employer and the person. This includes if there is an obligation for the person to provide work and if there is a promise for the employer to provide future work and a promise for the person to carry out the work in the future </w:t>
      </w:r>
      <w:r w:rsidRPr="002B6F1B">
        <w:rPr>
          <w:rFonts w:eastAsia="Calibri" w:cstheme="minorHAnsi"/>
          <w:color w:val="000000" w:themeColor="text1"/>
        </w:rPr>
        <w:lastRenderedPageBreak/>
        <w:t>(Daniels, 2019, p. 42). It is important to know the employee status as this determines their rights (Daniels, 2019, p. 44).</w:t>
      </w:r>
    </w:p>
    <w:p w14:paraId="7E02A8A1" w14:textId="77777777" w:rsidR="000373FC" w:rsidRPr="002B6F1B" w:rsidRDefault="000373FC" w:rsidP="000373FC">
      <w:pPr>
        <w:rPr>
          <w:rFonts w:cstheme="minorHAnsi"/>
        </w:rPr>
      </w:pPr>
      <w:r w:rsidRPr="002B6F1B">
        <w:rPr>
          <w:rFonts w:eastAsia="Calibri" w:cstheme="minorHAnsi"/>
          <w:color w:val="000000" w:themeColor="text1"/>
        </w:rPr>
        <w:t>A “contract of employment” means a contract of service or apprenticeship, whether express or implied, and (if it is express) whether oral or in writing (</w:t>
      </w:r>
      <w:r w:rsidRPr="002B6F1B">
        <w:rPr>
          <w:rFonts w:eastAsia="Calibri" w:cstheme="minorHAnsi"/>
          <w:i/>
          <w:iCs/>
          <w:color w:val="000000" w:themeColor="text1"/>
        </w:rPr>
        <w:t>Employment Rights Act 1996</w:t>
      </w:r>
      <w:r w:rsidRPr="002B6F1B">
        <w:rPr>
          <w:rFonts w:eastAsia="Calibri" w:cstheme="minorHAnsi"/>
          <w:color w:val="000000" w:themeColor="text1"/>
        </w:rPr>
        <w:t>). It is a legal document that explains the employment relationship. Express terms and implied terms are within the contract of employment. Terms that the employer and employee discuss and agree upon are express terms. However, they cannot diminish statutory rights, so they do not hold up court against these. Implied terms can come from collective agreements, statute, custom and practice, the courts and work rules but have not been agreed between the employer and employee (Daniels, 2019, p. 46).</w:t>
      </w:r>
    </w:p>
    <w:p w14:paraId="470C2E03" w14:textId="77777777" w:rsidR="000373FC" w:rsidRPr="002B6F1B" w:rsidRDefault="000373FC" w:rsidP="000373FC">
      <w:pPr>
        <w:rPr>
          <w:rFonts w:cstheme="minorHAnsi"/>
        </w:rPr>
      </w:pPr>
      <w:r w:rsidRPr="002B6F1B">
        <w:rPr>
          <w:rFonts w:eastAsia="Calibri" w:cstheme="minorHAnsi"/>
          <w:color w:val="000000" w:themeColor="text1"/>
        </w:rPr>
        <w:t>Employees who work for an employer for one month have a right to receive their initial employment particulars in writing within two months of their employment (Daniels, 2019, p. 46).</w:t>
      </w:r>
      <w:r w:rsidRPr="002B6F1B">
        <w:rPr>
          <w:rFonts w:eastAsia="Calibri" w:cstheme="minorHAnsi"/>
          <w:color w:val="00FF00"/>
        </w:rPr>
        <w:t xml:space="preserve"> </w:t>
      </w:r>
      <w:r w:rsidRPr="002B6F1B">
        <w:rPr>
          <w:rFonts w:eastAsia="Calibri" w:cstheme="minorHAnsi"/>
          <w:color w:val="000000" w:themeColor="text1"/>
        </w:rPr>
        <w:t xml:space="preserve">These include  job information, payment, holidays, pension scheme, disciplinary rules </w:t>
      </w:r>
      <w:r w:rsidRPr="002B6F1B">
        <w:rPr>
          <w:rFonts w:eastAsia="Calibri" w:cstheme="minorHAnsi"/>
        </w:rPr>
        <w:t>to name a few and are requirements of the Employment Rights</w:t>
      </w:r>
      <w:r w:rsidRPr="002B6F1B">
        <w:rPr>
          <w:rFonts w:eastAsia="Calibri" w:cstheme="minorHAnsi"/>
          <w:color w:val="FF0000"/>
        </w:rPr>
        <w:t xml:space="preserve"> </w:t>
      </w:r>
      <w:r w:rsidRPr="002B6F1B">
        <w:rPr>
          <w:rFonts w:eastAsia="Calibri" w:cstheme="minorHAnsi"/>
          <w:color w:val="000000" w:themeColor="text1"/>
        </w:rPr>
        <w:t>Act 1996 (Daniels, 2019, pp. 46-47). This is not the full contract of employment and the employee does not have to sign the statement by law. This is only what the employer expects so there is no official agreement but if the employee follows these statements then it can be argued that they have contractual effect because they have not been challenged (Daniels, 2019, p. 48).</w:t>
      </w:r>
    </w:p>
    <w:p w14:paraId="394DF6F1" w14:textId="77777777" w:rsidR="000373FC" w:rsidRPr="002B6F1B" w:rsidRDefault="000373FC" w:rsidP="000373FC">
      <w:pPr>
        <w:rPr>
          <w:rFonts w:eastAsia="Calibri" w:cstheme="minorHAnsi"/>
          <w:color w:val="000000" w:themeColor="text1"/>
        </w:rPr>
      </w:pPr>
    </w:p>
    <w:p w14:paraId="7F074AD2" w14:textId="77777777" w:rsidR="000373FC" w:rsidRPr="002B6F1B" w:rsidRDefault="000373FC" w:rsidP="000373FC">
      <w:pPr>
        <w:rPr>
          <w:rFonts w:eastAsia="Calibri" w:cstheme="minorHAnsi"/>
          <w:color w:val="000000" w:themeColor="text1"/>
        </w:rPr>
      </w:pPr>
    </w:p>
    <w:p w14:paraId="55CE613C" w14:textId="77777777" w:rsidR="000373FC" w:rsidRPr="002B6F1B" w:rsidRDefault="000373FC" w:rsidP="000373FC">
      <w:pPr>
        <w:rPr>
          <w:rFonts w:eastAsia="Calibri" w:cstheme="minorHAnsi"/>
          <w:color w:val="000000" w:themeColor="text1"/>
        </w:rPr>
      </w:pPr>
    </w:p>
    <w:p w14:paraId="697519E1" w14:textId="77777777" w:rsidR="000373FC" w:rsidRPr="002B6F1B" w:rsidRDefault="000373FC" w:rsidP="000373FC">
      <w:pPr>
        <w:rPr>
          <w:rFonts w:eastAsia="Calibri" w:cstheme="minorHAnsi"/>
          <w:color w:val="000000" w:themeColor="text1"/>
        </w:rPr>
      </w:pPr>
    </w:p>
    <w:p w14:paraId="4C6EB9D5" w14:textId="77777777" w:rsidR="000373FC" w:rsidRPr="002B6F1B" w:rsidRDefault="000373FC" w:rsidP="000373FC">
      <w:pPr>
        <w:rPr>
          <w:rFonts w:eastAsia="Calibri" w:cstheme="minorHAnsi"/>
          <w:color w:val="000000" w:themeColor="text1"/>
        </w:rPr>
      </w:pPr>
    </w:p>
    <w:p w14:paraId="4EDC0C33" w14:textId="77777777" w:rsidR="000373FC" w:rsidRPr="002B6F1B" w:rsidRDefault="000373FC" w:rsidP="000373FC">
      <w:pPr>
        <w:rPr>
          <w:rFonts w:eastAsia="Calibri" w:cstheme="minorHAnsi"/>
          <w:color w:val="000000" w:themeColor="text1"/>
        </w:rPr>
      </w:pPr>
    </w:p>
    <w:p w14:paraId="6ACCE8FA" w14:textId="77777777" w:rsidR="000373FC" w:rsidRPr="002B6F1B" w:rsidRDefault="000373FC" w:rsidP="000373FC">
      <w:pPr>
        <w:rPr>
          <w:rFonts w:eastAsia="Calibri" w:cstheme="minorHAnsi"/>
          <w:color w:val="000000" w:themeColor="text1"/>
        </w:rPr>
      </w:pPr>
    </w:p>
    <w:p w14:paraId="5212A09A" w14:textId="77777777" w:rsidR="000373FC" w:rsidRPr="002B6F1B" w:rsidRDefault="000373FC" w:rsidP="000373FC">
      <w:pPr>
        <w:rPr>
          <w:rFonts w:eastAsia="Calibri" w:cstheme="minorHAnsi"/>
          <w:color w:val="000000" w:themeColor="text1"/>
        </w:rPr>
      </w:pPr>
    </w:p>
    <w:p w14:paraId="2FA80F6F" w14:textId="77777777" w:rsidR="000373FC" w:rsidRPr="002B6F1B" w:rsidRDefault="000373FC" w:rsidP="000373FC">
      <w:pPr>
        <w:pStyle w:val="Heading2"/>
        <w:rPr>
          <w:rFonts w:asciiTheme="minorHAnsi" w:eastAsiaTheme="minorEastAsia" w:hAnsiTheme="minorHAnsi" w:cstheme="minorHAnsi"/>
          <w:color w:val="000000" w:themeColor="text1"/>
          <w:sz w:val="32"/>
          <w:szCs w:val="32"/>
        </w:rPr>
      </w:pPr>
      <w:r w:rsidRPr="002B6F1B">
        <w:rPr>
          <w:rFonts w:asciiTheme="minorHAnsi" w:eastAsiaTheme="minorEastAsia" w:hAnsiTheme="minorHAnsi" w:cstheme="minorHAnsi"/>
          <w:color w:val="000000" w:themeColor="text1"/>
          <w:sz w:val="32"/>
          <w:szCs w:val="32"/>
        </w:rPr>
        <w:t>Source of Implied Terms</w:t>
      </w:r>
    </w:p>
    <w:tbl>
      <w:tblPr>
        <w:tblStyle w:val="TableGrid"/>
        <w:tblW w:w="10583" w:type="dxa"/>
        <w:tblLayout w:type="fixed"/>
        <w:tblLook w:val="06A0" w:firstRow="1" w:lastRow="0" w:firstColumn="1" w:lastColumn="0" w:noHBand="1" w:noVBand="1"/>
      </w:tblPr>
      <w:tblGrid>
        <w:gridCol w:w="4508"/>
        <w:gridCol w:w="6075"/>
      </w:tblGrid>
      <w:tr w:rsidR="000373FC" w:rsidRPr="002B6F1B" w14:paraId="20746CFD" w14:textId="77777777" w:rsidTr="00BB635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9DAF8"/>
          </w:tcPr>
          <w:p w14:paraId="5D64E6D8" w14:textId="77777777" w:rsidR="000373FC" w:rsidRPr="002B6F1B" w:rsidRDefault="000373FC" w:rsidP="00BB635C">
            <w:pPr>
              <w:rPr>
                <w:rFonts w:cstheme="minorHAnsi"/>
              </w:rPr>
            </w:pPr>
            <w:r w:rsidRPr="002B6F1B">
              <w:rPr>
                <w:rFonts w:eastAsia="Arial" w:cstheme="minorHAnsi"/>
                <w:b/>
                <w:bCs/>
                <w:color w:val="000000" w:themeColor="text1"/>
              </w:rPr>
              <w:t>Term</w:t>
            </w:r>
          </w:p>
        </w:tc>
        <w:tc>
          <w:tcPr>
            <w:tcW w:w="60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9DAF8"/>
          </w:tcPr>
          <w:p w14:paraId="02F8DE4A" w14:textId="77777777" w:rsidR="000373FC" w:rsidRPr="002B6F1B" w:rsidRDefault="000373FC" w:rsidP="00BB635C">
            <w:pPr>
              <w:rPr>
                <w:rFonts w:cstheme="minorHAnsi"/>
              </w:rPr>
            </w:pPr>
            <w:r w:rsidRPr="002B6F1B">
              <w:rPr>
                <w:rFonts w:eastAsia="Arial" w:cstheme="minorHAnsi"/>
                <w:b/>
                <w:bCs/>
                <w:color w:val="000000" w:themeColor="text1"/>
              </w:rPr>
              <w:t>Definition</w:t>
            </w:r>
          </w:p>
        </w:tc>
      </w:tr>
      <w:tr w:rsidR="000373FC" w:rsidRPr="002B6F1B" w14:paraId="4B17AC92" w14:textId="77777777" w:rsidTr="00BB635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85F0EB" w14:textId="77777777" w:rsidR="000373FC" w:rsidRPr="002B6F1B" w:rsidRDefault="000373FC" w:rsidP="00BB635C">
            <w:pPr>
              <w:rPr>
                <w:rFonts w:cstheme="minorHAnsi"/>
              </w:rPr>
            </w:pPr>
            <w:r w:rsidRPr="002B6F1B">
              <w:rPr>
                <w:rFonts w:eastAsia="Arial" w:cstheme="minorHAnsi"/>
                <w:color w:val="000000" w:themeColor="text1"/>
              </w:rPr>
              <w:t>Collective Agreements</w:t>
            </w:r>
          </w:p>
        </w:tc>
        <w:tc>
          <w:tcPr>
            <w:tcW w:w="60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782B09" w14:textId="77777777" w:rsidR="000373FC" w:rsidRPr="002B6F1B" w:rsidRDefault="000373FC" w:rsidP="00BB635C">
            <w:pPr>
              <w:rPr>
                <w:rFonts w:cstheme="minorHAnsi"/>
              </w:rPr>
            </w:pPr>
            <w:r w:rsidRPr="002B6F1B">
              <w:rPr>
                <w:rFonts w:eastAsia="Arial" w:cstheme="minorHAnsi"/>
                <w:color w:val="000000" w:themeColor="text1"/>
              </w:rPr>
              <w:t>A collective bargaining process between the employer and the employee’s trade union. Part of the contract of employment by either express incorporation where there is a clear statement of the agreement between the employer and employee to follow the collective agreement or implied corporation where the employer and employee have always followed the collective agreement so it can be assumed that they agree to be bound to it. More likely to be challenged than an expressed incorporation (Daniels, 2019, p. 49).</w:t>
            </w:r>
          </w:p>
        </w:tc>
      </w:tr>
      <w:tr w:rsidR="000373FC" w:rsidRPr="002B6F1B" w14:paraId="7285408F" w14:textId="77777777" w:rsidTr="00BB635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442EA2" w14:textId="77777777" w:rsidR="000373FC" w:rsidRPr="002B6F1B" w:rsidRDefault="000373FC" w:rsidP="00BB635C">
            <w:pPr>
              <w:rPr>
                <w:rFonts w:cstheme="minorHAnsi"/>
              </w:rPr>
            </w:pPr>
            <w:r w:rsidRPr="002B6F1B">
              <w:rPr>
                <w:rFonts w:eastAsia="Arial" w:cstheme="minorHAnsi"/>
                <w:color w:val="000000" w:themeColor="text1"/>
              </w:rPr>
              <w:t xml:space="preserve">Statute </w:t>
            </w:r>
          </w:p>
        </w:tc>
        <w:tc>
          <w:tcPr>
            <w:tcW w:w="60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BDF5A2" w14:textId="77777777" w:rsidR="000373FC" w:rsidRPr="002B6F1B" w:rsidRDefault="000373FC" w:rsidP="00BB635C">
            <w:pPr>
              <w:rPr>
                <w:rFonts w:cstheme="minorHAnsi"/>
              </w:rPr>
            </w:pPr>
            <w:r w:rsidRPr="002B6F1B">
              <w:rPr>
                <w:rFonts w:eastAsia="Arial" w:cstheme="minorHAnsi"/>
                <w:color w:val="000000" w:themeColor="text1"/>
              </w:rPr>
              <w:t xml:space="preserve">Parts of the contract of employment and overrule statements that go against them. For example, the National Minimum Wage Act 1998. Another source is custom and practice. Issues such has the length of time the practice has been going on for, whether management has brought the policy regarding the practice to the </w:t>
            </w:r>
            <w:r w:rsidRPr="002B6F1B">
              <w:rPr>
                <w:rFonts w:eastAsia="Arial" w:cstheme="minorHAnsi"/>
                <w:color w:val="000000" w:themeColor="text1"/>
              </w:rPr>
              <w:lastRenderedPageBreak/>
              <w:t>employees attention and if there is evidence the both the employer and employee made the intention for the practice to be a part of the contract of employment, need to be looked at (Daniels, 2019, p. 50).</w:t>
            </w:r>
          </w:p>
        </w:tc>
      </w:tr>
      <w:tr w:rsidR="000373FC" w:rsidRPr="002B6F1B" w14:paraId="74D2FF69" w14:textId="77777777" w:rsidTr="00BB635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0A9FB0" w14:textId="77777777" w:rsidR="000373FC" w:rsidRPr="002B6F1B" w:rsidRDefault="000373FC" w:rsidP="00BB635C">
            <w:pPr>
              <w:rPr>
                <w:rFonts w:cstheme="minorHAnsi"/>
              </w:rPr>
            </w:pPr>
            <w:r w:rsidRPr="002B6F1B">
              <w:rPr>
                <w:rFonts w:eastAsia="Arial" w:cstheme="minorHAnsi"/>
                <w:color w:val="000000" w:themeColor="text1"/>
              </w:rPr>
              <w:lastRenderedPageBreak/>
              <w:t>The Courts</w:t>
            </w:r>
          </w:p>
        </w:tc>
        <w:tc>
          <w:tcPr>
            <w:tcW w:w="60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9D18F4" w14:textId="77777777" w:rsidR="000373FC" w:rsidRPr="002B6F1B" w:rsidRDefault="000373FC" w:rsidP="00BB635C">
            <w:pPr>
              <w:rPr>
                <w:rFonts w:cstheme="minorHAnsi"/>
              </w:rPr>
            </w:pPr>
            <w:r w:rsidRPr="002B6F1B">
              <w:rPr>
                <w:rFonts w:eastAsia="Arial" w:cstheme="minorHAnsi"/>
                <w:color w:val="000000" w:themeColor="text1"/>
              </w:rPr>
              <w:t>The employment relationship is looked at to see if there is evidence that both parties agreed to the term under question. They will also look to see if the implied term is reasonable, necessary, or beneficial to the contract of employment. Another source is work rules. Organisations have rules for their employees such as, no smoking on site. If the rule is expressly incorporated in a contract of employment, then it’s contractual. If it’s just included in the rules and not in contractual documents then it’s not contractual (Daniels, 2019, p. 52).</w:t>
            </w:r>
          </w:p>
        </w:tc>
      </w:tr>
      <w:tr w:rsidR="000373FC" w:rsidRPr="002B6F1B" w14:paraId="392120DA" w14:textId="77777777" w:rsidTr="00BB635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9D56E1" w14:textId="77777777" w:rsidR="000373FC" w:rsidRPr="002B6F1B" w:rsidRDefault="000373FC" w:rsidP="00BB635C">
            <w:pPr>
              <w:rPr>
                <w:rFonts w:cstheme="minorHAnsi"/>
              </w:rPr>
            </w:pPr>
            <w:r w:rsidRPr="002B6F1B">
              <w:rPr>
                <w:rFonts w:eastAsia="Arial" w:cstheme="minorHAnsi"/>
                <w:color w:val="000000" w:themeColor="text1"/>
              </w:rPr>
              <w:t>Lawful Obligations</w:t>
            </w:r>
          </w:p>
        </w:tc>
        <w:tc>
          <w:tcPr>
            <w:tcW w:w="60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1AD9C4" w14:textId="77777777" w:rsidR="000373FC" w:rsidRPr="002B6F1B" w:rsidRDefault="000373FC" w:rsidP="00BB635C">
            <w:pPr>
              <w:rPr>
                <w:rFonts w:cstheme="minorHAnsi"/>
              </w:rPr>
            </w:pPr>
            <w:r w:rsidRPr="002B6F1B">
              <w:rPr>
                <w:rFonts w:eastAsia="Arial" w:cstheme="minorHAnsi"/>
                <w:color w:val="000000" w:themeColor="text1"/>
              </w:rPr>
              <w:t>implied in the contract of employment. Duties of the employer include wages, provide work, non-misleading references, health and safety, indemnify employees against liabilities, bring matters to the employees attention, give effective support against bullying, respect privacy, deal with grievances and not damage the relationship of trust and confidence. Duties of the employee include obeying all reasonable instructions, cooperating with employer, duty of fidelity and take reasonable care in their duties (Daniels, 2019, pp. 52-57).</w:t>
            </w:r>
          </w:p>
        </w:tc>
      </w:tr>
    </w:tbl>
    <w:p w14:paraId="46F60D5B" w14:textId="77777777" w:rsidR="000373FC" w:rsidRPr="002B6F1B" w:rsidRDefault="000373FC" w:rsidP="000373FC">
      <w:pPr>
        <w:rPr>
          <w:rFonts w:cstheme="minorHAnsi"/>
        </w:rPr>
      </w:pPr>
      <w:r w:rsidRPr="002B6F1B">
        <w:rPr>
          <w:rFonts w:cstheme="minorHAnsi"/>
        </w:rPr>
        <w:br/>
      </w:r>
    </w:p>
    <w:p w14:paraId="686B44CE" w14:textId="77777777" w:rsidR="000373FC" w:rsidRPr="002B6F1B" w:rsidRDefault="000373FC" w:rsidP="000373FC">
      <w:pPr>
        <w:rPr>
          <w:rFonts w:cstheme="minorHAnsi"/>
        </w:rPr>
      </w:pPr>
      <w:r w:rsidRPr="002B6F1B">
        <w:rPr>
          <w:rFonts w:eastAsia="Calibri" w:cstheme="minorHAnsi"/>
          <w:color w:val="000000" w:themeColor="text1"/>
        </w:rPr>
        <w:t>For a contract of employment to exist the following conditions must be in place: an unconditional offer, an unconditional acceptance of the offer, an intention to form a legal relationship, consideration, and certainty. Other regulatory restrictions include protecting minors, ensuring that the contract is not ‘tainted by illegality’, and that the contract of employment is formed with both parties being ‘of sound mind’ (Taylor and Wilkison, 2016, p. 31).</w:t>
      </w:r>
    </w:p>
    <w:p w14:paraId="763B907D" w14:textId="77777777" w:rsidR="000373FC" w:rsidRPr="002B6F1B" w:rsidRDefault="000373FC" w:rsidP="000373FC">
      <w:pPr>
        <w:rPr>
          <w:rFonts w:eastAsia="Calibri" w:cstheme="minorHAnsi"/>
          <w:color w:val="000000" w:themeColor="text1"/>
        </w:rPr>
      </w:pPr>
    </w:p>
    <w:p w14:paraId="6622FCB3" w14:textId="77777777" w:rsidR="000373FC" w:rsidRPr="002B6F1B" w:rsidRDefault="000373FC" w:rsidP="000373FC">
      <w:pPr>
        <w:rPr>
          <w:rFonts w:eastAsia="Calibri" w:cstheme="minorHAnsi"/>
          <w:color w:val="000000" w:themeColor="text1"/>
        </w:rPr>
      </w:pPr>
    </w:p>
    <w:p w14:paraId="67455171" w14:textId="77777777" w:rsidR="000373FC" w:rsidRPr="002B6F1B" w:rsidRDefault="000373FC" w:rsidP="000373FC">
      <w:pPr>
        <w:rPr>
          <w:rFonts w:eastAsia="Calibri" w:cstheme="minorHAnsi"/>
          <w:color w:val="000000" w:themeColor="text1"/>
        </w:rPr>
      </w:pPr>
    </w:p>
    <w:p w14:paraId="695243E6" w14:textId="77777777" w:rsidR="000373FC" w:rsidRPr="002B6F1B" w:rsidRDefault="000373FC" w:rsidP="000373FC">
      <w:pPr>
        <w:rPr>
          <w:rFonts w:eastAsia="Calibri" w:cstheme="minorHAnsi"/>
          <w:color w:val="000000" w:themeColor="text1"/>
        </w:rPr>
      </w:pPr>
    </w:p>
    <w:p w14:paraId="1403C552" w14:textId="77777777" w:rsidR="000373FC" w:rsidRDefault="000373FC" w:rsidP="000373FC">
      <w:pPr>
        <w:rPr>
          <w:rFonts w:eastAsia="Calibri" w:cstheme="minorHAnsi"/>
          <w:color w:val="000000" w:themeColor="text1"/>
        </w:rPr>
      </w:pPr>
    </w:p>
    <w:p w14:paraId="6FB58A71" w14:textId="77777777" w:rsidR="000373FC" w:rsidRPr="002B6F1B" w:rsidRDefault="000373FC" w:rsidP="000373FC">
      <w:pPr>
        <w:rPr>
          <w:rFonts w:eastAsia="Calibri" w:cstheme="minorHAnsi"/>
          <w:color w:val="000000" w:themeColor="text1"/>
        </w:rPr>
      </w:pPr>
    </w:p>
    <w:p w14:paraId="228CFEF9" w14:textId="77777777" w:rsidR="000373FC" w:rsidRPr="002B6F1B" w:rsidRDefault="000373FC" w:rsidP="000373FC">
      <w:pPr>
        <w:spacing w:line="257" w:lineRule="auto"/>
        <w:rPr>
          <w:rFonts w:cstheme="minorHAnsi"/>
        </w:rPr>
      </w:pPr>
      <w:r w:rsidRPr="002B6F1B">
        <w:rPr>
          <w:rFonts w:eastAsia="Calibri" w:cstheme="minorHAnsi"/>
          <w:b/>
          <w:bCs/>
          <w:color w:val="000000" w:themeColor="text1"/>
          <w:u w:val="single"/>
        </w:rPr>
        <w:t>3. An organisation is planning a major reorganisation which will involve moving some staff to other sites and outsourcing a major function to a sub-contractor. (a) Outline when and how contracts can be changed lawfully (b) Explain briefly the main requirements of redundancy law (c) Summarise the main requirements of the law on business transfers.</w:t>
      </w:r>
    </w:p>
    <w:p w14:paraId="161E5BEB" w14:textId="77777777" w:rsidR="000373FC" w:rsidRPr="002B6F1B" w:rsidRDefault="000373FC" w:rsidP="000373FC">
      <w:pPr>
        <w:spacing w:line="257" w:lineRule="auto"/>
        <w:rPr>
          <w:rFonts w:cstheme="minorHAnsi"/>
        </w:rPr>
      </w:pPr>
      <w:r w:rsidRPr="002B6F1B">
        <w:rPr>
          <w:rFonts w:eastAsia="Calibri" w:cstheme="minorHAnsi"/>
          <w:color w:val="000000" w:themeColor="text1"/>
        </w:rPr>
        <w:t xml:space="preserve">A contract of employment is legally binding so an employer cannot change any terms unilaterally. Flexibility clauses can be included to meet business needs. The employer can suggest a contractual change and if they receive no challenges from the employee the law can assume the change has been accepted through practice. The employer and trade union can debate contractual changes if it goes against a collective agreement within the contract of employment. They can dismiss staff and </w:t>
      </w:r>
      <w:r w:rsidRPr="002B6F1B">
        <w:rPr>
          <w:rFonts w:eastAsia="Calibri" w:cstheme="minorHAnsi"/>
          <w:color w:val="000000" w:themeColor="text1"/>
        </w:rPr>
        <w:lastRenderedPageBreak/>
        <w:t>rehire them instantly with new terms. A breach for contract claim can only be made if there has been a genuine detriment has been suffered (Taylor and Wilkinson, 2016, p. 32).</w:t>
      </w:r>
    </w:p>
    <w:p w14:paraId="25B90876" w14:textId="77777777" w:rsidR="000373FC" w:rsidRPr="002B6F1B" w:rsidRDefault="000373FC" w:rsidP="000373FC">
      <w:pPr>
        <w:spacing w:line="257" w:lineRule="auto"/>
        <w:rPr>
          <w:rFonts w:cstheme="minorHAnsi"/>
        </w:rPr>
      </w:pPr>
      <w:r w:rsidRPr="002B6F1B">
        <w:rPr>
          <w:rFonts w:eastAsia="Calibri" w:cstheme="minorHAnsi"/>
          <w:color w:val="000000" w:themeColor="text1"/>
        </w:rPr>
        <w:t>Breach of contract resignations can be considered a constructive dismissal if the employer is in breach of contract through their action and if the employer breaches a core term of the contract. Resignations must be from response of breach and not delayed (Taylor and Wilkinson, 2016, p. 33). The last straw doctrine can be followed where the claimant can bring up previous acts of the employer that lead to the final act being the last straw (Moss, 2020).</w:t>
      </w:r>
    </w:p>
    <w:p w14:paraId="46865249" w14:textId="77777777" w:rsidR="000373FC" w:rsidRPr="002B6F1B" w:rsidRDefault="000373FC" w:rsidP="000373FC">
      <w:pPr>
        <w:spacing w:line="257" w:lineRule="auto"/>
        <w:rPr>
          <w:rFonts w:cstheme="minorHAnsi"/>
        </w:rPr>
      </w:pPr>
      <w:r w:rsidRPr="002B6F1B">
        <w:rPr>
          <w:rFonts w:eastAsia="Calibri" w:cstheme="minorHAnsi"/>
          <w:color w:val="000000" w:themeColor="text1"/>
        </w:rPr>
        <w:t>Employees with two years’ service can receive severance payment if they are made redundant. Redundancy is a result of reducing the number of staff in an organisation for economic reasons (Taylor and Wilkinson, 2016, p. 33).</w:t>
      </w:r>
    </w:p>
    <w:p w14:paraId="2A0F95EF" w14:textId="77777777" w:rsidR="000373FC" w:rsidRPr="002B6F1B" w:rsidRDefault="000373FC" w:rsidP="000373FC">
      <w:pPr>
        <w:spacing w:line="257" w:lineRule="auto"/>
        <w:rPr>
          <w:rFonts w:cstheme="minorHAnsi"/>
        </w:rPr>
      </w:pPr>
      <w:r w:rsidRPr="002B6F1B">
        <w:rPr>
          <w:rFonts w:eastAsia="Calibri" w:cstheme="minorHAnsi"/>
          <w:color w:val="000000" w:themeColor="text1"/>
        </w:rPr>
        <w:t>According to the Employment Rights Act 1996, an employee who has been dismissed is considered redundant if the employer ceased/intends to cease the business for the purposes that the employee was employed or to carry out the business in the place where the employees are employed. Also, if the employee is no longer</w:t>
      </w:r>
      <w:r w:rsidRPr="002B6F1B">
        <w:rPr>
          <w:rFonts w:eastAsia="Calibri" w:cstheme="minorHAnsi"/>
        </w:rPr>
        <w:t xml:space="preserve"> </w:t>
      </w:r>
      <w:r w:rsidRPr="002B6F1B">
        <w:rPr>
          <w:rFonts w:eastAsia="Calibri" w:cstheme="minorHAnsi"/>
          <w:color w:val="000000" w:themeColor="text1"/>
        </w:rPr>
        <w:t xml:space="preserve">expected </w:t>
      </w:r>
      <w:r w:rsidRPr="002B6F1B">
        <w:rPr>
          <w:rFonts w:eastAsia="Calibri" w:cstheme="minorHAnsi"/>
        </w:rPr>
        <w:t>to</w:t>
      </w:r>
      <w:r w:rsidRPr="002B6F1B">
        <w:rPr>
          <w:rFonts w:eastAsia="Calibri" w:cstheme="minorHAnsi"/>
          <w:color w:val="000000" w:themeColor="text1"/>
        </w:rPr>
        <w:t xml:space="preserve"> carry out their work to the requirements of the business or carry out their work in the place of employment. </w:t>
      </w:r>
    </w:p>
    <w:p w14:paraId="32F7BC61" w14:textId="77777777" w:rsidR="000373FC" w:rsidRPr="002B6F1B" w:rsidRDefault="000373FC" w:rsidP="000373FC">
      <w:pPr>
        <w:spacing w:line="257" w:lineRule="auto"/>
        <w:rPr>
          <w:rFonts w:cstheme="minorHAnsi"/>
        </w:rPr>
      </w:pPr>
      <w:r w:rsidRPr="002B6F1B">
        <w:rPr>
          <w:rFonts w:eastAsia="Calibri" w:cstheme="minorHAnsi"/>
          <w:color w:val="000000" w:themeColor="text1"/>
        </w:rPr>
        <w:t xml:space="preserve">According to the Trade Union and Labour Relations (Consolidation) Act 1992, redundancies involving more </w:t>
      </w:r>
      <w:r w:rsidRPr="002B6F1B">
        <w:rPr>
          <w:rFonts w:eastAsia="Calibri" w:cstheme="minorHAnsi"/>
        </w:rPr>
        <w:t>than</w:t>
      </w:r>
      <w:r w:rsidRPr="002B6F1B">
        <w:rPr>
          <w:rFonts w:eastAsia="Calibri" w:cstheme="minorHAnsi"/>
          <w:color w:val="000000" w:themeColor="text1"/>
        </w:rPr>
        <w:t xml:space="preserve"> 100 employees must have a consultation that takes place at least over 45 days. For redundancies involving more than 20 but less than 100 the consultation must take place over at least 30 days. Legislation does not cover redundancies of fewer than 20 employees, however, case law requires the employer to consult the </w:t>
      </w:r>
      <w:r w:rsidRPr="002B6F1B">
        <w:rPr>
          <w:rFonts w:eastAsia="Calibri" w:cstheme="minorHAnsi"/>
        </w:rPr>
        <w:t>affected</w:t>
      </w:r>
      <w:r w:rsidRPr="002B6F1B">
        <w:rPr>
          <w:rFonts w:eastAsia="Calibri" w:cstheme="minorHAnsi"/>
          <w:color w:val="000000" w:themeColor="text1"/>
        </w:rPr>
        <w:t xml:space="preserve"> individual/s and for this to take place </w:t>
      </w:r>
      <w:r w:rsidRPr="002B6F1B">
        <w:rPr>
          <w:rFonts w:eastAsia="Calibri" w:cstheme="minorHAnsi"/>
        </w:rPr>
        <w:t>over a reasonable</w:t>
      </w:r>
      <w:r w:rsidRPr="002B6F1B">
        <w:rPr>
          <w:rFonts w:eastAsia="Calibri" w:cstheme="minorHAnsi"/>
          <w:color w:val="000000" w:themeColor="text1"/>
        </w:rPr>
        <w:t xml:space="preserve"> time period (Daniels, 2019, p. 190). </w:t>
      </w:r>
    </w:p>
    <w:p w14:paraId="6502A4CF" w14:textId="77777777" w:rsidR="000373FC" w:rsidRPr="002B6F1B" w:rsidRDefault="000373FC" w:rsidP="000373FC">
      <w:pPr>
        <w:spacing w:line="257" w:lineRule="auto"/>
        <w:rPr>
          <w:rFonts w:cstheme="minorHAnsi"/>
        </w:rPr>
      </w:pPr>
      <w:r w:rsidRPr="002B6F1B">
        <w:rPr>
          <w:rFonts w:eastAsia="Calibri" w:cstheme="minorHAnsi"/>
          <w:color w:val="000000" w:themeColor="text1"/>
        </w:rPr>
        <w:t xml:space="preserve">Individual consultations are essential and collective consultations are required for more than 20 proposed redundancies. </w:t>
      </w:r>
      <w:r w:rsidRPr="002B6F1B">
        <w:rPr>
          <w:rFonts w:eastAsia="Calibri" w:cstheme="minorHAnsi"/>
        </w:rPr>
        <w:t>Their</w:t>
      </w:r>
      <w:r w:rsidRPr="002B6F1B">
        <w:rPr>
          <w:rFonts w:eastAsia="Calibri" w:cstheme="minorHAnsi"/>
          <w:color w:val="000000" w:themeColor="text1"/>
        </w:rPr>
        <w:t xml:space="preserve"> consultations must involve trade union representatives or elected employee representatives. The employer must use form HR1 to inform the Secretary of State for Trade and Industry if they have announced more than 20 intended redundancies (Daniels, 2019, p. 190) and no dismissals can be issued until the collective consultations have been completed (CIPD, 2020a).</w:t>
      </w:r>
    </w:p>
    <w:p w14:paraId="317995A8" w14:textId="77777777" w:rsidR="000373FC" w:rsidRPr="002B6F1B" w:rsidRDefault="000373FC" w:rsidP="000373FC">
      <w:pPr>
        <w:spacing w:line="257" w:lineRule="auto"/>
        <w:rPr>
          <w:rFonts w:cstheme="minorHAnsi"/>
        </w:rPr>
      </w:pPr>
      <w:r w:rsidRPr="002B6F1B">
        <w:rPr>
          <w:rFonts w:eastAsia="Calibri" w:cstheme="minorHAnsi"/>
          <w:color w:val="000000" w:themeColor="text1"/>
        </w:rPr>
        <w:t>Employers are obliged to give the following information to representatives when beginning the consultation process. Reasons for the redundancy dismissals, how many proposed redundancies and job types, total number of affected employees, proposed selection methods, procedure for dealing with the redundancies and how the redundancy payments will be calculated (CIPD, 2020a).</w:t>
      </w:r>
    </w:p>
    <w:p w14:paraId="206F1C8F" w14:textId="77777777" w:rsidR="000373FC" w:rsidRPr="002B6F1B" w:rsidRDefault="000373FC" w:rsidP="000373FC">
      <w:pPr>
        <w:spacing w:line="257" w:lineRule="auto"/>
        <w:rPr>
          <w:rFonts w:cstheme="minorHAnsi"/>
        </w:rPr>
      </w:pPr>
      <w:r w:rsidRPr="002B6F1B">
        <w:rPr>
          <w:rFonts w:eastAsia="Calibri" w:cstheme="minorHAnsi"/>
          <w:color w:val="000000" w:themeColor="text1"/>
        </w:rPr>
        <w:t xml:space="preserve">Age, length of service and salary determines the redundancy payment for each employee (Taylor and Wilkinson, 2016, p. 34). The calculation results in the number of week's pay due and is limited </w:t>
      </w:r>
      <w:r w:rsidRPr="002B6F1B">
        <w:rPr>
          <w:rFonts w:eastAsia="Calibri" w:cstheme="minorHAnsi"/>
        </w:rPr>
        <w:t>on weekly</w:t>
      </w:r>
      <w:r w:rsidRPr="002B6F1B">
        <w:rPr>
          <w:rFonts w:eastAsia="Calibri" w:cstheme="minorHAnsi"/>
          <w:color w:val="000000" w:themeColor="text1"/>
        </w:rPr>
        <w:t xml:space="preserve"> pay. The entitlements by age are:</w:t>
      </w:r>
    </w:p>
    <w:tbl>
      <w:tblPr>
        <w:tblW w:w="0" w:type="auto"/>
        <w:tblLayout w:type="fixed"/>
        <w:tblLook w:val="04A0" w:firstRow="1" w:lastRow="0" w:firstColumn="1" w:lastColumn="0" w:noHBand="0" w:noVBand="1"/>
      </w:tblPr>
      <w:tblGrid>
        <w:gridCol w:w="2985"/>
        <w:gridCol w:w="4380"/>
      </w:tblGrid>
      <w:tr w:rsidR="000373FC" w:rsidRPr="002B6F1B" w14:paraId="2E48EC57" w14:textId="77777777" w:rsidTr="00BB635C">
        <w:tc>
          <w:tcPr>
            <w:tcW w:w="2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A75B36" w14:textId="77777777" w:rsidR="000373FC" w:rsidRPr="002B6F1B" w:rsidRDefault="000373FC" w:rsidP="00BB635C">
            <w:pPr>
              <w:rPr>
                <w:rFonts w:cstheme="minorHAnsi"/>
              </w:rPr>
            </w:pPr>
            <w:r w:rsidRPr="002B6F1B">
              <w:rPr>
                <w:rFonts w:eastAsia="Calibri" w:cstheme="minorHAnsi"/>
                <w:color w:val="000000" w:themeColor="text1"/>
              </w:rPr>
              <w:t xml:space="preserve">Age </w:t>
            </w:r>
          </w:p>
        </w:tc>
        <w:tc>
          <w:tcPr>
            <w:tcW w:w="43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630879" w14:textId="77777777" w:rsidR="000373FC" w:rsidRPr="002B6F1B" w:rsidRDefault="000373FC" w:rsidP="00BB635C">
            <w:pPr>
              <w:rPr>
                <w:rFonts w:cstheme="minorHAnsi"/>
              </w:rPr>
            </w:pPr>
            <w:r w:rsidRPr="002B6F1B">
              <w:rPr>
                <w:rFonts w:eastAsia="Calibri" w:cstheme="minorHAnsi"/>
                <w:color w:val="000000" w:themeColor="text1"/>
              </w:rPr>
              <w:t>Entitlement</w:t>
            </w:r>
          </w:p>
        </w:tc>
      </w:tr>
      <w:tr w:rsidR="000373FC" w:rsidRPr="002B6F1B" w14:paraId="66F72F97" w14:textId="77777777" w:rsidTr="00BB635C">
        <w:tc>
          <w:tcPr>
            <w:tcW w:w="2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9F8C1D" w14:textId="77777777" w:rsidR="000373FC" w:rsidRPr="002B6F1B" w:rsidRDefault="000373FC" w:rsidP="00BB635C">
            <w:pPr>
              <w:rPr>
                <w:rFonts w:cstheme="minorHAnsi"/>
              </w:rPr>
            </w:pPr>
            <w:r w:rsidRPr="002B6F1B">
              <w:rPr>
                <w:rFonts w:eastAsia="Calibri" w:cstheme="minorHAnsi"/>
                <w:color w:val="000000" w:themeColor="text1"/>
              </w:rPr>
              <w:t>&lt;22</w:t>
            </w:r>
          </w:p>
        </w:tc>
        <w:tc>
          <w:tcPr>
            <w:tcW w:w="43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CF0B75" w14:textId="77777777" w:rsidR="000373FC" w:rsidRPr="002B6F1B" w:rsidRDefault="000373FC" w:rsidP="00BB635C">
            <w:pPr>
              <w:rPr>
                <w:rFonts w:cstheme="minorHAnsi"/>
              </w:rPr>
            </w:pPr>
            <w:r w:rsidRPr="002B6F1B">
              <w:rPr>
                <w:rFonts w:eastAsia="Calibri" w:cstheme="minorHAnsi"/>
                <w:color w:val="000000" w:themeColor="text1"/>
              </w:rPr>
              <w:t>0.5 week’s pay for each full year of service</w:t>
            </w:r>
          </w:p>
        </w:tc>
      </w:tr>
      <w:tr w:rsidR="000373FC" w:rsidRPr="002B6F1B" w14:paraId="6AA6DBAE" w14:textId="77777777" w:rsidTr="00BB635C">
        <w:tc>
          <w:tcPr>
            <w:tcW w:w="2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E99484" w14:textId="77777777" w:rsidR="000373FC" w:rsidRPr="002B6F1B" w:rsidRDefault="000373FC" w:rsidP="00BB635C">
            <w:pPr>
              <w:rPr>
                <w:rFonts w:cstheme="minorHAnsi"/>
              </w:rPr>
            </w:pPr>
            <w:r w:rsidRPr="002B6F1B">
              <w:rPr>
                <w:rFonts w:eastAsia="Calibri" w:cstheme="minorHAnsi"/>
                <w:color w:val="000000" w:themeColor="text1"/>
              </w:rPr>
              <w:t xml:space="preserve">22-41 </w:t>
            </w:r>
          </w:p>
        </w:tc>
        <w:tc>
          <w:tcPr>
            <w:tcW w:w="43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F34B92" w14:textId="77777777" w:rsidR="000373FC" w:rsidRPr="002B6F1B" w:rsidRDefault="000373FC" w:rsidP="00BB635C">
            <w:pPr>
              <w:rPr>
                <w:rFonts w:cstheme="minorHAnsi"/>
              </w:rPr>
            </w:pPr>
            <w:r w:rsidRPr="002B6F1B">
              <w:rPr>
                <w:rFonts w:eastAsia="Calibri" w:cstheme="minorHAnsi"/>
                <w:color w:val="000000" w:themeColor="text1"/>
              </w:rPr>
              <w:t>1.0 week’s pay for each full year of service</w:t>
            </w:r>
          </w:p>
        </w:tc>
      </w:tr>
      <w:tr w:rsidR="000373FC" w:rsidRPr="002B6F1B" w14:paraId="2DF8A348" w14:textId="77777777" w:rsidTr="00BB635C">
        <w:tc>
          <w:tcPr>
            <w:tcW w:w="2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469288" w14:textId="77777777" w:rsidR="000373FC" w:rsidRPr="002B6F1B" w:rsidRDefault="000373FC" w:rsidP="00BB635C">
            <w:pPr>
              <w:rPr>
                <w:rFonts w:cstheme="minorHAnsi"/>
              </w:rPr>
            </w:pPr>
            <w:r w:rsidRPr="002B6F1B">
              <w:rPr>
                <w:rFonts w:eastAsia="Calibri" w:cstheme="minorHAnsi"/>
                <w:color w:val="000000" w:themeColor="text1"/>
              </w:rPr>
              <w:t xml:space="preserve">41+ </w:t>
            </w:r>
          </w:p>
        </w:tc>
        <w:tc>
          <w:tcPr>
            <w:tcW w:w="43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70299A" w14:textId="77777777" w:rsidR="000373FC" w:rsidRPr="002B6F1B" w:rsidRDefault="000373FC" w:rsidP="00BB635C">
            <w:pPr>
              <w:rPr>
                <w:rFonts w:cstheme="minorHAnsi"/>
              </w:rPr>
            </w:pPr>
            <w:r w:rsidRPr="002B6F1B">
              <w:rPr>
                <w:rFonts w:eastAsia="Calibri" w:cstheme="minorHAnsi"/>
                <w:color w:val="000000" w:themeColor="text1"/>
              </w:rPr>
              <w:t>1.5 week’s pay for each full year of service</w:t>
            </w:r>
          </w:p>
        </w:tc>
      </w:tr>
    </w:tbl>
    <w:p w14:paraId="369CCCAF" w14:textId="77777777" w:rsidR="000373FC" w:rsidRPr="002B6F1B" w:rsidRDefault="000373FC" w:rsidP="000373FC">
      <w:pPr>
        <w:spacing w:line="257" w:lineRule="auto"/>
        <w:rPr>
          <w:rFonts w:eastAsia="Calibri" w:cstheme="minorHAnsi"/>
          <w:color w:val="000000" w:themeColor="text1"/>
        </w:rPr>
      </w:pPr>
      <w:r w:rsidRPr="002B6F1B">
        <w:rPr>
          <w:rFonts w:eastAsia="Calibri" w:cstheme="minorHAnsi"/>
          <w:color w:val="000000" w:themeColor="text1"/>
        </w:rPr>
        <w:t>(Documents etc, 2009).</w:t>
      </w:r>
    </w:p>
    <w:p w14:paraId="38653303" w14:textId="77777777" w:rsidR="000373FC" w:rsidRPr="002B6F1B" w:rsidRDefault="000373FC" w:rsidP="000373FC">
      <w:pPr>
        <w:spacing w:line="257" w:lineRule="auto"/>
        <w:rPr>
          <w:rFonts w:cstheme="minorHAnsi"/>
        </w:rPr>
      </w:pPr>
    </w:p>
    <w:p w14:paraId="1D62C0F9" w14:textId="77777777" w:rsidR="000373FC" w:rsidRPr="002B6F1B" w:rsidRDefault="000373FC" w:rsidP="000373FC">
      <w:pPr>
        <w:spacing w:line="257" w:lineRule="auto"/>
        <w:rPr>
          <w:rFonts w:cstheme="minorHAnsi"/>
        </w:rPr>
      </w:pPr>
      <w:r w:rsidRPr="002B6F1B">
        <w:rPr>
          <w:rFonts w:eastAsia="Calibri" w:cstheme="minorHAnsi"/>
          <w:color w:val="000000" w:themeColor="text1"/>
        </w:rPr>
        <w:lastRenderedPageBreak/>
        <w:t xml:space="preserve">Employees can volunteer for redundancy but if there are not enough volunteers from the selection pool </w:t>
      </w:r>
      <w:r w:rsidRPr="002B6F1B">
        <w:rPr>
          <w:rFonts w:eastAsia="Calibri" w:cstheme="minorHAnsi"/>
        </w:rPr>
        <w:t>then</w:t>
      </w:r>
      <w:r w:rsidRPr="002B6F1B">
        <w:rPr>
          <w:rFonts w:eastAsia="Calibri" w:cstheme="minorHAnsi"/>
          <w:color w:val="000000" w:themeColor="text1"/>
        </w:rPr>
        <w:t xml:space="preserve"> choices are based on length of service, attendance records, disciplinary records, competencies, experience and performance records (CIPD, 2020a). At risk staff can also competitively apply for jobs in the structure (Taylor and Wilkinson, 2016, p. 34).</w:t>
      </w:r>
    </w:p>
    <w:p w14:paraId="7091E3D9" w14:textId="77777777" w:rsidR="000373FC" w:rsidRPr="002B6F1B" w:rsidRDefault="000373FC" w:rsidP="000373FC">
      <w:pPr>
        <w:spacing w:line="257" w:lineRule="auto"/>
        <w:rPr>
          <w:rFonts w:cstheme="minorHAnsi"/>
        </w:rPr>
      </w:pPr>
      <w:r w:rsidRPr="002B6F1B">
        <w:rPr>
          <w:rFonts w:eastAsia="Calibri" w:cstheme="minorHAnsi"/>
        </w:rPr>
        <w:t>Transfer of Undertakings (Protection of Employment) regulations (TUPE) protect the rights of employees who work for an organisation when it is transferred to a new owner. The transfer cannot result in dismissals or variations to contractual terms, unless there are economic, technical or organisational (ETO) reasons for these changes (Daniels, 2019, p. 198).</w:t>
      </w:r>
    </w:p>
    <w:p w14:paraId="27DF0268" w14:textId="77777777" w:rsidR="000373FC" w:rsidRPr="002B6F1B" w:rsidRDefault="000373FC" w:rsidP="000373FC">
      <w:pPr>
        <w:spacing w:line="257" w:lineRule="auto"/>
        <w:rPr>
          <w:rFonts w:cstheme="minorHAnsi"/>
        </w:rPr>
      </w:pPr>
      <w:r w:rsidRPr="002B6F1B">
        <w:rPr>
          <w:rFonts w:eastAsia="Calibri" w:cstheme="minorHAnsi"/>
        </w:rPr>
        <w:t>TUPE applies when an 'economic entity that retains its identity' and if there is a change of service provision. This occurs if activities are performed by someone on their own behalf and this is transferred to another person or if activities are transferred from one contractor to another. Or if activities currently carried out by a contractor are transferred to be carried out by the organisation itself (Daniels, 2019, pp. 199-200).</w:t>
      </w:r>
    </w:p>
    <w:p w14:paraId="316C0BF3" w14:textId="77777777" w:rsidR="000373FC" w:rsidRPr="002B6F1B" w:rsidRDefault="000373FC" w:rsidP="000373FC">
      <w:pPr>
        <w:spacing w:line="257" w:lineRule="auto"/>
        <w:rPr>
          <w:rFonts w:cstheme="minorHAnsi"/>
        </w:rPr>
      </w:pPr>
      <w:r w:rsidRPr="002B6F1B">
        <w:rPr>
          <w:rFonts w:eastAsia="Calibri" w:cstheme="minorHAnsi"/>
        </w:rPr>
        <w:t>TUPE does not apply to share or assets transfers, a one-off basis, where there is a change to the business identity, where the supply of goods for the client's use and transfers outside of the UK (CIPD, 2020b).</w:t>
      </w:r>
    </w:p>
    <w:p w14:paraId="19133DA6" w14:textId="77777777" w:rsidR="000373FC" w:rsidRPr="002B6F1B" w:rsidRDefault="000373FC" w:rsidP="000373FC">
      <w:pPr>
        <w:spacing w:line="257" w:lineRule="auto"/>
        <w:rPr>
          <w:rFonts w:cstheme="minorHAnsi"/>
        </w:rPr>
      </w:pPr>
      <w:r w:rsidRPr="002B6F1B">
        <w:rPr>
          <w:rFonts w:eastAsia="Calibri" w:cstheme="minorHAnsi"/>
        </w:rPr>
        <w:t xml:space="preserve">Consultations with relevant employee representatives must take place. Information that a transfer is taking place, the reason for the transfer, when it is expected to happen, employee implications, what measure the employer expects for the employees and the measures the transferee expects for the employees are to be supplied (Daniels, 2019, p. 202). </w:t>
      </w:r>
    </w:p>
    <w:p w14:paraId="1230D104" w14:textId="77777777" w:rsidR="000373FC" w:rsidRPr="002B6F1B" w:rsidRDefault="000373FC" w:rsidP="000373FC">
      <w:pPr>
        <w:spacing w:line="257" w:lineRule="auto"/>
        <w:rPr>
          <w:rFonts w:eastAsia="Calibri" w:cstheme="minorHAnsi"/>
          <w:color w:val="000000" w:themeColor="text1"/>
        </w:rPr>
      </w:pPr>
    </w:p>
    <w:p w14:paraId="75CF3368" w14:textId="77777777" w:rsidR="000373FC" w:rsidRPr="002B6F1B" w:rsidRDefault="000373FC" w:rsidP="000373FC">
      <w:pPr>
        <w:rPr>
          <w:rFonts w:eastAsia="Calibri" w:cstheme="minorHAnsi"/>
          <w:color w:val="000000" w:themeColor="text1"/>
        </w:rPr>
      </w:pPr>
    </w:p>
    <w:p w14:paraId="28F41C63" w14:textId="77777777" w:rsidR="000373FC" w:rsidRPr="002B6F1B" w:rsidRDefault="000373FC" w:rsidP="000373FC">
      <w:pPr>
        <w:rPr>
          <w:rFonts w:eastAsia="Calibri" w:cstheme="minorHAnsi"/>
          <w:color w:val="000000" w:themeColor="text1"/>
        </w:rPr>
      </w:pPr>
    </w:p>
    <w:p w14:paraId="37F1C254" w14:textId="77777777" w:rsidR="000373FC" w:rsidRPr="002B6F1B" w:rsidRDefault="000373FC" w:rsidP="000373FC">
      <w:pPr>
        <w:rPr>
          <w:rFonts w:eastAsia="Calibri" w:cstheme="minorHAnsi"/>
          <w:color w:val="000000" w:themeColor="text1"/>
        </w:rPr>
      </w:pPr>
    </w:p>
    <w:p w14:paraId="50B8EB7A" w14:textId="77777777" w:rsidR="000373FC" w:rsidRPr="002B6F1B" w:rsidRDefault="000373FC" w:rsidP="000373FC">
      <w:pPr>
        <w:rPr>
          <w:rFonts w:eastAsia="Calibri" w:cstheme="minorHAnsi"/>
          <w:color w:val="000000" w:themeColor="text1"/>
        </w:rPr>
      </w:pPr>
    </w:p>
    <w:p w14:paraId="612E94CA" w14:textId="77777777" w:rsidR="000373FC" w:rsidRPr="002B6F1B" w:rsidRDefault="000373FC" w:rsidP="000373FC">
      <w:pPr>
        <w:rPr>
          <w:rFonts w:eastAsia="Calibri" w:cstheme="minorHAnsi"/>
          <w:color w:val="000000" w:themeColor="text1"/>
        </w:rPr>
      </w:pPr>
    </w:p>
    <w:p w14:paraId="530EF1AF" w14:textId="77777777" w:rsidR="000373FC" w:rsidRPr="002B6F1B" w:rsidRDefault="000373FC" w:rsidP="000373FC">
      <w:pPr>
        <w:rPr>
          <w:rFonts w:eastAsia="Calibri" w:cstheme="minorHAnsi"/>
          <w:color w:val="000000" w:themeColor="text1"/>
        </w:rPr>
      </w:pPr>
    </w:p>
    <w:p w14:paraId="7F5A9A6A" w14:textId="77777777" w:rsidR="000373FC" w:rsidRPr="002B6F1B" w:rsidRDefault="000373FC" w:rsidP="000373FC">
      <w:pPr>
        <w:rPr>
          <w:rFonts w:eastAsia="Calibri" w:cstheme="minorHAnsi"/>
          <w:color w:val="000000" w:themeColor="text1"/>
        </w:rPr>
      </w:pPr>
    </w:p>
    <w:p w14:paraId="51E2DE86" w14:textId="77777777" w:rsidR="000373FC" w:rsidRPr="002B6F1B" w:rsidRDefault="000373FC" w:rsidP="000373FC">
      <w:pPr>
        <w:rPr>
          <w:rFonts w:eastAsia="Calibri" w:cstheme="minorHAnsi"/>
          <w:color w:val="000000" w:themeColor="text1"/>
        </w:rPr>
      </w:pPr>
    </w:p>
    <w:p w14:paraId="077FAB00" w14:textId="77777777" w:rsidR="000373FC" w:rsidRPr="002B6F1B" w:rsidRDefault="000373FC" w:rsidP="000373FC">
      <w:pPr>
        <w:rPr>
          <w:rFonts w:eastAsia="Calibri" w:cstheme="minorHAnsi"/>
          <w:color w:val="000000" w:themeColor="text1"/>
        </w:rPr>
      </w:pPr>
    </w:p>
    <w:p w14:paraId="47CFDD31" w14:textId="77777777" w:rsidR="000373FC" w:rsidRPr="002B6F1B" w:rsidRDefault="000373FC" w:rsidP="000373FC">
      <w:pPr>
        <w:rPr>
          <w:rFonts w:eastAsia="Calibri" w:cstheme="minorHAnsi"/>
          <w:color w:val="000000" w:themeColor="text1"/>
        </w:rPr>
      </w:pPr>
    </w:p>
    <w:p w14:paraId="0C657181" w14:textId="77777777" w:rsidR="000373FC" w:rsidRPr="002B6F1B" w:rsidRDefault="000373FC" w:rsidP="000373FC">
      <w:pPr>
        <w:rPr>
          <w:rFonts w:eastAsia="Calibri" w:cstheme="minorHAnsi"/>
          <w:color w:val="000000" w:themeColor="text1"/>
        </w:rPr>
      </w:pPr>
    </w:p>
    <w:p w14:paraId="2AC00708" w14:textId="77777777" w:rsidR="000373FC" w:rsidRPr="002B6F1B" w:rsidRDefault="000373FC" w:rsidP="000373FC">
      <w:pPr>
        <w:rPr>
          <w:rFonts w:eastAsia="Calibri" w:cstheme="minorHAnsi"/>
          <w:color w:val="000000" w:themeColor="text1"/>
        </w:rPr>
      </w:pPr>
    </w:p>
    <w:p w14:paraId="23DA74FB" w14:textId="77777777" w:rsidR="000373FC" w:rsidRPr="002B6F1B" w:rsidRDefault="000373FC" w:rsidP="000373FC">
      <w:pPr>
        <w:rPr>
          <w:rFonts w:eastAsia="Calibri" w:cstheme="minorHAnsi"/>
          <w:color w:val="000000" w:themeColor="text1"/>
        </w:rPr>
      </w:pPr>
    </w:p>
    <w:p w14:paraId="0EC68812" w14:textId="77777777" w:rsidR="000373FC" w:rsidRPr="002B6F1B" w:rsidRDefault="000373FC" w:rsidP="000373FC">
      <w:pPr>
        <w:rPr>
          <w:rFonts w:eastAsia="Calibri" w:cstheme="minorHAnsi"/>
          <w:color w:val="000000" w:themeColor="text1"/>
        </w:rPr>
      </w:pPr>
    </w:p>
    <w:p w14:paraId="715EC791" w14:textId="77777777" w:rsidR="000373FC" w:rsidRPr="002B6F1B" w:rsidRDefault="000373FC" w:rsidP="000373FC">
      <w:pPr>
        <w:rPr>
          <w:rFonts w:eastAsia="Calibri" w:cstheme="minorHAnsi"/>
          <w:color w:val="000000" w:themeColor="text1"/>
        </w:rPr>
      </w:pPr>
    </w:p>
    <w:p w14:paraId="5C1B0C3F" w14:textId="77777777" w:rsidR="000373FC" w:rsidRPr="002B6F1B" w:rsidRDefault="000373FC" w:rsidP="000373FC">
      <w:pPr>
        <w:rPr>
          <w:rFonts w:eastAsia="Calibri" w:cstheme="minorHAnsi"/>
          <w:color w:val="000000" w:themeColor="text1"/>
        </w:rPr>
      </w:pPr>
    </w:p>
    <w:p w14:paraId="14B1AF6C" w14:textId="77777777" w:rsidR="000373FC" w:rsidRPr="002B6F1B" w:rsidRDefault="000373FC" w:rsidP="000373FC">
      <w:pPr>
        <w:rPr>
          <w:rFonts w:eastAsia="Calibri" w:cstheme="minorHAnsi"/>
          <w:color w:val="000000" w:themeColor="text1"/>
        </w:rPr>
      </w:pPr>
    </w:p>
    <w:p w14:paraId="7FA3703D" w14:textId="77777777" w:rsidR="000373FC" w:rsidRPr="002B6F1B" w:rsidRDefault="000373FC" w:rsidP="000373FC">
      <w:pPr>
        <w:rPr>
          <w:rFonts w:eastAsia="Calibri" w:cstheme="minorHAnsi"/>
          <w:color w:val="000000" w:themeColor="text1"/>
        </w:rPr>
      </w:pPr>
    </w:p>
    <w:p w14:paraId="3C15C23B" w14:textId="77777777" w:rsidR="000373FC" w:rsidRPr="002B6F1B" w:rsidRDefault="000373FC" w:rsidP="000373FC">
      <w:pPr>
        <w:rPr>
          <w:rFonts w:eastAsia="Calibri" w:cstheme="minorHAnsi"/>
          <w:color w:val="000000" w:themeColor="text1"/>
        </w:rPr>
      </w:pPr>
    </w:p>
    <w:p w14:paraId="29C924D5" w14:textId="77777777" w:rsidR="000373FC" w:rsidRPr="002B6F1B" w:rsidRDefault="000373FC" w:rsidP="000373FC">
      <w:pPr>
        <w:rPr>
          <w:rFonts w:eastAsia="Calibri" w:cstheme="minorHAnsi"/>
          <w:color w:val="000000" w:themeColor="text1"/>
        </w:rPr>
      </w:pPr>
      <w:r w:rsidRPr="002B6F1B">
        <w:rPr>
          <w:rFonts w:eastAsia="Calibri" w:cstheme="minorHAnsi"/>
          <w:b/>
          <w:bCs/>
          <w:color w:val="000000" w:themeColor="text1"/>
          <w:u w:val="single"/>
        </w:rPr>
        <w:t>4. Summarise: (a) the major statutory rights employees have in relation to pay, holidays and working time and, (b) the major maternity, paternity and other family-friendly employment rights.</w:t>
      </w:r>
    </w:p>
    <w:p w14:paraId="2496B93A"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Working time regulations refer to the health and safety of employees by having a minimum level of holidays, rest and adequate working hours (Daniels, 2019, p. 85).</w:t>
      </w:r>
    </w:p>
    <w:p w14:paraId="454CA23D"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Employers are obligated to pay wages. The employee has a right to an itemised pay statement (</w:t>
      </w:r>
      <w:r w:rsidRPr="002B6F1B">
        <w:rPr>
          <w:rFonts w:eastAsia="Calibri" w:cstheme="minorHAnsi"/>
          <w:i/>
          <w:iCs/>
          <w:color w:val="000000" w:themeColor="text1"/>
        </w:rPr>
        <w:t>Employment Rights Act 1996</w:t>
      </w:r>
      <w:r w:rsidRPr="002B6F1B">
        <w:rPr>
          <w:rFonts w:eastAsia="Calibri" w:cstheme="minorHAnsi"/>
          <w:color w:val="000000" w:themeColor="text1"/>
        </w:rPr>
        <w:t>). If work is not provided during usual working hours because of reasons such as lack of demand or events affecting normal business hours, employees are entitled to guarantee pay (Daniels, 2019, pp. 94-95).</w:t>
      </w:r>
    </w:p>
    <w:p w14:paraId="27F8D288"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The National Minimum Wage (NMW) Act 1998 allows workers to receive a minimum pay at an hourly rate.</w:t>
      </w:r>
    </w:p>
    <w:tbl>
      <w:tblPr>
        <w:tblStyle w:val="TableGrid"/>
        <w:tblW w:w="0" w:type="auto"/>
        <w:tblLayout w:type="fixed"/>
        <w:tblLook w:val="06A0" w:firstRow="1" w:lastRow="0" w:firstColumn="1" w:lastColumn="0" w:noHBand="1" w:noVBand="1"/>
      </w:tblPr>
      <w:tblGrid>
        <w:gridCol w:w="3000"/>
        <w:gridCol w:w="3000"/>
        <w:gridCol w:w="3000"/>
      </w:tblGrid>
      <w:tr w:rsidR="000373FC" w:rsidRPr="002B6F1B" w14:paraId="7D873CC2" w14:textId="77777777" w:rsidTr="00BB635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B1731E"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Type</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99F2DB"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Age</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0694CD"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Minimum wage</w:t>
            </w:r>
          </w:p>
        </w:tc>
      </w:tr>
      <w:tr w:rsidR="000373FC" w:rsidRPr="002B6F1B" w14:paraId="1B937F13" w14:textId="77777777" w:rsidTr="00BB635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32D8D6"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National Living Wage</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B5550B"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23+</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8C75E5"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 xml:space="preserve">£8.91 </w:t>
            </w:r>
          </w:p>
        </w:tc>
      </w:tr>
      <w:tr w:rsidR="000373FC" w:rsidRPr="002B6F1B" w14:paraId="4A2233D5" w14:textId="77777777" w:rsidTr="00BB635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7ECE2D"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National Minimum Wage</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B858C3"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21-22</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31DE19"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 xml:space="preserve">£8.36 </w:t>
            </w:r>
          </w:p>
        </w:tc>
      </w:tr>
      <w:tr w:rsidR="000373FC" w:rsidRPr="002B6F1B" w14:paraId="0C1E1EC3" w14:textId="77777777" w:rsidTr="00BB635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2B488D"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Development Rate</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8AF85B"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18-20</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667834"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 xml:space="preserve">£6.56 </w:t>
            </w:r>
          </w:p>
        </w:tc>
      </w:tr>
      <w:tr w:rsidR="000373FC" w:rsidRPr="002B6F1B" w14:paraId="51057CA3" w14:textId="77777777" w:rsidTr="00BB635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8ED755"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Young Workers Rate</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E7D66F"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16-17</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1A3238"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£4.62</w:t>
            </w:r>
          </w:p>
        </w:tc>
      </w:tr>
      <w:tr w:rsidR="000373FC" w:rsidRPr="002B6F1B" w14:paraId="098EF1CF" w14:textId="77777777" w:rsidTr="00BB635C">
        <w:trPr>
          <w:trHeight w:val="300"/>
        </w:trPr>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B6170"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Apprentice Rate</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25F8EE" w14:textId="77777777" w:rsidR="000373FC" w:rsidRPr="002B6F1B" w:rsidRDefault="000373FC" w:rsidP="00BB635C">
            <w:pPr>
              <w:spacing w:line="259" w:lineRule="auto"/>
              <w:rPr>
                <w:rFonts w:eastAsia="Calibri" w:cstheme="minorHAnsi"/>
              </w:rPr>
            </w:pPr>
            <w:r w:rsidRPr="002B6F1B">
              <w:rPr>
                <w:rFonts w:eastAsia="Calibri" w:cstheme="minorHAnsi"/>
              </w:rPr>
              <w:t>n/a</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CB83E0"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£4.30</w:t>
            </w:r>
          </w:p>
        </w:tc>
      </w:tr>
    </w:tbl>
    <w:p w14:paraId="4BDF45F9"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(Government, 2021a/2021b).</w:t>
      </w:r>
    </w:p>
    <w:p w14:paraId="4F8C4F00"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Workers on training schemes, work experience for first degree/teacher training and homeless individuals working for shelter/other benefits are not entitled to NMW (</w:t>
      </w:r>
      <w:r w:rsidRPr="002B6F1B">
        <w:rPr>
          <w:rFonts w:eastAsia="Calibri" w:cstheme="minorHAnsi"/>
          <w:i/>
          <w:iCs/>
          <w:color w:val="000000" w:themeColor="text1"/>
        </w:rPr>
        <w:t>National Minimum Wage Act 1998</w:t>
      </w:r>
      <w:r w:rsidRPr="002B6F1B">
        <w:rPr>
          <w:rFonts w:eastAsia="Calibri" w:cstheme="minorHAnsi"/>
          <w:color w:val="000000" w:themeColor="text1"/>
        </w:rPr>
        <w:t xml:space="preserve">). </w:t>
      </w:r>
    </w:p>
    <w:p w14:paraId="54BFA244"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 xml:space="preserve">Employers must pay Statutory Sick Pay (SSP) when required. The employee must be sick for 4 consecutive days and ‘’have average earnings at least equal to the lower earnings limit’’ (Daniels, 2019, p. 99). They are paid their normal working days but limited to 28-weeks over 12-months (Daniels, 2019, p. 99). </w:t>
      </w:r>
    </w:p>
    <w:p w14:paraId="56C100CA"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Workers are entitled to 28 days paid leave including bank holidays. Leave years run from the date of commencement if there is no defined start date to calculate the holidays. Employees are entitled to their accrued holiday entitlement which is one twelfth of 5.6 weeks per year. One week’s leave equals one week’s pay but if a worker's pay is not fixed then their holidays are paid as the average pay they have received in the past 12 weeks (Daniels, 2019, p. 88).</w:t>
      </w:r>
    </w:p>
    <w:p w14:paraId="45482969"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Workers cannot work more than 48 hours on average per week over a 17-week. Protection for night workers includes only allowing 8 hours of work within a 24-hour period if the work has special hazards or is physically/mentally straining, a free health assessment before and regularly after starting night work, and entitlement to rest periods if health problems from the work is likely.</w:t>
      </w:r>
    </w:p>
    <w:p w14:paraId="7C698DCA"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 xml:space="preserve">Every 24 hours adult workers are entitled to 11 consecutive hours of rest. Workers under the age of 18 are entitled to no less than 12 hours within 24 hours. A worker can have at least 24 hours of uninterrupted rest within a 7-day period, but this can be averaged over a 14-day period. Workers are </w:t>
      </w:r>
      <w:r w:rsidRPr="002B6F1B">
        <w:rPr>
          <w:rFonts w:eastAsia="Calibri" w:cstheme="minorHAnsi"/>
          <w:color w:val="000000" w:themeColor="text1"/>
        </w:rPr>
        <w:lastRenderedPageBreak/>
        <w:t>allowed a rest period of at least 20 minutes, away from the workstation for a 6-hour working day. Young workers who work more than 4.5 hours get a 30-minute break instead. (Daniels, 2019, pp. 89-91).</w:t>
      </w:r>
    </w:p>
    <w:p w14:paraId="787166C1" w14:textId="77777777" w:rsidR="000373FC" w:rsidRPr="002B6F1B" w:rsidRDefault="000373FC" w:rsidP="000373FC">
      <w:pPr>
        <w:spacing w:line="257" w:lineRule="auto"/>
        <w:rPr>
          <w:rFonts w:cstheme="minorHAnsi"/>
        </w:rPr>
      </w:pPr>
      <w:r w:rsidRPr="002B6F1B">
        <w:rPr>
          <w:rFonts w:eastAsia="Calibri" w:cstheme="minorHAnsi"/>
          <w:color w:val="000000" w:themeColor="text1"/>
        </w:rPr>
        <w:t xml:space="preserve">Pregnant employees have the right to attend antenatal care during working hours and </w:t>
      </w:r>
      <w:r w:rsidRPr="002B6F1B">
        <w:rPr>
          <w:rFonts w:eastAsia="Calibri" w:cstheme="minorHAnsi"/>
        </w:rPr>
        <w:t>be paid their normal working rate (</w:t>
      </w:r>
      <w:r w:rsidRPr="002B6F1B">
        <w:rPr>
          <w:rFonts w:eastAsia="Calibri" w:cstheme="minorHAnsi"/>
          <w:i/>
          <w:iCs/>
          <w:color w:val="000000" w:themeColor="text1"/>
        </w:rPr>
        <w:t>Employment Rights Act 1996</w:t>
      </w:r>
      <w:r w:rsidRPr="002B6F1B">
        <w:rPr>
          <w:rFonts w:eastAsia="Calibri" w:cstheme="minorHAnsi"/>
          <w:color w:val="000000" w:themeColor="text1"/>
        </w:rPr>
        <w:t>). The employee is entitled to all benefits of their terms and conditions of employment as they would if they were still in work. This includes holidays and continuous service (Daniels, 2019, p. 102).</w:t>
      </w:r>
    </w:p>
    <w:p w14:paraId="317FFB5E" w14:textId="77777777" w:rsidR="000373FC" w:rsidRPr="002B6F1B" w:rsidRDefault="000373FC" w:rsidP="000373FC">
      <w:pPr>
        <w:spacing w:line="257" w:lineRule="auto"/>
        <w:rPr>
          <w:rFonts w:cstheme="minorHAnsi"/>
        </w:rPr>
      </w:pPr>
      <w:r w:rsidRPr="002B6F1B">
        <w:rPr>
          <w:rFonts w:eastAsia="Calibri" w:cstheme="minorHAnsi"/>
        </w:rPr>
        <w:t>A</w:t>
      </w:r>
      <w:r w:rsidRPr="002B6F1B">
        <w:rPr>
          <w:rFonts w:eastAsia="Calibri" w:cstheme="minorHAnsi"/>
          <w:color w:val="000000" w:themeColor="text1"/>
        </w:rPr>
        <w:t xml:space="preserve">fter Ordinary Maternity Leave, </w:t>
      </w:r>
      <w:r w:rsidRPr="002B6F1B">
        <w:rPr>
          <w:rFonts w:eastAsia="Calibri" w:cstheme="minorHAnsi"/>
        </w:rPr>
        <w:t xml:space="preserve">an employee is entitled to return to the same job, </w:t>
      </w:r>
      <w:r w:rsidRPr="002B6F1B">
        <w:rPr>
          <w:rFonts w:eastAsia="Calibri" w:cstheme="minorHAnsi"/>
          <w:color w:val="000000" w:themeColor="text1"/>
        </w:rPr>
        <w:t>the same</w:t>
      </w:r>
      <w:r w:rsidRPr="002B6F1B">
        <w:rPr>
          <w:rFonts w:eastAsia="Calibri" w:cstheme="minorHAnsi"/>
        </w:rPr>
        <w:t xml:space="preserve"> applies</w:t>
      </w:r>
      <w:r w:rsidRPr="002B6F1B">
        <w:rPr>
          <w:rFonts w:eastAsia="Calibri" w:cstheme="minorHAnsi"/>
          <w:color w:val="000000" w:themeColor="text1"/>
        </w:rPr>
        <w:t xml:space="preserve"> for Additional Maternity Leave unless it is not </w:t>
      </w:r>
      <w:r w:rsidRPr="002B6F1B">
        <w:rPr>
          <w:rFonts w:eastAsia="Calibri" w:cstheme="minorHAnsi"/>
        </w:rPr>
        <w:t>reasonably</w:t>
      </w:r>
      <w:r w:rsidRPr="002B6F1B">
        <w:rPr>
          <w:rFonts w:eastAsia="Calibri" w:cstheme="minorHAnsi"/>
          <w:color w:val="000000" w:themeColor="text1"/>
        </w:rPr>
        <w:t xml:space="preserve"> practicable. The employer would have to offer a suitable job if this is the case. The employee’s terms of employment must be the same or equal to what they would have been if she had not gone on maternity leave (</w:t>
      </w:r>
      <w:r w:rsidRPr="002B6F1B">
        <w:rPr>
          <w:rFonts w:eastAsia="Calibri" w:cstheme="minorHAnsi"/>
          <w:i/>
          <w:iCs/>
          <w:color w:val="000000" w:themeColor="text1"/>
        </w:rPr>
        <w:t>The Maternity and Parental Leave etc. Regulations 1999</w:t>
      </w:r>
      <w:r w:rsidRPr="002B6F1B">
        <w:rPr>
          <w:rFonts w:eastAsia="Calibri" w:cstheme="minorHAnsi"/>
          <w:color w:val="000000" w:themeColor="text1"/>
        </w:rPr>
        <w:t>).</w:t>
      </w:r>
    </w:p>
    <w:p w14:paraId="15DB055D" w14:textId="77777777" w:rsidR="000373FC" w:rsidRPr="002B6F1B" w:rsidRDefault="000373FC" w:rsidP="000373FC">
      <w:pPr>
        <w:spacing w:line="257" w:lineRule="auto"/>
        <w:rPr>
          <w:rFonts w:eastAsia="Calibri" w:cstheme="minorHAnsi"/>
          <w:color w:val="000000" w:themeColor="text1"/>
        </w:rPr>
      </w:pPr>
    </w:p>
    <w:p w14:paraId="0E698DD1" w14:textId="77777777" w:rsidR="000373FC" w:rsidRPr="002B6F1B" w:rsidRDefault="000373FC" w:rsidP="000373FC">
      <w:pPr>
        <w:spacing w:line="257" w:lineRule="auto"/>
        <w:rPr>
          <w:rFonts w:eastAsia="Calibri" w:cstheme="minorHAnsi"/>
          <w:color w:val="000000" w:themeColor="text1"/>
        </w:rPr>
      </w:pPr>
    </w:p>
    <w:p w14:paraId="027233EA" w14:textId="77777777" w:rsidR="000373FC" w:rsidRPr="002B6F1B" w:rsidRDefault="000373FC" w:rsidP="000373FC">
      <w:pPr>
        <w:spacing w:line="257" w:lineRule="auto"/>
        <w:rPr>
          <w:rFonts w:cstheme="minorHAnsi"/>
        </w:rPr>
      </w:pPr>
      <w:r w:rsidRPr="002B6F1B">
        <w:rPr>
          <w:rFonts w:eastAsia="Calibri" w:cstheme="minorHAnsi"/>
          <w:color w:val="000000" w:themeColor="text1"/>
        </w:rPr>
        <w:t>Statutory Maternity Pay can be paid for 39 weeks at 90% of their average earnings for the first 6 weeks (Daniels, 2019, p. 104) and then ‘£151.97or 90% of your average weekly earnings (whichever is lower) for the next 33 weeks’ (Gov.uk, 2021c) if the following is met:</w:t>
      </w:r>
    </w:p>
    <w:p w14:paraId="723E5931" w14:textId="77777777" w:rsidR="000373FC" w:rsidRPr="002B6F1B" w:rsidRDefault="000373FC" w:rsidP="000373FC">
      <w:pPr>
        <w:pStyle w:val="ListParagraph"/>
        <w:numPr>
          <w:ilvl w:val="0"/>
          <w:numId w:val="8"/>
        </w:numPr>
        <w:rPr>
          <w:rFonts w:eastAsiaTheme="minorEastAsia" w:cstheme="minorHAnsi"/>
          <w:color w:val="000000" w:themeColor="text1"/>
        </w:rPr>
      </w:pPr>
      <w:r w:rsidRPr="002B6F1B">
        <w:rPr>
          <w:rFonts w:eastAsia="Calibri" w:cstheme="minorHAnsi"/>
          <w:color w:val="000000" w:themeColor="text1"/>
        </w:rPr>
        <w:t xml:space="preserve">26 weeks of continuous employment (including </w:t>
      </w:r>
      <w:r w:rsidRPr="002B6F1B">
        <w:rPr>
          <w:rFonts w:eastAsia="Calibri" w:cstheme="minorHAnsi"/>
        </w:rPr>
        <w:t>15</w:t>
      </w:r>
      <w:r w:rsidRPr="002B6F1B">
        <w:rPr>
          <w:rFonts w:eastAsia="Calibri" w:cstheme="minorHAnsi"/>
          <w:vertAlign w:val="superscript"/>
        </w:rPr>
        <w:t>th</w:t>
      </w:r>
      <w:r w:rsidRPr="002B6F1B">
        <w:rPr>
          <w:rFonts w:eastAsia="Calibri" w:cstheme="minorHAnsi"/>
        </w:rPr>
        <w:t xml:space="preserve"> week before EWC)</w:t>
      </w:r>
    </w:p>
    <w:p w14:paraId="5CF0AE0E" w14:textId="77777777" w:rsidR="000373FC" w:rsidRPr="002B6F1B" w:rsidRDefault="000373FC" w:rsidP="000373FC">
      <w:pPr>
        <w:pStyle w:val="ListParagraph"/>
        <w:numPr>
          <w:ilvl w:val="0"/>
          <w:numId w:val="8"/>
        </w:numPr>
        <w:rPr>
          <w:rFonts w:eastAsiaTheme="minorEastAsia" w:cstheme="minorHAnsi"/>
          <w:color w:val="000000" w:themeColor="text1"/>
        </w:rPr>
      </w:pPr>
      <w:r w:rsidRPr="002B6F1B">
        <w:rPr>
          <w:rFonts w:eastAsia="Calibri" w:cstheme="minorHAnsi"/>
          <w:color w:val="000000" w:themeColor="text1"/>
        </w:rPr>
        <w:t xml:space="preserve">Within 8 weeks (ending </w:t>
      </w:r>
      <w:r w:rsidRPr="002B6F1B">
        <w:rPr>
          <w:rFonts w:eastAsia="Calibri" w:cstheme="minorHAnsi"/>
        </w:rPr>
        <w:t>15</w:t>
      </w:r>
      <w:r w:rsidRPr="002B6F1B">
        <w:rPr>
          <w:rFonts w:eastAsia="Calibri" w:cstheme="minorHAnsi"/>
          <w:vertAlign w:val="superscript"/>
        </w:rPr>
        <w:t>th</w:t>
      </w:r>
      <w:r w:rsidRPr="002B6F1B">
        <w:rPr>
          <w:rFonts w:eastAsia="Calibri" w:cstheme="minorHAnsi"/>
        </w:rPr>
        <w:t xml:space="preserve"> week before EWC)</w:t>
      </w:r>
      <w:r w:rsidRPr="002B6F1B">
        <w:rPr>
          <w:rFonts w:eastAsia="Calibri" w:cstheme="minorHAnsi"/>
          <w:color w:val="000000" w:themeColor="text1"/>
        </w:rPr>
        <w:t xml:space="preserve"> average earnings are at minimum the lower earnings limit for National Insurance (Daniels, 2019, p. 104)</w:t>
      </w:r>
    </w:p>
    <w:p w14:paraId="1852263B" w14:textId="77777777" w:rsidR="000373FC" w:rsidRPr="002B6F1B" w:rsidRDefault="000373FC" w:rsidP="000373FC">
      <w:pPr>
        <w:spacing w:line="257" w:lineRule="auto"/>
        <w:rPr>
          <w:rFonts w:cstheme="minorHAnsi"/>
        </w:rPr>
      </w:pPr>
      <w:r w:rsidRPr="002B6F1B">
        <w:rPr>
          <w:rFonts w:eastAsia="Calibri" w:cstheme="minorHAnsi"/>
          <w:color w:val="000000" w:themeColor="text1"/>
        </w:rPr>
        <w:t xml:space="preserve"> Employees are eligible for Statutory Paternity Pay and Paternity Leave if they meet the following requirements:</w:t>
      </w:r>
    </w:p>
    <w:p w14:paraId="2291626D" w14:textId="77777777" w:rsidR="000373FC" w:rsidRPr="002B6F1B" w:rsidRDefault="000373FC" w:rsidP="000373FC">
      <w:pPr>
        <w:pStyle w:val="ListParagraph"/>
        <w:numPr>
          <w:ilvl w:val="0"/>
          <w:numId w:val="7"/>
        </w:numPr>
        <w:rPr>
          <w:rFonts w:eastAsiaTheme="minorEastAsia" w:cstheme="minorHAnsi"/>
          <w:color w:val="000000" w:themeColor="text1"/>
        </w:rPr>
      </w:pPr>
      <w:r w:rsidRPr="002B6F1B">
        <w:rPr>
          <w:rFonts w:eastAsia="Calibri" w:cstheme="minorHAnsi"/>
          <w:color w:val="000000" w:themeColor="text1"/>
        </w:rPr>
        <w:t>Continuously worked for the employer for minimum of 26 weeks, ending week preceding 14</w:t>
      </w:r>
      <w:r w:rsidRPr="002B6F1B">
        <w:rPr>
          <w:rFonts w:eastAsia="Calibri" w:cstheme="minorHAnsi"/>
          <w:color w:val="000000" w:themeColor="text1"/>
          <w:vertAlign w:val="superscript"/>
        </w:rPr>
        <w:t>th</w:t>
      </w:r>
      <w:r w:rsidRPr="002B6F1B">
        <w:rPr>
          <w:rFonts w:eastAsia="Calibri" w:cstheme="minorHAnsi"/>
          <w:color w:val="000000" w:themeColor="text1"/>
        </w:rPr>
        <w:t xml:space="preserve"> week before EWC.</w:t>
      </w:r>
    </w:p>
    <w:p w14:paraId="3E79C3E4" w14:textId="77777777" w:rsidR="000373FC" w:rsidRPr="002B6F1B" w:rsidRDefault="000373FC" w:rsidP="000373FC">
      <w:pPr>
        <w:pStyle w:val="ListParagraph"/>
        <w:numPr>
          <w:ilvl w:val="0"/>
          <w:numId w:val="7"/>
        </w:numPr>
        <w:rPr>
          <w:rFonts w:eastAsiaTheme="minorEastAsia" w:cstheme="minorHAnsi"/>
          <w:color w:val="000000" w:themeColor="text1"/>
        </w:rPr>
      </w:pPr>
      <w:r w:rsidRPr="002B6F1B">
        <w:rPr>
          <w:rFonts w:eastAsia="Calibri" w:cstheme="minorHAnsi"/>
          <w:color w:val="000000" w:themeColor="text1"/>
        </w:rPr>
        <w:t>Must be the child’s father or be married/partner to the child’s mother.</w:t>
      </w:r>
    </w:p>
    <w:p w14:paraId="605CE8EE" w14:textId="77777777" w:rsidR="000373FC" w:rsidRPr="002B6F1B" w:rsidRDefault="000373FC" w:rsidP="000373FC">
      <w:pPr>
        <w:pStyle w:val="ListParagraph"/>
        <w:numPr>
          <w:ilvl w:val="0"/>
          <w:numId w:val="7"/>
        </w:numPr>
        <w:rPr>
          <w:rFonts w:eastAsiaTheme="minorEastAsia" w:cstheme="minorHAnsi"/>
          <w:color w:val="000000" w:themeColor="text1"/>
        </w:rPr>
      </w:pPr>
      <w:r w:rsidRPr="002B6F1B">
        <w:rPr>
          <w:rFonts w:eastAsia="Calibri" w:cstheme="minorHAnsi"/>
          <w:color w:val="000000" w:themeColor="text1"/>
        </w:rPr>
        <w:t>Expected to be involved with raising the child.</w:t>
      </w:r>
    </w:p>
    <w:p w14:paraId="6760C9E6" w14:textId="77777777" w:rsidR="000373FC" w:rsidRPr="002B6F1B" w:rsidRDefault="000373FC" w:rsidP="000373FC">
      <w:pPr>
        <w:spacing w:line="257" w:lineRule="auto"/>
        <w:rPr>
          <w:rFonts w:cstheme="minorHAnsi"/>
        </w:rPr>
      </w:pPr>
      <w:r w:rsidRPr="002B6F1B">
        <w:rPr>
          <w:rFonts w:eastAsia="Calibri" w:cstheme="minorHAnsi"/>
          <w:color w:val="000000" w:themeColor="text1"/>
        </w:rPr>
        <w:t>Employees can ‘’choose to take either one week’s leave or two consecutive weeks' leave’’ (</w:t>
      </w:r>
      <w:r w:rsidRPr="002B6F1B">
        <w:rPr>
          <w:rFonts w:eastAsia="Calibri" w:cstheme="minorHAnsi"/>
          <w:i/>
          <w:iCs/>
          <w:color w:val="000000" w:themeColor="text1"/>
        </w:rPr>
        <w:t>The Paternity and Adoption Leave Regulations 2002</w:t>
      </w:r>
      <w:r w:rsidRPr="002B6F1B">
        <w:rPr>
          <w:rFonts w:eastAsia="Calibri" w:cstheme="minorHAnsi"/>
          <w:color w:val="000000" w:themeColor="text1"/>
        </w:rPr>
        <w:t>). This leave can be taken within 56 days of the child being born (</w:t>
      </w:r>
      <w:r w:rsidRPr="002B6F1B">
        <w:rPr>
          <w:rFonts w:eastAsia="Calibri" w:cstheme="minorHAnsi"/>
          <w:i/>
          <w:iCs/>
          <w:color w:val="000000" w:themeColor="text1"/>
        </w:rPr>
        <w:t>The Paternity and Adoption Leave Regulations 2002</w:t>
      </w:r>
      <w:r w:rsidRPr="002B6F1B">
        <w:rPr>
          <w:rFonts w:eastAsia="Calibri" w:cstheme="minorHAnsi"/>
          <w:color w:val="000000" w:themeColor="text1"/>
        </w:rPr>
        <w:t>). Contracts of employment continue during paternity leave and the employee is entitled to return to the job at the end of their leave (Daniels, 2019, p. 104).</w:t>
      </w:r>
    </w:p>
    <w:p w14:paraId="072E7BC9" w14:textId="77777777" w:rsidR="000373FC" w:rsidRPr="002B6F1B" w:rsidRDefault="000373FC" w:rsidP="000373FC">
      <w:pPr>
        <w:spacing w:line="257" w:lineRule="auto"/>
        <w:rPr>
          <w:rFonts w:cstheme="minorHAnsi"/>
        </w:rPr>
      </w:pPr>
      <w:r w:rsidRPr="002B6F1B">
        <w:rPr>
          <w:rFonts w:eastAsia="Calibri" w:cstheme="minorHAnsi"/>
          <w:color w:val="000000" w:themeColor="text1"/>
        </w:rPr>
        <w:t>Statutory Adoption Leave is similar to maternity/paternity leave. The match date is used instead of the date the child was born. Other statutory rights available include the right for unpaid time off work for family emergencies, the right for 4 months unpaid parental leave and the right to request flexible working. Employees can request flexible working only once a year and must explain their reasons for wanting this in writing (Taylor and Wilkinson, 2016, p. 39).</w:t>
      </w:r>
    </w:p>
    <w:p w14:paraId="1D4F91D5" w14:textId="77777777" w:rsidR="000373FC" w:rsidRPr="002B6F1B" w:rsidRDefault="000373FC" w:rsidP="000373FC">
      <w:pPr>
        <w:rPr>
          <w:rFonts w:eastAsia="Calibri" w:cstheme="minorHAnsi"/>
          <w:color w:val="000000" w:themeColor="text1"/>
        </w:rPr>
      </w:pPr>
    </w:p>
    <w:p w14:paraId="109A5A9E" w14:textId="77777777" w:rsidR="000373FC" w:rsidRPr="002B6F1B" w:rsidRDefault="000373FC" w:rsidP="000373FC">
      <w:pPr>
        <w:rPr>
          <w:rFonts w:eastAsia="Calibri" w:cstheme="minorHAnsi"/>
          <w:color w:val="000000" w:themeColor="text1"/>
        </w:rPr>
      </w:pPr>
    </w:p>
    <w:p w14:paraId="0C9328C2" w14:textId="77777777" w:rsidR="000373FC" w:rsidRPr="002B6F1B" w:rsidRDefault="000373FC" w:rsidP="000373FC">
      <w:pPr>
        <w:rPr>
          <w:rFonts w:eastAsia="Calibri" w:cstheme="minorHAnsi"/>
          <w:color w:val="000000" w:themeColor="text1"/>
        </w:rPr>
      </w:pPr>
    </w:p>
    <w:p w14:paraId="048F474A" w14:textId="77777777" w:rsidR="000373FC" w:rsidRPr="002B6F1B" w:rsidRDefault="000373FC" w:rsidP="000373FC">
      <w:pPr>
        <w:rPr>
          <w:rFonts w:eastAsia="Calibri" w:cstheme="minorHAnsi"/>
          <w:color w:val="000000" w:themeColor="text1"/>
        </w:rPr>
      </w:pPr>
    </w:p>
    <w:p w14:paraId="07AE86D4" w14:textId="77777777" w:rsidR="000373FC" w:rsidRPr="002B6F1B" w:rsidRDefault="000373FC" w:rsidP="000373FC">
      <w:pPr>
        <w:rPr>
          <w:rFonts w:eastAsia="Calibri" w:cstheme="minorHAnsi"/>
          <w:color w:val="000000" w:themeColor="text1"/>
        </w:rPr>
      </w:pPr>
    </w:p>
    <w:p w14:paraId="4D77152F" w14:textId="77777777" w:rsidR="000373FC" w:rsidRPr="002B6F1B" w:rsidRDefault="000373FC" w:rsidP="000373FC">
      <w:pPr>
        <w:rPr>
          <w:rFonts w:eastAsia="Calibri" w:cstheme="minorHAnsi"/>
          <w:color w:val="000000" w:themeColor="text1"/>
        </w:rPr>
      </w:pPr>
    </w:p>
    <w:p w14:paraId="6C747F51" w14:textId="77777777" w:rsidR="000373FC" w:rsidRPr="002B6F1B" w:rsidRDefault="000373FC" w:rsidP="000373FC">
      <w:pPr>
        <w:rPr>
          <w:rFonts w:eastAsia="Calibri" w:cstheme="minorHAnsi"/>
          <w:color w:val="000000" w:themeColor="text1"/>
        </w:rPr>
      </w:pPr>
    </w:p>
    <w:p w14:paraId="4C453F0F" w14:textId="77777777" w:rsidR="000373FC" w:rsidRPr="002B6F1B" w:rsidRDefault="000373FC" w:rsidP="000373FC">
      <w:pPr>
        <w:rPr>
          <w:rFonts w:eastAsia="Calibri" w:cstheme="minorHAnsi"/>
          <w:color w:val="000000" w:themeColor="text1"/>
        </w:rPr>
      </w:pPr>
    </w:p>
    <w:p w14:paraId="17910D60" w14:textId="77777777" w:rsidR="000373FC" w:rsidRPr="002B6F1B" w:rsidRDefault="000373FC" w:rsidP="000373FC">
      <w:pPr>
        <w:rPr>
          <w:rFonts w:eastAsia="Calibri" w:cstheme="minorHAnsi"/>
          <w:color w:val="000000" w:themeColor="text1"/>
        </w:rPr>
      </w:pPr>
    </w:p>
    <w:p w14:paraId="32BAD712" w14:textId="77777777" w:rsidR="000373FC" w:rsidRPr="002B6F1B" w:rsidRDefault="000373FC" w:rsidP="000373FC">
      <w:pPr>
        <w:rPr>
          <w:rFonts w:eastAsia="Calibri" w:cstheme="minorHAnsi"/>
          <w:color w:val="000000" w:themeColor="text1"/>
        </w:rPr>
      </w:pPr>
    </w:p>
    <w:p w14:paraId="44D9940C" w14:textId="77777777" w:rsidR="000373FC" w:rsidRPr="002B6F1B" w:rsidRDefault="000373FC" w:rsidP="000373FC">
      <w:pPr>
        <w:rPr>
          <w:rFonts w:eastAsia="Calibri" w:cstheme="minorHAnsi"/>
          <w:color w:val="000000" w:themeColor="text1"/>
        </w:rPr>
      </w:pPr>
    </w:p>
    <w:p w14:paraId="6A116746" w14:textId="77777777" w:rsidR="000373FC" w:rsidRPr="002B6F1B" w:rsidRDefault="000373FC" w:rsidP="000373FC">
      <w:pPr>
        <w:rPr>
          <w:rFonts w:eastAsia="Calibri" w:cstheme="minorHAnsi"/>
          <w:color w:val="000000" w:themeColor="text1"/>
        </w:rPr>
      </w:pPr>
    </w:p>
    <w:p w14:paraId="38B3DD3E" w14:textId="77777777" w:rsidR="000373FC" w:rsidRPr="002B6F1B" w:rsidRDefault="000373FC" w:rsidP="000373FC">
      <w:pPr>
        <w:rPr>
          <w:rFonts w:eastAsia="Calibri" w:cstheme="minorHAnsi"/>
          <w:color w:val="000000" w:themeColor="text1"/>
        </w:rPr>
      </w:pPr>
    </w:p>
    <w:p w14:paraId="673B742E" w14:textId="77777777" w:rsidR="000373FC" w:rsidRPr="002B6F1B" w:rsidRDefault="000373FC" w:rsidP="000373FC">
      <w:pPr>
        <w:rPr>
          <w:rFonts w:eastAsia="Calibri" w:cstheme="minorHAnsi"/>
          <w:color w:val="000000" w:themeColor="text1"/>
        </w:rPr>
      </w:pPr>
    </w:p>
    <w:p w14:paraId="6EE4EEB0" w14:textId="77777777" w:rsidR="000373FC" w:rsidRPr="002B6F1B" w:rsidRDefault="000373FC" w:rsidP="000373FC">
      <w:pPr>
        <w:rPr>
          <w:rFonts w:eastAsia="Calibri" w:cstheme="minorHAnsi"/>
          <w:color w:val="000000" w:themeColor="text1"/>
        </w:rPr>
      </w:pPr>
    </w:p>
    <w:p w14:paraId="5FA5B7F1" w14:textId="77777777" w:rsidR="000373FC" w:rsidRPr="002B6F1B" w:rsidRDefault="000373FC" w:rsidP="000373FC">
      <w:pPr>
        <w:rPr>
          <w:rFonts w:eastAsia="Calibri" w:cstheme="minorHAnsi"/>
          <w:color w:val="000000" w:themeColor="text1"/>
        </w:rPr>
      </w:pPr>
    </w:p>
    <w:p w14:paraId="738E88DE" w14:textId="77777777" w:rsidR="000373FC" w:rsidRPr="002B6F1B" w:rsidRDefault="000373FC" w:rsidP="000373FC">
      <w:pPr>
        <w:rPr>
          <w:rFonts w:eastAsia="Calibri" w:cstheme="minorHAnsi"/>
          <w:color w:val="000000" w:themeColor="text1"/>
        </w:rPr>
      </w:pPr>
    </w:p>
    <w:p w14:paraId="3E259134" w14:textId="77777777" w:rsidR="000373FC" w:rsidRPr="002B6F1B" w:rsidRDefault="000373FC" w:rsidP="000373FC">
      <w:pPr>
        <w:rPr>
          <w:rFonts w:eastAsia="Calibri" w:cstheme="minorHAnsi"/>
          <w:color w:val="000000" w:themeColor="text1"/>
        </w:rPr>
      </w:pPr>
    </w:p>
    <w:p w14:paraId="424048BD" w14:textId="77777777" w:rsidR="000373FC" w:rsidRPr="002B6F1B" w:rsidRDefault="000373FC" w:rsidP="000373FC">
      <w:pPr>
        <w:rPr>
          <w:rFonts w:eastAsia="Calibri" w:cstheme="minorHAnsi"/>
          <w:color w:val="000000" w:themeColor="text1"/>
        </w:rPr>
      </w:pPr>
    </w:p>
    <w:p w14:paraId="37335420" w14:textId="77777777" w:rsidR="000373FC" w:rsidRPr="002B6F1B" w:rsidRDefault="000373FC" w:rsidP="000373FC">
      <w:pPr>
        <w:rPr>
          <w:rFonts w:eastAsia="Calibri" w:cstheme="minorHAnsi"/>
          <w:color w:val="000000" w:themeColor="text1"/>
        </w:rPr>
      </w:pPr>
      <w:r w:rsidRPr="002B6F1B">
        <w:rPr>
          <w:rFonts w:eastAsia="Calibri" w:cstheme="minorHAnsi"/>
          <w:b/>
          <w:bCs/>
          <w:color w:val="000000" w:themeColor="text1"/>
          <w:u w:val="single"/>
        </w:rPr>
        <w:t>5. Summarise: (a) the major requirements of health and safety law (b) key legislation supporting equality and diversity in the workplace (c) the concept of implied duties in relation to employee management at work.</w:t>
      </w:r>
    </w:p>
    <w:p w14:paraId="472F24D1"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According to the Health and Safety at Work Act 1974, every employer has a duty to ensure the health, safety and welfare of their employees, as far as reasonably practicable (</w:t>
      </w:r>
      <w:r w:rsidRPr="002B6F1B">
        <w:rPr>
          <w:rFonts w:eastAsia="Calibri" w:cstheme="minorHAnsi"/>
          <w:i/>
          <w:iCs/>
          <w:color w:val="000000" w:themeColor="text1"/>
        </w:rPr>
        <w:t>Health and Safety at Work etc. Act 1974</w:t>
      </w:r>
      <w:r w:rsidRPr="002B6F1B">
        <w:rPr>
          <w:rFonts w:eastAsia="Calibri" w:cstheme="minorHAnsi"/>
          <w:color w:val="000000" w:themeColor="text1"/>
        </w:rPr>
        <w:t xml:space="preserve">).  </w:t>
      </w:r>
    </w:p>
    <w:p w14:paraId="76A453EB"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Duties of the employer include providing safe and adequate plant and equipment, safe premises and/or place of work, competent and safe fellow employees and a safe system of work. Employees have a duty to care for their own and others health and safety and to meet health and safety requirements by cooperating with their employer, when necessary. Employees must also use personal protective equipment as provided, store it correctly and report if it is damaged or lost. They must follow what the employer says about appropriate systems of work, and they must report to their employer of any serious and imminent dangers to health and safety and of any shortcomings in the protections for health and safety as laid out by the employer (Daniels, 2019, pp. 249-251).</w:t>
      </w:r>
    </w:p>
    <w:p w14:paraId="19345117"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One form of legislation that supports equality and diversity in the workplace is the Equality Act 2010. This has replaced 9 major pieces of discrimination and over 100 smaller pieces of discrimination so has harmonised discrimination law and has made it more straightforward. This act protects employees, workers, job applicants and ex-employees (Daniels, 2019, p. 114).</w:t>
      </w:r>
    </w:p>
    <w:p w14:paraId="0717966E"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The protected characteristics include age, disability, gender re-assignment, marriage and civil partnership, pregnancy and maternity, race, religion, sex and sexual orientation. Discrimination against these characteristics is prohibited (Equality Act, 2010). Forms of discrimination include the following:</w:t>
      </w:r>
    </w:p>
    <w:tbl>
      <w:tblPr>
        <w:tblStyle w:val="TableGrid"/>
        <w:tblW w:w="10624" w:type="dxa"/>
        <w:tblLayout w:type="fixed"/>
        <w:tblLook w:val="06A0" w:firstRow="1" w:lastRow="0" w:firstColumn="1" w:lastColumn="0" w:noHBand="1" w:noVBand="1"/>
      </w:tblPr>
      <w:tblGrid>
        <w:gridCol w:w="4500"/>
        <w:gridCol w:w="6124"/>
      </w:tblGrid>
      <w:tr w:rsidR="000373FC" w:rsidRPr="002B6F1B" w14:paraId="04378B7F" w14:textId="77777777" w:rsidTr="00BB635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F2C0D8"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lastRenderedPageBreak/>
              <w:t>Direct Discrimination</w:t>
            </w:r>
          </w:p>
        </w:tc>
        <w:tc>
          <w:tcPr>
            <w:tcW w:w="61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DCF1DD"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Where someone has a protected characteristic and is treated less favourably than someone who does not have a protected characteristic</w:t>
            </w:r>
          </w:p>
        </w:tc>
      </w:tr>
      <w:tr w:rsidR="000373FC" w:rsidRPr="002B6F1B" w14:paraId="1CFA7676" w14:textId="77777777" w:rsidTr="00BB635C">
        <w:trPr>
          <w:trHeight w:val="1515"/>
        </w:trPr>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EF434D"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Associative Discrimination</w:t>
            </w:r>
          </w:p>
        </w:tc>
        <w:tc>
          <w:tcPr>
            <w:tcW w:w="61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F5DBB5"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Direct discrimination to someone who associates themselves with someone who has a protective characteristic (not including marriage/civil partnership and pregnancy/maternity).</w:t>
            </w:r>
          </w:p>
        </w:tc>
      </w:tr>
      <w:tr w:rsidR="000373FC" w:rsidRPr="002B6F1B" w14:paraId="38ECD580" w14:textId="77777777" w:rsidTr="00BB635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9F6030"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Perceptive Discrimination</w:t>
            </w:r>
          </w:p>
        </w:tc>
        <w:tc>
          <w:tcPr>
            <w:tcW w:w="61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39EAAE"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Direct discrimination to someone who is perceived to have a protected characteristic (not including marriage/civil partnership and pregnancy/maternity). However, they may not be part of this group.</w:t>
            </w:r>
          </w:p>
        </w:tc>
      </w:tr>
      <w:tr w:rsidR="000373FC" w:rsidRPr="002B6F1B" w14:paraId="4CA039B6" w14:textId="77777777" w:rsidTr="00BB635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C7637E"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Indirect Discrimination</w:t>
            </w:r>
          </w:p>
        </w:tc>
        <w:tc>
          <w:tcPr>
            <w:tcW w:w="61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40CA5E"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When an employer comes up with a rule/practice that indirectly puts people with a protective characteristic at a disadvantage.</w:t>
            </w:r>
          </w:p>
        </w:tc>
      </w:tr>
      <w:tr w:rsidR="000373FC" w:rsidRPr="002B6F1B" w14:paraId="584DFBD8" w14:textId="77777777" w:rsidTr="00BB635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D2D27C"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Victimisation</w:t>
            </w:r>
          </w:p>
        </w:tc>
        <w:tc>
          <w:tcPr>
            <w:tcW w:w="61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E1B0F1"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When employees are penalised for exercising their rights until the Equality Act 2010.</w:t>
            </w:r>
          </w:p>
        </w:tc>
      </w:tr>
      <w:tr w:rsidR="000373FC" w:rsidRPr="002B6F1B" w14:paraId="584667E8" w14:textId="77777777" w:rsidTr="00BB635C">
        <w:tc>
          <w:tcPr>
            <w:tcW w:w="4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C375B2"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Harassment</w:t>
            </w:r>
          </w:p>
        </w:tc>
        <w:tc>
          <w:tcPr>
            <w:tcW w:w="61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86FA8A" w14:textId="77777777" w:rsidR="000373FC" w:rsidRPr="002B6F1B" w:rsidRDefault="000373FC" w:rsidP="00BB635C">
            <w:pPr>
              <w:spacing w:line="259" w:lineRule="auto"/>
              <w:rPr>
                <w:rFonts w:eastAsia="Calibri" w:cstheme="minorHAnsi"/>
                <w:color w:val="000000" w:themeColor="text1"/>
              </w:rPr>
            </w:pPr>
            <w:r w:rsidRPr="002B6F1B">
              <w:rPr>
                <w:rFonts w:eastAsia="Calibri" w:cstheme="minorHAnsi"/>
                <w:color w:val="000000" w:themeColor="text1"/>
              </w:rPr>
              <w:t>When someone creates an offensive environment related or relevant to a protective characteristic.</w:t>
            </w:r>
          </w:p>
        </w:tc>
      </w:tr>
    </w:tbl>
    <w:p w14:paraId="200D1F14"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(Daniels, 2019, pp. 115-122).</w:t>
      </w:r>
    </w:p>
    <w:p w14:paraId="326DF60B"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Disability discrimination happens when someone is treated less favourably because of their disability and the person discriminating against them cannot give a reasonable justification for this treatment (</w:t>
      </w:r>
      <w:r w:rsidRPr="002B6F1B">
        <w:rPr>
          <w:rFonts w:eastAsia="Calibri" w:cstheme="minorHAnsi"/>
          <w:i/>
          <w:iCs/>
          <w:color w:val="000000" w:themeColor="text1"/>
        </w:rPr>
        <w:t>Equality Act 2010</w:t>
      </w:r>
      <w:r w:rsidRPr="002B6F1B">
        <w:rPr>
          <w:rFonts w:eastAsia="Calibri" w:cstheme="minorHAnsi"/>
          <w:color w:val="000000" w:themeColor="text1"/>
        </w:rPr>
        <w:t>). Reasonable adjustments include when a provision, criterion or practice made by the employer put a disabled person at a disadvantage compared to those who are not disabled. When a physical feature of the place of work puts a disabled person at a disadvantage compared to those who are not disabled. Also, when an auxiliary aid is not put in place by the employer which results in a disabled person at a disadvantage compared to those who are not disabled (</w:t>
      </w:r>
      <w:r w:rsidRPr="002B6F1B">
        <w:rPr>
          <w:rFonts w:eastAsia="Calibri" w:cstheme="minorHAnsi"/>
          <w:i/>
          <w:iCs/>
          <w:color w:val="000000" w:themeColor="text1"/>
        </w:rPr>
        <w:t>Equality Act 2010</w:t>
      </w:r>
      <w:r w:rsidRPr="002B6F1B">
        <w:rPr>
          <w:rFonts w:eastAsia="Calibri" w:cstheme="minorHAnsi"/>
          <w:color w:val="000000" w:themeColor="text1"/>
        </w:rPr>
        <w:t>).</w:t>
      </w:r>
    </w:p>
    <w:p w14:paraId="3F84CB2E"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Other forms of legislation include the EU law who provides protection for part-time workers and fixed-term workers and the UK law provides protection for ex-offenders and union membership or non-membership (Taylor and Wilkinson, 2016, p. 29).</w:t>
      </w:r>
    </w:p>
    <w:p w14:paraId="64736C9D"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Employers must pay wages to the employee for their period of employment. The obligation to provide work is unclear but it can mean that failure to provide work to the employee may lead to the employee not being able to be paid if they rely on something like commission or it can relate to the employee needing work to practice their skills. Employers are obligated to provide accurate and fair references. Employers must look after the health and safety of employees and reimburse employees for any legitimate business expense. Employers are obligated to bring attention to rights that the employee would not be aware of otherwise. An employer must make sure employees are informed of their rights if there is a new development and they need to community this clearly. Employers are obligated to give effective support against bullying during work, respect and employees privacy and to deal with grievances effectively. Both employer and employee must keep their trust and confidence relationship undamaged as without this there can be no successful relationship.</w:t>
      </w:r>
    </w:p>
    <w:p w14:paraId="3B1AB91F"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Employees must follow all reasonable/legal instructions from the employer and co-operate with the employer. They have a duty of fidelity and must also carry out the duties of their contract with care (Daniels, 2019, pp. 52-57).</w:t>
      </w:r>
    </w:p>
    <w:p w14:paraId="0B3CBE4B" w14:textId="77777777" w:rsidR="000373FC" w:rsidRPr="002B6F1B" w:rsidRDefault="000373FC" w:rsidP="000373FC">
      <w:pPr>
        <w:rPr>
          <w:rFonts w:eastAsia="Calibri" w:cstheme="minorHAnsi"/>
          <w:color w:val="000000" w:themeColor="text1"/>
        </w:rPr>
      </w:pPr>
    </w:p>
    <w:p w14:paraId="345D0988" w14:textId="77777777" w:rsidR="000373FC" w:rsidRPr="002B6F1B" w:rsidRDefault="000373FC" w:rsidP="000373FC">
      <w:pPr>
        <w:rPr>
          <w:rFonts w:eastAsia="Calibri" w:cstheme="minorHAnsi"/>
          <w:color w:val="000000" w:themeColor="text1"/>
        </w:rPr>
      </w:pPr>
    </w:p>
    <w:p w14:paraId="7043686A" w14:textId="77777777" w:rsidR="000373FC" w:rsidRPr="002B6F1B" w:rsidRDefault="000373FC" w:rsidP="000373FC">
      <w:pPr>
        <w:rPr>
          <w:rFonts w:eastAsia="Calibri" w:cstheme="minorHAnsi"/>
          <w:color w:val="000000" w:themeColor="text1"/>
        </w:rPr>
      </w:pPr>
    </w:p>
    <w:p w14:paraId="6509ABAF" w14:textId="77777777" w:rsidR="000373FC" w:rsidRPr="002B6F1B" w:rsidRDefault="000373FC" w:rsidP="000373FC">
      <w:pPr>
        <w:rPr>
          <w:rFonts w:eastAsia="Calibri" w:cstheme="minorHAnsi"/>
          <w:color w:val="000000" w:themeColor="text1"/>
        </w:rPr>
      </w:pPr>
    </w:p>
    <w:p w14:paraId="3F0C381C" w14:textId="77777777" w:rsidR="000373FC" w:rsidRPr="002B6F1B" w:rsidRDefault="000373FC" w:rsidP="000373FC">
      <w:pPr>
        <w:rPr>
          <w:rFonts w:eastAsia="Calibri" w:cstheme="minorHAnsi"/>
          <w:color w:val="000000" w:themeColor="text1"/>
        </w:rPr>
      </w:pPr>
    </w:p>
    <w:p w14:paraId="52D1545A" w14:textId="77777777" w:rsidR="000373FC" w:rsidRPr="002B6F1B" w:rsidRDefault="000373FC" w:rsidP="000373FC">
      <w:pPr>
        <w:rPr>
          <w:rFonts w:eastAsia="Calibri" w:cstheme="minorHAnsi"/>
          <w:color w:val="000000" w:themeColor="text1"/>
        </w:rPr>
      </w:pPr>
    </w:p>
    <w:p w14:paraId="439DD3CA" w14:textId="77777777" w:rsidR="000373FC" w:rsidRPr="002B6F1B" w:rsidRDefault="000373FC" w:rsidP="000373FC">
      <w:pPr>
        <w:rPr>
          <w:rFonts w:eastAsia="Calibri" w:cstheme="minorHAnsi"/>
          <w:color w:val="000000" w:themeColor="text1"/>
        </w:rPr>
      </w:pPr>
    </w:p>
    <w:p w14:paraId="18D2D715" w14:textId="77777777" w:rsidR="000373FC" w:rsidRPr="002B6F1B" w:rsidRDefault="000373FC" w:rsidP="000373FC">
      <w:pPr>
        <w:rPr>
          <w:rFonts w:eastAsia="Calibri" w:cstheme="minorHAnsi"/>
          <w:color w:val="000000" w:themeColor="text1"/>
        </w:rPr>
      </w:pPr>
    </w:p>
    <w:p w14:paraId="6B920D47" w14:textId="77777777" w:rsidR="000373FC" w:rsidRPr="002B6F1B" w:rsidRDefault="000373FC" w:rsidP="000373FC">
      <w:pPr>
        <w:rPr>
          <w:rFonts w:eastAsia="Calibri" w:cstheme="minorHAnsi"/>
          <w:color w:val="000000" w:themeColor="text1"/>
        </w:rPr>
      </w:pPr>
    </w:p>
    <w:p w14:paraId="5D145607" w14:textId="77777777" w:rsidR="000373FC" w:rsidRPr="002B6F1B" w:rsidRDefault="000373FC" w:rsidP="000373FC">
      <w:pPr>
        <w:rPr>
          <w:rFonts w:eastAsia="Calibri" w:cstheme="minorHAnsi"/>
          <w:color w:val="000000" w:themeColor="text1"/>
        </w:rPr>
      </w:pPr>
    </w:p>
    <w:p w14:paraId="7035207C" w14:textId="77777777" w:rsidR="000373FC" w:rsidRPr="002B6F1B" w:rsidRDefault="000373FC" w:rsidP="000373FC">
      <w:pPr>
        <w:rPr>
          <w:rFonts w:eastAsia="Calibri" w:cstheme="minorHAnsi"/>
          <w:color w:val="000000" w:themeColor="text1"/>
        </w:rPr>
      </w:pPr>
    </w:p>
    <w:p w14:paraId="412C1C00" w14:textId="77777777" w:rsidR="000373FC" w:rsidRPr="002B6F1B" w:rsidRDefault="000373FC" w:rsidP="000373FC">
      <w:pPr>
        <w:rPr>
          <w:rFonts w:eastAsia="Calibri" w:cstheme="minorHAnsi"/>
          <w:color w:val="000000" w:themeColor="text1"/>
        </w:rPr>
      </w:pPr>
    </w:p>
    <w:p w14:paraId="543AF5A7" w14:textId="77777777" w:rsidR="000373FC" w:rsidRPr="002B6F1B" w:rsidRDefault="000373FC" w:rsidP="000373FC">
      <w:pPr>
        <w:rPr>
          <w:rFonts w:eastAsia="Calibri" w:cstheme="minorHAnsi"/>
          <w:color w:val="000000" w:themeColor="text1"/>
        </w:rPr>
      </w:pPr>
    </w:p>
    <w:p w14:paraId="74EEF6B5" w14:textId="77777777" w:rsidR="000373FC" w:rsidRPr="002B6F1B" w:rsidRDefault="000373FC" w:rsidP="000373FC">
      <w:pPr>
        <w:rPr>
          <w:rFonts w:eastAsia="Calibri" w:cstheme="minorHAnsi"/>
          <w:color w:val="000000" w:themeColor="text1"/>
        </w:rPr>
      </w:pPr>
    </w:p>
    <w:p w14:paraId="0E7B854D" w14:textId="77777777" w:rsidR="000373FC" w:rsidRPr="002B6F1B" w:rsidRDefault="000373FC" w:rsidP="000373FC">
      <w:pPr>
        <w:rPr>
          <w:rFonts w:eastAsia="Calibri" w:cstheme="minorHAnsi"/>
          <w:color w:val="000000" w:themeColor="text1"/>
        </w:rPr>
      </w:pPr>
    </w:p>
    <w:p w14:paraId="33B5A514" w14:textId="77777777" w:rsidR="000373FC" w:rsidRPr="002B6F1B" w:rsidRDefault="000373FC" w:rsidP="000373FC">
      <w:pPr>
        <w:rPr>
          <w:rFonts w:eastAsia="Calibri" w:cstheme="minorHAnsi"/>
          <w:color w:val="000000" w:themeColor="text1"/>
        </w:rPr>
      </w:pPr>
    </w:p>
    <w:p w14:paraId="5A8ABC64" w14:textId="77777777" w:rsidR="000373FC" w:rsidRPr="002B6F1B" w:rsidRDefault="000373FC" w:rsidP="000373FC">
      <w:pPr>
        <w:rPr>
          <w:rFonts w:eastAsia="Calibri" w:cstheme="minorHAnsi"/>
          <w:color w:val="000000" w:themeColor="text1"/>
        </w:rPr>
      </w:pPr>
    </w:p>
    <w:p w14:paraId="176A3726" w14:textId="77777777" w:rsidR="000373FC" w:rsidRPr="002B6F1B" w:rsidRDefault="000373FC" w:rsidP="000373FC">
      <w:pPr>
        <w:rPr>
          <w:rFonts w:eastAsia="Calibri" w:cstheme="minorHAnsi"/>
          <w:color w:val="000000" w:themeColor="text1"/>
        </w:rPr>
      </w:pPr>
    </w:p>
    <w:p w14:paraId="60D27914" w14:textId="77777777" w:rsidR="000373FC" w:rsidRPr="002B6F1B" w:rsidRDefault="000373FC" w:rsidP="000373FC">
      <w:pPr>
        <w:rPr>
          <w:rFonts w:eastAsia="Calibri" w:cstheme="minorHAnsi"/>
          <w:color w:val="000000" w:themeColor="text1"/>
        </w:rPr>
      </w:pPr>
    </w:p>
    <w:p w14:paraId="057BF106" w14:textId="77777777" w:rsidR="000373FC" w:rsidRPr="002B6F1B" w:rsidRDefault="000373FC" w:rsidP="000373FC">
      <w:pPr>
        <w:rPr>
          <w:rFonts w:eastAsia="Calibri" w:cstheme="minorHAnsi"/>
          <w:color w:val="000000" w:themeColor="text1"/>
        </w:rPr>
      </w:pPr>
    </w:p>
    <w:p w14:paraId="7EDA3736" w14:textId="77777777" w:rsidR="000373FC" w:rsidRPr="002B6F1B" w:rsidRDefault="000373FC" w:rsidP="000373FC">
      <w:pPr>
        <w:rPr>
          <w:rFonts w:eastAsia="Calibri" w:cstheme="minorHAnsi"/>
          <w:color w:val="000000" w:themeColor="text1"/>
        </w:rPr>
      </w:pPr>
    </w:p>
    <w:p w14:paraId="14851020" w14:textId="77777777" w:rsidR="000373FC" w:rsidRPr="002B6F1B" w:rsidRDefault="000373FC" w:rsidP="000373FC">
      <w:pPr>
        <w:rPr>
          <w:rFonts w:eastAsia="Calibri" w:cstheme="minorHAnsi"/>
          <w:color w:val="000000" w:themeColor="text1"/>
        </w:rPr>
      </w:pPr>
    </w:p>
    <w:p w14:paraId="4FC858B1" w14:textId="77777777" w:rsidR="000373FC" w:rsidRPr="002B6F1B" w:rsidRDefault="000373FC" w:rsidP="000373FC">
      <w:pPr>
        <w:rPr>
          <w:rFonts w:eastAsia="Calibri" w:cstheme="minorHAnsi"/>
          <w:color w:val="000000" w:themeColor="text1"/>
        </w:rPr>
      </w:pPr>
    </w:p>
    <w:p w14:paraId="53FF5990" w14:textId="77777777" w:rsidR="000373FC" w:rsidRPr="002B6F1B" w:rsidRDefault="000373FC" w:rsidP="000373FC">
      <w:pPr>
        <w:rPr>
          <w:rFonts w:eastAsia="Calibri" w:cstheme="minorHAnsi"/>
          <w:color w:val="000000" w:themeColor="text1"/>
        </w:rPr>
      </w:pPr>
    </w:p>
    <w:p w14:paraId="061BCC4C" w14:textId="77777777" w:rsidR="000373FC" w:rsidRPr="002B6F1B" w:rsidRDefault="000373FC" w:rsidP="000373FC">
      <w:pPr>
        <w:rPr>
          <w:rFonts w:eastAsia="Calibri" w:cstheme="minorHAnsi"/>
          <w:color w:val="000000" w:themeColor="text1"/>
        </w:rPr>
      </w:pPr>
    </w:p>
    <w:p w14:paraId="7379310F" w14:textId="77777777" w:rsidR="000373FC" w:rsidRPr="002B6F1B" w:rsidRDefault="000373FC" w:rsidP="000373FC">
      <w:pPr>
        <w:rPr>
          <w:rFonts w:eastAsia="Calibri" w:cstheme="minorHAnsi"/>
          <w:color w:val="000000" w:themeColor="text1"/>
        </w:rPr>
      </w:pPr>
      <w:r w:rsidRPr="002B6F1B">
        <w:rPr>
          <w:rFonts w:eastAsia="Calibri" w:cstheme="minorHAnsi"/>
          <w:b/>
          <w:bCs/>
          <w:color w:val="000000" w:themeColor="text1"/>
          <w:u w:val="single"/>
        </w:rPr>
        <w:t>6. Explain briefly the main requirements of unfair dismissal law in respect of: (a) capability (b) misconduct (c) grievance.</w:t>
      </w:r>
    </w:p>
    <w:p w14:paraId="0B5C0829"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People who are eligible to claim for unfair dismissals are employees who have continuous service for at least two years, unless started work before the 6</w:t>
      </w:r>
      <w:r w:rsidRPr="002B6F1B">
        <w:rPr>
          <w:rFonts w:eastAsia="Calibri" w:cstheme="minorHAnsi"/>
          <w:color w:val="000000" w:themeColor="text1"/>
          <w:vertAlign w:val="superscript"/>
        </w:rPr>
        <w:t>th</w:t>
      </w:r>
      <w:r w:rsidRPr="002B6F1B">
        <w:rPr>
          <w:rFonts w:eastAsia="Calibri" w:cstheme="minorHAnsi"/>
          <w:color w:val="000000" w:themeColor="text1"/>
        </w:rPr>
        <w:t xml:space="preserve"> April 2012 where only one year of continuous service is needed. Continuous service is not needed if the dismissal was automatically unfair such as discrimination laws. People with illegal contract and people employed in the police service are not eligible.</w:t>
      </w:r>
    </w:p>
    <w:p w14:paraId="64B1BC2C"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lastRenderedPageBreak/>
        <w:t>Capability can be described as skill, relevant qualifications for the position or health. An employer should ensure the employee understands the requirements of the job at recruitment stage/induction, act upon any training the employee needs, clearly explain the penalty for not meeting required standards and assist the employee with further training if the employee still cannot meet the required standards before taking disciplinary action.</w:t>
      </w:r>
    </w:p>
    <w:p w14:paraId="118CD56E"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In regard to ill health, the employer should be aware of the Equality Act 2010, the nature of the illness and consider if the business can cope with the length of absence the employee needs to take for their health (Daniels, 2019, p. 163).</w:t>
      </w:r>
    </w:p>
    <w:p w14:paraId="62E49096"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The two types of misconduct are ordinary misconduct and gross misconduct (Taylor and Wilkinson, 2016, pp. 41-42). Gross misconduct can result in a summary dismissal and examples include theft and assault. Ordinary misconduct is usually dealt with through disciplinary warnings and is a less serious offence. However, if the behaviour continuous and can end in dismissal. Examples include bad language and poor timekeeping (Daniels, 2019, p. 165).</w:t>
      </w:r>
    </w:p>
    <w:p w14:paraId="758BAA19"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Dismissal for misconduct can be fair but the employer must show that they dealt with the situation in a reasonable way. The Burchell Test can be used to determine this. This looks in to whether the employer believed the was guilty or the misconduct, if the employer can base this belief on reasonable grounds and if this decision was come to after a reasonable investigation (Swinn, 2018).</w:t>
      </w:r>
    </w:p>
    <w:p w14:paraId="0A097899"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Organisations should follow the ACAS Code of Practice: Disciplinary and Grievance Procedures. If they do not follow this it is not automatically an unfair dismissal but need good reasons not to follow it.</w:t>
      </w:r>
    </w:p>
    <w:tbl>
      <w:tblPr>
        <w:tblStyle w:val="TableGrid"/>
        <w:tblW w:w="0" w:type="auto"/>
        <w:tblLayout w:type="fixed"/>
        <w:tblLook w:val="06A0" w:firstRow="1" w:lastRow="0" w:firstColumn="1" w:lastColumn="0" w:noHBand="1" w:noVBand="1"/>
      </w:tblPr>
      <w:tblGrid>
        <w:gridCol w:w="1413"/>
        <w:gridCol w:w="8930"/>
      </w:tblGrid>
      <w:tr w:rsidR="000373FC" w:rsidRPr="002B6F1B" w14:paraId="4402C7CF" w14:textId="77777777" w:rsidTr="00BB635C">
        <w:tc>
          <w:tcPr>
            <w:tcW w:w="1413" w:type="dxa"/>
          </w:tcPr>
          <w:p w14:paraId="28642E45" w14:textId="77777777" w:rsidR="000373FC" w:rsidRPr="002B6F1B" w:rsidRDefault="000373FC" w:rsidP="00BB635C">
            <w:pPr>
              <w:spacing w:line="259" w:lineRule="auto"/>
              <w:rPr>
                <w:rFonts w:eastAsia="Calibri" w:cstheme="minorHAnsi"/>
              </w:rPr>
            </w:pPr>
            <w:r w:rsidRPr="002B6F1B">
              <w:rPr>
                <w:rFonts w:eastAsia="Calibri" w:cstheme="minorHAnsi"/>
                <w:lang w:val="en-US"/>
              </w:rPr>
              <w:t>Stage 1</w:t>
            </w:r>
          </w:p>
        </w:tc>
        <w:tc>
          <w:tcPr>
            <w:tcW w:w="8930" w:type="dxa"/>
          </w:tcPr>
          <w:p w14:paraId="264FD8BF" w14:textId="77777777" w:rsidR="000373FC" w:rsidRPr="002B6F1B" w:rsidRDefault="000373FC" w:rsidP="00BB635C">
            <w:pPr>
              <w:pStyle w:val="ListParagraph"/>
              <w:numPr>
                <w:ilvl w:val="0"/>
                <w:numId w:val="6"/>
              </w:numPr>
              <w:spacing w:after="160" w:line="259" w:lineRule="auto"/>
              <w:rPr>
                <w:rFonts w:eastAsiaTheme="minorEastAsia" w:cstheme="minorHAnsi"/>
              </w:rPr>
            </w:pPr>
            <w:r w:rsidRPr="002B6F1B">
              <w:rPr>
                <w:rFonts w:eastAsia="Calibri" w:cstheme="minorHAnsi"/>
                <w:lang w:val="en-US"/>
              </w:rPr>
              <w:t>Written notification from employer to employee explaining grounds for looking in to disciplinary action.</w:t>
            </w:r>
          </w:p>
          <w:p w14:paraId="603ADC65" w14:textId="77777777" w:rsidR="000373FC" w:rsidRPr="002B6F1B" w:rsidRDefault="000373FC" w:rsidP="00BB635C">
            <w:pPr>
              <w:pStyle w:val="ListParagraph"/>
              <w:numPr>
                <w:ilvl w:val="0"/>
                <w:numId w:val="6"/>
              </w:numPr>
              <w:spacing w:after="160" w:line="259" w:lineRule="auto"/>
              <w:rPr>
                <w:rFonts w:eastAsiaTheme="minorEastAsia" w:cstheme="minorHAnsi"/>
              </w:rPr>
            </w:pPr>
            <w:r w:rsidRPr="002B6F1B">
              <w:rPr>
                <w:rFonts w:eastAsia="Calibri" w:cstheme="minorHAnsi"/>
                <w:lang w:val="en-US"/>
              </w:rPr>
              <w:t>Invite to employee to discuss allegations.</w:t>
            </w:r>
          </w:p>
          <w:p w14:paraId="4D25F3B2" w14:textId="77777777" w:rsidR="000373FC" w:rsidRPr="002B6F1B" w:rsidRDefault="000373FC" w:rsidP="00BB635C">
            <w:pPr>
              <w:pStyle w:val="ListParagraph"/>
              <w:numPr>
                <w:ilvl w:val="0"/>
                <w:numId w:val="6"/>
              </w:numPr>
              <w:spacing w:after="160" w:line="259" w:lineRule="auto"/>
              <w:rPr>
                <w:rFonts w:eastAsiaTheme="minorEastAsia" w:cstheme="minorHAnsi"/>
              </w:rPr>
            </w:pPr>
            <w:r w:rsidRPr="002B6F1B">
              <w:rPr>
                <w:rFonts w:eastAsia="Calibri" w:cstheme="minorHAnsi"/>
                <w:lang w:val="en-US"/>
              </w:rPr>
              <w:t>Documents/evidence relied on by employer need to be attached.</w:t>
            </w:r>
          </w:p>
        </w:tc>
      </w:tr>
      <w:tr w:rsidR="000373FC" w:rsidRPr="002B6F1B" w14:paraId="1CEDDE1B" w14:textId="77777777" w:rsidTr="00BB635C">
        <w:tc>
          <w:tcPr>
            <w:tcW w:w="1413" w:type="dxa"/>
          </w:tcPr>
          <w:p w14:paraId="39B8295D" w14:textId="77777777" w:rsidR="000373FC" w:rsidRPr="002B6F1B" w:rsidRDefault="000373FC" w:rsidP="00BB635C">
            <w:pPr>
              <w:spacing w:line="259" w:lineRule="auto"/>
              <w:rPr>
                <w:rFonts w:eastAsia="Calibri" w:cstheme="minorHAnsi"/>
              </w:rPr>
            </w:pPr>
            <w:r w:rsidRPr="002B6F1B">
              <w:rPr>
                <w:rFonts w:eastAsia="Calibri" w:cstheme="minorHAnsi"/>
                <w:lang w:val="en-US"/>
              </w:rPr>
              <w:t>Stage 2</w:t>
            </w:r>
          </w:p>
          <w:p w14:paraId="6917B477" w14:textId="77777777" w:rsidR="000373FC" w:rsidRPr="002B6F1B" w:rsidRDefault="000373FC" w:rsidP="00BB635C">
            <w:pPr>
              <w:spacing w:line="259" w:lineRule="auto"/>
              <w:rPr>
                <w:rFonts w:eastAsia="Calibri" w:cstheme="minorHAnsi"/>
              </w:rPr>
            </w:pPr>
          </w:p>
        </w:tc>
        <w:tc>
          <w:tcPr>
            <w:tcW w:w="8930" w:type="dxa"/>
          </w:tcPr>
          <w:p w14:paraId="4D7337B5" w14:textId="77777777" w:rsidR="000373FC" w:rsidRPr="002B6F1B" w:rsidRDefault="000373FC" w:rsidP="00BB635C">
            <w:pPr>
              <w:pStyle w:val="ListParagraph"/>
              <w:numPr>
                <w:ilvl w:val="0"/>
                <w:numId w:val="5"/>
              </w:numPr>
              <w:spacing w:after="160" w:line="259" w:lineRule="auto"/>
              <w:rPr>
                <w:rFonts w:eastAsiaTheme="minorEastAsia" w:cstheme="minorHAnsi"/>
              </w:rPr>
            </w:pPr>
            <w:r w:rsidRPr="002B6F1B">
              <w:rPr>
                <w:rFonts w:eastAsia="Calibri" w:cstheme="minorHAnsi"/>
                <w:lang w:val="en-US"/>
              </w:rPr>
              <w:t>Meeting held at reasonable time and location for employee.</w:t>
            </w:r>
          </w:p>
          <w:p w14:paraId="582D0BF8" w14:textId="77777777" w:rsidR="000373FC" w:rsidRPr="002B6F1B" w:rsidRDefault="000373FC" w:rsidP="00BB635C">
            <w:pPr>
              <w:pStyle w:val="ListParagraph"/>
              <w:numPr>
                <w:ilvl w:val="0"/>
                <w:numId w:val="5"/>
              </w:numPr>
              <w:spacing w:after="160" w:line="259" w:lineRule="auto"/>
              <w:rPr>
                <w:rFonts w:eastAsiaTheme="minorEastAsia" w:cstheme="minorHAnsi"/>
              </w:rPr>
            </w:pPr>
            <w:r w:rsidRPr="002B6F1B">
              <w:rPr>
                <w:rFonts w:eastAsia="Calibri" w:cstheme="minorHAnsi"/>
                <w:lang w:val="en-US"/>
              </w:rPr>
              <w:t>Give opportunity for employee to explain.</w:t>
            </w:r>
          </w:p>
          <w:p w14:paraId="5331148A" w14:textId="77777777" w:rsidR="000373FC" w:rsidRPr="002B6F1B" w:rsidRDefault="000373FC" w:rsidP="00BB635C">
            <w:pPr>
              <w:pStyle w:val="ListParagraph"/>
              <w:numPr>
                <w:ilvl w:val="0"/>
                <w:numId w:val="5"/>
              </w:numPr>
              <w:spacing w:after="160" w:line="259" w:lineRule="auto"/>
              <w:rPr>
                <w:rFonts w:eastAsiaTheme="minorEastAsia" w:cstheme="minorHAnsi"/>
              </w:rPr>
            </w:pPr>
            <w:r w:rsidRPr="002B6F1B">
              <w:rPr>
                <w:rFonts w:eastAsia="Calibri" w:cstheme="minorHAnsi"/>
                <w:lang w:val="en-US"/>
              </w:rPr>
              <w:t>Inform employee of any disciplinary action after the meeting</w:t>
            </w:r>
          </w:p>
        </w:tc>
      </w:tr>
      <w:tr w:rsidR="000373FC" w:rsidRPr="002B6F1B" w14:paraId="74562596" w14:textId="77777777" w:rsidTr="00BB635C">
        <w:tc>
          <w:tcPr>
            <w:tcW w:w="1413" w:type="dxa"/>
          </w:tcPr>
          <w:p w14:paraId="6C6E81D4" w14:textId="77777777" w:rsidR="000373FC" w:rsidRPr="002B6F1B" w:rsidRDefault="000373FC" w:rsidP="00BB635C">
            <w:pPr>
              <w:spacing w:line="259" w:lineRule="auto"/>
              <w:rPr>
                <w:rFonts w:eastAsia="Calibri" w:cstheme="minorHAnsi"/>
              </w:rPr>
            </w:pPr>
            <w:r w:rsidRPr="002B6F1B">
              <w:rPr>
                <w:rFonts w:eastAsia="Calibri" w:cstheme="minorHAnsi"/>
                <w:lang w:val="en-US"/>
              </w:rPr>
              <w:t>Stage 3</w:t>
            </w:r>
          </w:p>
          <w:p w14:paraId="6677A1EB" w14:textId="77777777" w:rsidR="000373FC" w:rsidRPr="002B6F1B" w:rsidRDefault="000373FC" w:rsidP="00BB635C">
            <w:pPr>
              <w:spacing w:line="259" w:lineRule="auto"/>
              <w:rPr>
                <w:rFonts w:eastAsia="Calibri" w:cstheme="minorHAnsi"/>
              </w:rPr>
            </w:pPr>
          </w:p>
        </w:tc>
        <w:tc>
          <w:tcPr>
            <w:tcW w:w="8930" w:type="dxa"/>
          </w:tcPr>
          <w:p w14:paraId="168B909C" w14:textId="77777777" w:rsidR="000373FC" w:rsidRPr="002B6F1B" w:rsidRDefault="000373FC" w:rsidP="00BB635C">
            <w:pPr>
              <w:pStyle w:val="ListParagraph"/>
              <w:numPr>
                <w:ilvl w:val="0"/>
                <w:numId w:val="4"/>
              </w:numPr>
              <w:spacing w:after="160" w:line="259" w:lineRule="auto"/>
              <w:rPr>
                <w:rFonts w:eastAsiaTheme="minorEastAsia" w:cstheme="minorHAnsi"/>
              </w:rPr>
            </w:pPr>
            <w:r w:rsidRPr="002B6F1B">
              <w:rPr>
                <w:rFonts w:eastAsia="Calibri" w:cstheme="minorHAnsi"/>
                <w:lang w:val="en-US"/>
              </w:rPr>
              <w:t>Employee can appeal against disciplinary action.</w:t>
            </w:r>
          </w:p>
          <w:p w14:paraId="03377B28" w14:textId="77777777" w:rsidR="000373FC" w:rsidRPr="002B6F1B" w:rsidRDefault="000373FC" w:rsidP="00BB635C">
            <w:pPr>
              <w:pStyle w:val="ListParagraph"/>
              <w:numPr>
                <w:ilvl w:val="0"/>
                <w:numId w:val="4"/>
              </w:numPr>
              <w:spacing w:after="160" w:line="259" w:lineRule="auto"/>
              <w:rPr>
                <w:rFonts w:eastAsiaTheme="minorEastAsia" w:cstheme="minorHAnsi"/>
              </w:rPr>
            </w:pPr>
            <w:r w:rsidRPr="002B6F1B">
              <w:rPr>
                <w:rFonts w:eastAsia="Calibri" w:cstheme="minorHAnsi"/>
                <w:lang w:val="en-US"/>
              </w:rPr>
              <w:t>Meeting held at reasonable time and location for employee.</w:t>
            </w:r>
          </w:p>
          <w:p w14:paraId="027C4FC7" w14:textId="77777777" w:rsidR="000373FC" w:rsidRPr="002B6F1B" w:rsidRDefault="000373FC" w:rsidP="00BB635C">
            <w:pPr>
              <w:pStyle w:val="ListParagraph"/>
              <w:numPr>
                <w:ilvl w:val="0"/>
                <w:numId w:val="4"/>
              </w:numPr>
              <w:spacing w:after="160" w:line="259" w:lineRule="auto"/>
              <w:rPr>
                <w:rFonts w:eastAsiaTheme="minorEastAsia" w:cstheme="minorHAnsi"/>
              </w:rPr>
            </w:pPr>
            <w:r w:rsidRPr="002B6F1B">
              <w:rPr>
                <w:rFonts w:eastAsia="Calibri" w:cstheme="minorHAnsi"/>
                <w:lang w:val="en-US"/>
              </w:rPr>
              <w:t>Give opportunity to employee to explain.</w:t>
            </w:r>
          </w:p>
          <w:p w14:paraId="760D3925" w14:textId="77777777" w:rsidR="000373FC" w:rsidRPr="002B6F1B" w:rsidRDefault="000373FC" w:rsidP="00BB635C">
            <w:pPr>
              <w:pStyle w:val="ListParagraph"/>
              <w:numPr>
                <w:ilvl w:val="0"/>
                <w:numId w:val="4"/>
              </w:numPr>
              <w:spacing w:after="160" w:line="259" w:lineRule="auto"/>
              <w:rPr>
                <w:rFonts w:eastAsiaTheme="minorEastAsia" w:cstheme="minorHAnsi"/>
              </w:rPr>
            </w:pPr>
            <w:r w:rsidRPr="002B6F1B">
              <w:rPr>
                <w:rFonts w:eastAsia="Calibri" w:cstheme="minorHAnsi"/>
                <w:lang w:val="en-US"/>
              </w:rPr>
              <w:t>Meeting needs to be heard by a more senior manager than the one wanting to dismiss the employee and they should not have been originally involved in the decision to dismiss the employee originally.</w:t>
            </w:r>
          </w:p>
        </w:tc>
      </w:tr>
    </w:tbl>
    <w:p w14:paraId="27ECEC72"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(Daniels, 2019, p. 171).</w:t>
      </w:r>
    </w:p>
    <w:p w14:paraId="47379C1E"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Fundamental principles include acting promptly/no delays and consistency in addressing disciplinaries. Employers should investigate appropriately and should allow employee to respond to their facts that they investigated before making any decisions. Employees can be accompanied at disciplinary meeting employers should allow the employee to appeal (Daniels, 2019, pp. 171-172).</w:t>
      </w:r>
    </w:p>
    <w:p w14:paraId="3B6D0869"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Warnings can include a verbal warning (but this is not covered by ACAS) (CIPD, 2020c), a formal written warning which lasts 6 months on employee’s record, and a final written warning that lasts 12 months on employee’s record (Daniels, 2019, p. 173).</w:t>
      </w:r>
    </w:p>
    <w:p w14:paraId="60E871FE"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lastRenderedPageBreak/>
        <w:t>Whistle-blowers are given protection from the Public Interest Disclosure Act 1998. A ‘qualifying disclosure’ is central to the act and these can be a criminal offence, not complying with legal obligations, miscarriage of justice, health and safety dangers and causing environmental damage (Taylor and Wilkinson, 2016, p. 45).</w:t>
      </w:r>
    </w:p>
    <w:tbl>
      <w:tblPr>
        <w:tblStyle w:val="TableGrid"/>
        <w:tblW w:w="0" w:type="auto"/>
        <w:tblLayout w:type="fixed"/>
        <w:tblLook w:val="06A0" w:firstRow="1" w:lastRow="0" w:firstColumn="1" w:lastColumn="0" w:noHBand="1" w:noVBand="1"/>
      </w:tblPr>
      <w:tblGrid>
        <w:gridCol w:w="1413"/>
        <w:gridCol w:w="8788"/>
      </w:tblGrid>
      <w:tr w:rsidR="000373FC" w:rsidRPr="002B6F1B" w14:paraId="74267114" w14:textId="77777777" w:rsidTr="00BB635C">
        <w:tc>
          <w:tcPr>
            <w:tcW w:w="1413" w:type="dxa"/>
          </w:tcPr>
          <w:p w14:paraId="506A12E9" w14:textId="77777777" w:rsidR="000373FC" w:rsidRPr="002B6F1B" w:rsidRDefault="000373FC" w:rsidP="00BB635C">
            <w:pPr>
              <w:spacing w:line="259" w:lineRule="auto"/>
              <w:rPr>
                <w:rFonts w:eastAsia="Calibri" w:cstheme="minorHAnsi"/>
              </w:rPr>
            </w:pPr>
            <w:r w:rsidRPr="002B6F1B">
              <w:rPr>
                <w:rFonts w:eastAsia="Calibri" w:cstheme="minorHAnsi"/>
                <w:lang w:val="en-US"/>
              </w:rPr>
              <w:t>Stage 1</w:t>
            </w:r>
          </w:p>
        </w:tc>
        <w:tc>
          <w:tcPr>
            <w:tcW w:w="8788" w:type="dxa"/>
          </w:tcPr>
          <w:p w14:paraId="1064553B" w14:textId="77777777" w:rsidR="000373FC" w:rsidRPr="002B6F1B" w:rsidRDefault="000373FC" w:rsidP="00BB635C">
            <w:pPr>
              <w:pStyle w:val="ListParagraph"/>
              <w:numPr>
                <w:ilvl w:val="0"/>
                <w:numId w:val="3"/>
              </w:numPr>
              <w:spacing w:after="160" w:line="259" w:lineRule="auto"/>
              <w:rPr>
                <w:rFonts w:eastAsiaTheme="minorEastAsia" w:cstheme="minorHAnsi"/>
              </w:rPr>
            </w:pPr>
            <w:r w:rsidRPr="002B6F1B">
              <w:rPr>
                <w:rFonts w:eastAsia="Calibri" w:cstheme="minorHAnsi"/>
                <w:lang w:val="en-US"/>
              </w:rPr>
              <w:t>Employee writes to employer to explain grievance</w:t>
            </w:r>
          </w:p>
        </w:tc>
      </w:tr>
      <w:tr w:rsidR="000373FC" w:rsidRPr="002B6F1B" w14:paraId="7A07FB5E" w14:textId="77777777" w:rsidTr="00BB635C">
        <w:tc>
          <w:tcPr>
            <w:tcW w:w="1413" w:type="dxa"/>
          </w:tcPr>
          <w:p w14:paraId="01CCF266" w14:textId="77777777" w:rsidR="000373FC" w:rsidRPr="002B6F1B" w:rsidRDefault="000373FC" w:rsidP="00BB635C">
            <w:pPr>
              <w:spacing w:line="259" w:lineRule="auto"/>
              <w:rPr>
                <w:rFonts w:eastAsia="Calibri" w:cstheme="minorHAnsi"/>
              </w:rPr>
            </w:pPr>
            <w:r w:rsidRPr="002B6F1B">
              <w:rPr>
                <w:rFonts w:eastAsia="Calibri" w:cstheme="minorHAnsi"/>
                <w:lang w:val="en-US"/>
              </w:rPr>
              <w:t>Stage 2</w:t>
            </w:r>
          </w:p>
          <w:p w14:paraId="2E7BD659" w14:textId="77777777" w:rsidR="000373FC" w:rsidRPr="002B6F1B" w:rsidRDefault="000373FC" w:rsidP="00BB635C">
            <w:pPr>
              <w:spacing w:line="259" w:lineRule="auto"/>
              <w:rPr>
                <w:rFonts w:eastAsia="Calibri" w:cstheme="minorHAnsi"/>
              </w:rPr>
            </w:pPr>
          </w:p>
        </w:tc>
        <w:tc>
          <w:tcPr>
            <w:tcW w:w="8788" w:type="dxa"/>
          </w:tcPr>
          <w:p w14:paraId="5FDADD03" w14:textId="77777777" w:rsidR="000373FC" w:rsidRPr="002B6F1B" w:rsidRDefault="000373FC" w:rsidP="00BB635C">
            <w:pPr>
              <w:pStyle w:val="ListParagraph"/>
              <w:numPr>
                <w:ilvl w:val="0"/>
                <w:numId w:val="2"/>
              </w:numPr>
              <w:spacing w:after="160" w:line="259" w:lineRule="auto"/>
              <w:rPr>
                <w:rFonts w:eastAsiaTheme="minorEastAsia" w:cstheme="minorHAnsi"/>
              </w:rPr>
            </w:pPr>
            <w:r w:rsidRPr="002B6F1B">
              <w:rPr>
                <w:rFonts w:eastAsia="Calibri" w:cstheme="minorHAnsi"/>
                <w:lang w:val="en-US"/>
              </w:rPr>
              <w:t>Employer arranges meeting with employee.</w:t>
            </w:r>
          </w:p>
          <w:p w14:paraId="6A5DB446" w14:textId="77777777" w:rsidR="000373FC" w:rsidRPr="002B6F1B" w:rsidRDefault="000373FC" w:rsidP="00BB635C">
            <w:pPr>
              <w:pStyle w:val="ListParagraph"/>
              <w:numPr>
                <w:ilvl w:val="0"/>
                <w:numId w:val="2"/>
              </w:numPr>
              <w:spacing w:after="160" w:line="259" w:lineRule="auto"/>
              <w:rPr>
                <w:rFonts w:eastAsiaTheme="minorEastAsia" w:cstheme="minorHAnsi"/>
              </w:rPr>
            </w:pPr>
            <w:r w:rsidRPr="002B6F1B">
              <w:rPr>
                <w:rFonts w:eastAsia="Calibri" w:cstheme="minorHAnsi"/>
                <w:lang w:val="en-US"/>
              </w:rPr>
              <w:t>Meeting held at reasonable time and location for employee.</w:t>
            </w:r>
          </w:p>
          <w:p w14:paraId="27D9C8C2" w14:textId="77777777" w:rsidR="000373FC" w:rsidRPr="002B6F1B" w:rsidRDefault="000373FC" w:rsidP="00BB635C">
            <w:pPr>
              <w:pStyle w:val="ListParagraph"/>
              <w:numPr>
                <w:ilvl w:val="0"/>
                <w:numId w:val="2"/>
              </w:numPr>
              <w:spacing w:after="160" w:line="259" w:lineRule="auto"/>
              <w:rPr>
                <w:rFonts w:eastAsiaTheme="minorEastAsia" w:cstheme="minorHAnsi"/>
              </w:rPr>
            </w:pPr>
            <w:r w:rsidRPr="002B6F1B">
              <w:rPr>
                <w:rFonts w:eastAsia="Calibri" w:cstheme="minorHAnsi"/>
                <w:lang w:val="en-US"/>
              </w:rPr>
              <w:t>Give opportunity for employee to explain.</w:t>
            </w:r>
          </w:p>
          <w:p w14:paraId="68F78075" w14:textId="77777777" w:rsidR="000373FC" w:rsidRPr="002B6F1B" w:rsidRDefault="000373FC" w:rsidP="00BB635C">
            <w:pPr>
              <w:pStyle w:val="ListParagraph"/>
              <w:numPr>
                <w:ilvl w:val="0"/>
                <w:numId w:val="2"/>
              </w:numPr>
              <w:spacing w:after="160" w:line="259" w:lineRule="auto"/>
              <w:rPr>
                <w:rFonts w:eastAsiaTheme="minorEastAsia" w:cstheme="minorHAnsi"/>
              </w:rPr>
            </w:pPr>
            <w:r w:rsidRPr="002B6F1B">
              <w:rPr>
                <w:rFonts w:eastAsia="Calibri" w:cstheme="minorHAnsi"/>
                <w:lang w:val="en-US"/>
              </w:rPr>
              <w:t>Employer to inform employee of decision to take or not take action and explain why.</w:t>
            </w:r>
          </w:p>
        </w:tc>
      </w:tr>
      <w:tr w:rsidR="000373FC" w:rsidRPr="002B6F1B" w14:paraId="49AE7DF0" w14:textId="77777777" w:rsidTr="00BB635C">
        <w:tc>
          <w:tcPr>
            <w:tcW w:w="1413" w:type="dxa"/>
          </w:tcPr>
          <w:p w14:paraId="1F433073" w14:textId="77777777" w:rsidR="000373FC" w:rsidRPr="002B6F1B" w:rsidRDefault="000373FC" w:rsidP="00BB635C">
            <w:pPr>
              <w:spacing w:line="259" w:lineRule="auto"/>
              <w:rPr>
                <w:rFonts w:eastAsia="Calibri" w:cstheme="minorHAnsi"/>
              </w:rPr>
            </w:pPr>
            <w:r w:rsidRPr="002B6F1B">
              <w:rPr>
                <w:rFonts w:eastAsia="Calibri" w:cstheme="minorHAnsi"/>
                <w:lang w:val="en-US"/>
              </w:rPr>
              <w:t>Stage 3</w:t>
            </w:r>
          </w:p>
          <w:p w14:paraId="6FA66372" w14:textId="77777777" w:rsidR="000373FC" w:rsidRPr="002B6F1B" w:rsidRDefault="000373FC" w:rsidP="00BB635C">
            <w:pPr>
              <w:spacing w:line="259" w:lineRule="auto"/>
              <w:rPr>
                <w:rFonts w:eastAsia="Calibri" w:cstheme="minorHAnsi"/>
              </w:rPr>
            </w:pPr>
          </w:p>
        </w:tc>
        <w:tc>
          <w:tcPr>
            <w:tcW w:w="8788" w:type="dxa"/>
          </w:tcPr>
          <w:p w14:paraId="5D420B0B" w14:textId="77777777" w:rsidR="000373FC" w:rsidRPr="002B6F1B" w:rsidRDefault="000373FC" w:rsidP="00BB635C">
            <w:pPr>
              <w:pStyle w:val="ListParagraph"/>
              <w:numPr>
                <w:ilvl w:val="0"/>
                <w:numId w:val="1"/>
              </w:numPr>
              <w:spacing w:after="160" w:line="259" w:lineRule="auto"/>
              <w:rPr>
                <w:rFonts w:eastAsiaTheme="minorEastAsia" w:cstheme="minorHAnsi"/>
              </w:rPr>
            </w:pPr>
            <w:r w:rsidRPr="002B6F1B">
              <w:rPr>
                <w:rFonts w:eastAsia="Calibri" w:cstheme="minorHAnsi"/>
                <w:lang w:val="en-US"/>
              </w:rPr>
              <w:t>Employee has the right to appeal against the decision.</w:t>
            </w:r>
          </w:p>
        </w:tc>
      </w:tr>
    </w:tbl>
    <w:p w14:paraId="46222AF7" w14:textId="77777777" w:rsidR="000373FC" w:rsidRPr="002B6F1B" w:rsidRDefault="000373FC" w:rsidP="000373FC">
      <w:pPr>
        <w:rPr>
          <w:rFonts w:eastAsia="Calibri" w:cstheme="minorHAnsi"/>
          <w:color w:val="000000" w:themeColor="text1"/>
        </w:rPr>
      </w:pPr>
    </w:p>
    <w:p w14:paraId="27D72A36"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A more senior manager must hear the appeal is possible and after the appeal the action that is going to be taken must be told to the employee. An employee can bring a grievance claim directly to the Employment Tribunal without raising it to the employer (Daniels, 2019, p. 172).</w:t>
      </w:r>
    </w:p>
    <w:p w14:paraId="047B235A" w14:textId="77777777" w:rsidR="000373FC" w:rsidRPr="002B6F1B" w:rsidRDefault="000373FC" w:rsidP="000373FC">
      <w:pPr>
        <w:rPr>
          <w:rFonts w:eastAsia="Calibri" w:cstheme="minorHAnsi"/>
          <w:color w:val="000000" w:themeColor="text1"/>
        </w:rPr>
      </w:pPr>
      <w:r w:rsidRPr="002B6F1B">
        <w:rPr>
          <w:rFonts w:eastAsia="Calibri" w:cstheme="minorHAnsi"/>
          <w:color w:val="000000" w:themeColor="text1"/>
        </w:rPr>
        <w:t xml:space="preserve">Remedies for unfair dismissals include re-engagement, reinstatement, and compensation. If the employee is reinstated, they return to their previous job and treated the same as before the dismissal. The employee is paid all monies between the dismissal and date they are re-instatement. If the employee is re-engaged, they return to the employer but in a different role. The have the same rights as they would for re-engagement. If the employer fails to follow the Employment Tribunals’ order to reinstate or re-engage </w:t>
      </w:r>
      <w:r>
        <w:rPr>
          <w:rFonts w:eastAsia="Calibri" w:cstheme="minorHAnsi"/>
          <w:color w:val="000000" w:themeColor="text1"/>
        </w:rPr>
        <w:t>t</w:t>
      </w:r>
      <w:r w:rsidRPr="002B6F1B">
        <w:rPr>
          <w:rFonts w:eastAsia="Calibri" w:cstheme="minorHAnsi"/>
          <w:color w:val="000000" w:themeColor="text1"/>
        </w:rPr>
        <w:t>he employee then compensation and an additional award of not less than 26 weeks’ pay (Daniels, 2019, p. 177).</w:t>
      </w:r>
    </w:p>
    <w:p w14:paraId="0307DCFC" w14:textId="77777777" w:rsidR="000373FC" w:rsidRPr="002B6F1B" w:rsidRDefault="000373FC" w:rsidP="000373FC">
      <w:pPr>
        <w:rPr>
          <w:rFonts w:eastAsia="Calibri" w:cstheme="minorHAnsi"/>
          <w:color w:val="000000" w:themeColor="text1"/>
        </w:rPr>
      </w:pPr>
    </w:p>
    <w:p w14:paraId="5FB5663E" w14:textId="77777777" w:rsidR="000373FC" w:rsidRPr="002B6F1B" w:rsidRDefault="000373FC" w:rsidP="000373FC">
      <w:pPr>
        <w:rPr>
          <w:rFonts w:eastAsia="Calibri" w:cstheme="minorHAnsi"/>
          <w:color w:val="000000" w:themeColor="text1"/>
        </w:rPr>
      </w:pPr>
    </w:p>
    <w:p w14:paraId="4D20494B" w14:textId="77777777" w:rsidR="000373FC" w:rsidRPr="002B6F1B" w:rsidRDefault="000373FC" w:rsidP="000373FC">
      <w:pPr>
        <w:rPr>
          <w:rFonts w:cstheme="minorHAnsi"/>
        </w:rPr>
      </w:pPr>
    </w:p>
    <w:p w14:paraId="6AA89AE2" w14:textId="77777777" w:rsidR="000373FC" w:rsidRPr="002B6F1B" w:rsidRDefault="000373FC" w:rsidP="000373FC">
      <w:pPr>
        <w:rPr>
          <w:rFonts w:cstheme="minorHAnsi"/>
        </w:rPr>
      </w:pPr>
    </w:p>
    <w:p w14:paraId="614ACBBB" w14:textId="77777777" w:rsidR="000373FC" w:rsidRPr="002B6F1B" w:rsidRDefault="000373FC" w:rsidP="000373FC">
      <w:pPr>
        <w:rPr>
          <w:rFonts w:cstheme="minorHAnsi"/>
        </w:rPr>
      </w:pPr>
    </w:p>
    <w:p w14:paraId="0D76B9E6" w14:textId="77777777" w:rsidR="000373FC" w:rsidRPr="002B6F1B" w:rsidRDefault="000373FC" w:rsidP="000373FC">
      <w:pPr>
        <w:rPr>
          <w:rFonts w:cstheme="minorHAnsi"/>
        </w:rPr>
      </w:pPr>
    </w:p>
    <w:p w14:paraId="1EC674CA" w14:textId="77777777" w:rsidR="000373FC" w:rsidRPr="002B6F1B" w:rsidRDefault="000373FC" w:rsidP="000373FC">
      <w:pPr>
        <w:rPr>
          <w:rFonts w:cstheme="minorHAnsi"/>
        </w:rPr>
      </w:pPr>
    </w:p>
    <w:p w14:paraId="3E7B20C1" w14:textId="77777777" w:rsidR="000373FC" w:rsidRPr="002B6F1B" w:rsidRDefault="000373FC" w:rsidP="000373FC">
      <w:pPr>
        <w:rPr>
          <w:rFonts w:cstheme="minorHAnsi"/>
        </w:rPr>
      </w:pPr>
    </w:p>
    <w:p w14:paraId="14A46EDF" w14:textId="77777777" w:rsidR="000373FC" w:rsidRPr="002B6F1B" w:rsidRDefault="000373FC" w:rsidP="000373FC">
      <w:pPr>
        <w:rPr>
          <w:rFonts w:cstheme="minorHAnsi"/>
        </w:rPr>
      </w:pPr>
    </w:p>
    <w:p w14:paraId="033E23ED" w14:textId="77777777" w:rsidR="000373FC" w:rsidRPr="002B6F1B" w:rsidRDefault="000373FC" w:rsidP="000373FC">
      <w:pPr>
        <w:rPr>
          <w:rFonts w:cstheme="minorHAnsi"/>
        </w:rPr>
      </w:pPr>
    </w:p>
    <w:p w14:paraId="01F4F672" w14:textId="77777777" w:rsidR="000373FC" w:rsidRPr="002B6F1B" w:rsidRDefault="000373FC" w:rsidP="000373FC">
      <w:pPr>
        <w:rPr>
          <w:rFonts w:cstheme="minorHAnsi"/>
        </w:rPr>
      </w:pPr>
    </w:p>
    <w:p w14:paraId="2D9F2180" w14:textId="77777777" w:rsidR="000373FC" w:rsidRPr="002B6F1B" w:rsidRDefault="000373FC" w:rsidP="000373FC">
      <w:pPr>
        <w:rPr>
          <w:rFonts w:cstheme="minorHAnsi"/>
        </w:rPr>
      </w:pPr>
    </w:p>
    <w:p w14:paraId="4CD4EACF" w14:textId="77777777" w:rsidR="000373FC" w:rsidRPr="002B6F1B" w:rsidRDefault="000373FC" w:rsidP="000373FC">
      <w:pPr>
        <w:rPr>
          <w:rFonts w:cstheme="minorHAnsi"/>
        </w:rPr>
      </w:pPr>
    </w:p>
    <w:p w14:paraId="1F40EC0E" w14:textId="77777777" w:rsidR="000373FC" w:rsidRPr="002B6F1B" w:rsidRDefault="000373FC" w:rsidP="000373FC">
      <w:pPr>
        <w:rPr>
          <w:rFonts w:cstheme="minorHAnsi"/>
        </w:rPr>
      </w:pPr>
    </w:p>
    <w:p w14:paraId="18AC9B4C" w14:textId="77777777" w:rsidR="000373FC" w:rsidRPr="002B6F1B" w:rsidRDefault="000373FC" w:rsidP="000373FC">
      <w:pPr>
        <w:rPr>
          <w:rFonts w:cstheme="minorHAnsi"/>
        </w:rPr>
      </w:pPr>
    </w:p>
    <w:p w14:paraId="30CE6DA7" w14:textId="77777777" w:rsidR="000373FC" w:rsidRPr="002B6F1B" w:rsidRDefault="000373FC" w:rsidP="000373FC">
      <w:pPr>
        <w:rPr>
          <w:rFonts w:cstheme="minorHAnsi"/>
        </w:rPr>
      </w:pPr>
    </w:p>
    <w:p w14:paraId="7A517E99" w14:textId="77777777" w:rsidR="000373FC" w:rsidRPr="002B6F1B" w:rsidRDefault="000373FC" w:rsidP="000373FC">
      <w:pPr>
        <w:rPr>
          <w:rFonts w:cstheme="minorHAnsi"/>
        </w:rPr>
      </w:pPr>
    </w:p>
    <w:p w14:paraId="53E91C9F" w14:textId="77777777" w:rsidR="00AD0F57" w:rsidRDefault="00AD0F57"/>
    <w:sectPr w:rsidR="00AD0F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060B4"/>
    <w:multiLevelType w:val="hybridMultilevel"/>
    <w:tmpl w:val="5E846EAE"/>
    <w:lvl w:ilvl="0" w:tplc="6F14AB5A">
      <w:start w:val="1"/>
      <w:numFmt w:val="bullet"/>
      <w:lvlText w:val=""/>
      <w:lvlJc w:val="left"/>
      <w:pPr>
        <w:ind w:left="720" w:hanging="360"/>
      </w:pPr>
      <w:rPr>
        <w:rFonts w:ascii="Symbol" w:hAnsi="Symbol" w:hint="default"/>
      </w:rPr>
    </w:lvl>
    <w:lvl w:ilvl="1" w:tplc="12466638">
      <w:start w:val="1"/>
      <w:numFmt w:val="bullet"/>
      <w:lvlText w:val="o"/>
      <w:lvlJc w:val="left"/>
      <w:pPr>
        <w:ind w:left="1440" w:hanging="360"/>
      </w:pPr>
      <w:rPr>
        <w:rFonts w:ascii="Courier New" w:hAnsi="Courier New" w:hint="default"/>
      </w:rPr>
    </w:lvl>
    <w:lvl w:ilvl="2" w:tplc="D3424A7C">
      <w:start w:val="1"/>
      <w:numFmt w:val="bullet"/>
      <w:lvlText w:val=""/>
      <w:lvlJc w:val="left"/>
      <w:pPr>
        <w:ind w:left="2160" w:hanging="360"/>
      </w:pPr>
      <w:rPr>
        <w:rFonts w:ascii="Wingdings" w:hAnsi="Wingdings" w:hint="default"/>
      </w:rPr>
    </w:lvl>
    <w:lvl w:ilvl="3" w:tplc="C5804CA0">
      <w:start w:val="1"/>
      <w:numFmt w:val="bullet"/>
      <w:lvlText w:val=""/>
      <w:lvlJc w:val="left"/>
      <w:pPr>
        <w:ind w:left="2880" w:hanging="360"/>
      </w:pPr>
      <w:rPr>
        <w:rFonts w:ascii="Symbol" w:hAnsi="Symbol" w:hint="default"/>
      </w:rPr>
    </w:lvl>
    <w:lvl w:ilvl="4" w:tplc="0410191E">
      <w:start w:val="1"/>
      <w:numFmt w:val="bullet"/>
      <w:lvlText w:val="o"/>
      <w:lvlJc w:val="left"/>
      <w:pPr>
        <w:ind w:left="3600" w:hanging="360"/>
      </w:pPr>
      <w:rPr>
        <w:rFonts w:ascii="Courier New" w:hAnsi="Courier New" w:hint="default"/>
      </w:rPr>
    </w:lvl>
    <w:lvl w:ilvl="5" w:tplc="EDD8F722">
      <w:start w:val="1"/>
      <w:numFmt w:val="bullet"/>
      <w:lvlText w:val=""/>
      <w:lvlJc w:val="left"/>
      <w:pPr>
        <w:ind w:left="4320" w:hanging="360"/>
      </w:pPr>
      <w:rPr>
        <w:rFonts w:ascii="Wingdings" w:hAnsi="Wingdings" w:hint="default"/>
      </w:rPr>
    </w:lvl>
    <w:lvl w:ilvl="6" w:tplc="8A6E2AC6">
      <w:start w:val="1"/>
      <w:numFmt w:val="bullet"/>
      <w:lvlText w:val=""/>
      <w:lvlJc w:val="left"/>
      <w:pPr>
        <w:ind w:left="5040" w:hanging="360"/>
      </w:pPr>
      <w:rPr>
        <w:rFonts w:ascii="Symbol" w:hAnsi="Symbol" w:hint="default"/>
      </w:rPr>
    </w:lvl>
    <w:lvl w:ilvl="7" w:tplc="6D5AB688">
      <w:start w:val="1"/>
      <w:numFmt w:val="bullet"/>
      <w:lvlText w:val="o"/>
      <w:lvlJc w:val="left"/>
      <w:pPr>
        <w:ind w:left="5760" w:hanging="360"/>
      </w:pPr>
      <w:rPr>
        <w:rFonts w:ascii="Courier New" w:hAnsi="Courier New" w:hint="default"/>
      </w:rPr>
    </w:lvl>
    <w:lvl w:ilvl="8" w:tplc="31D8761E">
      <w:start w:val="1"/>
      <w:numFmt w:val="bullet"/>
      <w:lvlText w:val=""/>
      <w:lvlJc w:val="left"/>
      <w:pPr>
        <w:ind w:left="6480" w:hanging="360"/>
      </w:pPr>
      <w:rPr>
        <w:rFonts w:ascii="Wingdings" w:hAnsi="Wingdings" w:hint="default"/>
      </w:rPr>
    </w:lvl>
  </w:abstractNum>
  <w:abstractNum w:abstractNumId="1" w15:restartNumberingAfterBreak="0">
    <w:nsid w:val="2D13620B"/>
    <w:multiLevelType w:val="hybridMultilevel"/>
    <w:tmpl w:val="2B0834C6"/>
    <w:lvl w:ilvl="0" w:tplc="0218A07C">
      <w:start w:val="1"/>
      <w:numFmt w:val="bullet"/>
      <w:lvlText w:val=""/>
      <w:lvlJc w:val="left"/>
      <w:pPr>
        <w:ind w:left="720" w:hanging="360"/>
      </w:pPr>
      <w:rPr>
        <w:rFonts w:ascii="Symbol" w:hAnsi="Symbol" w:hint="default"/>
      </w:rPr>
    </w:lvl>
    <w:lvl w:ilvl="1" w:tplc="4B4E7E6A">
      <w:start w:val="1"/>
      <w:numFmt w:val="bullet"/>
      <w:lvlText w:val="o"/>
      <w:lvlJc w:val="left"/>
      <w:pPr>
        <w:ind w:left="1440" w:hanging="360"/>
      </w:pPr>
      <w:rPr>
        <w:rFonts w:ascii="Courier New" w:hAnsi="Courier New" w:hint="default"/>
      </w:rPr>
    </w:lvl>
    <w:lvl w:ilvl="2" w:tplc="50321680">
      <w:start w:val="1"/>
      <w:numFmt w:val="bullet"/>
      <w:lvlText w:val=""/>
      <w:lvlJc w:val="left"/>
      <w:pPr>
        <w:ind w:left="2160" w:hanging="360"/>
      </w:pPr>
      <w:rPr>
        <w:rFonts w:ascii="Wingdings" w:hAnsi="Wingdings" w:hint="default"/>
      </w:rPr>
    </w:lvl>
    <w:lvl w:ilvl="3" w:tplc="B09E2C30">
      <w:start w:val="1"/>
      <w:numFmt w:val="bullet"/>
      <w:lvlText w:val=""/>
      <w:lvlJc w:val="left"/>
      <w:pPr>
        <w:ind w:left="2880" w:hanging="360"/>
      </w:pPr>
      <w:rPr>
        <w:rFonts w:ascii="Symbol" w:hAnsi="Symbol" w:hint="default"/>
      </w:rPr>
    </w:lvl>
    <w:lvl w:ilvl="4" w:tplc="B646280E">
      <w:start w:val="1"/>
      <w:numFmt w:val="bullet"/>
      <w:lvlText w:val="o"/>
      <w:lvlJc w:val="left"/>
      <w:pPr>
        <w:ind w:left="3600" w:hanging="360"/>
      </w:pPr>
      <w:rPr>
        <w:rFonts w:ascii="Courier New" w:hAnsi="Courier New" w:hint="default"/>
      </w:rPr>
    </w:lvl>
    <w:lvl w:ilvl="5" w:tplc="F408685C">
      <w:start w:val="1"/>
      <w:numFmt w:val="bullet"/>
      <w:lvlText w:val=""/>
      <w:lvlJc w:val="left"/>
      <w:pPr>
        <w:ind w:left="4320" w:hanging="360"/>
      </w:pPr>
      <w:rPr>
        <w:rFonts w:ascii="Wingdings" w:hAnsi="Wingdings" w:hint="default"/>
      </w:rPr>
    </w:lvl>
    <w:lvl w:ilvl="6" w:tplc="0F1CF360">
      <w:start w:val="1"/>
      <w:numFmt w:val="bullet"/>
      <w:lvlText w:val=""/>
      <w:lvlJc w:val="left"/>
      <w:pPr>
        <w:ind w:left="5040" w:hanging="360"/>
      </w:pPr>
      <w:rPr>
        <w:rFonts w:ascii="Symbol" w:hAnsi="Symbol" w:hint="default"/>
      </w:rPr>
    </w:lvl>
    <w:lvl w:ilvl="7" w:tplc="41D4D8A2">
      <w:start w:val="1"/>
      <w:numFmt w:val="bullet"/>
      <w:lvlText w:val="o"/>
      <w:lvlJc w:val="left"/>
      <w:pPr>
        <w:ind w:left="5760" w:hanging="360"/>
      </w:pPr>
      <w:rPr>
        <w:rFonts w:ascii="Courier New" w:hAnsi="Courier New" w:hint="default"/>
      </w:rPr>
    </w:lvl>
    <w:lvl w:ilvl="8" w:tplc="5A40BDDA">
      <w:start w:val="1"/>
      <w:numFmt w:val="bullet"/>
      <w:lvlText w:val=""/>
      <w:lvlJc w:val="left"/>
      <w:pPr>
        <w:ind w:left="6480" w:hanging="360"/>
      </w:pPr>
      <w:rPr>
        <w:rFonts w:ascii="Wingdings" w:hAnsi="Wingdings" w:hint="default"/>
      </w:rPr>
    </w:lvl>
  </w:abstractNum>
  <w:abstractNum w:abstractNumId="2" w15:restartNumberingAfterBreak="0">
    <w:nsid w:val="2D34615E"/>
    <w:multiLevelType w:val="hybridMultilevel"/>
    <w:tmpl w:val="379007CC"/>
    <w:lvl w:ilvl="0" w:tplc="81A2A974">
      <w:start w:val="1"/>
      <w:numFmt w:val="bullet"/>
      <w:lvlText w:val=""/>
      <w:lvlJc w:val="left"/>
      <w:pPr>
        <w:ind w:left="720" w:hanging="360"/>
      </w:pPr>
      <w:rPr>
        <w:rFonts w:ascii="Symbol" w:hAnsi="Symbol" w:hint="default"/>
      </w:rPr>
    </w:lvl>
    <w:lvl w:ilvl="1" w:tplc="3D52CAE0">
      <w:start w:val="1"/>
      <w:numFmt w:val="bullet"/>
      <w:lvlText w:val="o"/>
      <w:lvlJc w:val="left"/>
      <w:pPr>
        <w:ind w:left="1440" w:hanging="360"/>
      </w:pPr>
      <w:rPr>
        <w:rFonts w:ascii="Courier New" w:hAnsi="Courier New" w:hint="default"/>
      </w:rPr>
    </w:lvl>
    <w:lvl w:ilvl="2" w:tplc="6B6ECE64">
      <w:start w:val="1"/>
      <w:numFmt w:val="bullet"/>
      <w:lvlText w:val=""/>
      <w:lvlJc w:val="left"/>
      <w:pPr>
        <w:ind w:left="2160" w:hanging="360"/>
      </w:pPr>
      <w:rPr>
        <w:rFonts w:ascii="Wingdings" w:hAnsi="Wingdings" w:hint="default"/>
      </w:rPr>
    </w:lvl>
    <w:lvl w:ilvl="3" w:tplc="8F1EF638">
      <w:start w:val="1"/>
      <w:numFmt w:val="bullet"/>
      <w:lvlText w:val=""/>
      <w:lvlJc w:val="left"/>
      <w:pPr>
        <w:ind w:left="2880" w:hanging="360"/>
      </w:pPr>
      <w:rPr>
        <w:rFonts w:ascii="Symbol" w:hAnsi="Symbol" w:hint="default"/>
      </w:rPr>
    </w:lvl>
    <w:lvl w:ilvl="4" w:tplc="83FCE1DC">
      <w:start w:val="1"/>
      <w:numFmt w:val="bullet"/>
      <w:lvlText w:val="o"/>
      <w:lvlJc w:val="left"/>
      <w:pPr>
        <w:ind w:left="3600" w:hanging="360"/>
      </w:pPr>
      <w:rPr>
        <w:rFonts w:ascii="Courier New" w:hAnsi="Courier New" w:hint="default"/>
      </w:rPr>
    </w:lvl>
    <w:lvl w:ilvl="5" w:tplc="6A42EB08">
      <w:start w:val="1"/>
      <w:numFmt w:val="bullet"/>
      <w:lvlText w:val=""/>
      <w:lvlJc w:val="left"/>
      <w:pPr>
        <w:ind w:left="4320" w:hanging="360"/>
      </w:pPr>
      <w:rPr>
        <w:rFonts w:ascii="Wingdings" w:hAnsi="Wingdings" w:hint="default"/>
      </w:rPr>
    </w:lvl>
    <w:lvl w:ilvl="6" w:tplc="59F6AF1C">
      <w:start w:val="1"/>
      <w:numFmt w:val="bullet"/>
      <w:lvlText w:val=""/>
      <w:lvlJc w:val="left"/>
      <w:pPr>
        <w:ind w:left="5040" w:hanging="360"/>
      </w:pPr>
      <w:rPr>
        <w:rFonts w:ascii="Symbol" w:hAnsi="Symbol" w:hint="default"/>
      </w:rPr>
    </w:lvl>
    <w:lvl w:ilvl="7" w:tplc="50068CAE">
      <w:start w:val="1"/>
      <w:numFmt w:val="bullet"/>
      <w:lvlText w:val="o"/>
      <w:lvlJc w:val="left"/>
      <w:pPr>
        <w:ind w:left="5760" w:hanging="360"/>
      </w:pPr>
      <w:rPr>
        <w:rFonts w:ascii="Courier New" w:hAnsi="Courier New" w:hint="default"/>
      </w:rPr>
    </w:lvl>
    <w:lvl w:ilvl="8" w:tplc="963E3968">
      <w:start w:val="1"/>
      <w:numFmt w:val="bullet"/>
      <w:lvlText w:val=""/>
      <w:lvlJc w:val="left"/>
      <w:pPr>
        <w:ind w:left="6480" w:hanging="360"/>
      </w:pPr>
      <w:rPr>
        <w:rFonts w:ascii="Wingdings" w:hAnsi="Wingdings" w:hint="default"/>
      </w:rPr>
    </w:lvl>
  </w:abstractNum>
  <w:abstractNum w:abstractNumId="3" w15:restartNumberingAfterBreak="0">
    <w:nsid w:val="446F0B90"/>
    <w:multiLevelType w:val="hybridMultilevel"/>
    <w:tmpl w:val="6C8CD166"/>
    <w:lvl w:ilvl="0" w:tplc="DC60FD3A">
      <w:start w:val="1"/>
      <w:numFmt w:val="bullet"/>
      <w:lvlText w:val=""/>
      <w:lvlJc w:val="left"/>
      <w:pPr>
        <w:ind w:left="720" w:hanging="360"/>
      </w:pPr>
      <w:rPr>
        <w:rFonts w:ascii="Symbol" w:hAnsi="Symbol" w:hint="default"/>
      </w:rPr>
    </w:lvl>
    <w:lvl w:ilvl="1" w:tplc="536E13D0">
      <w:start w:val="1"/>
      <w:numFmt w:val="bullet"/>
      <w:lvlText w:val="o"/>
      <w:lvlJc w:val="left"/>
      <w:pPr>
        <w:ind w:left="1440" w:hanging="360"/>
      </w:pPr>
      <w:rPr>
        <w:rFonts w:ascii="Courier New" w:hAnsi="Courier New" w:hint="default"/>
      </w:rPr>
    </w:lvl>
    <w:lvl w:ilvl="2" w:tplc="6312089C">
      <w:start w:val="1"/>
      <w:numFmt w:val="bullet"/>
      <w:lvlText w:val=""/>
      <w:lvlJc w:val="left"/>
      <w:pPr>
        <w:ind w:left="2160" w:hanging="360"/>
      </w:pPr>
      <w:rPr>
        <w:rFonts w:ascii="Wingdings" w:hAnsi="Wingdings" w:hint="default"/>
      </w:rPr>
    </w:lvl>
    <w:lvl w:ilvl="3" w:tplc="A17238C8">
      <w:start w:val="1"/>
      <w:numFmt w:val="bullet"/>
      <w:lvlText w:val=""/>
      <w:lvlJc w:val="left"/>
      <w:pPr>
        <w:ind w:left="2880" w:hanging="360"/>
      </w:pPr>
      <w:rPr>
        <w:rFonts w:ascii="Symbol" w:hAnsi="Symbol" w:hint="default"/>
      </w:rPr>
    </w:lvl>
    <w:lvl w:ilvl="4" w:tplc="ACBE6142">
      <w:start w:val="1"/>
      <w:numFmt w:val="bullet"/>
      <w:lvlText w:val="o"/>
      <w:lvlJc w:val="left"/>
      <w:pPr>
        <w:ind w:left="3600" w:hanging="360"/>
      </w:pPr>
      <w:rPr>
        <w:rFonts w:ascii="Courier New" w:hAnsi="Courier New" w:hint="default"/>
      </w:rPr>
    </w:lvl>
    <w:lvl w:ilvl="5" w:tplc="8F24E8B4">
      <w:start w:val="1"/>
      <w:numFmt w:val="bullet"/>
      <w:lvlText w:val=""/>
      <w:lvlJc w:val="left"/>
      <w:pPr>
        <w:ind w:left="4320" w:hanging="360"/>
      </w:pPr>
      <w:rPr>
        <w:rFonts w:ascii="Wingdings" w:hAnsi="Wingdings" w:hint="default"/>
      </w:rPr>
    </w:lvl>
    <w:lvl w:ilvl="6" w:tplc="FA9846AE">
      <w:start w:val="1"/>
      <w:numFmt w:val="bullet"/>
      <w:lvlText w:val=""/>
      <w:lvlJc w:val="left"/>
      <w:pPr>
        <w:ind w:left="5040" w:hanging="360"/>
      </w:pPr>
      <w:rPr>
        <w:rFonts w:ascii="Symbol" w:hAnsi="Symbol" w:hint="default"/>
      </w:rPr>
    </w:lvl>
    <w:lvl w:ilvl="7" w:tplc="E754198C">
      <w:start w:val="1"/>
      <w:numFmt w:val="bullet"/>
      <w:lvlText w:val="o"/>
      <w:lvlJc w:val="left"/>
      <w:pPr>
        <w:ind w:left="5760" w:hanging="360"/>
      </w:pPr>
      <w:rPr>
        <w:rFonts w:ascii="Courier New" w:hAnsi="Courier New" w:hint="default"/>
      </w:rPr>
    </w:lvl>
    <w:lvl w:ilvl="8" w:tplc="67EA0848">
      <w:start w:val="1"/>
      <w:numFmt w:val="bullet"/>
      <w:lvlText w:val=""/>
      <w:lvlJc w:val="left"/>
      <w:pPr>
        <w:ind w:left="6480" w:hanging="360"/>
      </w:pPr>
      <w:rPr>
        <w:rFonts w:ascii="Wingdings" w:hAnsi="Wingdings" w:hint="default"/>
      </w:rPr>
    </w:lvl>
  </w:abstractNum>
  <w:abstractNum w:abstractNumId="4" w15:restartNumberingAfterBreak="0">
    <w:nsid w:val="4FE839C6"/>
    <w:multiLevelType w:val="hybridMultilevel"/>
    <w:tmpl w:val="3156F57C"/>
    <w:lvl w:ilvl="0" w:tplc="3A6E1C84">
      <w:start w:val="1"/>
      <w:numFmt w:val="bullet"/>
      <w:lvlText w:val="·"/>
      <w:lvlJc w:val="left"/>
      <w:pPr>
        <w:ind w:left="720" w:hanging="360"/>
      </w:pPr>
      <w:rPr>
        <w:rFonts w:ascii="Symbol" w:hAnsi="Symbol" w:hint="default"/>
      </w:rPr>
    </w:lvl>
    <w:lvl w:ilvl="1" w:tplc="7E585240">
      <w:start w:val="1"/>
      <w:numFmt w:val="bullet"/>
      <w:lvlText w:val="o"/>
      <w:lvlJc w:val="left"/>
      <w:pPr>
        <w:ind w:left="1440" w:hanging="360"/>
      </w:pPr>
      <w:rPr>
        <w:rFonts w:ascii="Courier New" w:hAnsi="Courier New" w:hint="default"/>
      </w:rPr>
    </w:lvl>
    <w:lvl w:ilvl="2" w:tplc="ECEC9C74">
      <w:start w:val="1"/>
      <w:numFmt w:val="bullet"/>
      <w:lvlText w:val=""/>
      <w:lvlJc w:val="left"/>
      <w:pPr>
        <w:ind w:left="2160" w:hanging="360"/>
      </w:pPr>
      <w:rPr>
        <w:rFonts w:ascii="Wingdings" w:hAnsi="Wingdings" w:hint="default"/>
      </w:rPr>
    </w:lvl>
    <w:lvl w:ilvl="3" w:tplc="8C2AB646">
      <w:start w:val="1"/>
      <w:numFmt w:val="bullet"/>
      <w:lvlText w:val=""/>
      <w:lvlJc w:val="left"/>
      <w:pPr>
        <w:ind w:left="2880" w:hanging="360"/>
      </w:pPr>
      <w:rPr>
        <w:rFonts w:ascii="Symbol" w:hAnsi="Symbol" w:hint="default"/>
      </w:rPr>
    </w:lvl>
    <w:lvl w:ilvl="4" w:tplc="4C42D6A0">
      <w:start w:val="1"/>
      <w:numFmt w:val="bullet"/>
      <w:lvlText w:val="o"/>
      <w:lvlJc w:val="left"/>
      <w:pPr>
        <w:ind w:left="3600" w:hanging="360"/>
      </w:pPr>
      <w:rPr>
        <w:rFonts w:ascii="Courier New" w:hAnsi="Courier New" w:hint="default"/>
      </w:rPr>
    </w:lvl>
    <w:lvl w:ilvl="5" w:tplc="5F047564">
      <w:start w:val="1"/>
      <w:numFmt w:val="bullet"/>
      <w:lvlText w:val=""/>
      <w:lvlJc w:val="left"/>
      <w:pPr>
        <w:ind w:left="4320" w:hanging="360"/>
      </w:pPr>
      <w:rPr>
        <w:rFonts w:ascii="Wingdings" w:hAnsi="Wingdings" w:hint="default"/>
      </w:rPr>
    </w:lvl>
    <w:lvl w:ilvl="6" w:tplc="E424F990">
      <w:start w:val="1"/>
      <w:numFmt w:val="bullet"/>
      <w:lvlText w:val=""/>
      <w:lvlJc w:val="left"/>
      <w:pPr>
        <w:ind w:left="5040" w:hanging="360"/>
      </w:pPr>
      <w:rPr>
        <w:rFonts w:ascii="Symbol" w:hAnsi="Symbol" w:hint="default"/>
      </w:rPr>
    </w:lvl>
    <w:lvl w:ilvl="7" w:tplc="8F80CB2A">
      <w:start w:val="1"/>
      <w:numFmt w:val="bullet"/>
      <w:lvlText w:val="o"/>
      <w:lvlJc w:val="left"/>
      <w:pPr>
        <w:ind w:left="5760" w:hanging="360"/>
      </w:pPr>
      <w:rPr>
        <w:rFonts w:ascii="Courier New" w:hAnsi="Courier New" w:hint="default"/>
      </w:rPr>
    </w:lvl>
    <w:lvl w:ilvl="8" w:tplc="B9FC8B04">
      <w:start w:val="1"/>
      <w:numFmt w:val="bullet"/>
      <w:lvlText w:val=""/>
      <w:lvlJc w:val="left"/>
      <w:pPr>
        <w:ind w:left="6480" w:hanging="360"/>
      </w:pPr>
      <w:rPr>
        <w:rFonts w:ascii="Wingdings" w:hAnsi="Wingdings" w:hint="default"/>
      </w:rPr>
    </w:lvl>
  </w:abstractNum>
  <w:abstractNum w:abstractNumId="5" w15:restartNumberingAfterBreak="0">
    <w:nsid w:val="520A147D"/>
    <w:multiLevelType w:val="hybridMultilevel"/>
    <w:tmpl w:val="6434809A"/>
    <w:lvl w:ilvl="0" w:tplc="2C7CE542">
      <w:start w:val="1"/>
      <w:numFmt w:val="bullet"/>
      <w:lvlText w:val="·"/>
      <w:lvlJc w:val="left"/>
      <w:pPr>
        <w:ind w:left="720" w:hanging="360"/>
      </w:pPr>
      <w:rPr>
        <w:rFonts w:ascii="Symbol" w:hAnsi="Symbol" w:hint="default"/>
      </w:rPr>
    </w:lvl>
    <w:lvl w:ilvl="1" w:tplc="BFA48CEE">
      <w:start w:val="1"/>
      <w:numFmt w:val="bullet"/>
      <w:lvlText w:val="o"/>
      <w:lvlJc w:val="left"/>
      <w:pPr>
        <w:ind w:left="1440" w:hanging="360"/>
      </w:pPr>
      <w:rPr>
        <w:rFonts w:ascii="Courier New" w:hAnsi="Courier New" w:hint="default"/>
      </w:rPr>
    </w:lvl>
    <w:lvl w:ilvl="2" w:tplc="2D86E1DE">
      <w:start w:val="1"/>
      <w:numFmt w:val="bullet"/>
      <w:lvlText w:val=""/>
      <w:lvlJc w:val="left"/>
      <w:pPr>
        <w:ind w:left="2160" w:hanging="360"/>
      </w:pPr>
      <w:rPr>
        <w:rFonts w:ascii="Wingdings" w:hAnsi="Wingdings" w:hint="default"/>
      </w:rPr>
    </w:lvl>
    <w:lvl w:ilvl="3" w:tplc="B83C57AC">
      <w:start w:val="1"/>
      <w:numFmt w:val="bullet"/>
      <w:lvlText w:val=""/>
      <w:lvlJc w:val="left"/>
      <w:pPr>
        <w:ind w:left="2880" w:hanging="360"/>
      </w:pPr>
      <w:rPr>
        <w:rFonts w:ascii="Symbol" w:hAnsi="Symbol" w:hint="default"/>
      </w:rPr>
    </w:lvl>
    <w:lvl w:ilvl="4" w:tplc="C2DE77FA">
      <w:start w:val="1"/>
      <w:numFmt w:val="bullet"/>
      <w:lvlText w:val="o"/>
      <w:lvlJc w:val="left"/>
      <w:pPr>
        <w:ind w:left="3600" w:hanging="360"/>
      </w:pPr>
      <w:rPr>
        <w:rFonts w:ascii="Courier New" w:hAnsi="Courier New" w:hint="default"/>
      </w:rPr>
    </w:lvl>
    <w:lvl w:ilvl="5" w:tplc="23200480">
      <w:start w:val="1"/>
      <w:numFmt w:val="bullet"/>
      <w:lvlText w:val=""/>
      <w:lvlJc w:val="left"/>
      <w:pPr>
        <w:ind w:left="4320" w:hanging="360"/>
      </w:pPr>
      <w:rPr>
        <w:rFonts w:ascii="Wingdings" w:hAnsi="Wingdings" w:hint="default"/>
      </w:rPr>
    </w:lvl>
    <w:lvl w:ilvl="6" w:tplc="E73A607E">
      <w:start w:val="1"/>
      <w:numFmt w:val="bullet"/>
      <w:lvlText w:val=""/>
      <w:lvlJc w:val="left"/>
      <w:pPr>
        <w:ind w:left="5040" w:hanging="360"/>
      </w:pPr>
      <w:rPr>
        <w:rFonts w:ascii="Symbol" w:hAnsi="Symbol" w:hint="default"/>
      </w:rPr>
    </w:lvl>
    <w:lvl w:ilvl="7" w:tplc="42865D14">
      <w:start w:val="1"/>
      <w:numFmt w:val="bullet"/>
      <w:lvlText w:val="o"/>
      <w:lvlJc w:val="left"/>
      <w:pPr>
        <w:ind w:left="5760" w:hanging="360"/>
      </w:pPr>
      <w:rPr>
        <w:rFonts w:ascii="Courier New" w:hAnsi="Courier New" w:hint="default"/>
      </w:rPr>
    </w:lvl>
    <w:lvl w:ilvl="8" w:tplc="58F8735E">
      <w:start w:val="1"/>
      <w:numFmt w:val="bullet"/>
      <w:lvlText w:val=""/>
      <w:lvlJc w:val="left"/>
      <w:pPr>
        <w:ind w:left="6480" w:hanging="360"/>
      </w:pPr>
      <w:rPr>
        <w:rFonts w:ascii="Wingdings" w:hAnsi="Wingdings" w:hint="default"/>
      </w:rPr>
    </w:lvl>
  </w:abstractNum>
  <w:abstractNum w:abstractNumId="6" w15:restartNumberingAfterBreak="0">
    <w:nsid w:val="5EFC2C0C"/>
    <w:multiLevelType w:val="hybridMultilevel"/>
    <w:tmpl w:val="25DA5DAE"/>
    <w:lvl w:ilvl="0" w:tplc="36BC14FC">
      <w:start w:val="1"/>
      <w:numFmt w:val="bullet"/>
      <w:lvlText w:val=""/>
      <w:lvlJc w:val="left"/>
      <w:pPr>
        <w:ind w:left="720" w:hanging="360"/>
      </w:pPr>
      <w:rPr>
        <w:rFonts w:ascii="Symbol" w:hAnsi="Symbol" w:hint="default"/>
      </w:rPr>
    </w:lvl>
    <w:lvl w:ilvl="1" w:tplc="5EFC6206">
      <w:start w:val="1"/>
      <w:numFmt w:val="bullet"/>
      <w:lvlText w:val="o"/>
      <w:lvlJc w:val="left"/>
      <w:pPr>
        <w:ind w:left="1440" w:hanging="360"/>
      </w:pPr>
      <w:rPr>
        <w:rFonts w:ascii="Courier New" w:hAnsi="Courier New" w:hint="default"/>
      </w:rPr>
    </w:lvl>
    <w:lvl w:ilvl="2" w:tplc="FD0EBBB6">
      <w:start w:val="1"/>
      <w:numFmt w:val="bullet"/>
      <w:lvlText w:val=""/>
      <w:lvlJc w:val="left"/>
      <w:pPr>
        <w:ind w:left="2160" w:hanging="360"/>
      </w:pPr>
      <w:rPr>
        <w:rFonts w:ascii="Wingdings" w:hAnsi="Wingdings" w:hint="default"/>
      </w:rPr>
    </w:lvl>
    <w:lvl w:ilvl="3" w:tplc="CA28D78E">
      <w:start w:val="1"/>
      <w:numFmt w:val="bullet"/>
      <w:lvlText w:val=""/>
      <w:lvlJc w:val="left"/>
      <w:pPr>
        <w:ind w:left="2880" w:hanging="360"/>
      </w:pPr>
      <w:rPr>
        <w:rFonts w:ascii="Symbol" w:hAnsi="Symbol" w:hint="default"/>
      </w:rPr>
    </w:lvl>
    <w:lvl w:ilvl="4" w:tplc="DA7202CE">
      <w:start w:val="1"/>
      <w:numFmt w:val="bullet"/>
      <w:lvlText w:val="o"/>
      <w:lvlJc w:val="left"/>
      <w:pPr>
        <w:ind w:left="3600" w:hanging="360"/>
      </w:pPr>
      <w:rPr>
        <w:rFonts w:ascii="Courier New" w:hAnsi="Courier New" w:hint="default"/>
      </w:rPr>
    </w:lvl>
    <w:lvl w:ilvl="5" w:tplc="01BCE6DA">
      <w:start w:val="1"/>
      <w:numFmt w:val="bullet"/>
      <w:lvlText w:val=""/>
      <w:lvlJc w:val="left"/>
      <w:pPr>
        <w:ind w:left="4320" w:hanging="360"/>
      </w:pPr>
      <w:rPr>
        <w:rFonts w:ascii="Wingdings" w:hAnsi="Wingdings" w:hint="default"/>
      </w:rPr>
    </w:lvl>
    <w:lvl w:ilvl="6" w:tplc="C0225668">
      <w:start w:val="1"/>
      <w:numFmt w:val="bullet"/>
      <w:lvlText w:val=""/>
      <w:lvlJc w:val="left"/>
      <w:pPr>
        <w:ind w:left="5040" w:hanging="360"/>
      </w:pPr>
      <w:rPr>
        <w:rFonts w:ascii="Symbol" w:hAnsi="Symbol" w:hint="default"/>
      </w:rPr>
    </w:lvl>
    <w:lvl w:ilvl="7" w:tplc="4A96CB64">
      <w:start w:val="1"/>
      <w:numFmt w:val="bullet"/>
      <w:lvlText w:val="o"/>
      <w:lvlJc w:val="left"/>
      <w:pPr>
        <w:ind w:left="5760" w:hanging="360"/>
      </w:pPr>
      <w:rPr>
        <w:rFonts w:ascii="Courier New" w:hAnsi="Courier New" w:hint="default"/>
      </w:rPr>
    </w:lvl>
    <w:lvl w:ilvl="8" w:tplc="529E08D6">
      <w:start w:val="1"/>
      <w:numFmt w:val="bullet"/>
      <w:lvlText w:val=""/>
      <w:lvlJc w:val="left"/>
      <w:pPr>
        <w:ind w:left="6480" w:hanging="360"/>
      </w:pPr>
      <w:rPr>
        <w:rFonts w:ascii="Wingdings" w:hAnsi="Wingdings" w:hint="default"/>
      </w:rPr>
    </w:lvl>
  </w:abstractNum>
  <w:abstractNum w:abstractNumId="7" w15:restartNumberingAfterBreak="0">
    <w:nsid w:val="780706FC"/>
    <w:multiLevelType w:val="hybridMultilevel"/>
    <w:tmpl w:val="3AB6CD06"/>
    <w:lvl w:ilvl="0" w:tplc="02FE130E">
      <w:start w:val="1"/>
      <w:numFmt w:val="bullet"/>
      <w:lvlText w:val=""/>
      <w:lvlJc w:val="left"/>
      <w:pPr>
        <w:ind w:left="720" w:hanging="360"/>
      </w:pPr>
      <w:rPr>
        <w:rFonts w:ascii="Symbol" w:hAnsi="Symbol" w:hint="default"/>
      </w:rPr>
    </w:lvl>
    <w:lvl w:ilvl="1" w:tplc="5FA49598">
      <w:start w:val="1"/>
      <w:numFmt w:val="bullet"/>
      <w:lvlText w:val="o"/>
      <w:lvlJc w:val="left"/>
      <w:pPr>
        <w:ind w:left="1440" w:hanging="360"/>
      </w:pPr>
      <w:rPr>
        <w:rFonts w:ascii="Courier New" w:hAnsi="Courier New" w:hint="default"/>
      </w:rPr>
    </w:lvl>
    <w:lvl w:ilvl="2" w:tplc="757EEF2E">
      <w:start w:val="1"/>
      <w:numFmt w:val="bullet"/>
      <w:lvlText w:val=""/>
      <w:lvlJc w:val="left"/>
      <w:pPr>
        <w:ind w:left="2160" w:hanging="360"/>
      </w:pPr>
      <w:rPr>
        <w:rFonts w:ascii="Wingdings" w:hAnsi="Wingdings" w:hint="default"/>
      </w:rPr>
    </w:lvl>
    <w:lvl w:ilvl="3" w:tplc="40880238">
      <w:start w:val="1"/>
      <w:numFmt w:val="bullet"/>
      <w:lvlText w:val=""/>
      <w:lvlJc w:val="left"/>
      <w:pPr>
        <w:ind w:left="2880" w:hanging="360"/>
      </w:pPr>
      <w:rPr>
        <w:rFonts w:ascii="Symbol" w:hAnsi="Symbol" w:hint="default"/>
      </w:rPr>
    </w:lvl>
    <w:lvl w:ilvl="4" w:tplc="92E25348">
      <w:start w:val="1"/>
      <w:numFmt w:val="bullet"/>
      <w:lvlText w:val="o"/>
      <w:lvlJc w:val="left"/>
      <w:pPr>
        <w:ind w:left="3600" w:hanging="360"/>
      </w:pPr>
      <w:rPr>
        <w:rFonts w:ascii="Courier New" w:hAnsi="Courier New" w:hint="default"/>
      </w:rPr>
    </w:lvl>
    <w:lvl w:ilvl="5" w:tplc="451E0532">
      <w:start w:val="1"/>
      <w:numFmt w:val="bullet"/>
      <w:lvlText w:val=""/>
      <w:lvlJc w:val="left"/>
      <w:pPr>
        <w:ind w:left="4320" w:hanging="360"/>
      </w:pPr>
      <w:rPr>
        <w:rFonts w:ascii="Wingdings" w:hAnsi="Wingdings" w:hint="default"/>
      </w:rPr>
    </w:lvl>
    <w:lvl w:ilvl="6" w:tplc="939E9E06">
      <w:start w:val="1"/>
      <w:numFmt w:val="bullet"/>
      <w:lvlText w:val=""/>
      <w:lvlJc w:val="left"/>
      <w:pPr>
        <w:ind w:left="5040" w:hanging="360"/>
      </w:pPr>
      <w:rPr>
        <w:rFonts w:ascii="Symbol" w:hAnsi="Symbol" w:hint="default"/>
      </w:rPr>
    </w:lvl>
    <w:lvl w:ilvl="7" w:tplc="FB86EBA6">
      <w:start w:val="1"/>
      <w:numFmt w:val="bullet"/>
      <w:lvlText w:val="o"/>
      <w:lvlJc w:val="left"/>
      <w:pPr>
        <w:ind w:left="5760" w:hanging="360"/>
      </w:pPr>
      <w:rPr>
        <w:rFonts w:ascii="Courier New" w:hAnsi="Courier New" w:hint="default"/>
      </w:rPr>
    </w:lvl>
    <w:lvl w:ilvl="8" w:tplc="D1D8D9F0">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3FC"/>
    <w:rsid w:val="000373FC"/>
    <w:rsid w:val="00AD0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CA6F6"/>
  <w15:chartTrackingRefBased/>
  <w15:docId w15:val="{E44256F0-A18C-4C20-B071-38811A2A2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3FC"/>
  </w:style>
  <w:style w:type="paragraph" w:styleId="Heading2">
    <w:name w:val="heading 2"/>
    <w:basedOn w:val="Normal"/>
    <w:next w:val="Normal"/>
    <w:link w:val="Heading2Char"/>
    <w:uiPriority w:val="9"/>
    <w:unhideWhenUsed/>
    <w:qFormat/>
    <w:rsid w:val="000373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73F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0373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373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5372</Words>
  <Characters>30623</Characters>
  <Application>Microsoft Office Word</Application>
  <DocSecurity>0</DocSecurity>
  <Lines>255</Lines>
  <Paragraphs>71</Paragraphs>
  <ScaleCrop>false</ScaleCrop>
  <Company/>
  <LinksUpToDate>false</LinksUpToDate>
  <CharactersWithSpaces>35924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Rachel Beynon (2016038)</dc:creator>
  <cp:keywords/>
  <dc:description/>
  <cp:lastModifiedBy>Elinor Rachel Beynon (2016038)</cp:lastModifiedBy>
  <cp:revision>1</cp:revision>
  <dcterms:created xsi:type="dcterms:W3CDTF">2021-04-19T22:11:00Z</dcterms:created>
  <dcterms:modified xsi:type="dcterms:W3CDTF">2021-04-19T22:11:00Z</dcterms:modified>
</cp:coreProperties>
</file>