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217453">
      <w:pPr>
        <w:shd w:val="clear" w:color="auto" w:fill="FFFFFF"/>
        <w:spacing w:line="240" w:lineRule="auto"/>
        <w:jc w:val="left"/>
        <w:rPr>
          <w:rFonts w:ascii="Arial" w:hAnsi="Arial" w:cs="Arial"/>
          <w:b/>
          <w:bCs/>
          <w:sz w:val="19"/>
          <w:szCs w:val="19"/>
        </w:rPr>
      </w:pPr>
      <w:r>
        <w:rPr>
          <w:rFonts w:ascii="Arial" w:hAnsi="Arial" w:cs="Arial"/>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1B52FED9">
      <w:pPr>
        <w:shd w:val="clear" w:color="auto" w:fill="FFFFFF"/>
        <w:spacing w:line="240" w:lineRule="auto"/>
        <w:jc w:val="left"/>
        <w:rPr>
          <w:rFonts w:ascii="Arial" w:hAnsi="Arial" w:cs="Arial"/>
          <w:b/>
          <w:bCs/>
          <w:sz w:val="19"/>
          <w:szCs w:val="19"/>
        </w:rPr>
      </w:pPr>
    </w:p>
    <w:p w14:paraId="25EF1A91">
      <w:pPr>
        <w:shd w:val="clear" w:color="auto" w:fill="FFFFFF"/>
        <w:spacing w:line="240" w:lineRule="auto"/>
        <w:jc w:val="left"/>
        <w:rPr>
          <w:rFonts w:ascii="Arial" w:hAnsi="Arial" w:cs="Arial"/>
          <w:b/>
          <w:bCs/>
          <w:sz w:val="19"/>
          <w:szCs w:val="19"/>
        </w:rPr>
      </w:pPr>
    </w:p>
    <w:p w14:paraId="0C738D42">
      <w:pPr>
        <w:shd w:val="clear" w:color="auto" w:fill="FFFFFF"/>
        <w:spacing w:line="240" w:lineRule="auto"/>
        <w:jc w:val="left"/>
        <w:rPr>
          <w:rFonts w:ascii="Arial" w:hAnsi="Arial" w:cs="Arial"/>
          <w:b/>
          <w:bCs/>
          <w:sz w:val="19"/>
          <w:szCs w:val="19"/>
        </w:rPr>
      </w:pPr>
    </w:p>
    <w:p w14:paraId="0A046EAA">
      <w:pPr>
        <w:shd w:val="clear" w:color="auto" w:fill="FFFFFF"/>
        <w:spacing w:before="240" w:line="480" w:lineRule="auto"/>
        <w:jc w:val="center"/>
        <w:rPr>
          <w:rFonts w:ascii="Arial" w:hAnsi="Arial" w:cs="Arial"/>
          <w:b/>
          <w:sz w:val="36"/>
          <w:szCs w:val="36"/>
        </w:rPr>
      </w:pPr>
      <w:r>
        <w:rPr>
          <w:rFonts w:ascii="Arial" w:hAnsi="Arial" w:cs="Arial"/>
          <w:b/>
          <w:sz w:val="36"/>
          <w:szCs w:val="36"/>
        </w:rPr>
        <w:t>LCMB7003 Strategic Management</w:t>
      </w:r>
    </w:p>
    <w:p w14:paraId="4205FA4C">
      <w:pPr>
        <w:shd w:val="clear" w:color="auto" w:fill="FFFFFF"/>
        <w:spacing w:before="240" w:line="240" w:lineRule="auto"/>
        <w:jc w:val="center"/>
        <w:rPr>
          <w:rFonts w:ascii="Arial" w:hAnsi="Arial" w:cs="Arial"/>
          <w:b/>
          <w:sz w:val="36"/>
          <w:szCs w:val="36"/>
        </w:rPr>
      </w:pPr>
      <w:r>
        <w:rPr>
          <w:rFonts w:ascii="Arial" w:hAnsi="Arial" w:cs="Arial"/>
          <w:b/>
          <w:sz w:val="36"/>
          <w:szCs w:val="36"/>
        </w:rPr>
        <w:t xml:space="preserve">Programme: Master of Business Management </w:t>
      </w:r>
    </w:p>
    <w:p w14:paraId="6225A9C0">
      <w:pPr>
        <w:shd w:val="clear" w:color="auto" w:fill="FFFFFF"/>
        <w:spacing w:before="240" w:line="240" w:lineRule="auto"/>
        <w:jc w:val="center"/>
        <w:rPr>
          <w:rFonts w:ascii="Arial" w:hAnsi="Arial" w:cs="Arial"/>
          <w:b/>
          <w:sz w:val="36"/>
          <w:szCs w:val="36"/>
        </w:rPr>
      </w:pPr>
      <w:r>
        <w:rPr>
          <w:rFonts w:ascii="Arial" w:hAnsi="Arial" w:cs="Arial"/>
          <w:b/>
          <w:sz w:val="36"/>
          <w:szCs w:val="36"/>
        </w:rPr>
        <w:t>Lecturer:  Zulf Khan</w:t>
      </w:r>
    </w:p>
    <w:p w14:paraId="6655F482">
      <w:pPr>
        <w:shd w:val="clear" w:color="auto" w:fill="FFFFFF"/>
        <w:spacing w:before="240" w:line="240" w:lineRule="auto"/>
        <w:jc w:val="center"/>
        <w:rPr>
          <w:rFonts w:ascii="Arial" w:hAnsi="Arial" w:cs="Arial"/>
          <w:b/>
          <w:sz w:val="36"/>
          <w:szCs w:val="36"/>
        </w:rPr>
      </w:pPr>
      <w:r>
        <w:rPr>
          <w:rFonts w:ascii="Arial" w:hAnsi="Arial" w:cs="Arial"/>
          <w:b/>
          <w:sz w:val="36"/>
          <w:szCs w:val="36"/>
        </w:rPr>
        <w:t>Student name: MD Abdul Kadir Chowdhury</w:t>
      </w:r>
    </w:p>
    <w:p w14:paraId="2F2E97AE">
      <w:pPr>
        <w:shd w:val="clear" w:color="auto" w:fill="FFFFFF"/>
        <w:spacing w:before="240" w:line="240" w:lineRule="auto"/>
        <w:jc w:val="center"/>
        <w:rPr>
          <w:rFonts w:ascii="Arial" w:hAnsi="Arial" w:cs="Arial"/>
          <w:b/>
          <w:sz w:val="36"/>
          <w:szCs w:val="36"/>
        </w:rPr>
      </w:pPr>
      <w:r>
        <w:rPr>
          <w:rFonts w:ascii="Arial" w:hAnsi="Arial" w:cs="Arial"/>
          <w:b/>
          <w:sz w:val="36"/>
          <w:szCs w:val="36"/>
        </w:rPr>
        <w:t>Student ID: 2435894</w:t>
      </w:r>
    </w:p>
    <w:p w14:paraId="59F81904">
      <w:pPr>
        <w:shd w:val="clear" w:color="auto" w:fill="FFFFFF"/>
        <w:spacing w:before="240" w:line="240" w:lineRule="auto"/>
        <w:jc w:val="center"/>
        <w:rPr>
          <w:rFonts w:ascii="Arial" w:hAnsi="Arial" w:cs="Arial"/>
          <w:b/>
          <w:bCs/>
          <w:sz w:val="36"/>
          <w:szCs w:val="36"/>
        </w:rPr>
      </w:pPr>
      <w:bookmarkStart w:id="34" w:name="_GoBack"/>
      <w:bookmarkEnd w:id="34"/>
    </w:p>
    <w:p w14:paraId="66C9B401">
      <w:pPr>
        <w:shd w:val="clear" w:color="auto" w:fill="FFFFFF"/>
        <w:spacing w:line="240" w:lineRule="auto"/>
        <w:jc w:val="left"/>
        <w:rPr>
          <w:rFonts w:ascii="Arial" w:hAnsi="Arial" w:cs="Arial"/>
          <w:b/>
          <w:bCs/>
          <w:sz w:val="19"/>
          <w:szCs w:val="19"/>
        </w:rPr>
      </w:pPr>
    </w:p>
    <w:p w14:paraId="7A9D994A">
      <w:pPr>
        <w:shd w:val="clear" w:color="auto" w:fill="FFFFFF"/>
        <w:spacing w:line="240" w:lineRule="auto"/>
        <w:jc w:val="left"/>
        <w:rPr>
          <w:rFonts w:ascii="Arial" w:hAnsi="Arial" w:cs="Arial"/>
          <w:b/>
          <w:bCs/>
          <w:sz w:val="19"/>
          <w:szCs w:val="19"/>
        </w:rPr>
      </w:pPr>
    </w:p>
    <w:p w14:paraId="375E5158">
      <w:pPr>
        <w:shd w:val="clear" w:color="auto" w:fill="FFFFFF"/>
        <w:spacing w:line="240" w:lineRule="auto"/>
        <w:jc w:val="left"/>
        <w:rPr>
          <w:rFonts w:ascii="Arial" w:hAnsi="Arial" w:cs="Arial"/>
          <w:b/>
          <w:bCs/>
          <w:sz w:val="19"/>
          <w:szCs w:val="19"/>
        </w:rPr>
      </w:pPr>
    </w:p>
    <w:p w14:paraId="18FA60DB">
      <w:pPr>
        <w:spacing w:before="240" w:after="240"/>
        <w:rPr>
          <w:rFonts w:ascii="Arial" w:hAnsi="Arial" w:cs="Arial"/>
          <w:b/>
          <w:bCs/>
          <w:sz w:val="19"/>
          <w:szCs w:val="19"/>
        </w:rPr>
      </w:pPr>
      <w:r>
        <w:rPr>
          <w:rFonts w:ascii="Arial" w:hAnsi="Arial" w:cs="Arial"/>
          <w:b/>
          <w:bCs/>
          <w:sz w:val="19"/>
          <w:szCs w:val="19"/>
        </w:rPr>
        <w:br w:type="page"/>
      </w:r>
    </w:p>
    <w:sdt>
      <w:sdtPr>
        <w:rPr>
          <w:rFonts w:ascii="Arial" w:hAnsi="Arial" w:eastAsia="Times New Roman" w:cs="Arial"/>
          <w:color w:val="auto"/>
          <w:sz w:val="24"/>
          <w:szCs w:val="22"/>
          <w:lang w:val="en-GB" w:eastAsia="en-GB"/>
        </w:rPr>
        <w:id w:val="-1948079265"/>
        <w:docPartObj>
          <w:docPartGallery w:val="Table of Contents"/>
          <w:docPartUnique/>
        </w:docPartObj>
      </w:sdtPr>
      <w:sdtEndPr>
        <w:rPr>
          <w:rFonts w:ascii="Arial" w:hAnsi="Arial" w:eastAsia="Times New Roman" w:cs="Arial"/>
          <w:b/>
          <w:bCs/>
          <w:color w:val="auto"/>
          <w:sz w:val="24"/>
          <w:szCs w:val="22"/>
          <w:lang w:val="en-GB" w:eastAsia="en-GB"/>
        </w:rPr>
      </w:sdtEndPr>
      <w:sdtContent>
        <w:p w14:paraId="0AB7D6D2">
          <w:pPr>
            <w:pStyle w:val="29"/>
            <w:jc w:val="center"/>
            <w:rPr>
              <w:rFonts w:ascii="Arial" w:hAnsi="Arial" w:cs="Arial"/>
              <w:b/>
              <w:bCs/>
              <w:color w:val="auto"/>
            </w:rPr>
          </w:pPr>
          <w:r>
            <w:rPr>
              <w:rFonts w:ascii="Arial" w:hAnsi="Arial" w:cs="Arial"/>
              <w:b/>
              <w:bCs/>
              <w:color w:val="auto"/>
            </w:rPr>
            <w:t>Table of Contents</w:t>
          </w:r>
        </w:p>
        <w:p w14:paraId="2452B0D6">
          <w:pPr>
            <w:pStyle w:val="16"/>
            <w:tabs>
              <w:tab w:val="right" w:leader="dot" w:pos="9016"/>
            </w:tabs>
            <w:rPr>
              <w:rFonts w:ascii="Arial" w:hAnsi="Arial" w:cs="Arial" w:eastAsiaTheme="minorEastAsia"/>
              <w:sz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"_Toc223942496" </w:instrText>
          </w:r>
          <w:r>
            <w:fldChar w:fldCharType="separate"/>
          </w:r>
          <w:r>
            <w:rPr>
              <w:rStyle w:val="12"/>
              <w:rFonts w:ascii="Arial" w:hAnsi="Arial" w:cs="Arial"/>
              <w:color w:val="auto"/>
            </w:rPr>
            <w:t>Section 1</w:t>
          </w:r>
          <w:r>
            <w:rPr>
              <w:rFonts w:ascii="Arial" w:hAnsi="Arial" w:cs="Arial"/>
            </w:rPr>
            <w:tab/>
          </w:r>
          <w:r>
            <w:rPr>
              <w:rFonts w:ascii="Arial" w:hAnsi="Arial" w:cs="Arial"/>
            </w:rPr>
            <w:fldChar w:fldCharType="begin"/>
          </w:r>
          <w:r>
            <w:rPr>
              <w:rFonts w:ascii="Arial" w:hAnsi="Arial" w:cs="Arial"/>
            </w:rPr>
            <w:instrText xml:space="preserve"> PAGEREF _Toc223942496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14:paraId="02ECEB70">
          <w:pPr>
            <w:pStyle w:val="16"/>
            <w:tabs>
              <w:tab w:val="right" w:leader="dot" w:pos="9016"/>
            </w:tabs>
            <w:rPr>
              <w:rFonts w:ascii="Arial" w:hAnsi="Arial" w:cs="Arial" w:eastAsiaTheme="minorEastAsia"/>
              <w:sz w:val="22"/>
            </w:rPr>
          </w:pPr>
          <w:r>
            <w:fldChar w:fldCharType="begin"/>
          </w:r>
          <w:r>
            <w:instrText xml:space="preserve"> HYPERLINK \l "_Toc223942497" </w:instrText>
          </w:r>
          <w:r>
            <w:fldChar w:fldCharType="separate"/>
          </w:r>
          <w:r>
            <w:rPr>
              <w:rStyle w:val="12"/>
              <w:rFonts w:ascii="Arial" w:hAnsi="Arial" w:cs="Arial"/>
              <w:color w:val="auto"/>
            </w:rPr>
            <w:t>1. Organisational Context and Overview</w:t>
          </w:r>
          <w:r>
            <w:rPr>
              <w:rFonts w:ascii="Arial" w:hAnsi="Arial" w:cs="Arial"/>
            </w:rPr>
            <w:tab/>
          </w:r>
          <w:r>
            <w:rPr>
              <w:rFonts w:ascii="Arial" w:hAnsi="Arial" w:cs="Arial"/>
            </w:rPr>
            <w:fldChar w:fldCharType="begin"/>
          </w:r>
          <w:r>
            <w:rPr>
              <w:rFonts w:ascii="Arial" w:hAnsi="Arial" w:cs="Arial"/>
            </w:rPr>
            <w:instrText xml:space="preserve"> PAGEREF _Toc223942497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14:paraId="3323103C">
          <w:pPr>
            <w:pStyle w:val="17"/>
            <w:tabs>
              <w:tab w:val="right" w:leader="dot" w:pos="9016"/>
            </w:tabs>
            <w:rPr>
              <w:rFonts w:ascii="Arial" w:hAnsi="Arial" w:cs="Arial" w:eastAsiaTheme="minorEastAsia"/>
              <w:sz w:val="22"/>
            </w:rPr>
          </w:pPr>
          <w:r>
            <w:fldChar w:fldCharType="begin"/>
          </w:r>
          <w:r>
            <w:instrText xml:space="preserve"> HYPERLINK \l "_Toc223942498" </w:instrText>
          </w:r>
          <w:r>
            <w:fldChar w:fldCharType="separate"/>
          </w:r>
          <w:r>
            <w:rPr>
              <w:rStyle w:val="12"/>
              <w:rFonts w:ascii="Arial" w:hAnsi="Arial" w:cs="Arial"/>
              <w:color w:val="auto"/>
            </w:rPr>
            <w:t>1.1 GSK Overview</w:t>
          </w:r>
          <w:r>
            <w:rPr>
              <w:rFonts w:ascii="Arial" w:hAnsi="Arial" w:cs="Arial"/>
            </w:rPr>
            <w:tab/>
          </w:r>
          <w:r>
            <w:rPr>
              <w:rFonts w:ascii="Arial" w:hAnsi="Arial" w:cs="Arial"/>
            </w:rPr>
            <w:fldChar w:fldCharType="begin"/>
          </w:r>
          <w:r>
            <w:rPr>
              <w:rFonts w:ascii="Arial" w:hAnsi="Arial" w:cs="Arial"/>
            </w:rPr>
            <w:instrText xml:space="preserve"> PAGEREF _Toc223942498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14:paraId="6B020153">
          <w:pPr>
            <w:pStyle w:val="17"/>
            <w:tabs>
              <w:tab w:val="right" w:leader="dot" w:pos="9016"/>
            </w:tabs>
            <w:rPr>
              <w:rFonts w:ascii="Arial" w:hAnsi="Arial" w:cs="Arial" w:eastAsiaTheme="minorEastAsia"/>
              <w:sz w:val="22"/>
            </w:rPr>
          </w:pPr>
          <w:r>
            <w:fldChar w:fldCharType="begin"/>
          </w:r>
          <w:r>
            <w:instrText xml:space="preserve"> HYPERLINK \l "_Toc223942499" </w:instrText>
          </w:r>
          <w:r>
            <w:fldChar w:fldCharType="separate"/>
          </w:r>
          <w:r>
            <w:rPr>
              <w:rStyle w:val="12"/>
              <w:rFonts w:ascii="Arial" w:hAnsi="Arial" w:cs="Arial"/>
              <w:color w:val="auto"/>
            </w:rPr>
            <w:t>1.2 Market Position</w:t>
          </w:r>
          <w:r>
            <w:rPr>
              <w:rFonts w:ascii="Arial" w:hAnsi="Arial" w:cs="Arial"/>
            </w:rPr>
            <w:tab/>
          </w:r>
          <w:r>
            <w:rPr>
              <w:rFonts w:ascii="Arial" w:hAnsi="Arial" w:cs="Arial"/>
            </w:rPr>
            <w:fldChar w:fldCharType="begin"/>
          </w:r>
          <w:r>
            <w:rPr>
              <w:rFonts w:ascii="Arial" w:hAnsi="Arial" w:cs="Arial"/>
            </w:rPr>
            <w:instrText xml:space="preserve"> PAGEREF _Toc223942499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14:paraId="52733D9B">
          <w:pPr>
            <w:pStyle w:val="16"/>
            <w:tabs>
              <w:tab w:val="right" w:leader="dot" w:pos="9016"/>
            </w:tabs>
            <w:rPr>
              <w:rFonts w:ascii="Arial" w:hAnsi="Arial" w:cs="Arial" w:eastAsiaTheme="minorEastAsia"/>
              <w:sz w:val="22"/>
            </w:rPr>
          </w:pPr>
          <w:r>
            <w:fldChar w:fldCharType="begin"/>
          </w:r>
          <w:r>
            <w:instrText xml:space="preserve"> HYPERLINK \l "_Toc223942500" </w:instrText>
          </w:r>
          <w:r>
            <w:fldChar w:fldCharType="separate"/>
          </w:r>
          <w:r>
            <w:rPr>
              <w:rStyle w:val="12"/>
              <w:rFonts w:ascii="Arial" w:hAnsi="Arial" w:cs="Arial"/>
              <w:color w:val="auto"/>
            </w:rPr>
            <w:t>2. External and Internal Environment Analysis</w:t>
          </w:r>
          <w:r>
            <w:rPr>
              <w:rFonts w:ascii="Arial" w:hAnsi="Arial" w:cs="Arial"/>
            </w:rPr>
            <w:tab/>
          </w:r>
          <w:r>
            <w:rPr>
              <w:rFonts w:ascii="Arial" w:hAnsi="Arial" w:cs="Arial"/>
            </w:rPr>
            <w:fldChar w:fldCharType="begin"/>
          </w:r>
          <w:r>
            <w:rPr>
              <w:rFonts w:ascii="Arial" w:hAnsi="Arial" w:cs="Arial"/>
            </w:rPr>
            <w:instrText xml:space="preserve"> PAGEREF _Toc223942500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14:paraId="4D22AE39">
          <w:pPr>
            <w:pStyle w:val="17"/>
            <w:tabs>
              <w:tab w:val="right" w:leader="dot" w:pos="9016"/>
            </w:tabs>
            <w:rPr>
              <w:rFonts w:ascii="Arial" w:hAnsi="Arial" w:cs="Arial" w:eastAsiaTheme="minorEastAsia"/>
              <w:sz w:val="22"/>
            </w:rPr>
          </w:pPr>
          <w:r>
            <w:fldChar w:fldCharType="begin"/>
          </w:r>
          <w:r>
            <w:instrText xml:space="preserve"> HYPERLINK \l "_Toc223942501" </w:instrText>
          </w:r>
          <w:r>
            <w:fldChar w:fldCharType="separate"/>
          </w:r>
          <w:r>
            <w:rPr>
              <w:rStyle w:val="12"/>
              <w:rFonts w:ascii="Arial" w:hAnsi="Arial" w:cs="Arial"/>
              <w:color w:val="auto"/>
            </w:rPr>
            <w:t>2.1 Pestel Analyss of GSK</w:t>
          </w:r>
          <w:r>
            <w:rPr>
              <w:rFonts w:ascii="Arial" w:hAnsi="Arial" w:cs="Arial"/>
            </w:rPr>
            <w:tab/>
          </w:r>
          <w:r>
            <w:rPr>
              <w:rFonts w:ascii="Arial" w:hAnsi="Arial" w:cs="Arial"/>
            </w:rPr>
            <w:fldChar w:fldCharType="begin"/>
          </w:r>
          <w:r>
            <w:rPr>
              <w:rFonts w:ascii="Arial" w:hAnsi="Arial" w:cs="Arial"/>
            </w:rPr>
            <w:instrText xml:space="preserve"> PAGEREF _Toc223942501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14:paraId="1D63A885">
          <w:pPr>
            <w:pStyle w:val="17"/>
            <w:tabs>
              <w:tab w:val="right" w:leader="dot" w:pos="9016"/>
            </w:tabs>
            <w:rPr>
              <w:rFonts w:ascii="Arial" w:hAnsi="Arial" w:cs="Arial" w:eastAsiaTheme="minorEastAsia"/>
              <w:sz w:val="22"/>
            </w:rPr>
          </w:pPr>
          <w:r>
            <w:fldChar w:fldCharType="begin"/>
          </w:r>
          <w:r>
            <w:instrText xml:space="preserve"> HYPERLINK \l "_Toc223942502" </w:instrText>
          </w:r>
          <w:r>
            <w:fldChar w:fldCharType="separate"/>
          </w:r>
          <w:r>
            <w:rPr>
              <w:rStyle w:val="12"/>
              <w:rFonts w:ascii="Arial" w:hAnsi="Arial" w:cs="Arial"/>
              <w:color w:val="auto"/>
            </w:rPr>
            <w:t>2.2 Critical Success Factors and Strategic Challenges in the External Environment</w:t>
          </w:r>
          <w:r>
            <w:rPr>
              <w:rFonts w:ascii="Arial" w:hAnsi="Arial" w:cs="Arial"/>
            </w:rPr>
            <w:tab/>
          </w:r>
          <w:r>
            <w:rPr>
              <w:rFonts w:ascii="Arial" w:hAnsi="Arial" w:cs="Arial"/>
            </w:rPr>
            <w:fldChar w:fldCharType="begin"/>
          </w:r>
          <w:r>
            <w:rPr>
              <w:rFonts w:ascii="Arial" w:hAnsi="Arial" w:cs="Arial"/>
            </w:rPr>
            <w:instrText xml:space="preserve"> PAGEREF _Toc223942502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14:paraId="44F300AE">
          <w:pPr>
            <w:pStyle w:val="18"/>
            <w:tabs>
              <w:tab w:val="right" w:leader="dot" w:pos="9016"/>
            </w:tabs>
            <w:rPr>
              <w:rFonts w:ascii="Arial" w:hAnsi="Arial" w:cs="Arial" w:eastAsiaTheme="minorEastAsia"/>
              <w:sz w:val="22"/>
            </w:rPr>
          </w:pPr>
          <w:r>
            <w:fldChar w:fldCharType="begin"/>
          </w:r>
          <w:r>
            <w:instrText xml:space="preserve"> HYPERLINK \l "_Toc223942503" </w:instrText>
          </w:r>
          <w:r>
            <w:fldChar w:fldCharType="separate"/>
          </w:r>
          <w:r>
            <w:rPr>
              <w:rStyle w:val="12"/>
              <w:rFonts w:ascii="Arial" w:hAnsi="Arial" w:cs="Arial"/>
              <w:color w:val="auto"/>
            </w:rPr>
            <w:t>2.2.1 Critical Success Factors (CSFs)</w:t>
          </w:r>
          <w:r>
            <w:rPr>
              <w:rFonts w:ascii="Arial" w:hAnsi="Arial" w:cs="Arial"/>
            </w:rPr>
            <w:tab/>
          </w:r>
          <w:r>
            <w:rPr>
              <w:rFonts w:ascii="Arial" w:hAnsi="Arial" w:cs="Arial"/>
            </w:rPr>
            <w:fldChar w:fldCharType="begin"/>
          </w:r>
          <w:r>
            <w:rPr>
              <w:rFonts w:ascii="Arial" w:hAnsi="Arial" w:cs="Arial"/>
            </w:rPr>
            <w:instrText xml:space="preserve"> PAGEREF _Toc223942503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14:paraId="4F12E2DA">
          <w:pPr>
            <w:pStyle w:val="18"/>
            <w:tabs>
              <w:tab w:val="right" w:leader="dot" w:pos="9016"/>
            </w:tabs>
            <w:rPr>
              <w:rFonts w:ascii="Arial" w:hAnsi="Arial" w:cs="Arial" w:eastAsiaTheme="minorEastAsia"/>
              <w:sz w:val="22"/>
            </w:rPr>
          </w:pPr>
          <w:r>
            <w:fldChar w:fldCharType="begin"/>
          </w:r>
          <w:r>
            <w:instrText xml:space="preserve"> HYPERLINK \l "_Toc223942504" </w:instrText>
          </w:r>
          <w:r>
            <w:fldChar w:fldCharType="separate"/>
          </w:r>
          <w:r>
            <w:rPr>
              <w:rStyle w:val="12"/>
              <w:rFonts w:ascii="Arial" w:hAnsi="Arial" w:cs="Arial"/>
              <w:color w:val="auto"/>
            </w:rPr>
            <w:t>2.2.2 Strategic Challenges</w:t>
          </w:r>
          <w:r>
            <w:rPr>
              <w:rFonts w:ascii="Arial" w:hAnsi="Arial" w:cs="Arial"/>
            </w:rPr>
            <w:tab/>
          </w:r>
          <w:r>
            <w:rPr>
              <w:rFonts w:ascii="Arial" w:hAnsi="Arial" w:cs="Arial"/>
            </w:rPr>
            <w:fldChar w:fldCharType="begin"/>
          </w:r>
          <w:r>
            <w:rPr>
              <w:rFonts w:ascii="Arial" w:hAnsi="Arial" w:cs="Arial"/>
            </w:rPr>
            <w:instrText xml:space="preserve"> PAGEREF _Toc223942504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14:paraId="6EA3F9AF">
          <w:pPr>
            <w:pStyle w:val="17"/>
            <w:tabs>
              <w:tab w:val="right" w:leader="dot" w:pos="9016"/>
            </w:tabs>
            <w:rPr>
              <w:rFonts w:ascii="Arial" w:hAnsi="Arial" w:cs="Arial" w:eastAsiaTheme="minorEastAsia"/>
              <w:sz w:val="22"/>
            </w:rPr>
          </w:pPr>
          <w:r>
            <w:fldChar w:fldCharType="begin"/>
          </w:r>
          <w:r>
            <w:instrText xml:space="preserve"> HYPERLINK \l "_Toc223942505" </w:instrText>
          </w:r>
          <w:r>
            <w:fldChar w:fldCharType="separate"/>
          </w:r>
          <w:r>
            <w:rPr>
              <w:rStyle w:val="12"/>
              <w:rFonts w:ascii="Arial" w:hAnsi="Arial" w:cs="Arial"/>
              <w:color w:val="auto"/>
            </w:rPr>
            <w:t>2.3 Internal Environment Analysis</w:t>
          </w:r>
          <w:r>
            <w:rPr>
              <w:rFonts w:ascii="Arial" w:hAnsi="Arial" w:cs="Arial"/>
            </w:rPr>
            <w:tab/>
          </w:r>
          <w:r>
            <w:rPr>
              <w:rFonts w:ascii="Arial" w:hAnsi="Arial" w:cs="Arial"/>
            </w:rPr>
            <w:fldChar w:fldCharType="begin"/>
          </w:r>
          <w:r>
            <w:rPr>
              <w:rFonts w:ascii="Arial" w:hAnsi="Arial" w:cs="Arial"/>
            </w:rPr>
            <w:instrText xml:space="preserve"> PAGEREF _Toc223942505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14:paraId="17C234EF">
          <w:pPr>
            <w:pStyle w:val="17"/>
            <w:tabs>
              <w:tab w:val="right" w:leader="dot" w:pos="9016"/>
            </w:tabs>
            <w:rPr>
              <w:rFonts w:ascii="Arial" w:hAnsi="Arial" w:cs="Arial" w:eastAsiaTheme="minorEastAsia"/>
              <w:sz w:val="22"/>
            </w:rPr>
          </w:pPr>
          <w:r>
            <w:fldChar w:fldCharType="begin"/>
          </w:r>
          <w:r>
            <w:instrText xml:space="preserve"> HYPERLINK \l "_Toc223942506" </w:instrText>
          </w:r>
          <w:r>
            <w:fldChar w:fldCharType="separate"/>
          </w:r>
          <w:r>
            <w:rPr>
              <w:rStyle w:val="12"/>
              <w:rFonts w:ascii="Arial" w:hAnsi="Arial" w:cs="Arial"/>
              <w:color w:val="auto"/>
            </w:rPr>
            <w:t>2.4 VRIO Framework – Evaluating Strategic Capabilities</w:t>
          </w:r>
          <w:r>
            <w:rPr>
              <w:rFonts w:ascii="Arial" w:hAnsi="Arial" w:cs="Arial"/>
            </w:rPr>
            <w:tab/>
          </w:r>
          <w:r>
            <w:rPr>
              <w:rFonts w:ascii="Arial" w:hAnsi="Arial" w:cs="Arial"/>
            </w:rPr>
            <w:fldChar w:fldCharType="begin"/>
          </w:r>
          <w:r>
            <w:rPr>
              <w:rFonts w:ascii="Arial" w:hAnsi="Arial" w:cs="Arial"/>
            </w:rPr>
            <w:instrText xml:space="preserve"> PAGEREF _Toc223942506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14:paraId="3C9A961E">
          <w:pPr>
            <w:pStyle w:val="17"/>
            <w:tabs>
              <w:tab w:val="right" w:leader="dot" w:pos="9016"/>
            </w:tabs>
            <w:rPr>
              <w:rFonts w:ascii="Arial" w:hAnsi="Arial" w:cs="Arial" w:eastAsiaTheme="minorEastAsia"/>
              <w:sz w:val="22"/>
            </w:rPr>
          </w:pPr>
          <w:r>
            <w:fldChar w:fldCharType="begin"/>
          </w:r>
          <w:r>
            <w:instrText xml:space="preserve"> HYPERLINK \l "_Toc223942507" </w:instrText>
          </w:r>
          <w:r>
            <w:fldChar w:fldCharType="separate"/>
          </w:r>
          <w:r>
            <w:rPr>
              <w:rStyle w:val="12"/>
              <w:rFonts w:ascii="Arial" w:hAnsi="Arial" w:cs="Arial"/>
              <w:color w:val="auto"/>
            </w:rPr>
            <w:t>2.5 Internal Strengths and Competitive Advantage</w:t>
          </w:r>
          <w:r>
            <w:rPr>
              <w:rFonts w:ascii="Arial" w:hAnsi="Arial" w:cs="Arial"/>
            </w:rPr>
            <w:tab/>
          </w:r>
          <w:r>
            <w:rPr>
              <w:rFonts w:ascii="Arial" w:hAnsi="Arial" w:cs="Arial"/>
            </w:rPr>
            <w:fldChar w:fldCharType="begin"/>
          </w:r>
          <w:r>
            <w:rPr>
              <w:rFonts w:ascii="Arial" w:hAnsi="Arial" w:cs="Arial"/>
            </w:rPr>
            <w:instrText xml:space="preserve"> PAGEREF _Toc223942507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14:paraId="0B34F8CF">
          <w:pPr>
            <w:pStyle w:val="16"/>
            <w:tabs>
              <w:tab w:val="right" w:leader="dot" w:pos="9016"/>
            </w:tabs>
            <w:rPr>
              <w:rFonts w:ascii="Arial" w:hAnsi="Arial" w:cs="Arial" w:eastAsiaTheme="minorEastAsia"/>
              <w:sz w:val="22"/>
            </w:rPr>
          </w:pPr>
          <w:r>
            <w:fldChar w:fldCharType="begin"/>
          </w:r>
          <w:r>
            <w:instrText xml:space="preserve"> HYPERLINK \l "_Toc223942508" </w:instrText>
          </w:r>
          <w:r>
            <w:fldChar w:fldCharType="separate"/>
          </w:r>
          <w:r>
            <w:rPr>
              <w:rStyle w:val="12"/>
              <w:rFonts w:ascii="Arial" w:hAnsi="Arial" w:cs="Arial"/>
              <w:color w:val="auto"/>
            </w:rPr>
            <w:t>3. CSR and Sustainability Objectives</w:t>
          </w:r>
          <w:r>
            <w:rPr>
              <w:rFonts w:ascii="Arial" w:hAnsi="Arial" w:cs="Arial"/>
            </w:rPr>
            <w:tab/>
          </w:r>
          <w:r>
            <w:rPr>
              <w:rFonts w:ascii="Arial" w:hAnsi="Arial" w:cs="Arial"/>
            </w:rPr>
            <w:fldChar w:fldCharType="begin"/>
          </w:r>
          <w:r>
            <w:rPr>
              <w:rFonts w:ascii="Arial" w:hAnsi="Arial" w:cs="Arial"/>
            </w:rPr>
            <w:instrText xml:space="preserve"> PAGEREF _Toc223942508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14:paraId="1B54AC8F">
          <w:pPr>
            <w:pStyle w:val="16"/>
            <w:tabs>
              <w:tab w:val="right" w:leader="dot" w:pos="9016"/>
            </w:tabs>
            <w:rPr>
              <w:rFonts w:ascii="Arial" w:hAnsi="Arial" w:cs="Arial" w:eastAsiaTheme="minorEastAsia"/>
              <w:sz w:val="22"/>
            </w:rPr>
          </w:pPr>
          <w:r>
            <w:fldChar w:fldCharType="begin"/>
          </w:r>
          <w:r>
            <w:instrText xml:space="preserve"> HYPERLINK \l "_Toc223942509" </w:instrText>
          </w:r>
          <w:r>
            <w:fldChar w:fldCharType="separate"/>
          </w:r>
          <w:r>
            <w:rPr>
              <w:rStyle w:val="12"/>
              <w:rFonts w:ascii="Arial" w:hAnsi="Arial" w:cs="Arial"/>
              <w:color w:val="auto"/>
            </w:rPr>
            <w:t xml:space="preserve">4. </w:t>
          </w:r>
          <w:r>
            <w:rPr>
              <w:rStyle w:val="12"/>
              <w:rFonts w:ascii="Arial" w:hAnsi="Arial" w:cs="Arial"/>
              <w:color w:val="auto"/>
              <w:lang w:val="en-US"/>
            </w:rPr>
            <w:t>Comprehensive and holistic view of the organisation</w:t>
          </w:r>
          <w:r>
            <w:rPr>
              <w:rFonts w:ascii="Arial" w:hAnsi="Arial" w:cs="Arial"/>
            </w:rPr>
            <w:tab/>
          </w:r>
          <w:r>
            <w:rPr>
              <w:rFonts w:ascii="Arial" w:hAnsi="Arial" w:cs="Arial"/>
            </w:rPr>
            <w:fldChar w:fldCharType="begin"/>
          </w:r>
          <w:r>
            <w:rPr>
              <w:rFonts w:ascii="Arial" w:hAnsi="Arial" w:cs="Arial"/>
            </w:rPr>
            <w:instrText xml:space="preserve"> PAGEREF _Toc223942509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14:paraId="59D1292F">
          <w:pPr>
            <w:pStyle w:val="17"/>
            <w:tabs>
              <w:tab w:val="right" w:leader="dot" w:pos="9016"/>
            </w:tabs>
            <w:rPr>
              <w:rFonts w:ascii="Arial" w:hAnsi="Arial" w:cs="Arial" w:eastAsiaTheme="minorEastAsia"/>
              <w:sz w:val="22"/>
            </w:rPr>
          </w:pPr>
          <w:r>
            <w:fldChar w:fldCharType="begin"/>
          </w:r>
          <w:r>
            <w:instrText xml:space="preserve"> HYPERLINK \l "_Toc223942510" </w:instrText>
          </w:r>
          <w:r>
            <w:fldChar w:fldCharType="separate"/>
          </w:r>
          <w:r>
            <w:rPr>
              <w:rStyle w:val="12"/>
              <w:rFonts w:ascii="Arial" w:hAnsi="Arial" w:cs="Arial"/>
              <w:color w:val="auto"/>
            </w:rPr>
            <w:t>4.1 Financial Perspective</w:t>
          </w:r>
          <w:r>
            <w:rPr>
              <w:rFonts w:ascii="Arial" w:hAnsi="Arial" w:cs="Arial"/>
            </w:rPr>
            <w:tab/>
          </w:r>
          <w:r>
            <w:rPr>
              <w:rFonts w:ascii="Arial" w:hAnsi="Arial" w:cs="Arial"/>
            </w:rPr>
            <w:fldChar w:fldCharType="begin"/>
          </w:r>
          <w:r>
            <w:rPr>
              <w:rFonts w:ascii="Arial" w:hAnsi="Arial" w:cs="Arial"/>
            </w:rPr>
            <w:instrText xml:space="preserve"> PAGEREF _Toc223942510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14:paraId="41ED76DE">
          <w:pPr>
            <w:pStyle w:val="17"/>
            <w:tabs>
              <w:tab w:val="right" w:leader="dot" w:pos="9016"/>
            </w:tabs>
            <w:rPr>
              <w:rFonts w:ascii="Arial" w:hAnsi="Arial" w:cs="Arial" w:eastAsiaTheme="minorEastAsia"/>
              <w:sz w:val="22"/>
            </w:rPr>
          </w:pPr>
          <w:r>
            <w:fldChar w:fldCharType="begin"/>
          </w:r>
          <w:r>
            <w:instrText xml:space="preserve"> HYPERLINK \l "_Toc223942511" </w:instrText>
          </w:r>
          <w:r>
            <w:fldChar w:fldCharType="separate"/>
          </w:r>
          <w:r>
            <w:rPr>
              <w:rStyle w:val="12"/>
              <w:rFonts w:ascii="Arial" w:hAnsi="Arial" w:cs="Arial"/>
              <w:color w:val="auto"/>
            </w:rPr>
            <w:t>4.2 Customer Perspective</w:t>
          </w:r>
          <w:r>
            <w:rPr>
              <w:rFonts w:ascii="Arial" w:hAnsi="Arial" w:cs="Arial"/>
            </w:rPr>
            <w:tab/>
          </w:r>
          <w:r>
            <w:rPr>
              <w:rFonts w:ascii="Arial" w:hAnsi="Arial" w:cs="Arial"/>
            </w:rPr>
            <w:fldChar w:fldCharType="begin"/>
          </w:r>
          <w:r>
            <w:rPr>
              <w:rFonts w:ascii="Arial" w:hAnsi="Arial" w:cs="Arial"/>
            </w:rPr>
            <w:instrText xml:space="preserve"> PAGEREF _Toc223942511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14:paraId="5FDA34E0">
          <w:pPr>
            <w:pStyle w:val="17"/>
            <w:tabs>
              <w:tab w:val="right" w:leader="dot" w:pos="9016"/>
            </w:tabs>
            <w:rPr>
              <w:rFonts w:ascii="Arial" w:hAnsi="Arial" w:cs="Arial" w:eastAsiaTheme="minorEastAsia"/>
              <w:sz w:val="22"/>
            </w:rPr>
          </w:pPr>
          <w:r>
            <w:fldChar w:fldCharType="begin"/>
          </w:r>
          <w:r>
            <w:instrText xml:space="preserve"> HYPERLINK \l "_Toc223942512" </w:instrText>
          </w:r>
          <w:r>
            <w:fldChar w:fldCharType="separate"/>
          </w:r>
          <w:r>
            <w:rPr>
              <w:rStyle w:val="12"/>
              <w:rFonts w:ascii="Arial" w:hAnsi="Arial" w:cs="Arial"/>
              <w:color w:val="auto"/>
            </w:rPr>
            <w:t>4.3 Internal Business Processes Perspective</w:t>
          </w:r>
          <w:r>
            <w:rPr>
              <w:rFonts w:ascii="Arial" w:hAnsi="Arial" w:cs="Arial"/>
            </w:rPr>
            <w:tab/>
          </w:r>
          <w:r>
            <w:rPr>
              <w:rFonts w:ascii="Arial" w:hAnsi="Arial" w:cs="Arial"/>
            </w:rPr>
            <w:fldChar w:fldCharType="begin"/>
          </w:r>
          <w:r>
            <w:rPr>
              <w:rFonts w:ascii="Arial" w:hAnsi="Arial" w:cs="Arial"/>
            </w:rPr>
            <w:instrText xml:space="preserve"> PAGEREF _Toc223942512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14:paraId="61B1F8AE">
          <w:pPr>
            <w:pStyle w:val="17"/>
            <w:tabs>
              <w:tab w:val="right" w:leader="dot" w:pos="9016"/>
            </w:tabs>
            <w:rPr>
              <w:rFonts w:ascii="Arial" w:hAnsi="Arial" w:cs="Arial" w:eastAsiaTheme="minorEastAsia"/>
              <w:sz w:val="22"/>
            </w:rPr>
          </w:pPr>
          <w:r>
            <w:fldChar w:fldCharType="begin"/>
          </w:r>
          <w:r>
            <w:instrText xml:space="preserve"> HYPERLINK \l "_Toc223942513" </w:instrText>
          </w:r>
          <w:r>
            <w:fldChar w:fldCharType="separate"/>
          </w:r>
          <w:r>
            <w:rPr>
              <w:rStyle w:val="12"/>
              <w:rFonts w:ascii="Arial" w:hAnsi="Arial" w:cs="Arial"/>
              <w:color w:val="auto"/>
            </w:rPr>
            <w:t>4.4 Learning and Growth Perspective</w:t>
          </w:r>
          <w:r>
            <w:rPr>
              <w:rFonts w:ascii="Arial" w:hAnsi="Arial" w:cs="Arial"/>
            </w:rPr>
            <w:tab/>
          </w:r>
          <w:r>
            <w:rPr>
              <w:rFonts w:ascii="Arial" w:hAnsi="Arial" w:cs="Arial"/>
            </w:rPr>
            <w:fldChar w:fldCharType="begin"/>
          </w:r>
          <w:r>
            <w:rPr>
              <w:rFonts w:ascii="Arial" w:hAnsi="Arial" w:cs="Arial"/>
            </w:rPr>
            <w:instrText xml:space="preserve"> PAGEREF _Toc223942513 \h </w:instrText>
          </w:r>
          <w:r>
            <w:rPr>
              <w:rFonts w:ascii="Arial" w:hAnsi="Arial" w:cs="Arial"/>
            </w:rPr>
            <w:fldChar w:fldCharType="separate"/>
          </w:r>
          <w:r>
            <w:rPr>
              <w:rFonts w:ascii="Arial" w:hAnsi="Arial" w:cs="Arial"/>
            </w:rPr>
            <w:t>20</w:t>
          </w:r>
          <w:r>
            <w:rPr>
              <w:rFonts w:ascii="Arial" w:hAnsi="Arial" w:cs="Arial"/>
            </w:rPr>
            <w:fldChar w:fldCharType="end"/>
          </w:r>
          <w:r>
            <w:rPr>
              <w:rFonts w:ascii="Arial" w:hAnsi="Arial" w:cs="Arial"/>
            </w:rPr>
            <w:fldChar w:fldCharType="end"/>
          </w:r>
        </w:p>
        <w:p w14:paraId="466445BD">
          <w:pPr>
            <w:pStyle w:val="16"/>
            <w:tabs>
              <w:tab w:val="right" w:leader="dot" w:pos="9016"/>
            </w:tabs>
            <w:rPr>
              <w:rFonts w:ascii="Arial" w:hAnsi="Arial" w:cs="Arial" w:eastAsiaTheme="minorEastAsia"/>
              <w:sz w:val="22"/>
            </w:rPr>
          </w:pPr>
          <w:r>
            <w:fldChar w:fldCharType="begin"/>
          </w:r>
          <w:r>
            <w:instrText xml:space="preserve"> HYPERLINK \l "_Toc223942514" </w:instrText>
          </w:r>
          <w:r>
            <w:fldChar w:fldCharType="separate"/>
          </w:r>
          <w:r>
            <w:rPr>
              <w:rStyle w:val="12"/>
              <w:rFonts w:ascii="Arial" w:hAnsi="Arial" w:cs="Arial"/>
              <w:color w:val="auto"/>
            </w:rPr>
            <w:t>5. Strategic Choices and Implementation</w:t>
          </w:r>
          <w:r>
            <w:rPr>
              <w:rFonts w:ascii="Arial" w:hAnsi="Arial" w:cs="Arial"/>
            </w:rPr>
            <w:tab/>
          </w:r>
          <w:r>
            <w:rPr>
              <w:rFonts w:ascii="Arial" w:hAnsi="Arial" w:cs="Arial"/>
            </w:rPr>
            <w:fldChar w:fldCharType="begin"/>
          </w:r>
          <w:r>
            <w:rPr>
              <w:rFonts w:ascii="Arial" w:hAnsi="Arial" w:cs="Arial"/>
            </w:rPr>
            <w:instrText xml:space="preserve"> PAGEREF _Toc223942514 \h </w:instrText>
          </w:r>
          <w:r>
            <w:rPr>
              <w:rFonts w:ascii="Arial" w:hAnsi="Arial" w:cs="Arial"/>
            </w:rPr>
            <w:fldChar w:fldCharType="separate"/>
          </w:r>
          <w:r>
            <w:rPr>
              <w:rFonts w:ascii="Arial" w:hAnsi="Arial" w:cs="Arial"/>
            </w:rPr>
            <w:t>21</w:t>
          </w:r>
          <w:r>
            <w:rPr>
              <w:rFonts w:ascii="Arial" w:hAnsi="Arial" w:cs="Arial"/>
            </w:rPr>
            <w:fldChar w:fldCharType="end"/>
          </w:r>
          <w:r>
            <w:rPr>
              <w:rFonts w:ascii="Arial" w:hAnsi="Arial" w:cs="Arial"/>
            </w:rPr>
            <w:fldChar w:fldCharType="end"/>
          </w:r>
        </w:p>
        <w:p w14:paraId="5F7206D4">
          <w:pPr>
            <w:pStyle w:val="17"/>
            <w:tabs>
              <w:tab w:val="right" w:leader="dot" w:pos="9016"/>
            </w:tabs>
            <w:rPr>
              <w:rFonts w:ascii="Arial" w:hAnsi="Arial" w:cs="Arial" w:eastAsiaTheme="minorEastAsia"/>
              <w:sz w:val="22"/>
            </w:rPr>
          </w:pPr>
          <w:r>
            <w:fldChar w:fldCharType="begin"/>
          </w:r>
          <w:r>
            <w:instrText xml:space="preserve"> HYPERLINK \l "_Toc223942515" </w:instrText>
          </w:r>
          <w:r>
            <w:fldChar w:fldCharType="separate"/>
          </w:r>
          <w:r>
            <w:rPr>
              <w:rStyle w:val="12"/>
              <w:rFonts w:ascii="Arial" w:hAnsi="Arial" w:cs="Arial"/>
              <w:color w:val="auto"/>
            </w:rPr>
            <w:t>5.1 Business-Level Strategic Choices</w:t>
          </w:r>
          <w:r>
            <w:rPr>
              <w:rFonts w:ascii="Arial" w:hAnsi="Arial" w:cs="Arial"/>
            </w:rPr>
            <w:tab/>
          </w:r>
          <w:r>
            <w:rPr>
              <w:rFonts w:ascii="Arial" w:hAnsi="Arial" w:cs="Arial"/>
            </w:rPr>
            <w:fldChar w:fldCharType="begin"/>
          </w:r>
          <w:r>
            <w:rPr>
              <w:rFonts w:ascii="Arial" w:hAnsi="Arial" w:cs="Arial"/>
            </w:rPr>
            <w:instrText xml:space="preserve"> PAGEREF _Toc223942515 \h </w:instrText>
          </w:r>
          <w:r>
            <w:rPr>
              <w:rFonts w:ascii="Arial" w:hAnsi="Arial" w:cs="Arial"/>
            </w:rPr>
            <w:fldChar w:fldCharType="separate"/>
          </w:r>
          <w:r>
            <w:rPr>
              <w:rFonts w:ascii="Arial" w:hAnsi="Arial" w:cs="Arial"/>
            </w:rPr>
            <w:t>21</w:t>
          </w:r>
          <w:r>
            <w:rPr>
              <w:rFonts w:ascii="Arial" w:hAnsi="Arial" w:cs="Arial"/>
            </w:rPr>
            <w:fldChar w:fldCharType="end"/>
          </w:r>
          <w:r>
            <w:rPr>
              <w:rFonts w:ascii="Arial" w:hAnsi="Arial" w:cs="Arial"/>
            </w:rPr>
            <w:fldChar w:fldCharType="end"/>
          </w:r>
        </w:p>
        <w:p w14:paraId="77231A1B">
          <w:pPr>
            <w:pStyle w:val="17"/>
            <w:tabs>
              <w:tab w:val="right" w:leader="dot" w:pos="9016"/>
            </w:tabs>
            <w:rPr>
              <w:rFonts w:ascii="Arial" w:hAnsi="Arial" w:cs="Arial" w:eastAsiaTheme="minorEastAsia"/>
              <w:sz w:val="22"/>
            </w:rPr>
          </w:pPr>
          <w:r>
            <w:fldChar w:fldCharType="begin"/>
          </w:r>
          <w:r>
            <w:instrText xml:space="preserve"> HYPERLINK \l "_Toc223942516" </w:instrText>
          </w:r>
          <w:r>
            <w:fldChar w:fldCharType="separate"/>
          </w:r>
          <w:r>
            <w:rPr>
              <w:rStyle w:val="12"/>
              <w:rFonts w:ascii="Arial" w:hAnsi="Arial" w:cs="Arial"/>
              <w:color w:val="auto"/>
            </w:rPr>
            <w:t>5.2 Corporate-Level Strategic Choices</w:t>
          </w:r>
          <w:r>
            <w:rPr>
              <w:rFonts w:ascii="Arial" w:hAnsi="Arial" w:cs="Arial"/>
            </w:rPr>
            <w:tab/>
          </w:r>
          <w:r>
            <w:rPr>
              <w:rFonts w:ascii="Arial" w:hAnsi="Arial" w:cs="Arial"/>
            </w:rPr>
            <w:fldChar w:fldCharType="begin"/>
          </w:r>
          <w:r>
            <w:rPr>
              <w:rFonts w:ascii="Arial" w:hAnsi="Arial" w:cs="Arial"/>
            </w:rPr>
            <w:instrText xml:space="preserve"> PAGEREF _Toc223942516 \h </w:instrText>
          </w:r>
          <w:r>
            <w:rPr>
              <w:rFonts w:ascii="Arial" w:hAnsi="Arial" w:cs="Arial"/>
            </w:rPr>
            <w:fldChar w:fldCharType="separate"/>
          </w:r>
          <w:r>
            <w:rPr>
              <w:rFonts w:ascii="Arial" w:hAnsi="Arial" w:cs="Arial"/>
            </w:rPr>
            <w:t>21</w:t>
          </w:r>
          <w:r>
            <w:rPr>
              <w:rFonts w:ascii="Arial" w:hAnsi="Arial" w:cs="Arial"/>
            </w:rPr>
            <w:fldChar w:fldCharType="end"/>
          </w:r>
          <w:r>
            <w:rPr>
              <w:rFonts w:ascii="Arial" w:hAnsi="Arial" w:cs="Arial"/>
            </w:rPr>
            <w:fldChar w:fldCharType="end"/>
          </w:r>
        </w:p>
        <w:p w14:paraId="430A5136">
          <w:pPr>
            <w:pStyle w:val="17"/>
            <w:tabs>
              <w:tab w:val="right" w:leader="dot" w:pos="9016"/>
            </w:tabs>
            <w:rPr>
              <w:rFonts w:ascii="Arial" w:hAnsi="Arial" w:cs="Arial" w:eastAsiaTheme="minorEastAsia"/>
              <w:sz w:val="22"/>
            </w:rPr>
          </w:pPr>
          <w:r>
            <w:fldChar w:fldCharType="begin"/>
          </w:r>
          <w:r>
            <w:instrText xml:space="preserve"> HYPERLINK \l "_Toc223942517" </w:instrText>
          </w:r>
          <w:r>
            <w:fldChar w:fldCharType="separate"/>
          </w:r>
          <w:r>
            <w:rPr>
              <w:rStyle w:val="12"/>
              <w:rFonts w:ascii="Arial" w:hAnsi="Arial" w:cs="Arial"/>
              <w:color w:val="auto"/>
            </w:rPr>
            <w:t>5.3 Change Management and Strategic Implementation</w:t>
          </w:r>
          <w:r>
            <w:rPr>
              <w:rFonts w:ascii="Arial" w:hAnsi="Arial" w:cs="Arial"/>
            </w:rPr>
            <w:tab/>
          </w:r>
          <w:r>
            <w:rPr>
              <w:rFonts w:ascii="Arial" w:hAnsi="Arial" w:cs="Arial"/>
            </w:rPr>
            <w:fldChar w:fldCharType="begin"/>
          </w:r>
          <w:r>
            <w:rPr>
              <w:rFonts w:ascii="Arial" w:hAnsi="Arial" w:cs="Arial"/>
            </w:rPr>
            <w:instrText xml:space="preserve"> PAGEREF _Toc223942517 \h </w:instrText>
          </w:r>
          <w:r>
            <w:rPr>
              <w:rFonts w:ascii="Arial" w:hAnsi="Arial" w:cs="Arial"/>
            </w:rPr>
            <w:fldChar w:fldCharType="separate"/>
          </w:r>
          <w:r>
            <w:rPr>
              <w:rFonts w:ascii="Arial" w:hAnsi="Arial" w:cs="Arial"/>
            </w:rPr>
            <w:t>22</w:t>
          </w:r>
          <w:r>
            <w:rPr>
              <w:rFonts w:ascii="Arial" w:hAnsi="Arial" w:cs="Arial"/>
            </w:rPr>
            <w:fldChar w:fldCharType="end"/>
          </w:r>
          <w:r>
            <w:rPr>
              <w:rFonts w:ascii="Arial" w:hAnsi="Arial" w:cs="Arial"/>
            </w:rPr>
            <w:fldChar w:fldCharType="end"/>
          </w:r>
        </w:p>
        <w:p w14:paraId="08D2B249">
          <w:pPr>
            <w:pStyle w:val="16"/>
            <w:tabs>
              <w:tab w:val="right" w:leader="dot" w:pos="9016"/>
            </w:tabs>
            <w:rPr>
              <w:rFonts w:ascii="Arial" w:hAnsi="Arial" w:cs="Arial" w:eastAsiaTheme="minorEastAsia"/>
              <w:sz w:val="22"/>
            </w:rPr>
          </w:pPr>
          <w:r>
            <w:fldChar w:fldCharType="begin"/>
          </w:r>
          <w:r>
            <w:instrText xml:space="preserve"> HYPERLINK \l "_Toc223942518" </w:instrText>
          </w:r>
          <w:r>
            <w:fldChar w:fldCharType="separate"/>
          </w:r>
          <w:r>
            <w:rPr>
              <w:rStyle w:val="12"/>
              <w:rFonts w:ascii="Arial" w:hAnsi="Arial" w:cs="Arial"/>
              <w:color w:val="auto"/>
            </w:rPr>
            <w:t>6. Strategic Evaluation and Recommendations</w:t>
          </w:r>
          <w:r>
            <w:rPr>
              <w:rFonts w:ascii="Arial" w:hAnsi="Arial" w:cs="Arial"/>
            </w:rPr>
            <w:tab/>
          </w:r>
          <w:r>
            <w:rPr>
              <w:rFonts w:ascii="Arial" w:hAnsi="Arial" w:cs="Arial"/>
            </w:rPr>
            <w:fldChar w:fldCharType="begin"/>
          </w:r>
          <w:r>
            <w:rPr>
              <w:rFonts w:ascii="Arial" w:hAnsi="Arial" w:cs="Arial"/>
            </w:rPr>
            <w:instrText xml:space="preserve"> PAGEREF _Toc223942518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14:paraId="0601E735">
          <w:pPr>
            <w:pStyle w:val="17"/>
            <w:tabs>
              <w:tab w:val="right" w:leader="dot" w:pos="9016"/>
            </w:tabs>
            <w:rPr>
              <w:rFonts w:ascii="Arial" w:hAnsi="Arial" w:cs="Arial" w:eastAsiaTheme="minorEastAsia"/>
              <w:sz w:val="22"/>
            </w:rPr>
          </w:pPr>
          <w:r>
            <w:fldChar w:fldCharType="begin"/>
          </w:r>
          <w:r>
            <w:instrText xml:space="preserve"> HYPERLINK \l "_Toc223942519" </w:instrText>
          </w:r>
          <w:r>
            <w:fldChar w:fldCharType="separate"/>
          </w:r>
          <w:r>
            <w:rPr>
              <w:rStyle w:val="12"/>
              <w:rFonts w:ascii="Arial" w:hAnsi="Arial" w:cs="Arial"/>
              <w:color w:val="auto"/>
            </w:rPr>
            <w:t>6.1 Strategic Evaluation Using the BCG Matrix</w:t>
          </w:r>
          <w:r>
            <w:rPr>
              <w:rFonts w:ascii="Arial" w:hAnsi="Arial" w:cs="Arial"/>
            </w:rPr>
            <w:tab/>
          </w:r>
          <w:r>
            <w:rPr>
              <w:rFonts w:ascii="Arial" w:hAnsi="Arial" w:cs="Arial"/>
            </w:rPr>
            <w:fldChar w:fldCharType="begin"/>
          </w:r>
          <w:r>
            <w:rPr>
              <w:rFonts w:ascii="Arial" w:hAnsi="Arial" w:cs="Arial"/>
            </w:rPr>
            <w:instrText xml:space="preserve"> PAGEREF _Toc223942519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14:paraId="1720A567">
          <w:pPr>
            <w:pStyle w:val="17"/>
            <w:tabs>
              <w:tab w:val="right" w:leader="dot" w:pos="9016"/>
            </w:tabs>
            <w:rPr>
              <w:rFonts w:ascii="Arial" w:hAnsi="Arial" w:cs="Arial" w:eastAsiaTheme="minorEastAsia"/>
              <w:sz w:val="22"/>
            </w:rPr>
          </w:pPr>
          <w:r>
            <w:fldChar w:fldCharType="begin"/>
          </w:r>
          <w:r>
            <w:instrText xml:space="preserve"> HYPERLINK \l "_Toc223942520" </w:instrText>
          </w:r>
          <w:r>
            <w:fldChar w:fldCharType="separate"/>
          </w:r>
          <w:r>
            <w:rPr>
              <w:rStyle w:val="12"/>
              <w:rFonts w:ascii="Arial" w:hAnsi="Arial" w:cs="Arial"/>
              <w:color w:val="auto"/>
            </w:rPr>
            <w:t>6.2 Strategic Recommendations</w:t>
          </w:r>
          <w:r>
            <w:rPr>
              <w:rFonts w:ascii="Arial" w:hAnsi="Arial" w:cs="Arial"/>
            </w:rPr>
            <w:tab/>
          </w:r>
          <w:r>
            <w:rPr>
              <w:rFonts w:ascii="Arial" w:hAnsi="Arial" w:cs="Arial"/>
            </w:rPr>
            <w:fldChar w:fldCharType="begin"/>
          </w:r>
          <w:r>
            <w:rPr>
              <w:rFonts w:ascii="Arial" w:hAnsi="Arial" w:cs="Arial"/>
            </w:rPr>
            <w:instrText xml:space="preserve"> PAGEREF _Toc223942520 \h </w:instrText>
          </w:r>
          <w:r>
            <w:rPr>
              <w:rFonts w:ascii="Arial" w:hAnsi="Arial" w:cs="Arial"/>
            </w:rPr>
            <w:fldChar w:fldCharType="separate"/>
          </w:r>
          <w:r>
            <w:rPr>
              <w:rFonts w:ascii="Arial" w:hAnsi="Arial" w:cs="Arial"/>
            </w:rPr>
            <w:t>24</w:t>
          </w:r>
          <w:r>
            <w:rPr>
              <w:rFonts w:ascii="Arial" w:hAnsi="Arial" w:cs="Arial"/>
            </w:rPr>
            <w:fldChar w:fldCharType="end"/>
          </w:r>
          <w:r>
            <w:rPr>
              <w:rFonts w:ascii="Arial" w:hAnsi="Arial" w:cs="Arial"/>
            </w:rPr>
            <w:fldChar w:fldCharType="end"/>
          </w:r>
        </w:p>
        <w:p w14:paraId="502DC712">
          <w:pPr>
            <w:pStyle w:val="17"/>
            <w:tabs>
              <w:tab w:val="right" w:leader="dot" w:pos="9016"/>
            </w:tabs>
            <w:rPr>
              <w:rFonts w:ascii="Arial" w:hAnsi="Arial" w:cs="Arial" w:eastAsiaTheme="minorEastAsia"/>
              <w:sz w:val="22"/>
            </w:rPr>
          </w:pPr>
          <w:r>
            <w:fldChar w:fldCharType="begin"/>
          </w:r>
          <w:r>
            <w:instrText xml:space="preserve"> HYPERLINK \l "_Toc223942521" </w:instrText>
          </w:r>
          <w:r>
            <w:fldChar w:fldCharType="separate"/>
          </w:r>
          <w:r>
            <w:rPr>
              <w:rStyle w:val="12"/>
              <w:rFonts w:ascii="Arial" w:hAnsi="Arial" w:cs="Arial"/>
              <w:color w:val="auto"/>
            </w:rPr>
            <w:t>6.3 Justification of Recommendations</w:t>
          </w:r>
          <w:r>
            <w:rPr>
              <w:rFonts w:ascii="Arial" w:hAnsi="Arial" w:cs="Arial"/>
            </w:rPr>
            <w:tab/>
          </w:r>
          <w:r>
            <w:rPr>
              <w:rFonts w:ascii="Arial" w:hAnsi="Arial" w:cs="Arial"/>
            </w:rPr>
            <w:fldChar w:fldCharType="begin"/>
          </w:r>
          <w:r>
            <w:rPr>
              <w:rFonts w:ascii="Arial" w:hAnsi="Arial" w:cs="Arial"/>
            </w:rPr>
            <w:instrText xml:space="preserve"> PAGEREF _Toc223942521 \h </w:instrText>
          </w:r>
          <w:r>
            <w:rPr>
              <w:rFonts w:ascii="Arial" w:hAnsi="Arial" w:cs="Arial"/>
            </w:rPr>
            <w:fldChar w:fldCharType="separate"/>
          </w:r>
          <w:r>
            <w:rPr>
              <w:rFonts w:ascii="Arial" w:hAnsi="Arial" w:cs="Arial"/>
            </w:rPr>
            <w:t>25</w:t>
          </w:r>
          <w:r>
            <w:rPr>
              <w:rFonts w:ascii="Arial" w:hAnsi="Arial" w:cs="Arial"/>
            </w:rPr>
            <w:fldChar w:fldCharType="end"/>
          </w:r>
          <w:r>
            <w:rPr>
              <w:rFonts w:ascii="Arial" w:hAnsi="Arial" w:cs="Arial"/>
            </w:rPr>
            <w:fldChar w:fldCharType="end"/>
          </w:r>
        </w:p>
        <w:p w14:paraId="0A1EAF74">
          <w:pPr>
            <w:pStyle w:val="16"/>
            <w:tabs>
              <w:tab w:val="right" w:leader="dot" w:pos="9016"/>
            </w:tabs>
            <w:rPr>
              <w:rFonts w:ascii="Arial" w:hAnsi="Arial" w:cs="Arial" w:eastAsiaTheme="minorEastAsia"/>
              <w:sz w:val="22"/>
            </w:rPr>
          </w:pPr>
          <w:r>
            <w:fldChar w:fldCharType="begin"/>
          </w:r>
          <w:r>
            <w:instrText xml:space="preserve"> HYPERLINK \l "_Toc223942522" </w:instrText>
          </w:r>
          <w:r>
            <w:fldChar w:fldCharType="separate"/>
          </w:r>
          <w:r>
            <w:rPr>
              <w:rStyle w:val="12"/>
              <w:rFonts w:ascii="Arial" w:hAnsi="Arial" w:cs="Arial"/>
              <w:color w:val="auto"/>
            </w:rPr>
            <w:t>Section 2</w:t>
          </w:r>
          <w:r>
            <w:rPr>
              <w:rFonts w:ascii="Arial" w:hAnsi="Arial" w:cs="Arial"/>
            </w:rPr>
            <w:tab/>
          </w:r>
          <w:r>
            <w:rPr>
              <w:rFonts w:ascii="Arial" w:hAnsi="Arial" w:cs="Arial"/>
            </w:rPr>
            <w:fldChar w:fldCharType="begin"/>
          </w:r>
          <w:r>
            <w:rPr>
              <w:rFonts w:ascii="Arial" w:hAnsi="Arial" w:cs="Arial"/>
            </w:rPr>
            <w:instrText xml:space="preserve"> PAGEREF _Toc223942522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6162DCA5">
          <w:pPr>
            <w:pStyle w:val="17"/>
            <w:tabs>
              <w:tab w:val="right" w:leader="dot" w:pos="9016"/>
            </w:tabs>
            <w:rPr>
              <w:rFonts w:ascii="Arial" w:hAnsi="Arial" w:cs="Arial" w:eastAsiaTheme="minorEastAsia"/>
              <w:sz w:val="22"/>
            </w:rPr>
          </w:pPr>
          <w:r>
            <w:fldChar w:fldCharType="begin"/>
          </w:r>
          <w:r>
            <w:instrText xml:space="preserve"> HYPERLINK \l "_Toc223942523" </w:instrText>
          </w:r>
          <w:r>
            <w:fldChar w:fldCharType="separate"/>
          </w:r>
          <w:r>
            <w:rPr>
              <w:rStyle w:val="12"/>
              <w:rFonts w:ascii="Arial" w:hAnsi="Arial" w:cs="Arial"/>
              <w:color w:val="auto"/>
            </w:rPr>
            <w:t>Introduction</w:t>
          </w:r>
          <w:r>
            <w:rPr>
              <w:rFonts w:ascii="Arial" w:hAnsi="Arial" w:cs="Arial"/>
            </w:rPr>
            <w:tab/>
          </w:r>
          <w:r>
            <w:rPr>
              <w:rFonts w:ascii="Arial" w:hAnsi="Arial" w:cs="Arial"/>
            </w:rPr>
            <w:fldChar w:fldCharType="begin"/>
          </w:r>
          <w:r>
            <w:rPr>
              <w:rFonts w:ascii="Arial" w:hAnsi="Arial" w:cs="Arial"/>
            </w:rPr>
            <w:instrText xml:space="preserve"> PAGEREF _Toc223942523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0F76D8A5">
          <w:pPr>
            <w:pStyle w:val="17"/>
            <w:tabs>
              <w:tab w:val="right" w:leader="dot" w:pos="9016"/>
            </w:tabs>
            <w:rPr>
              <w:rFonts w:ascii="Arial" w:hAnsi="Arial" w:cs="Arial" w:eastAsiaTheme="minorEastAsia"/>
              <w:sz w:val="22"/>
            </w:rPr>
          </w:pPr>
          <w:r>
            <w:fldChar w:fldCharType="begin"/>
          </w:r>
          <w:r>
            <w:instrText xml:space="preserve"> HYPERLINK \l "_Toc223942524" </w:instrText>
          </w:r>
          <w:r>
            <w:fldChar w:fldCharType="separate"/>
          </w:r>
          <w:r>
            <w:rPr>
              <w:rStyle w:val="12"/>
              <w:rFonts w:ascii="Arial" w:hAnsi="Arial" w:cs="Arial"/>
              <w:color w:val="auto"/>
            </w:rPr>
            <w:t>1. Concrete Experience</w:t>
          </w:r>
          <w:r>
            <w:rPr>
              <w:rFonts w:ascii="Arial" w:hAnsi="Arial" w:cs="Arial"/>
            </w:rPr>
            <w:tab/>
          </w:r>
          <w:r>
            <w:rPr>
              <w:rFonts w:ascii="Arial" w:hAnsi="Arial" w:cs="Arial"/>
            </w:rPr>
            <w:fldChar w:fldCharType="begin"/>
          </w:r>
          <w:r>
            <w:rPr>
              <w:rFonts w:ascii="Arial" w:hAnsi="Arial" w:cs="Arial"/>
            </w:rPr>
            <w:instrText xml:space="preserve"> PAGEREF _Toc223942524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5E447307">
          <w:pPr>
            <w:pStyle w:val="17"/>
            <w:tabs>
              <w:tab w:val="right" w:leader="dot" w:pos="9016"/>
            </w:tabs>
            <w:rPr>
              <w:rFonts w:ascii="Arial" w:hAnsi="Arial" w:cs="Arial" w:eastAsiaTheme="minorEastAsia"/>
              <w:sz w:val="22"/>
            </w:rPr>
          </w:pPr>
          <w:r>
            <w:fldChar w:fldCharType="begin"/>
          </w:r>
          <w:r>
            <w:instrText xml:space="preserve"> HYPERLINK \l "_Toc223942525" </w:instrText>
          </w:r>
          <w:r>
            <w:fldChar w:fldCharType="separate"/>
          </w:r>
          <w:r>
            <w:rPr>
              <w:rStyle w:val="12"/>
              <w:rFonts w:ascii="Arial" w:hAnsi="Arial" w:cs="Arial"/>
              <w:color w:val="auto"/>
            </w:rPr>
            <w:t>2. Reflective Observation</w:t>
          </w:r>
          <w:r>
            <w:rPr>
              <w:rFonts w:ascii="Arial" w:hAnsi="Arial" w:cs="Arial"/>
            </w:rPr>
            <w:tab/>
          </w:r>
          <w:r>
            <w:rPr>
              <w:rFonts w:ascii="Arial" w:hAnsi="Arial" w:cs="Arial"/>
            </w:rPr>
            <w:fldChar w:fldCharType="begin"/>
          </w:r>
          <w:r>
            <w:rPr>
              <w:rFonts w:ascii="Arial" w:hAnsi="Arial" w:cs="Arial"/>
            </w:rPr>
            <w:instrText xml:space="preserve"> PAGEREF _Toc223942525 \h </w:instrText>
          </w:r>
          <w:r>
            <w:rPr>
              <w:rFonts w:ascii="Arial" w:hAnsi="Arial" w:cs="Arial"/>
            </w:rPr>
            <w:fldChar w:fldCharType="separate"/>
          </w:r>
          <w:r>
            <w:rPr>
              <w:rFonts w:ascii="Arial" w:hAnsi="Arial" w:cs="Arial"/>
            </w:rPr>
            <w:t>27</w:t>
          </w:r>
          <w:r>
            <w:rPr>
              <w:rFonts w:ascii="Arial" w:hAnsi="Arial" w:cs="Arial"/>
            </w:rPr>
            <w:fldChar w:fldCharType="end"/>
          </w:r>
          <w:r>
            <w:rPr>
              <w:rFonts w:ascii="Arial" w:hAnsi="Arial" w:cs="Arial"/>
            </w:rPr>
            <w:fldChar w:fldCharType="end"/>
          </w:r>
        </w:p>
        <w:p w14:paraId="3A7B0D06">
          <w:pPr>
            <w:pStyle w:val="17"/>
            <w:tabs>
              <w:tab w:val="right" w:leader="dot" w:pos="9016"/>
            </w:tabs>
            <w:rPr>
              <w:rFonts w:ascii="Arial" w:hAnsi="Arial" w:cs="Arial" w:eastAsiaTheme="minorEastAsia"/>
              <w:sz w:val="22"/>
            </w:rPr>
          </w:pPr>
          <w:r>
            <w:fldChar w:fldCharType="begin"/>
          </w:r>
          <w:r>
            <w:instrText xml:space="preserve"> HYPERLINK \l "_Toc223942526" </w:instrText>
          </w:r>
          <w:r>
            <w:fldChar w:fldCharType="separate"/>
          </w:r>
          <w:r>
            <w:rPr>
              <w:rStyle w:val="12"/>
              <w:rFonts w:ascii="Arial" w:hAnsi="Arial" w:cs="Arial"/>
              <w:color w:val="auto"/>
            </w:rPr>
            <w:t>3. Abstract Conceptualisation</w:t>
          </w:r>
          <w:r>
            <w:rPr>
              <w:rFonts w:ascii="Arial" w:hAnsi="Arial" w:cs="Arial"/>
            </w:rPr>
            <w:tab/>
          </w:r>
          <w:r>
            <w:rPr>
              <w:rFonts w:ascii="Arial" w:hAnsi="Arial" w:cs="Arial"/>
            </w:rPr>
            <w:fldChar w:fldCharType="begin"/>
          </w:r>
          <w:r>
            <w:rPr>
              <w:rFonts w:ascii="Arial" w:hAnsi="Arial" w:cs="Arial"/>
            </w:rPr>
            <w:instrText xml:space="preserve"> PAGEREF _Toc223942526 \h </w:instrText>
          </w:r>
          <w:r>
            <w:rPr>
              <w:rFonts w:ascii="Arial" w:hAnsi="Arial" w:cs="Arial"/>
            </w:rPr>
            <w:fldChar w:fldCharType="separate"/>
          </w:r>
          <w:r>
            <w:rPr>
              <w:rFonts w:ascii="Arial" w:hAnsi="Arial" w:cs="Arial"/>
            </w:rPr>
            <w:t>27</w:t>
          </w:r>
          <w:r>
            <w:rPr>
              <w:rFonts w:ascii="Arial" w:hAnsi="Arial" w:cs="Arial"/>
            </w:rPr>
            <w:fldChar w:fldCharType="end"/>
          </w:r>
          <w:r>
            <w:rPr>
              <w:rFonts w:ascii="Arial" w:hAnsi="Arial" w:cs="Arial"/>
            </w:rPr>
            <w:fldChar w:fldCharType="end"/>
          </w:r>
        </w:p>
        <w:p w14:paraId="76E9C1AB">
          <w:pPr>
            <w:pStyle w:val="17"/>
            <w:tabs>
              <w:tab w:val="right" w:leader="dot" w:pos="9016"/>
            </w:tabs>
            <w:rPr>
              <w:rFonts w:ascii="Arial" w:hAnsi="Arial" w:cs="Arial" w:eastAsiaTheme="minorEastAsia"/>
              <w:sz w:val="22"/>
            </w:rPr>
          </w:pPr>
          <w:r>
            <w:fldChar w:fldCharType="begin"/>
          </w:r>
          <w:r>
            <w:instrText xml:space="preserve"> HYPERLINK \l "_Toc223942527" </w:instrText>
          </w:r>
          <w:r>
            <w:fldChar w:fldCharType="separate"/>
          </w:r>
          <w:r>
            <w:rPr>
              <w:rStyle w:val="12"/>
              <w:rFonts w:ascii="Arial" w:hAnsi="Arial" w:cs="Arial"/>
              <w:color w:val="auto"/>
            </w:rPr>
            <w:t>4. Active Experimentation</w:t>
          </w:r>
          <w:r>
            <w:rPr>
              <w:rFonts w:ascii="Arial" w:hAnsi="Arial" w:cs="Arial"/>
            </w:rPr>
            <w:tab/>
          </w:r>
          <w:r>
            <w:rPr>
              <w:rFonts w:ascii="Arial" w:hAnsi="Arial" w:cs="Arial"/>
            </w:rPr>
            <w:fldChar w:fldCharType="begin"/>
          </w:r>
          <w:r>
            <w:rPr>
              <w:rFonts w:ascii="Arial" w:hAnsi="Arial" w:cs="Arial"/>
            </w:rPr>
            <w:instrText xml:space="preserve"> PAGEREF _Toc223942527 \h </w:instrText>
          </w:r>
          <w:r>
            <w:rPr>
              <w:rFonts w:ascii="Arial" w:hAnsi="Arial" w:cs="Arial"/>
            </w:rPr>
            <w:fldChar w:fldCharType="separate"/>
          </w:r>
          <w:r>
            <w:rPr>
              <w:rFonts w:ascii="Arial" w:hAnsi="Arial" w:cs="Arial"/>
            </w:rPr>
            <w:t>28</w:t>
          </w:r>
          <w:r>
            <w:rPr>
              <w:rFonts w:ascii="Arial" w:hAnsi="Arial" w:cs="Arial"/>
            </w:rPr>
            <w:fldChar w:fldCharType="end"/>
          </w:r>
          <w:r>
            <w:rPr>
              <w:rFonts w:ascii="Arial" w:hAnsi="Arial" w:cs="Arial"/>
            </w:rPr>
            <w:fldChar w:fldCharType="end"/>
          </w:r>
        </w:p>
        <w:p w14:paraId="71EE346E">
          <w:pPr>
            <w:pStyle w:val="17"/>
            <w:tabs>
              <w:tab w:val="right" w:leader="dot" w:pos="9016"/>
            </w:tabs>
            <w:rPr>
              <w:rFonts w:ascii="Arial" w:hAnsi="Arial" w:cs="Arial" w:eastAsiaTheme="minorEastAsia"/>
              <w:sz w:val="22"/>
            </w:rPr>
          </w:pPr>
          <w:r>
            <w:fldChar w:fldCharType="begin"/>
          </w:r>
          <w:r>
            <w:instrText xml:space="preserve"> HYPERLINK \l "_Toc223942528" </w:instrText>
          </w:r>
          <w:r>
            <w:fldChar w:fldCharType="separate"/>
          </w:r>
          <w:r>
            <w:rPr>
              <w:rStyle w:val="12"/>
              <w:rFonts w:ascii="Arial" w:hAnsi="Arial" w:cs="Arial"/>
              <w:color w:val="auto"/>
            </w:rPr>
            <w:t>Conclusion</w:t>
          </w:r>
          <w:r>
            <w:rPr>
              <w:rFonts w:ascii="Arial" w:hAnsi="Arial" w:cs="Arial"/>
            </w:rPr>
            <w:tab/>
          </w:r>
          <w:r>
            <w:rPr>
              <w:rFonts w:ascii="Arial" w:hAnsi="Arial" w:cs="Arial"/>
            </w:rPr>
            <w:fldChar w:fldCharType="begin"/>
          </w:r>
          <w:r>
            <w:rPr>
              <w:rFonts w:ascii="Arial" w:hAnsi="Arial" w:cs="Arial"/>
            </w:rPr>
            <w:instrText xml:space="preserve"> PAGEREF _Toc223942528 \h </w:instrText>
          </w:r>
          <w:r>
            <w:rPr>
              <w:rFonts w:ascii="Arial" w:hAnsi="Arial" w:cs="Arial"/>
            </w:rPr>
            <w:fldChar w:fldCharType="separate"/>
          </w:r>
          <w:r>
            <w:rPr>
              <w:rFonts w:ascii="Arial" w:hAnsi="Arial" w:cs="Arial"/>
            </w:rPr>
            <w:t>29</w:t>
          </w:r>
          <w:r>
            <w:rPr>
              <w:rFonts w:ascii="Arial" w:hAnsi="Arial" w:cs="Arial"/>
            </w:rPr>
            <w:fldChar w:fldCharType="end"/>
          </w:r>
          <w:r>
            <w:rPr>
              <w:rFonts w:ascii="Arial" w:hAnsi="Arial" w:cs="Arial"/>
            </w:rPr>
            <w:fldChar w:fldCharType="end"/>
          </w:r>
        </w:p>
        <w:p w14:paraId="226A2506">
          <w:pPr>
            <w:pStyle w:val="16"/>
            <w:tabs>
              <w:tab w:val="right" w:leader="dot" w:pos="9016"/>
            </w:tabs>
            <w:rPr>
              <w:rFonts w:ascii="Arial" w:hAnsi="Arial" w:cs="Arial" w:eastAsiaTheme="minorEastAsia"/>
              <w:sz w:val="22"/>
            </w:rPr>
          </w:pPr>
          <w:r>
            <w:fldChar w:fldCharType="begin"/>
          </w:r>
          <w:r>
            <w:instrText xml:space="preserve"> HYPERLINK \l "_Toc223942529" </w:instrText>
          </w:r>
          <w:r>
            <w:fldChar w:fldCharType="separate"/>
          </w:r>
          <w:r>
            <w:rPr>
              <w:rStyle w:val="12"/>
              <w:rFonts w:ascii="Arial" w:hAnsi="Arial" w:cs="Arial"/>
              <w:color w:val="auto"/>
            </w:rPr>
            <w:t>Reference List</w:t>
          </w:r>
          <w:r>
            <w:rPr>
              <w:rFonts w:ascii="Arial" w:hAnsi="Arial" w:cs="Arial"/>
            </w:rPr>
            <w:tab/>
          </w:r>
          <w:r>
            <w:rPr>
              <w:rFonts w:ascii="Arial" w:hAnsi="Arial" w:cs="Arial"/>
            </w:rPr>
            <w:fldChar w:fldCharType="begin"/>
          </w:r>
          <w:r>
            <w:rPr>
              <w:rFonts w:ascii="Arial" w:hAnsi="Arial" w:cs="Arial"/>
            </w:rPr>
            <w:instrText xml:space="preserve"> PAGEREF _Toc223942529 \h </w:instrText>
          </w:r>
          <w:r>
            <w:rPr>
              <w:rFonts w:ascii="Arial" w:hAnsi="Arial" w:cs="Arial"/>
            </w:rPr>
            <w:fldChar w:fldCharType="separate"/>
          </w:r>
          <w:r>
            <w:rPr>
              <w:rFonts w:ascii="Arial" w:hAnsi="Arial" w:cs="Arial"/>
            </w:rPr>
            <w:t>30</w:t>
          </w:r>
          <w:r>
            <w:rPr>
              <w:rFonts w:ascii="Arial" w:hAnsi="Arial" w:cs="Arial"/>
            </w:rPr>
            <w:fldChar w:fldCharType="end"/>
          </w:r>
          <w:r>
            <w:rPr>
              <w:rFonts w:ascii="Arial" w:hAnsi="Arial" w:cs="Arial"/>
            </w:rPr>
            <w:fldChar w:fldCharType="end"/>
          </w:r>
        </w:p>
        <w:p w14:paraId="0DF50205">
          <w:pPr>
            <w:rPr>
              <w:rFonts w:ascii="Arial" w:hAnsi="Arial" w:cs="Arial"/>
            </w:rPr>
          </w:pPr>
          <w:r>
            <w:rPr>
              <w:rFonts w:ascii="Arial" w:hAnsi="Arial" w:cs="Arial"/>
              <w:b/>
              <w:bCs/>
            </w:rPr>
            <w:fldChar w:fldCharType="end"/>
          </w:r>
        </w:p>
      </w:sdtContent>
    </w:sdt>
    <w:p w14:paraId="52BF48D4">
      <w:pPr>
        <w:spacing w:before="240" w:after="240"/>
        <w:rPr>
          <w:rFonts w:ascii="Arial" w:hAnsi="Arial" w:cs="Arial" w:eastAsiaTheme="majorEastAsia"/>
          <w:b/>
          <w:bCs/>
          <w:sz w:val="32"/>
          <w:szCs w:val="32"/>
          <w:lang w:eastAsia="en-US"/>
        </w:rPr>
      </w:pPr>
      <w:r>
        <w:rPr>
          <w:rFonts w:ascii="Arial" w:hAnsi="Arial" w:cs="Arial"/>
        </w:rPr>
        <w:br w:type="page"/>
      </w:r>
    </w:p>
    <w:p w14:paraId="741A5C6C">
      <w:pPr>
        <w:pStyle w:val="2"/>
        <w:rPr>
          <w:rFonts w:ascii="Arial" w:hAnsi="Arial" w:cs="Arial"/>
          <w:color w:val="auto"/>
        </w:rPr>
      </w:pPr>
      <w:bookmarkStart w:id="0" w:name="_Toc223942496"/>
      <w:r>
        <w:rPr>
          <w:rFonts w:ascii="Arial" w:hAnsi="Arial" w:cs="Arial"/>
          <w:color w:val="auto"/>
        </w:rPr>
        <w:t>Section 1</w:t>
      </w:r>
      <w:bookmarkEnd w:id="0"/>
    </w:p>
    <w:p w14:paraId="0238291F">
      <w:pPr>
        <w:pStyle w:val="2"/>
        <w:rPr>
          <w:rFonts w:ascii="Arial" w:hAnsi="Arial" w:cs="Arial"/>
          <w:color w:val="auto"/>
        </w:rPr>
      </w:pPr>
      <w:bookmarkStart w:id="1" w:name="_Toc223942497"/>
      <w:r>
        <w:rPr>
          <w:rFonts w:ascii="Arial" w:hAnsi="Arial" w:cs="Arial"/>
          <w:color w:val="auto"/>
        </w:rPr>
        <w:t>1. Organisational Context and Overview</w:t>
      </w:r>
      <w:bookmarkEnd w:id="1"/>
    </w:p>
    <w:p w14:paraId="1E13E152">
      <w:pPr>
        <w:pStyle w:val="3"/>
        <w:rPr>
          <w:rFonts w:ascii="Arial" w:hAnsi="Arial" w:cs="Arial"/>
          <w:color w:val="auto"/>
        </w:rPr>
      </w:pPr>
      <w:bookmarkStart w:id="2" w:name="_Toc223942498"/>
      <w:r>
        <w:rPr>
          <w:rFonts w:ascii="Arial" w:hAnsi="Arial" w:cs="Arial"/>
          <w:color w:val="auto"/>
        </w:rPr>
        <w:t>1.1 GSK Overview</w:t>
      </w:r>
      <w:bookmarkEnd w:id="2"/>
    </w:p>
    <w:p w14:paraId="044BB09E">
      <w:pPr>
        <w:rPr>
          <w:rFonts w:ascii="Arial" w:hAnsi="Arial" w:cs="Arial"/>
          <w:szCs w:val="24"/>
        </w:rPr>
      </w:pPr>
      <w:r>
        <w:rPr>
          <w:rFonts w:ascii="Arial" w:hAnsi="Arial" w:cs="Arial"/>
          <w:szCs w:val="24"/>
        </w:rPr>
        <w:t xml:space="preserve">GSK or formerly GlaxoSmithKline is one of the 10 leading pharmaceutical companies in the world, with its headquarters in London. In 2024, it had revenues of £31.4 billion (~$39.5 billion), which was in respiratory therapies, HIV treatments, and vaccines. Its modern identity traces back to the 2000 merger of Glaxo Wellcome and SmithKline Beecham, a 72 billion deal, and its 2021 sale of consumer healthcare to Haleon (Mikulic, 2023). </w:t>
      </w:r>
    </w:p>
    <w:p w14:paraId="28FD43FC">
      <w:pPr>
        <w:jc w:val="center"/>
        <w:rPr>
          <w:rFonts w:ascii="Arial" w:hAnsi="Arial" w:cs="Arial"/>
          <w:b/>
          <w:bCs/>
          <w:szCs w:val="24"/>
        </w:rPr>
      </w:pPr>
      <w:r>
        <w:rPr>
          <w:rFonts w:ascii="Arial" w:hAnsi="Arial" w:cs="Arial"/>
          <w:b/>
          <w:bCs/>
          <w:szCs w:val="24"/>
          <w:lang w:val="en-US" w:eastAsia="en-US"/>
        </w:rPr>
        <w:drawing>
          <wp:inline distT="0" distB="0" distL="0" distR="0">
            <wp:extent cx="5731510" cy="3590925"/>
            <wp:effectExtent l="0" t="0" r="2540" b="9525"/>
            <wp:docPr id="2" name="Picture 2" descr="GSK revenue by division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SK revenue by division 2024| Statista"/>
                    <pic:cNvPicPr>
                      <a:picLocks noChangeAspect="1" noChangeArrowheads="1"/>
                    </pic:cNvPicPr>
                  </pic:nvPicPr>
                  <pic:blipFill>
                    <a:blip r:embed="rId14">
                      <a:extLst>
                        <a:ext uri="{28A0092B-C50C-407E-A947-70E740481C1C}">
                          <a14:useLocalDpi xmlns:a14="http://schemas.microsoft.com/office/drawing/2010/main" val="0"/>
                        </a:ext>
                      </a:extLst>
                    </a:blip>
                    <a:srcRect b="15673"/>
                    <a:stretch>
                      <a:fillRect/>
                    </a:stretch>
                  </pic:blipFill>
                  <pic:spPr>
                    <a:xfrm>
                      <a:off x="0" y="0"/>
                      <a:ext cx="5731510" cy="3590925"/>
                    </a:xfrm>
                    <a:prstGeom prst="rect">
                      <a:avLst/>
                    </a:prstGeom>
                    <a:noFill/>
                    <a:ln>
                      <a:noFill/>
                    </a:ln>
                  </pic:spPr>
                </pic:pic>
              </a:graphicData>
            </a:graphic>
          </wp:inline>
        </w:drawing>
      </w:r>
    </w:p>
    <w:p w14:paraId="70FB61ED">
      <w:pPr>
        <w:jc w:val="center"/>
        <w:rPr>
          <w:rFonts w:ascii="Arial" w:hAnsi="Arial" w:cs="Arial"/>
          <w:b/>
          <w:bCs/>
          <w:szCs w:val="24"/>
        </w:rPr>
      </w:pPr>
      <w:r>
        <w:rPr>
          <w:rFonts w:ascii="Arial" w:hAnsi="Arial" w:cs="Arial"/>
          <w:b/>
          <w:bCs/>
          <w:szCs w:val="24"/>
        </w:rPr>
        <w:t>Figure 01: GSK Revenue by Division 2006-2024</w:t>
      </w:r>
    </w:p>
    <w:p w14:paraId="58222519">
      <w:pPr>
        <w:jc w:val="center"/>
        <w:rPr>
          <w:rFonts w:ascii="Arial" w:hAnsi="Arial" w:cs="Arial"/>
          <w:b/>
          <w:bCs/>
          <w:szCs w:val="24"/>
        </w:rPr>
      </w:pPr>
      <w:r>
        <w:rPr>
          <w:rFonts w:ascii="Arial" w:hAnsi="Arial" w:cs="Arial"/>
          <w:b/>
          <w:bCs/>
          <w:szCs w:val="24"/>
        </w:rPr>
        <w:t>Source: (Duffin, 2025)</w:t>
      </w:r>
    </w:p>
    <w:p w14:paraId="18DE1898">
      <w:pPr>
        <w:rPr>
          <w:rFonts w:ascii="Arial" w:hAnsi="Arial" w:cs="Arial"/>
          <w:szCs w:val="24"/>
        </w:rPr>
      </w:pPr>
      <w:r>
        <w:rPr>
          <w:rFonts w:ascii="Arial" w:hAnsi="Arial" w:cs="Arial"/>
          <w:szCs w:val="24"/>
          <w:shd w:val="clear" w:color="auto" w:fill="FFFFFF"/>
        </w:rPr>
        <w:t xml:space="preserve">The statistic presents the income of the pharmaceutical company GSK (GlaxoSmithKline) in the period of 2006-2024 by division. GSK plc is a giant pharmaceutical firm in the world. The headquarters of the multinational company is located in London in the UK. By 2024, the company had some 11.8 billion British pounds revenues through specialty medicines (Duffin, 2025). In the year 2022, the company separated its Consumer Healthcare business division with pharmaceuticals and R&amp;D being its priorities. </w:t>
      </w:r>
    </w:p>
    <w:p w14:paraId="0A50DEF7">
      <w:pPr>
        <w:spacing w:before="240"/>
        <w:rPr>
          <w:rFonts w:ascii="Arial" w:hAnsi="Arial" w:cs="Arial"/>
          <w:szCs w:val="24"/>
        </w:rPr>
      </w:pPr>
      <w:r>
        <w:rPr>
          <w:rStyle w:val="14"/>
          <w:rFonts w:ascii="Arial" w:hAnsi="Arial" w:cs="Arial" w:eastAsiaTheme="majorEastAsia"/>
          <w:szCs w:val="24"/>
        </w:rPr>
        <w:t>Mission</w:t>
      </w:r>
      <w:r>
        <w:rPr>
          <w:rFonts w:ascii="Arial" w:hAnsi="Arial" w:cs="Arial"/>
          <w:szCs w:val="24"/>
        </w:rPr>
        <w:t>: The mission of GSK is to make a positive contribution to enhancing the quality of human life by empowering people to do more, feel better, and live longer. This mission focuses on patient-centred innovation and world healthcare impact.</w:t>
      </w:r>
    </w:p>
    <w:p w14:paraId="13FB557A">
      <w:pPr>
        <w:spacing w:before="240"/>
        <w:rPr>
          <w:rFonts w:ascii="Arial" w:hAnsi="Arial" w:cs="Arial"/>
          <w:szCs w:val="24"/>
        </w:rPr>
      </w:pPr>
      <w:r>
        <w:rPr>
          <w:rStyle w:val="14"/>
          <w:rFonts w:ascii="Arial" w:hAnsi="Arial" w:cs="Arial" w:eastAsiaTheme="majorEastAsia"/>
          <w:szCs w:val="24"/>
        </w:rPr>
        <w:t>Vision</w:t>
      </w:r>
      <w:r>
        <w:rPr>
          <w:rFonts w:ascii="Arial" w:hAnsi="Arial" w:cs="Arial"/>
          <w:szCs w:val="24"/>
        </w:rPr>
        <w:t>: The vision is to be amongst the most innovative, best performing and trusted healthcare companies in the world, with its strategic emphasis on innovation, operational excellence and trusted by its stakeholders.</w:t>
      </w:r>
    </w:p>
    <w:p w14:paraId="6B6D3C06">
      <w:pPr>
        <w:spacing w:before="240"/>
        <w:rPr>
          <w:rFonts w:ascii="Arial" w:hAnsi="Arial" w:cs="Arial"/>
          <w:szCs w:val="24"/>
        </w:rPr>
      </w:pPr>
      <w:r>
        <w:rPr>
          <w:rStyle w:val="14"/>
          <w:rFonts w:ascii="Arial" w:hAnsi="Arial" w:cs="Arial" w:eastAsiaTheme="majorEastAsia"/>
          <w:szCs w:val="24"/>
        </w:rPr>
        <w:t>Business Model</w:t>
      </w:r>
      <w:r>
        <w:rPr>
          <w:rFonts w:ascii="Arial" w:hAnsi="Arial" w:cs="Arial"/>
          <w:szCs w:val="24"/>
        </w:rPr>
        <w:t>: GSK has a product-based business model that is heavily research-oriented. Prescription pharmaceuticals and vaccines are the sources of major revenue, supplemented by licencing, partnerships, as well as strategic R&amp;D partnerships. It is a model with innovation, global market penetration, and sustainable growth and balances regulatory compliance and cost management (Bashirynejad et al., 2024).</w:t>
      </w:r>
    </w:p>
    <w:p w14:paraId="4D3C4E65">
      <w:pPr>
        <w:pStyle w:val="13"/>
        <w:spacing w:after="0" w:afterAutospacing="0"/>
        <w:jc w:val="center"/>
        <w:rPr>
          <w:rFonts w:ascii="Arial" w:hAnsi="Arial" w:cs="Arial"/>
          <w:b/>
          <w:bCs/>
        </w:rPr>
      </w:pPr>
      <w:r>
        <w:rPr>
          <w:rFonts w:ascii="Arial" w:hAnsi="Arial" w:cs="Arial"/>
          <w:b/>
          <w:bCs/>
          <w:lang w:val="en-US" w:eastAsia="en-US"/>
        </w:rPr>
        <w:drawing>
          <wp:inline distT="0" distB="0" distL="0" distR="0">
            <wp:extent cx="5414645" cy="4762500"/>
            <wp:effectExtent l="0" t="0" r="0" b="0"/>
            <wp:docPr id="4" name="Picture 4" descr="Adopting a Product-Centric operating model at Scale - Boundaryl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dopting a Product-Centric operating model at Scale - Boundaryless"/>
                    <pic:cNvPicPr>
                      <a:picLocks noChangeAspect="1" noChangeArrowheads="1"/>
                    </pic:cNvPicPr>
                  </pic:nvPicPr>
                  <pic:blipFill>
                    <a:blip r:embed="rId15">
                      <a:extLst>
                        <a:ext uri="{28A0092B-C50C-407E-A947-70E740481C1C}">
                          <a14:useLocalDpi xmlns:a14="http://schemas.microsoft.com/office/drawing/2010/main" val="0"/>
                        </a:ext>
                      </a:extLst>
                    </a:blip>
                    <a:srcRect l="2493" t="4008" r="13251" b="7263"/>
                    <a:stretch>
                      <a:fillRect/>
                    </a:stretch>
                  </pic:blipFill>
                  <pic:spPr>
                    <a:xfrm>
                      <a:off x="0" y="0"/>
                      <a:ext cx="5429577" cy="4775270"/>
                    </a:xfrm>
                    <a:prstGeom prst="rect">
                      <a:avLst/>
                    </a:prstGeom>
                    <a:noFill/>
                    <a:ln>
                      <a:noFill/>
                    </a:ln>
                  </pic:spPr>
                </pic:pic>
              </a:graphicData>
            </a:graphic>
          </wp:inline>
        </w:drawing>
      </w:r>
    </w:p>
    <w:p w14:paraId="6FCF8423">
      <w:pPr>
        <w:pStyle w:val="13"/>
        <w:spacing w:after="0" w:afterAutospacing="0"/>
        <w:jc w:val="center"/>
        <w:rPr>
          <w:rFonts w:ascii="Arial" w:hAnsi="Arial" w:cs="Arial"/>
          <w:b/>
          <w:bCs/>
        </w:rPr>
      </w:pPr>
      <w:r>
        <w:rPr>
          <w:rFonts w:ascii="Arial" w:hAnsi="Arial" w:cs="Arial"/>
          <w:b/>
          <w:bCs/>
        </w:rPr>
        <w:t>Figure 02: Product-Centric Operating Model</w:t>
      </w:r>
    </w:p>
    <w:p w14:paraId="17EADC6E">
      <w:pPr>
        <w:spacing w:line="240" w:lineRule="auto"/>
        <w:jc w:val="center"/>
        <w:rPr>
          <w:rFonts w:ascii="Arial" w:hAnsi="Arial" w:cs="Arial"/>
          <w:b/>
          <w:bCs/>
          <w:szCs w:val="24"/>
        </w:rPr>
      </w:pPr>
      <w:r>
        <w:rPr>
          <w:rFonts w:ascii="Arial" w:hAnsi="Arial" w:cs="Arial"/>
          <w:b/>
          <w:bCs/>
          <w:szCs w:val="24"/>
        </w:rPr>
        <w:t>Source: (Cicero and Quintarelli, 2022)</w:t>
      </w:r>
    </w:p>
    <w:p w14:paraId="51A06BF0">
      <w:pPr>
        <w:pStyle w:val="13"/>
        <w:spacing w:line="360" w:lineRule="auto"/>
        <w:jc w:val="both"/>
        <w:rPr>
          <w:rFonts w:ascii="Arial" w:hAnsi="Arial" w:cs="Arial"/>
        </w:rPr>
      </w:pPr>
      <w:r>
        <w:rPr>
          <w:rStyle w:val="14"/>
          <w:rFonts w:ascii="Arial" w:hAnsi="Arial" w:cs="Arial" w:eastAsiaTheme="majorEastAsia"/>
        </w:rPr>
        <w:t>Competitors</w:t>
      </w:r>
      <w:r>
        <w:rPr>
          <w:rFonts w:ascii="Arial" w:hAnsi="Arial" w:cs="Arial"/>
        </w:rPr>
        <w:t>: The pharmaceutical market is a very competitive market in the world, which is very fast in terms of innovations, strict requirements in terms of regulations, and the needs of the patients. Such competitors as Pfizer, Johnson &amp; Johnson, Novartis, and AstraZeneca (Coyle, 2025) are key competitors. GSK enjoys a competitive advantage in respiratory and HIV treatments, vaccines, and specialty drugs, with a vast pipeline of research and development, extensive distribution networks, and strategic alliances around the globe (BCC Research, 2025).</w:t>
      </w:r>
    </w:p>
    <w:p w14:paraId="74EEE67F">
      <w:pPr>
        <w:pStyle w:val="3"/>
        <w:rPr>
          <w:rFonts w:ascii="Arial" w:hAnsi="Arial" w:cs="Arial"/>
          <w:color w:val="auto"/>
        </w:rPr>
      </w:pPr>
      <w:bookmarkStart w:id="3" w:name="_Toc223942499"/>
      <w:r>
        <w:rPr>
          <w:rFonts w:ascii="Arial" w:hAnsi="Arial" w:cs="Arial"/>
          <w:color w:val="auto"/>
        </w:rPr>
        <w:t>1.2 Market Position</w:t>
      </w:r>
      <w:bookmarkEnd w:id="3"/>
    </w:p>
    <w:p w14:paraId="3023B877">
      <w:pPr>
        <w:rPr>
          <w:rFonts w:ascii="Arial" w:hAnsi="Arial" w:cs="Arial"/>
          <w:szCs w:val="24"/>
        </w:rPr>
      </w:pPr>
      <w:r>
        <w:rPr>
          <w:rFonts w:ascii="Arial" w:hAnsi="Arial" w:cs="Arial"/>
          <w:szCs w:val="24"/>
        </w:rPr>
        <w:t>By 2025, GSK established itself as one of the top-10 global pharmaceutical companies, with an effective shift to a pure-play biopharma specialty medicines and vaccines model, which boosted its sales by around 7% to £32.7 billion. The firm realised beat growth in HIV, respiratory, and oncology portfolios with high profitability of a ~34 percent operating margin and an upgrade of its 2025 guidance.  Project a turnover growth of 3 to 5%; Core operating profit growth of 7 to 9%; Core EPS growth of 7 to 9 percent; 2031 sales projection of over 40 billion pounds (GSK, 2026).</w:t>
      </w:r>
    </w:p>
    <w:p w14:paraId="547A5F7B">
      <w:pPr>
        <w:shd w:val="clear" w:color="auto" w:fill="FFFFFF"/>
        <w:spacing w:after="240" w:line="240" w:lineRule="auto"/>
        <w:jc w:val="center"/>
        <w:rPr>
          <w:rFonts w:ascii="Arial" w:hAnsi="Arial" w:cs="Arial"/>
          <w:b/>
          <w:bCs/>
          <w:szCs w:val="24"/>
        </w:rPr>
      </w:pPr>
      <w:r>
        <w:rPr>
          <w:rFonts w:ascii="Arial" w:hAnsi="Arial" w:cs="Arial"/>
          <w:b/>
          <w:bCs/>
          <w:szCs w:val="24"/>
          <w:lang w:val="en-US" w:eastAsia="en-US"/>
        </w:rPr>
        <w:drawing>
          <wp:inline distT="0" distB="0" distL="0" distR="0">
            <wp:extent cx="5586730" cy="275272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6"/>
                    <a:stretch>
                      <a:fillRect/>
                    </a:stretch>
                  </pic:blipFill>
                  <pic:spPr>
                    <a:xfrm>
                      <a:off x="0" y="0"/>
                      <a:ext cx="5589166" cy="2753714"/>
                    </a:xfrm>
                    <a:prstGeom prst="rect">
                      <a:avLst/>
                    </a:prstGeom>
                  </pic:spPr>
                </pic:pic>
              </a:graphicData>
            </a:graphic>
          </wp:inline>
        </w:drawing>
      </w:r>
    </w:p>
    <w:p w14:paraId="11B2DFE2">
      <w:pPr>
        <w:shd w:val="clear" w:color="auto" w:fill="FFFFFF"/>
        <w:spacing w:after="240" w:line="240" w:lineRule="auto"/>
        <w:jc w:val="center"/>
        <w:rPr>
          <w:rFonts w:ascii="Arial" w:hAnsi="Arial" w:cs="Arial"/>
          <w:b/>
          <w:bCs/>
          <w:szCs w:val="24"/>
        </w:rPr>
      </w:pPr>
      <w:r>
        <w:rPr>
          <w:rFonts w:ascii="Arial" w:hAnsi="Arial" w:cs="Arial"/>
          <w:b/>
          <w:bCs/>
          <w:szCs w:val="24"/>
        </w:rPr>
        <w:t>Figure 03: Performance of GSK</w:t>
      </w:r>
    </w:p>
    <w:p w14:paraId="228D50B5">
      <w:pPr>
        <w:shd w:val="clear" w:color="auto" w:fill="FFFFFF"/>
        <w:spacing w:after="240" w:line="240" w:lineRule="auto"/>
        <w:jc w:val="center"/>
        <w:rPr>
          <w:rFonts w:ascii="Arial" w:hAnsi="Arial" w:cs="Arial"/>
          <w:b/>
          <w:bCs/>
          <w:szCs w:val="24"/>
        </w:rPr>
      </w:pPr>
      <w:r>
        <w:rPr>
          <w:rFonts w:ascii="Arial" w:hAnsi="Arial" w:cs="Arial"/>
          <w:b/>
          <w:bCs/>
          <w:szCs w:val="24"/>
        </w:rPr>
        <w:t>Source: (GSK, 2026)</w:t>
      </w:r>
    </w:p>
    <w:p w14:paraId="4BA39A43">
      <w:pPr>
        <w:pStyle w:val="2"/>
        <w:rPr>
          <w:rFonts w:ascii="Arial" w:hAnsi="Arial" w:cs="Arial"/>
          <w:color w:val="auto"/>
        </w:rPr>
      </w:pPr>
      <w:bookmarkStart w:id="4" w:name="_Toc223942500"/>
      <w:r>
        <w:rPr>
          <w:rFonts w:ascii="Arial" w:hAnsi="Arial" w:cs="Arial"/>
          <w:color w:val="auto"/>
        </w:rPr>
        <w:t>2. External and Internal Environment Analysis</w:t>
      </w:r>
      <w:bookmarkEnd w:id="4"/>
    </w:p>
    <w:p w14:paraId="6CA840A4">
      <w:pPr>
        <w:pStyle w:val="3"/>
        <w:rPr>
          <w:rFonts w:ascii="Arial" w:hAnsi="Arial" w:cs="Arial"/>
          <w:color w:val="auto"/>
        </w:rPr>
      </w:pPr>
      <w:bookmarkStart w:id="5" w:name="_Toc223942501"/>
      <w:r>
        <w:rPr>
          <w:rFonts w:ascii="Arial" w:hAnsi="Arial" w:cs="Arial"/>
          <w:color w:val="auto"/>
          <w:szCs w:val="28"/>
        </w:rPr>
        <w:t>2.1 PESTEL</w:t>
      </w:r>
      <w:r>
        <w:rPr>
          <w:rFonts w:ascii="Arial" w:hAnsi="Arial" w:cs="Arial"/>
          <w:color w:val="auto"/>
        </w:rPr>
        <w:t xml:space="preserve"> Analysis of GSK</w:t>
      </w:r>
      <w:bookmarkEnd w:id="5"/>
    </w:p>
    <w:p w14:paraId="77425AE8">
      <w:pPr>
        <w:pStyle w:val="13"/>
        <w:spacing w:line="360" w:lineRule="auto"/>
        <w:jc w:val="both"/>
        <w:rPr>
          <w:rFonts w:ascii="Arial" w:hAnsi="Arial" w:cs="Arial"/>
          <w:b/>
          <w:bCs/>
          <w:lang w:eastAsia="en-US"/>
        </w:rPr>
      </w:pPr>
      <w:r>
        <w:rPr>
          <w:rFonts w:ascii="Arial" w:hAnsi="Arial" w:cs="Arial"/>
          <w:b/>
          <w:bCs/>
          <w:lang w:eastAsia="en-US"/>
        </w:rPr>
        <w:t>1) Political Factor</w:t>
      </w:r>
    </w:p>
    <w:p w14:paraId="156EC0F4">
      <w:pPr>
        <w:pStyle w:val="13"/>
        <w:spacing w:line="360" w:lineRule="auto"/>
        <w:jc w:val="both"/>
        <w:rPr>
          <w:rFonts w:ascii="Arial" w:hAnsi="Arial" w:cs="Arial"/>
        </w:rPr>
      </w:pPr>
      <w:r>
        <w:rPr>
          <w:rFonts w:ascii="Arial" w:hAnsi="Arial" w:cs="Arial"/>
        </w:rPr>
        <w:t>The pharmacy sector is both very controlled and sensitive to the political activities. The accessibility of GSK in the market and its profitability is directly affected by national healthcare policies and government pricing. The developed market (EU, UK, US) governments are increasing drug price controls to curb healthcare expenditure, which may limit revenue growth (BCC Research, 2025). At the same time, global health programmes (e.g. WHO vaccine programmes) and international trade deals give GSK its vaccines and therapeutic portfolios opportunities. As an example, government policies regarding pandemic preparedness impact the demand of vaccines and treatments which are developed by GSK through partners.</w:t>
      </w:r>
    </w:p>
    <w:p w14:paraId="2396CECC">
      <w:pPr>
        <w:pStyle w:val="13"/>
        <w:spacing w:line="360" w:lineRule="auto"/>
        <w:jc w:val="both"/>
        <w:rPr>
          <w:rFonts w:ascii="Arial" w:hAnsi="Arial" w:cs="Arial"/>
        </w:rPr>
      </w:pPr>
      <w:r>
        <w:rPr>
          <w:rStyle w:val="14"/>
          <w:rFonts w:ascii="Arial" w:hAnsi="Arial" w:cs="Arial" w:eastAsiaTheme="majorEastAsia"/>
        </w:rPr>
        <w:t>Impact on GSK’s Strategic Decisions:</w:t>
      </w:r>
    </w:p>
    <w:p w14:paraId="1344C63E">
      <w:pPr>
        <w:pStyle w:val="13"/>
        <w:numPr>
          <w:ilvl w:val="0"/>
          <w:numId w:val="1"/>
        </w:numPr>
        <w:spacing w:line="360" w:lineRule="auto"/>
        <w:jc w:val="both"/>
        <w:rPr>
          <w:rFonts w:ascii="Arial" w:hAnsi="Arial" w:cs="Arial"/>
        </w:rPr>
      </w:pPr>
      <w:r>
        <w:rPr>
          <w:rFonts w:ascii="Arial" w:hAnsi="Arial" w:cs="Arial"/>
        </w:rPr>
        <w:t>Investment in markets that have favourable pricing and reimbursement conditions.</w:t>
      </w:r>
    </w:p>
    <w:p w14:paraId="3DDA6451">
      <w:pPr>
        <w:pStyle w:val="13"/>
        <w:numPr>
          <w:ilvl w:val="0"/>
          <w:numId w:val="1"/>
        </w:numPr>
        <w:spacing w:line="360" w:lineRule="auto"/>
        <w:jc w:val="both"/>
        <w:rPr>
          <w:rFonts w:ascii="Arial" w:hAnsi="Arial" w:cs="Arial"/>
        </w:rPr>
      </w:pPr>
      <w:r>
        <w:rPr>
          <w:rFonts w:ascii="Arial" w:hAnsi="Arial" w:cs="Arial"/>
        </w:rPr>
        <w:t>Partnership with governments and non-governmental organisations to distribute the vaccine.</w:t>
      </w:r>
    </w:p>
    <w:p w14:paraId="7C9D7AF1">
      <w:pPr>
        <w:pStyle w:val="13"/>
        <w:numPr>
          <w:ilvl w:val="0"/>
          <w:numId w:val="1"/>
        </w:numPr>
        <w:spacing w:line="360" w:lineRule="auto"/>
        <w:jc w:val="both"/>
        <w:rPr>
          <w:rFonts w:ascii="Arial" w:hAnsi="Arial" w:cs="Arial"/>
        </w:rPr>
      </w:pPr>
      <w:r>
        <w:rPr>
          <w:rFonts w:ascii="Arial" w:hAnsi="Arial" w:cs="Arial"/>
        </w:rPr>
        <w:t>Diversification into emerging markets to counter regulatory price controls in developed economies.</w:t>
      </w:r>
    </w:p>
    <w:p w14:paraId="674640AE">
      <w:pPr>
        <w:rPr>
          <w:rFonts w:ascii="Arial" w:hAnsi="Arial" w:cs="Arial"/>
          <w:b/>
          <w:bCs/>
          <w:lang w:eastAsia="en-US"/>
        </w:rPr>
      </w:pPr>
      <w:r>
        <w:rPr>
          <w:rFonts w:ascii="Arial" w:hAnsi="Arial" w:cs="Arial"/>
          <w:b/>
          <w:bCs/>
          <w:lang w:eastAsia="en-US"/>
        </w:rPr>
        <w:t>2) Economical Factor</w:t>
      </w:r>
    </w:p>
    <w:p w14:paraId="678F8D16">
      <w:pPr>
        <w:rPr>
          <w:rFonts w:ascii="Arial" w:hAnsi="Arial" w:cs="Arial"/>
        </w:rPr>
      </w:pPr>
      <w:r>
        <w:rPr>
          <w:rFonts w:ascii="Arial" w:hAnsi="Arial" w:cs="Arial"/>
        </w:rPr>
        <w:t>The pharmaceutical market is very susceptible to the total healthcare expenditure, which in most instances increases even during economic slowdowns but during currency fluctuations (GBP vs. USD/EUR) derailed revenue may be reported. The macroeconomic performance and fluctuation in exchange rates affected the revenue reported by GSK (£31.4 billion) in 2024 (Mikulic, 2023). As of 2023, according to NAVADHI Market Research (2019), the pharmaceutical industry in the world was worth USD 1.57 trillion. GSK with its headquarters in Brentford, UK has operations in more than 100 countries. It registered USD 40.99 billion in FY2018, with respiratory products (USD 9.21 billion) being the top earners, as it invested heavily in R&amp;D in its pharmaceuticals, vaccines, and consumer healthcare sectors.</w:t>
      </w:r>
    </w:p>
    <w:p w14:paraId="6F7E574D">
      <w:pPr>
        <w:pStyle w:val="13"/>
        <w:jc w:val="center"/>
        <w:rPr>
          <w:rFonts w:ascii="Arial" w:hAnsi="Arial" w:cs="Arial"/>
          <w:b/>
          <w:bCs/>
        </w:rPr>
      </w:pPr>
      <w:r>
        <w:rPr>
          <w:rFonts w:ascii="Arial" w:hAnsi="Arial" w:cs="Arial"/>
          <w:b/>
          <w:bCs/>
          <w:lang w:val="en-US" w:eastAsia="en-US"/>
        </w:rPr>
        <w:drawing>
          <wp:inline distT="0" distB="0" distL="0" distR="0">
            <wp:extent cx="5734050" cy="25431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7"/>
                    <a:stretch>
                      <a:fillRect/>
                    </a:stretch>
                  </pic:blipFill>
                  <pic:spPr>
                    <a:xfrm>
                      <a:off x="0" y="0"/>
                      <a:ext cx="5736128" cy="2543954"/>
                    </a:xfrm>
                    <a:prstGeom prst="rect">
                      <a:avLst/>
                    </a:prstGeom>
                  </pic:spPr>
                </pic:pic>
              </a:graphicData>
            </a:graphic>
          </wp:inline>
        </w:drawing>
      </w:r>
    </w:p>
    <w:p w14:paraId="0F46D920">
      <w:pPr>
        <w:pStyle w:val="13"/>
        <w:jc w:val="center"/>
        <w:rPr>
          <w:rFonts w:ascii="Arial" w:hAnsi="Arial" w:cs="Arial"/>
          <w:b/>
          <w:bCs/>
        </w:rPr>
      </w:pPr>
      <w:r>
        <w:rPr>
          <w:rFonts w:ascii="Arial" w:hAnsi="Arial" w:cs="Arial"/>
          <w:b/>
          <w:bCs/>
        </w:rPr>
        <w:t>Figure 04: GSK Performance in 2018</w:t>
      </w:r>
    </w:p>
    <w:p w14:paraId="22DEE74C">
      <w:pPr>
        <w:jc w:val="center"/>
        <w:rPr>
          <w:rFonts w:ascii="Arial" w:hAnsi="Arial" w:cs="Arial"/>
          <w:b/>
          <w:bCs/>
          <w:szCs w:val="24"/>
        </w:rPr>
      </w:pPr>
      <w:r>
        <w:rPr>
          <w:rFonts w:ascii="Arial" w:hAnsi="Arial" w:cs="Arial"/>
          <w:b/>
          <w:bCs/>
        </w:rPr>
        <w:t xml:space="preserve">Source: </w:t>
      </w:r>
      <w:r>
        <w:rPr>
          <w:rFonts w:ascii="Arial" w:hAnsi="Arial" w:cs="Arial"/>
          <w:b/>
          <w:bCs/>
          <w:szCs w:val="24"/>
        </w:rPr>
        <w:t>(NAVADHI, 2019)</w:t>
      </w:r>
    </w:p>
    <w:p w14:paraId="5D8B4305">
      <w:pPr>
        <w:pStyle w:val="13"/>
        <w:spacing w:line="360" w:lineRule="auto"/>
        <w:jc w:val="both"/>
        <w:rPr>
          <w:rFonts w:ascii="Arial" w:hAnsi="Arial" w:cs="Arial"/>
        </w:rPr>
      </w:pPr>
      <w:r>
        <w:rPr>
          <w:rStyle w:val="14"/>
          <w:rFonts w:ascii="Arial" w:hAnsi="Arial" w:cs="Arial" w:eastAsiaTheme="majorEastAsia"/>
        </w:rPr>
        <w:t>Impact on GSK’s Strategic Decisions:</w:t>
      </w:r>
    </w:p>
    <w:p w14:paraId="7EC44A40">
      <w:pPr>
        <w:pStyle w:val="13"/>
        <w:numPr>
          <w:ilvl w:val="0"/>
          <w:numId w:val="2"/>
        </w:numPr>
        <w:spacing w:line="360" w:lineRule="auto"/>
        <w:jc w:val="both"/>
        <w:rPr>
          <w:rFonts w:ascii="Arial" w:hAnsi="Arial" w:cs="Arial"/>
        </w:rPr>
      </w:pPr>
      <w:r>
        <w:rPr>
          <w:rFonts w:ascii="Arial" w:hAnsi="Arial" w:cs="Arial"/>
        </w:rPr>
        <w:t>Earnings stabilisation through hedging currency risk and financial planning.</w:t>
      </w:r>
    </w:p>
    <w:p w14:paraId="1C30A320">
      <w:pPr>
        <w:pStyle w:val="13"/>
        <w:numPr>
          <w:ilvl w:val="0"/>
          <w:numId w:val="2"/>
        </w:numPr>
        <w:spacing w:line="360" w:lineRule="auto"/>
        <w:jc w:val="both"/>
        <w:rPr>
          <w:rFonts w:ascii="Arial" w:hAnsi="Arial" w:cs="Arial"/>
        </w:rPr>
      </w:pPr>
      <w:r>
        <w:rPr>
          <w:rFonts w:ascii="Arial" w:hAnsi="Arial" w:cs="Arial"/>
        </w:rPr>
        <w:t>Efficiency and cost rationalisation to save on profits.</w:t>
      </w:r>
    </w:p>
    <w:p w14:paraId="70929856">
      <w:pPr>
        <w:pStyle w:val="13"/>
        <w:numPr>
          <w:ilvl w:val="0"/>
          <w:numId w:val="2"/>
        </w:numPr>
        <w:spacing w:line="360" w:lineRule="auto"/>
        <w:jc w:val="both"/>
        <w:rPr>
          <w:rFonts w:ascii="Arial" w:hAnsi="Arial" w:cs="Arial"/>
        </w:rPr>
      </w:pPr>
      <w:r>
        <w:rPr>
          <w:rFonts w:ascii="Arial" w:hAnsi="Arial" w:cs="Arial"/>
        </w:rPr>
        <w:t>Well thought-out pricing choices in accordance with the national healthcare budgets.</w:t>
      </w:r>
    </w:p>
    <w:p w14:paraId="01F460ED">
      <w:pPr>
        <w:rPr>
          <w:rFonts w:ascii="Arial" w:hAnsi="Arial" w:cs="Arial"/>
          <w:b/>
          <w:bCs/>
          <w:lang w:eastAsia="en-US"/>
        </w:rPr>
      </w:pPr>
      <w:r>
        <w:rPr>
          <w:rFonts w:ascii="Arial" w:hAnsi="Arial" w:cs="Arial"/>
          <w:b/>
          <w:bCs/>
          <w:lang w:eastAsia="en-US"/>
        </w:rPr>
        <w:t>3) Social Factor</w:t>
      </w:r>
    </w:p>
    <w:p w14:paraId="1B95D815">
      <w:pPr>
        <w:pStyle w:val="13"/>
        <w:spacing w:line="360" w:lineRule="auto"/>
        <w:jc w:val="both"/>
        <w:rPr>
          <w:rFonts w:ascii="Arial" w:hAnsi="Arial" w:cs="Arial"/>
        </w:rPr>
      </w:pPr>
      <w:r>
        <w:rPr>
          <w:rFonts w:ascii="Arial" w:hAnsi="Arial" w:cs="Arial"/>
        </w:rPr>
        <w:t>The demand of the GSK products is formed under the influence of demographic and social tendencies. The developed markets are ageing, which boosts the need of chronic disease treatments and vaccines (Bashirynejad et al., 2024). Also, increasing consumer health and wellness awareness stimulate the increase of preventive health care solutions demand. In the United States, GSK vaccine sales deteriorated, and Shingrix reduced by 15% in sales when the global vaccines sales increased to £2.68 billion. The firm projects a 2025 forecast of vaccine revenues that are generally steady, and overall yearly revenues rise by 6-7% and core EPS rise by 10-12%, to reach 40 billion in revenue by 2031 (Satija and Shabong, 2025).</w:t>
      </w:r>
    </w:p>
    <w:p w14:paraId="472E5170">
      <w:pPr>
        <w:pStyle w:val="13"/>
        <w:jc w:val="center"/>
        <w:rPr>
          <w:rFonts w:ascii="Arial" w:hAnsi="Arial" w:cs="Arial"/>
          <w:b/>
          <w:bCs/>
        </w:rPr>
      </w:pPr>
      <w:r>
        <w:rPr>
          <w:rFonts w:ascii="Arial" w:hAnsi="Arial" w:cs="Arial"/>
          <w:b/>
          <w:bCs/>
          <w:lang w:val="en-US" w:eastAsia="en-US"/>
        </w:rPr>
        <w:drawing>
          <wp:inline distT="0" distB="0" distL="0" distR="0">
            <wp:extent cx="5344160" cy="3762375"/>
            <wp:effectExtent l="19050" t="0" r="8512" b="0"/>
            <wp:docPr id="8" name="Picture 8" descr="GSK cancer, HIV drug sales lift 2025 outlook in boost for shares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SK cancer, HIV drug sales lift 2025 outlook in boost for shares | Reuter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5344538" cy="3762375"/>
                    </a:xfrm>
                    <a:prstGeom prst="rect">
                      <a:avLst/>
                    </a:prstGeom>
                    <a:noFill/>
                    <a:ln>
                      <a:noFill/>
                    </a:ln>
                  </pic:spPr>
                </pic:pic>
              </a:graphicData>
            </a:graphic>
          </wp:inline>
        </w:drawing>
      </w:r>
    </w:p>
    <w:p w14:paraId="50F1EDAC">
      <w:pPr>
        <w:pStyle w:val="13"/>
        <w:jc w:val="center"/>
        <w:rPr>
          <w:rFonts w:ascii="Arial" w:hAnsi="Arial" w:cs="Arial"/>
          <w:b/>
          <w:bCs/>
        </w:rPr>
      </w:pPr>
      <w:r>
        <w:rPr>
          <w:rFonts w:ascii="Arial" w:hAnsi="Arial" w:cs="Arial"/>
          <w:b/>
          <w:bCs/>
        </w:rPr>
        <w:t>Figure 05: GSK cancer, HIV drug sales lift 2025 outlook in boost for shares</w:t>
      </w:r>
    </w:p>
    <w:p w14:paraId="6EF037EE">
      <w:pPr>
        <w:jc w:val="center"/>
        <w:rPr>
          <w:rFonts w:ascii="Arial" w:hAnsi="Arial" w:cs="Arial"/>
          <w:b/>
          <w:bCs/>
          <w:szCs w:val="24"/>
        </w:rPr>
      </w:pPr>
      <w:r>
        <w:rPr>
          <w:rFonts w:ascii="Arial" w:hAnsi="Arial" w:cs="Arial"/>
          <w:b/>
          <w:bCs/>
        </w:rPr>
        <w:t xml:space="preserve">Source: </w:t>
      </w:r>
      <w:r>
        <w:rPr>
          <w:rFonts w:ascii="Arial" w:hAnsi="Arial" w:cs="Arial"/>
          <w:b/>
          <w:bCs/>
          <w:szCs w:val="24"/>
        </w:rPr>
        <w:t>(Satija and Shabong, 2025)</w:t>
      </w:r>
    </w:p>
    <w:p w14:paraId="485CAE2E">
      <w:pPr>
        <w:pStyle w:val="13"/>
        <w:spacing w:line="360" w:lineRule="auto"/>
        <w:jc w:val="both"/>
        <w:rPr>
          <w:rFonts w:ascii="Arial" w:hAnsi="Arial" w:cs="Arial"/>
        </w:rPr>
      </w:pPr>
      <w:r>
        <w:rPr>
          <w:rStyle w:val="14"/>
          <w:rFonts w:ascii="Arial" w:hAnsi="Arial" w:cs="Arial" w:eastAsiaTheme="majorEastAsia"/>
        </w:rPr>
        <w:t>Impact on GSK’s Strategic Decisions:</w:t>
      </w:r>
    </w:p>
    <w:p w14:paraId="193A9EC1">
      <w:pPr>
        <w:pStyle w:val="13"/>
        <w:numPr>
          <w:ilvl w:val="0"/>
          <w:numId w:val="3"/>
        </w:numPr>
        <w:spacing w:line="360" w:lineRule="auto"/>
        <w:jc w:val="both"/>
        <w:rPr>
          <w:rFonts w:ascii="Arial" w:hAnsi="Arial" w:cs="Arial"/>
        </w:rPr>
      </w:pPr>
      <w:r>
        <w:rPr>
          <w:rFonts w:ascii="Arial" w:hAnsi="Arial" w:cs="Arial"/>
        </w:rPr>
        <w:t>Specific marketing and education efforts to enhance the vaccine coverage.</w:t>
      </w:r>
    </w:p>
    <w:p w14:paraId="704DD7D7">
      <w:pPr>
        <w:pStyle w:val="13"/>
        <w:numPr>
          <w:ilvl w:val="0"/>
          <w:numId w:val="3"/>
        </w:numPr>
        <w:spacing w:line="360" w:lineRule="auto"/>
        <w:jc w:val="both"/>
        <w:rPr>
          <w:rFonts w:ascii="Arial" w:hAnsi="Arial" w:cs="Arial"/>
        </w:rPr>
      </w:pPr>
      <w:r>
        <w:rPr>
          <w:rFonts w:ascii="Arial" w:hAnsi="Arial" w:cs="Arial"/>
        </w:rPr>
        <w:t>Growth of therapeutic portfolios on age related and chronic conditions.</w:t>
      </w:r>
    </w:p>
    <w:p w14:paraId="1B3EF16D">
      <w:pPr>
        <w:pStyle w:val="13"/>
        <w:numPr>
          <w:ilvl w:val="0"/>
          <w:numId w:val="3"/>
        </w:numPr>
        <w:spacing w:line="360" w:lineRule="auto"/>
        <w:jc w:val="both"/>
        <w:rPr>
          <w:rFonts w:ascii="Arial" w:hAnsi="Arial" w:cs="Arial"/>
        </w:rPr>
      </w:pPr>
      <w:r>
        <w:rPr>
          <w:rFonts w:ascii="Arial" w:hAnsi="Arial" w:cs="Arial"/>
        </w:rPr>
        <w:t>Programmes of community involvement to enhance brand trust.</w:t>
      </w:r>
    </w:p>
    <w:p w14:paraId="28C1DC13">
      <w:pPr>
        <w:rPr>
          <w:rFonts w:ascii="Arial" w:hAnsi="Arial" w:cs="Arial"/>
          <w:b/>
          <w:bCs/>
          <w:lang w:eastAsia="en-US"/>
        </w:rPr>
      </w:pPr>
      <w:r>
        <w:rPr>
          <w:rFonts w:ascii="Arial" w:hAnsi="Arial" w:cs="Arial"/>
          <w:b/>
          <w:bCs/>
          <w:lang w:eastAsia="en-US"/>
        </w:rPr>
        <w:t>4) Technological Factor</w:t>
      </w:r>
    </w:p>
    <w:p w14:paraId="2AE125C1">
      <w:pPr>
        <w:pStyle w:val="13"/>
        <w:spacing w:line="360" w:lineRule="auto"/>
        <w:jc w:val="both"/>
        <w:rPr>
          <w:rFonts w:ascii="Arial" w:hAnsi="Arial" w:cs="Arial"/>
        </w:rPr>
      </w:pPr>
      <w:r>
        <w:rPr>
          <w:rFonts w:ascii="Arial" w:hAnsi="Arial" w:cs="Arial"/>
        </w:rPr>
        <w:t>The level of technology is essential in drugs. The drug development has been transformed by biotechnology, genomics, and digital health. GSK also dedicates resources to R&amp;D collaborations and advanced platforms in order to speed up innovation (Doron et al., 2023). GSK, with CEO Emma Walmsley, is streamlining its portfolio by dropping more than 30 drug programmes, selling non-core brands, and shutting down nine manufacturing plants to save £1 billion. It seeks to enhance effectiveness and profitability in R&amp;D, responding to poorly performing assets and balancing research with marketing and redistributing resources to expand into the future (Extance, 2017).</w:t>
      </w:r>
    </w:p>
    <w:p w14:paraId="1B229FB5">
      <w:pPr>
        <w:pStyle w:val="13"/>
        <w:jc w:val="center"/>
        <w:rPr>
          <w:rFonts w:ascii="Arial" w:hAnsi="Arial" w:cs="Arial"/>
          <w:b/>
          <w:bCs/>
        </w:rPr>
      </w:pPr>
      <w:r>
        <w:rPr>
          <w:rFonts w:ascii="Arial" w:hAnsi="Arial" w:cs="Arial"/>
          <w:b/>
          <w:bCs/>
          <w:lang w:val="en-US" w:eastAsia="en-US"/>
        </w:rPr>
        <w:drawing>
          <wp:inline distT="0" distB="0" distL="0" distR="0">
            <wp:extent cx="5760720" cy="3048000"/>
            <wp:effectExtent l="19050" t="0" r="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pic:cNvPicPr>
                      <a:picLocks noChangeAspect="1" noChangeArrowheads="1"/>
                    </pic:cNvPicPr>
                  </pic:nvPicPr>
                  <pic:blipFill>
                    <a:blip r:embed="rId19"/>
                    <a:srcRect/>
                    <a:stretch>
                      <a:fillRect/>
                    </a:stretch>
                  </pic:blipFill>
                  <pic:spPr>
                    <a:xfrm>
                      <a:off x="0" y="0"/>
                      <a:ext cx="5760720" cy="3048000"/>
                    </a:xfrm>
                    <a:prstGeom prst="rect">
                      <a:avLst/>
                    </a:prstGeom>
                    <a:noFill/>
                  </pic:spPr>
                </pic:pic>
              </a:graphicData>
            </a:graphic>
          </wp:inline>
        </w:drawing>
      </w:r>
    </w:p>
    <w:p w14:paraId="3C69622B">
      <w:pPr>
        <w:pStyle w:val="13"/>
        <w:jc w:val="center"/>
        <w:rPr>
          <w:rFonts w:ascii="Arial" w:hAnsi="Arial" w:cs="Arial"/>
          <w:b/>
          <w:bCs/>
        </w:rPr>
      </w:pPr>
      <w:r>
        <w:rPr>
          <w:rFonts w:ascii="Arial" w:hAnsi="Arial" w:cs="Arial"/>
          <w:b/>
          <w:bCs/>
        </w:rPr>
        <w:t>Figure 06: GSK stops over 30 research programmes to prioritise innovation</w:t>
      </w:r>
    </w:p>
    <w:p w14:paraId="722ADFBA">
      <w:pPr>
        <w:jc w:val="center"/>
        <w:rPr>
          <w:rFonts w:ascii="Arial" w:hAnsi="Arial" w:cs="Arial"/>
          <w:b/>
          <w:bCs/>
          <w:szCs w:val="24"/>
        </w:rPr>
      </w:pPr>
      <w:r>
        <w:rPr>
          <w:rFonts w:ascii="Arial" w:hAnsi="Arial" w:cs="Arial"/>
          <w:b/>
          <w:bCs/>
        </w:rPr>
        <w:t xml:space="preserve">Source: </w:t>
      </w:r>
      <w:r>
        <w:rPr>
          <w:rFonts w:ascii="Arial" w:hAnsi="Arial" w:cs="Arial"/>
          <w:b/>
          <w:bCs/>
          <w:szCs w:val="24"/>
        </w:rPr>
        <w:t>(Extance, 2017)</w:t>
      </w:r>
    </w:p>
    <w:p w14:paraId="74A1F9DC">
      <w:pPr>
        <w:pStyle w:val="13"/>
        <w:spacing w:before="240" w:beforeAutospacing="0" w:after="240" w:afterAutospacing="0" w:line="360" w:lineRule="auto"/>
        <w:jc w:val="both"/>
        <w:rPr>
          <w:rFonts w:ascii="Arial" w:hAnsi="Arial" w:cs="Arial"/>
        </w:rPr>
      </w:pPr>
      <w:r>
        <w:rPr>
          <w:rStyle w:val="14"/>
          <w:rFonts w:ascii="Arial" w:hAnsi="Arial" w:cs="Arial" w:eastAsiaTheme="majorEastAsia"/>
        </w:rPr>
        <w:t>Impact on GSK’s Strategic Decisions:</w:t>
      </w:r>
    </w:p>
    <w:p w14:paraId="38AAEE89">
      <w:pPr>
        <w:pStyle w:val="13"/>
        <w:numPr>
          <w:ilvl w:val="0"/>
          <w:numId w:val="4"/>
        </w:numPr>
        <w:spacing w:before="0" w:beforeAutospacing="0" w:after="0" w:afterAutospacing="0" w:line="360" w:lineRule="auto"/>
        <w:jc w:val="both"/>
        <w:rPr>
          <w:rFonts w:ascii="Arial" w:hAnsi="Arial" w:cs="Arial"/>
        </w:rPr>
      </w:pPr>
      <w:r>
        <w:rPr>
          <w:rFonts w:ascii="Arial" w:hAnsi="Arial" w:cs="Arial"/>
        </w:rPr>
        <w:t>More R&amp;D in high-technology drug discovery.</w:t>
      </w:r>
    </w:p>
    <w:p w14:paraId="67F2B6C7">
      <w:pPr>
        <w:pStyle w:val="13"/>
        <w:numPr>
          <w:ilvl w:val="0"/>
          <w:numId w:val="4"/>
        </w:numPr>
        <w:spacing w:before="0" w:beforeAutospacing="0" w:after="0" w:afterAutospacing="0" w:line="360" w:lineRule="auto"/>
        <w:jc w:val="both"/>
        <w:rPr>
          <w:rFonts w:ascii="Arial" w:hAnsi="Arial" w:cs="Arial"/>
        </w:rPr>
      </w:pPr>
      <w:r>
        <w:rPr>
          <w:rFonts w:ascii="Arial" w:hAnsi="Arial" w:cs="Arial"/>
        </w:rPr>
        <w:t>Forming strategic alliances with biotech and technology companies.</w:t>
      </w:r>
    </w:p>
    <w:p w14:paraId="3B077C3B">
      <w:pPr>
        <w:pStyle w:val="13"/>
        <w:numPr>
          <w:ilvl w:val="0"/>
          <w:numId w:val="4"/>
        </w:numPr>
        <w:spacing w:before="0" w:beforeAutospacing="0" w:after="0" w:afterAutospacing="0" w:line="360" w:lineRule="auto"/>
        <w:jc w:val="both"/>
        <w:rPr>
          <w:rFonts w:ascii="Arial" w:hAnsi="Arial" w:cs="Arial"/>
        </w:rPr>
      </w:pPr>
      <w:r>
        <w:rPr>
          <w:rFonts w:ascii="Arial" w:hAnsi="Arial" w:cs="Arial"/>
        </w:rPr>
        <w:t>Embracing of digital health tools in clinical trials and personalised medicine.</w:t>
      </w:r>
    </w:p>
    <w:p w14:paraId="65F63472">
      <w:pPr>
        <w:spacing w:before="240" w:after="240"/>
        <w:rPr>
          <w:rFonts w:ascii="Arial" w:hAnsi="Arial" w:cs="Arial"/>
          <w:b/>
          <w:bCs/>
          <w:lang w:eastAsia="en-US"/>
        </w:rPr>
      </w:pPr>
      <w:r>
        <w:rPr>
          <w:rFonts w:ascii="Arial" w:hAnsi="Arial" w:cs="Arial"/>
          <w:b/>
          <w:bCs/>
          <w:lang w:eastAsia="en-US"/>
        </w:rPr>
        <w:t>5) Environmental Factor</w:t>
      </w:r>
    </w:p>
    <w:p w14:paraId="433F189D">
      <w:pPr>
        <w:spacing w:before="240" w:after="240"/>
        <w:rPr>
          <w:rFonts w:ascii="Arial" w:hAnsi="Arial" w:cs="Arial"/>
          <w:szCs w:val="24"/>
        </w:rPr>
      </w:pPr>
      <w:r>
        <w:rPr>
          <w:rFonts w:ascii="Arial" w:hAnsi="Arial" w:cs="Arial"/>
          <w:szCs w:val="24"/>
        </w:rPr>
        <w:t>Sustainability strategy of GSK is affected by environmental issues. There is pressure on the pharmaceuticals to lessen emissions of carbon, waste and water consumption during the manufacturing process. The sustainability reports at GSK note the commitments to net zero emissions and minimised environmental impact in supply chains. The inability to deliver on the sustainability expectations opens the doors to the reputational risk and regulatory review. A GSK solvent sustainability selection guide of the 55 most solvents that are commonly used on a colour-coded and scored greenness scale. A chart that categorises 154 solvents is reported in the ESI of ref. 29 and reproduced from ref. 5 (Saat and Aşlamacı, 2023).</w:t>
      </w:r>
    </w:p>
    <w:p w14:paraId="68EDC1B4">
      <w:pPr>
        <w:pStyle w:val="13"/>
        <w:jc w:val="center"/>
        <w:rPr>
          <w:rFonts w:ascii="Arial" w:hAnsi="Arial" w:cs="Arial"/>
          <w:b/>
          <w:bCs/>
        </w:rPr>
      </w:pPr>
      <w:r>
        <w:rPr>
          <w:rFonts w:ascii="Arial" w:hAnsi="Arial" w:cs="Arial"/>
          <w:b/>
          <w:bCs/>
          <w:lang w:val="en-US" w:eastAsia="en-US"/>
        </w:rPr>
        <w:drawing>
          <wp:inline distT="0" distB="0" distL="0" distR="0">
            <wp:extent cx="5731510" cy="4406265"/>
            <wp:effectExtent l="0" t="0" r="2540" b="0"/>
            <wp:docPr id="5" name="Picture 5" descr="The GSK solvent sustainability selection guide showing the 55 most commonly used solvents scored and color-coded based on their greenness. In the ESI of ref. 29 is reported a chart classifying 154 solvents. Reproduced from ref.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he GSK solvent sustainability selection guide showing the 55 most commonly used solvents scored and color-coded based on their greenness. In the ESI of ref. 29 is reported a chart classifying 154 solvents. Reproduced from ref.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5731510" cy="4406265"/>
                    </a:xfrm>
                    <a:prstGeom prst="rect">
                      <a:avLst/>
                    </a:prstGeom>
                    <a:noFill/>
                    <a:ln>
                      <a:noFill/>
                    </a:ln>
                  </pic:spPr>
                </pic:pic>
              </a:graphicData>
            </a:graphic>
          </wp:inline>
        </w:drawing>
      </w:r>
    </w:p>
    <w:p w14:paraId="33D1F7FD">
      <w:pPr>
        <w:jc w:val="center"/>
        <w:rPr>
          <w:rFonts w:ascii="Arial" w:hAnsi="Arial" w:cs="Arial"/>
          <w:b/>
          <w:bCs/>
        </w:rPr>
      </w:pPr>
      <w:r>
        <w:rPr>
          <w:rFonts w:ascii="Arial" w:hAnsi="Arial" w:cs="Arial"/>
          <w:b/>
          <w:bCs/>
        </w:rPr>
        <w:t>Figure 07: GSK Sustainability</w:t>
      </w:r>
    </w:p>
    <w:p w14:paraId="76A435F2">
      <w:pPr>
        <w:jc w:val="center"/>
        <w:rPr>
          <w:rFonts w:ascii="Arial" w:hAnsi="Arial" w:cs="Arial"/>
          <w:b/>
          <w:bCs/>
          <w:szCs w:val="24"/>
        </w:rPr>
      </w:pPr>
      <w:r>
        <w:rPr>
          <w:rFonts w:ascii="Arial" w:hAnsi="Arial" w:cs="Arial"/>
          <w:b/>
          <w:bCs/>
        </w:rPr>
        <w:t xml:space="preserve">Source: </w:t>
      </w:r>
      <w:r>
        <w:rPr>
          <w:rFonts w:ascii="Arial" w:hAnsi="Arial" w:cs="Arial"/>
          <w:b/>
          <w:bCs/>
          <w:szCs w:val="24"/>
        </w:rPr>
        <w:t>(Saat and Aşlamacı, 2023)</w:t>
      </w:r>
    </w:p>
    <w:p w14:paraId="099B14CE">
      <w:pPr>
        <w:pStyle w:val="13"/>
        <w:spacing w:line="360" w:lineRule="auto"/>
        <w:jc w:val="both"/>
        <w:rPr>
          <w:rFonts w:ascii="Arial" w:hAnsi="Arial" w:cs="Arial"/>
        </w:rPr>
      </w:pPr>
      <w:r>
        <w:rPr>
          <w:rStyle w:val="14"/>
          <w:rFonts w:ascii="Arial" w:hAnsi="Arial" w:cs="Arial" w:eastAsiaTheme="majorEastAsia"/>
        </w:rPr>
        <w:t>Impact on GSK’s Strategic Decisions:</w:t>
      </w:r>
    </w:p>
    <w:p w14:paraId="502C17C6">
      <w:pPr>
        <w:pStyle w:val="13"/>
        <w:numPr>
          <w:ilvl w:val="0"/>
          <w:numId w:val="5"/>
        </w:numPr>
        <w:spacing w:line="360" w:lineRule="auto"/>
        <w:jc w:val="both"/>
        <w:rPr>
          <w:rFonts w:ascii="Arial" w:hAnsi="Arial" w:cs="Arial"/>
        </w:rPr>
      </w:pPr>
      <w:r>
        <w:rPr>
          <w:rFonts w:ascii="Arial" w:hAnsi="Arial" w:cs="Arial"/>
        </w:rPr>
        <w:t>Sustainable manufacturing processes.</w:t>
      </w:r>
    </w:p>
    <w:p w14:paraId="2CA5E667">
      <w:pPr>
        <w:pStyle w:val="13"/>
        <w:numPr>
          <w:ilvl w:val="0"/>
          <w:numId w:val="5"/>
        </w:numPr>
        <w:spacing w:line="360" w:lineRule="auto"/>
        <w:jc w:val="both"/>
        <w:rPr>
          <w:rFonts w:ascii="Arial" w:hAnsi="Arial" w:cs="Arial"/>
        </w:rPr>
      </w:pPr>
      <w:r>
        <w:rPr>
          <w:rFonts w:ascii="Arial" w:hAnsi="Arial" w:cs="Arial"/>
        </w:rPr>
        <w:t>Incorporation of the environmental measures in strategic planning.</w:t>
      </w:r>
    </w:p>
    <w:p w14:paraId="6C23888A">
      <w:pPr>
        <w:pStyle w:val="13"/>
        <w:numPr>
          <w:ilvl w:val="0"/>
          <w:numId w:val="5"/>
        </w:numPr>
        <w:spacing w:line="360" w:lineRule="auto"/>
        <w:jc w:val="both"/>
        <w:rPr>
          <w:rFonts w:ascii="Arial" w:hAnsi="Arial" w:cs="Arial"/>
        </w:rPr>
      </w:pPr>
      <w:r>
        <w:rPr>
          <w:rFonts w:ascii="Arial" w:hAnsi="Arial" w:cs="Arial"/>
        </w:rPr>
        <w:t>Clear reporting based on the expectations of stakeholders.</w:t>
      </w:r>
    </w:p>
    <w:p w14:paraId="44E536C0">
      <w:pPr>
        <w:rPr>
          <w:rFonts w:ascii="Arial" w:hAnsi="Arial" w:cs="Arial"/>
          <w:szCs w:val="24"/>
        </w:rPr>
      </w:pPr>
      <w:r>
        <w:rPr>
          <w:rFonts w:ascii="Arial" w:hAnsi="Arial" w:cs="Arial"/>
          <w:b/>
          <w:bCs/>
          <w:lang w:eastAsia="en-US"/>
        </w:rPr>
        <w:t xml:space="preserve">6) Legal Factor: </w:t>
      </w:r>
      <w:r>
        <w:rPr>
          <w:rFonts w:ascii="Arial" w:hAnsi="Arial" w:cs="Arial"/>
        </w:rPr>
        <w:t>There are excellent legal frameworks in place in the area of intellectual property (IP), drug approval, and safety compliance. The protection of the patent is necessary to retain the exclusive market position and cover the costs of the R&amp;D of GSK. Competitive advantage and revenue streams are decreased through litigation or loss of patents (MBA Skool, 2022). As well, the high level of safety standards demands strong compliance policies in the production and clinical testing.</w:t>
      </w:r>
    </w:p>
    <w:p w14:paraId="518333E8">
      <w:pPr>
        <w:pStyle w:val="13"/>
        <w:spacing w:line="360" w:lineRule="auto"/>
        <w:jc w:val="both"/>
        <w:rPr>
          <w:rFonts w:ascii="Arial" w:hAnsi="Arial" w:cs="Arial"/>
        </w:rPr>
      </w:pPr>
      <w:r>
        <w:rPr>
          <w:rStyle w:val="14"/>
          <w:rFonts w:ascii="Arial" w:hAnsi="Arial" w:cs="Arial" w:eastAsiaTheme="majorEastAsia"/>
        </w:rPr>
        <w:t>Impact on GSK’s Strategic Decisions:</w:t>
      </w:r>
    </w:p>
    <w:p w14:paraId="1239ECF0">
      <w:pPr>
        <w:pStyle w:val="13"/>
        <w:numPr>
          <w:ilvl w:val="0"/>
          <w:numId w:val="6"/>
        </w:numPr>
        <w:spacing w:line="360" w:lineRule="auto"/>
        <w:jc w:val="both"/>
        <w:rPr>
          <w:rFonts w:ascii="Arial" w:hAnsi="Arial" w:cs="Arial"/>
        </w:rPr>
      </w:pPr>
      <w:r>
        <w:rPr>
          <w:rFonts w:ascii="Arial" w:hAnsi="Arial" w:cs="Arial"/>
        </w:rPr>
        <w:t>Investment in the legal and regulations to safeguard IP.</w:t>
      </w:r>
    </w:p>
    <w:p w14:paraId="1189AD0A">
      <w:pPr>
        <w:pStyle w:val="13"/>
        <w:numPr>
          <w:ilvl w:val="0"/>
          <w:numId w:val="6"/>
        </w:numPr>
        <w:spacing w:line="360" w:lineRule="auto"/>
        <w:jc w:val="both"/>
        <w:rPr>
          <w:rFonts w:ascii="Arial" w:hAnsi="Arial" w:cs="Arial"/>
        </w:rPr>
      </w:pPr>
      <w:r>
        <w:rPr>
          <w:rFonts w:ascii="Arial" w:hAnsi="Arial" w:cs="Arial"/>
        </w:rPr>
        <w:t>Compliance infrastructure to take care of world regulatory needs.</w:t>
      </w:r>
    </w:p>
    <w:p w14:paraId="63C83BAC">
      <w:pPr>
        <w:pStyle w:val="13"/>
        <w:numPr>
          <w:ilvl w:val="0"/>
          <w:numId w:val="6"/>
        </w:numPr>
        <w:spacing w:line="360" w:lineRule="auto"/>
        <w:jc w:val="both"/>
        <w:rPr>
          <w:rFonts w:ascii="Arial" w:hAnsi="Arial" w:cs="Arial"/>
        </w:rPr>
      </w:pPr>
      <w:r>
        <w:rPr>
          <w:rFonts w:ascii="Arial" w:hAnsi="Arial" w:cs="Arial"/>
        </w:rPr>
        <w:t>Strategic partnerships and licencing deals: legal risk assessment.</w:t>
      </w:r>
    </w:p>
    <w:p w14:paraId="7E5E2727">
      <w:pPr>
        <w:pStyle w:val="3"/>
        <w:rPr>
          <w:rFonts w:ascii="Arial" w:hAnsi="Arial" w:cs="Arial"/>
          <w:color w:val="auto"/>
          <w:sz w:val="36"/>
        </w:rPr>
      </w:pPr>
      <w:bookmarkStart w:id="6" w:name="_Toc223942502"/>
      <w:r>
        <w:rPr>
          <w:rStyle w:val="14"/>
          <w:rFonts w:ascii="Arial" w:hAnsi="Arial" w:cs="Arial"/>
          <w:b/>
          <w:bCs w:val="0"/>
          <w:color w:val="auto"/>
        </w:rPr>
        <w:t>2.2 Critical Success Factors and Strategic Challenges in the External Environment</w:t>
      </w:r>
      <w:bookmarkEnd w:id="6"/>
    </w:p>
    <w:p w14:paraId="05F9D63C">
      <w:pPr>
        <w:pStyle w:val="4"/>
        <w:rPr>
          <w:rStyle w:val="14"/>
          <w:rFonts w:ascii="Arial" w:hAnsi="Arial" w:cs="Arial"/>
          <w:b/>
          <w:bCs w:val="0"/>
          <w:color w:val="auto"/>
        </w:rPr>
      </w:pPr>
      <w:bookmarkStart w:id="7" w:name="_Toc223942503"/>
      <w:r>
        <w:rPr>
          <w:rStyle w:val="14"/>
          <w:rFonts w:ascii="Arial" w:hAnsi="Arial" w:cs="Arial"/>
          <w:b/>
          <w:bCs w:val="0"/>
          <w:color w:val="auto"/>
        </w:rPr>
        <w:t>2.2.1 Critical Success Factors (CSFs)</w:t>
      </w:r>
      <w:bookmarkEnd w:id="7"/>
    </w:p>
    <w:p w14:paraId="7771B7F8">
      <w:pPr>
        <w:rPr>
          <w:rFonts w:ascii="Arial" w:hAnsi="Arial" w:cs="Arial"/>
          <w:lang w:eastAsia="en-US"/>
        </w:rPr>
      </w:pPr>
      <w:r>
        <w:rPr>
          <w:rFonts w:ascii="Arial" w:hAnsi="Arial" w:cs="Arial"/>
        </w:rPr>
        <w:t>The pharmaceutical sector is under a number of critical factors that determine the success of GSK externally. It requires innovation and R&amp;D potential because the development of new drugs and vaccines increases the revenues and competitiveness in the long term (Bashirynejad et al., 2024). Regulatory knowledge enables GSK to overcome complicated legislation in various jurisdictions so it can enter the market in time (BCC Research, 2025). Scaling products and reaching the emerging markets, especially in Asia-Pacific and Europe, depends on global distribution and market access (Coyle, 2025). Good partnerships and collaboration with biotech companies, governments and non-governmental organisations improve efficiency and access to R&amp;D.</w:t>
      </w:r>
    </w:p>
    <w:p w14:paraId="208A8624">
      <w:pPr>
        <w:pStyle w:val="4"/>
        <w:rPr>
          <w:rFonts w:ascii="Arial" w:hAnsi="Arial" w:cs="Arial"/>
          <w:color w:val="auto"/>
        </w:rPr>
      </w:pPr>
      <w:bookmarkStart w:id="8" w:name="_Toc223942504"/>
      <w:r>
        <w:rPr>
          <w:rFonts w:ascii="Arial" w:hAnsi="Arial" w:cs="Arial"/>
          <w:color w:val="auto"/>
        </w:rPr>
        <w:t>2.2.2 Strategic Challenges</w:t>
      </w:r>
      <w:bookmarkEnd w:id="8"/>
    </w:p>
    <w:p w14:paraId="0109E3CD">
      <w:pPr>
        <w:spacing w:before="100" w:beforeAutospacing="1" w:after="100" w:afterAutospacing="1"/>
        <w:rPr>
          <w:rFonts w:ascii="Arial" w:hAnsi="Arial" w:cs="Arial"/>
          <w:szCs w:val="24"/>
        </w:rPr>
      </w:pPr>
      <w:r>
        <w:rPr>
          <w:rFonts w:ascii="Arial" w:hAnsi="Arial" w:cs="Arial"/>
          <w:szCs w:val="24"/>
        </w:rPr>
        <w:t>The challenges in the external environment that are strategic are the patent expirations that expose the company to generic competition, which lowers profits. Revenue predictability is threatened by regulatory and pricing pressures in the most developed markets such as U.S. and EU. Rivalry in the form of other mRNA vaccines or targeted therapies has a threat to market share, as it was the case with the slow COVID-19 vaccine launch by GSK (Doron et al., 2023). Also, the susceptibility of the supply chain to global upheavals or increasing inputs prices needs strong operational plans to sustain production and delivery. GSK needs to strike these CSFs and challenges to maintain its growth and profitability amidst a complex and changing external environment.</w:t>
      </w:r>
    </w:p>
    <w:p w14:paraId="11BB11C7">
      <w:pPr>
        <w:pStyle w:val="3"/>
        <w:rPr>
          <w:rFonts w:ascii="Arial" w:hAnsi="Arial" w:cs="Arial"/>
          <w:color w:val="auto"/>
        </w:rPr>
      </w:pPr>
      <w:bookmarkStart w:id="9" w:name="_Toc223942505"/>
      <w:r>
        <w:rPr>
          <w:rFonts w:ascii="Arial" w:hAnsi="Arial" w:cs="Arial"/>
          <w:color w:val="auto"/>
        </w:rPr>
        <w:t>2.3 Internal Environment Analysis</w:t>
      </w:r>
      <w:bookmarkEnd w:id="9"/>
    </w:p>
    <w:p w14:paraId="2C1954A4">
      <w:pPr>
        <w:spacing w:before="100" w:beforeAutospacing="1" w:after="100" w:afterAutospacing="1"/>
        <w:rPr>
          <w:rFonts w:ascii="Arial" w:hAnsi="Arial" w:cs="Arial"/>
          <w:szCs w:val="24"/>
        </w:rPr>
      </w:pPr>
      <w:r>
        <w:rPr>
          <w:rFonts w:ascii="Arial" w:hAnsi="Arial" w:cs="Arial"/>
          <w:szCs w:val="24"/>
        </w:rPr>
        <w:t xml:space="preserve">The internal environment of GSK is a mixture of tangible and intangible resources on which it bases its strategic advantage. </w:t>
      </w:r>
    </w:p>
    <w:p w14:paraId="3235F10D">
      <w:pPr>
        <w:spacing w:before="100" w:beforeAutospacing="1" w:after="100" w:afterAutospacing="1"/>
        <w:rPr>
          <w:rFonts w:ascii="Arial" w:hAnsi="Arial" w:cs="Arial"/>
          <w:szCs w:val="24"/>
        </w:rPr>
      </w:pPr>
      <w:r>
        <w:rPr>
          <w:rFonts w:ascii="Arial" w:hAnsi="Arial" w:cs="Arial"/>
          <w:b/>
          <w:bCs/>
          <w:szCs w:val="24"/>
        </w:rPr>
        <w:t>Tangible resources</w:t>
      </w:r>
      <w:r>
        <w:rPr>
          <w:rFonts w:ascii="Arial" w:hAnsi="Arial" w:cs="Arial"/>
          <w:szCs w:val="24"/>
        </w:rPr>
        <w:t>: Physical resources encompass its wide financial resources, as revenues of 31.4 billion in 2024 fund its operations worldwide, and a system of production and distribution centres in over 100 countries (Mikulic, 2023). These facilities will offer scalability in pharmaceuticals as well as vaccines to respond swiftly to the market.</w:t>
      </w:r>
    </w:p>
    <w:p w14:paraId="56879109">
      <w:pPr>
        <w:spacing w:before="100" w:beforeAutospacing="1" w:after="100" w:afterAutospacing="1"/>
        <w:rPr>
          <w:rFonts w:ascii="Arial" w:hAnsi="Arial" w:cs="Arial"/>
          <w:szCs w:val="24"/>
        </w:rPr>
      </w:pPr>
      <w:r>
        <w:rPr>
          <w:rFonts w:ascii="Arial" w:hAnsi="Arial" w:cs="Arial"/>
          <w:b/>
          <w:bCs/>
          <w:szCs w:val="24"/>
        </w:rPr>
        <w:t>Intangible resources</w:t>
      </w:r>
      <w:r>
        <w:rPr>
          <w:rFonts w:ascii="Arial" w:hAnsi="Arial" w:cs="Arial"/>
          <w:szCs w:val="24"/>
        </w:rPr>
        <w:t>: One of the main points of distinction is intangible resources, such as the strong portfolio of patents covering novel drugs and vaccines, or GSK brand reputation in international healthcare markets. It has an intellectual property that guarantees exclusivity in the market, allowing it to charge premium prices and guarantee revenue streams (Nakashima et al., 2023).</w:t>
      </w:r>
    </w:p>
    <w:p w14:paraId="34160841">
      <w:pPr>
        <w:spacing w:before="100" w:beforeAutospacing="1" w:after="100" w:afterAutospacing="1"/>
        <w:rPr>
          <w:rStyle w:val="14"/>
          <w:rFonts w:ascii="Arial" w:hAnsi="Arial" w:cs="Arial"/>
          <w:b w:val="0"/>
          <w:bCs w:val="0"/>
          <w:szCs w:val="24"/>
        </w:rPr>
      </w:pPr>
      <w:r>
        <w:rPr>
          <w:rFonts w:ascii="Arial" w:hAnsi="Arial" w:cs="Arial"/>
          <w:b/>
          <w:bCs/>
          <w:szCs w:val="24"/>
        </w:rPr>
        <w:t>Capabilities</w:t>
      </w:r>
      <w:r>
        <w:rPr>
          <w:rFonts w:ascii="Arial" w:hAnsi="Arial" w:cs="Arial"/>
          <w:szCs w:val="24"/>
        </w:rPr>
        <w:t>: The skills possessed by GSK include superior levels of research and development, international regulatory oversight, and integrated supply chain. Key capabilities consist of successfully translating scientific research into clinically approved treatment effectively, and successfully administer global vaccine initiatives (Deng et al., 2025).</w:t>
      </w:r>
    </w:p>
    <w:p w14:paraId="0EDCB51C">
      <w:pPr>
        <w:pStyle w:val="3"/>
        <w:rPr>
          <w:rStyle w:val="14"/>
          <w:rFonts w:ascii="Arial" w:hAnsi="Arial" w:cs="Arial"/>
          <w:b/>
          <w:bCs w:val="0"/>
          <w:color w:val="auto"/>
        </w:rPr>
      </w:pPr>
      <w:bookmarkStart w:id="10" w:name="_Toc223942506"/>
      <w:r>
        <w:rPr>
          <w:rStyle w:val="14"/>
          <w:rFonts w:ascii="Arial" w:hAnsi="Arial" w:cs="Arial"/>
          <w:b/>
          <w:bCs w:val="0"/>
          <w:color w:val="auto"/>
        </w:rPr>
        <w:t>2.4 VRIO Framework – Evaluating Strategic Capabilities</w:t>
      </w:r>
      <w:bookmarkEnd w:id="10"/>
    </w:p>
    <w:p w14:paraId="11CB84F0">
      <w:pPr>
        <w:rPr>
          <w:rFonts w:ascii="Arial" w:hAnsi="Arial" w:cs="Arial"/>
          <w:lang w:eastAsia="en-US"/>
        </w:rPr>
      </w:pPr>
      <w:r>
        <w:rPr>
          <w:rFonts w:ascii="Arial" w:hAnsi="Arial" w:cs="Arial"/>
        </w:rPr>
        <w:t>The VRIO analysis examines the ability of the resources and capabilities of GSK to offer a competitive advantage in the long term.</w:t>
      </w:r>
    </w:p>
    <w:tbl>
      <w:tblPr>
        <w:tblStyle w:val="15"/>
        <w:tblW w:w="954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40"/>
        <w:gridCol w:w="1204"/>
        <w:gridCol w:w="750"/>
        <w:gridCol w:w="1337"/>
        <w:gridCol w:w="1668"/>
        <w:gridCol w:w="1947"/>
      </w:tblGrid>
      <w:tr w14:paraId="6481E9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19" w:hRule="atLeast"/>
        </w:trPr>
        <w:tc>
          <w:tcPr>
            <w:tcW w:w="0" w:type="auto"/>
          </w:tcPr>
          <w:p w14:paraId="354A3067">
            <w:pPr>
              <w:spacing w:line="240" w:lineRule="auto"/>
              <w:jc w:val="center"/>
              <w:rPr>
                <w:rFonts w:ascii="Arial" w:hAnsi="Arial" w:cs="Arial"/>
                <w:b/>
                <w:bCs/>
              </w:rPr>
            </w:pPr>
            <w:r>
              <w:rPr>
                <w:rStyle w:val="14"/>
                <w:rFonts w:ascii="Arial" w:hAnsi="Arial" w:cs="Arial" w:eastAsiaTheme="majorEastAsia"/>
              </w:rPr>
              <w:t>Resource/Capability</w:t>
            </w:r>
          </w:p>
        </w:tc>
        <w:tc>
          <w:tcPr>
            <w:tcW w:w="0" w:type="auto"/>
          </w:tcPr>
          <w:p w14:paraId="4A8D68E7">
            <w:pPr>
              <w:spacing w:line="240" w:lineRule="auto"/>
              <w:jc w:val="center"/>
              <w:rPr>
                <w:rFonts w:ascii="Arial" w:hAnsi="Arial" w:cs="Arial"/>
                <w:b/>
                <w:bCs/>
              </w:rPr>
            </w:pPr>
            <w:r>
              <w:rPr>
                <w:rStyle w:val="14"/>
                <w:rFonts w:ascii="Arial" w:hAnsi="Arial" w:cs="Arial" w:eastAsiaTheme="majorEastAsia"/>
              </w:rPr>
              <w:t>Valuable</w:t>
            </w:r>
          </w:p>
        </w:tc>
        <w:tc>
          <w:tcPr>
            <w:tcW w:w="0" w:type="auto"/>
          </w:tcPr>
          <w:p w14:paraId="248B303C">
            <w:pPr>
              <w:spacing w:line="240" w:lineRule="auto"/>
              <w:jc w:val="center"/>
              <w:rPr>
                <w:rFonts w:ascii="Arial" w:hAnsi="Arial" w:cs="Arial"/>
                <w:b/>
                <w:bCs/>
              </w:rPr>
            </w:pPr>
            <w:r>
              <w:rPr>
                <w:rStyle w:val="14"/>
                <w:rFonts w:ascii="Arial" w:hAnsi="Arial" w:cs="Arial" w:eastAsiaTheme="majorEastAsia"/>
              </w:rPr>
              <w:t>Rare</w:t>
            </w:r>
          </w:p>
        </w:tc>
        <w:tc>
          <w:tcPr>
            <w:tcW w:w="0" w:type="auto"/>
          </w:tcPr>
          <w:p w14:paraId="16BF8D20">
            <w:pPr>
              <w:spacing w:line="240" w:lineRule="auto"/>
              <w:jc w:val="center"/>
              <w:rPr>
                <w:rFonts w:ascii="Arial" w:hAnsi="Arial" w:cs="Arial"/>
                <w:b/>
                <w:bCs/>
              </w:rPr>
            </w:pPr>
            <w:r>
              <w:rPr>
                <w:rStyle w:val="14"/>
                <w:rFonts w:ascii="Arial" w:hAnsi="Arial" w:cs="Arial" w:eastAsiaTheme="majorEastAsia"/>
              </w:rPr>
              <w:t>Inimitable</w:t>
            </w:r>
          </w:p>
        </w:tc>
        <w:tc>
          <w:tcPr>
            <w:tcW w:w="0" w:type="auto"/>
          </w:tcPr>
          <w:p w14:paraId="2EAFCBAE">
            <w:pPr>
              <w:spacing w:line="240" w:lineRule="auto"/>
              <w:jc w:val="center"/>
              <w:rPr>
                <w:rFonts w:ascii="Arial" w:hAnsi="Arial" w:cs="Arial"/>
                <w:b/>
                <w:bCs/>
              </w:rPr>
            </w:pPr>
            <w:r>
              <w:rPr>
                <w:rStyle w:val="14"/>
                <w:rFonts w:ascii="Arial" w:hAnsi="Arial" w:cs="Arial" w:eastAsiaTheme="majorEastAsia"/>
              </w:rPr>
              <w:t>Organised to Capture Value</w:t>
            </w:r>
          </w:p>
        </w:tc>
        <w:tc>
          <w:tcPr>
            <w:tcW w:w="0" w:type="auto"/>
          </w:tcPr>
          <w:p w14:paraId="14888B8C">
            <w:pPr>
              <w:spacing w:line="240" w:lineRule="auto"/>
              <w:jc w:val="center"/>
              <w:rPr>
                <w:rFonts w:ascii="Arial" w:hAnsi="Arial" w:cs="Arial"/>
                <w:b/>
                <w:bCs/>
              </w:rPr>
            </w:pPr>
            <w:r>
              <w:rPr>
                <w:rStyle w:val="14"/>
                <w:rFonts w:ascii="Arial" w:hAnsi="Arial" w:cs="Arial" w:eastAsiaTheme="majorEastAsia"/>
              </w:rPr>
              <w:t>Sustained Competitive Advantage?</w:t>
            </w:r>
          </w:p>
        </w:tc>
      </w:tr>
      <w:tr w14:paraId="7F19E8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4" w:hRule="atLeast"/>
        </w:trPr>
        <w:tc>
          <w:tcPr>
            <w:tcW w:w="0" w:type="auto"/>
          </w:tcPr>
          <w:p w14:paraId="3214214B">
            <w:pPr>
              <w:spacing w:line="240" w:lineRule="auto"/>
              <w:jc w:val="left"/>
              <w:rPr>
                <w:rFonts w:ascii="Arial" w:hAnsi="Arial" w:cs="Arial"/>
                <w:b/>
                <w:bCs/>
              </w:rPr>
            </w:pPr>
            <w:r>
              <w:rPr>
                <w:rFonts w:ascii="Arial" w:hAnsi="Arial" w:cs="Arial"/>
                <w:b/>
                <w:bCs/>
              </w:rPr>
              <w:t>R&amp;D Innovation Pipeline</w:t>
            </w:r>
          </w:p>
        </w:tc>
        <w:tc>
          <w:tcPr>
            <w:tcW w:w="0" w:type="auto"/>
            <w:shd w:val="clear" w:color="auto" w:fill="FFD965" w:themeFill="accent4" w:themeFillTint="99"/>
          </w:tcPr>
          <w:p w14:paraId="7ADF3017">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48199491">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19F935F5">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2742F2E5">
            <w:pPr>
              <w:spacing w:line="240" w:lineRule="auto"/>
              <w:rPr>
                <w:rFonts w:ascii="Arial" w:hAnsi="Arial" w:cs="Arial"/>
              </w:rPr>
            </w:pPr>
            <w:r>
              <w:rPr>
                <w:rFonts w:ascii="Arial" w:hAnsi="Arial" w:cs="Arial"/>
              </w:rPr>
              <w:t>Yes</w:t>
            </w:r>
          </w:p>
        </w:tc>
        <w:tc>
          <w:tcPr>
            <w:tcW w:w="0" w:type="auto"/>
          </w:tcPr>
          <w:p w14:paraId="6A408DEB">
            <w:pPr>
              <w:spacing w:line="240" w:lineRule="auto"/>
              <w:rPr>
                <w:rFonts w:ascii="Arial" w:hAnsi="Arial" w:cs="Arial"/>
                <w:b/>
                <w:bCs/>
              </w:rPr>
            </w:pPr>
            <w:r>
              <w:rPr>
                <w:rStyle w:val="14"/>
                <w:rFonts w:ascii="Arial" w:hAnsi="Arial" w:cs="Arial" w:eastAsiaTheme="majorEastAsia"/>
                <w:b w:val="0"/>
                <w:bCs w:val="0"/>
              </w:rPr>
              <w:t>Sustained</w:t>
            </w:r>
          </w:p>
        </w:tc>
      </w:tr>
      <w:tr w14:paraId="73593E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0" w:type="auto"/>
          </w:tcPr>
          <w:p w14:paraId="1FE194BF">
            <w:pPr>
              <w:spacing w:line="240" w:lineRule="auto"/>
              <w:rPr>
                <w:rFonts w:ascii="Arial" w:hAnsi="Arial" w:cs="Arial"/>
                <w:b/>
                <w:bCs/>
              </w:rPr>
            </w:pPr>
            <w:r>
              <w:rPr>
                <w:rFonts w:ascii="Arial" w:hAnsi="Arial" w:cs="Arial"/>
                <w:b/>
                <w:bCs/>
              </w:rPr>
              <w:t>Patents/IP Portfolio</w:t>
            </w:r>
          </w:p>
        </w:tc>
        <w:tc>
          <w:tcPr>
            <w:tcW w:w="0" w:type="auto"/>
            <w:shd w:val="clear" w:color="auto" w:fill="FFD965" w:themeFill="accent4" w:themeFillTint="99"/>
          </w:tcPr>
          <w:p w14:paraId="43B8BF19">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7C97F666">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51A0A116">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7096B11B">
            <w:pPr>
              <w:spacing w:line="240" w:lineRule="auto"/>
              <w:rPr>
                <w:rFonts w:ascii="Arial" w:hAnsi="Arial" w:cs="Arial"/>
              </w:rPr>
            </w:pPr>
            <w:r>
              <w:rPr>
                <w:rFonts w:ascii="Arial" w:hAnsi="Arial" w:cs="Arial"/>
              </w:rPr>
              <w:t>Yes</w:t>
            </w:r>
          </w:p>
        </w:tc>
        <w:tc>
          <w:tcPr>
            <w:tcW w:w="0" w:type="auto"/>
          </w:tcPr>
          <w:p w14:paraId="7E2E9688">
            <w:pPr>
              <w:spacing w:line="240" w:lineRule="auto"/>
              <w:rPr>
                <w:rFonts w:ascii="Arial" w:hAnsi="Arial" w:cs="Arial"/>
                <w:b/>
                <w:bCs/>
              </w:rPr>
            </w:pPr>
            <w:r>
              <w:rPr>
                <w:rStyle w:val="14"/>
                <w:rFonts w:ascii="Arial" w:hAnsi="Arial" w:cs="Arial" w:eastAsiaTheme="majorEastAsia"/>
                <w:b w:val="0"/>
                <w:bCs w:val="0"/>
              </w:rPr>
              <w:t>Sustained</w:t>
            </w:r>
          </w:p>
        </w:tc>
      </w:tr>
      <w:tr w14:paraId="25BEC7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0" w:hRule="atLeast"/>
        </w:trPr>
        <w:tc>
          <w:tcPr>
            <w:tcW w:w="0" w:type="auto"/>
          </w:tcPr>
          <w:p w14:paraId="4310A7BE">
            <w:pPr>
              <w:spacing w:line="240" w:lineRule="auto"/>
              <w:rPr>
                <w:rFonts w:ascii="Arial" w:hAnsi="Arial" w:cs="Arial"/>
                <w:b/>
                <w:bCs/>
              </w:rPr>
            </w:pPr>
            <w:r>
              <w:rPr>
                <w:rFonts w:ascii="Arial" w:hAnsi="Arial" w:cs="Arial"/>
                <w:b/>
                <w:bCs/>
              </w:rPr>
              <w:t>Regulatory Expertise</w:t>
            </w:r>
          </w:p>
        </w:tc>
        <w:tc>
          <w:tcPr>
            <w:tcW w:w="0" w:type="auto"/>
            <w:shd w:val="clear" w:color="auto" w:fill="FFD965" w:themeFill="accent4" w:themeFillTint="99"/>
          </w:tcPr>
          <w:p w14:paraId="1BE949E6">
            <w:pPr>
              <w:spacing w:line="240" w:lineRule="auto"/>
              <w:rPr>
                <w:rFonts w:ascii="Arial" w:hAnsi="Arial" w:cs="Arial"/>
              </w:rPr>
            </w:pPr>
            <w:r>
              <w:rPr>
                <w:rFonts w:ascii="Arial" w:hAnsi="Arial" w:cs="Arial"/>
              </w:rPr>
              <w:t>Yes</w:t>
            </w:r>
          </w:p>
        </w:tc>
        <w:tc>
          <w:tcPr>
            <w:tcW w:w="0" w:type="auto"/>
            <w:shd w:val="clear" w:color="auto" w:fill="FF0000"/>
          </w:tcPr>
          <w:p w14:paraId="771EF290">
            <w:pPr>
              <w:spacing w:line="240" w:lineRule="auto"/>
              <w:rPr>
                <w:rFonts w:ascii="Arial" w:hAnsi="Arial" w:cs="Arial"/>
              </w:rPr>
            </w:pPr>
            <w:r>
              <w:rPr>
                <w:rFonts w:ascii="Arial" w:hAnsi="Arial" w:cs="Arial"/>
              </w:rPr>
              <w:t>No</w:t>
            </w:r>
          </w:p>
        </w:tc>
        <w:tc>
          <w:tcPr>
            <w:tcW w:w="0" w:type="auto"/>
            <w:shd w:val="clear" w:color="auto" w:fill="FF0000"/>
          </w:tcPr>
          <w:p w14:paraId="6E7E6D82">
            <w:pPr>
              <w:spacing w:line="240" w:lineRule="auto"/>
              <w:rPr>
                <w:rFonts w:ascii="Arial" w:hAnsi="Arial" w:cs="Arial"/>
              </w:rPr>
            </w:pPr>
            <w:r>
              <w:rPr>
                <w:rFonts w:ascii="Arial" w:hAnsi="Arial" w:cs="Arial"/>
              </w:rPr>
              <w:t>No</w:t>
            </w:r>
          </w:p>
        </w:tc>
        <w:tc>
          <w:tcPr>
            <w:tcW w:w="0" w:type="auto"/>
            <w:shd w:val="clear" w:color="auto" w:fill="FFD965" w:themeFill="accent4" w:themeFillTint="99"/>
          </w:tcPr>
          <w:p w14:paraId="4B8F45F7">
            <w:pPr>
              <w:spacing w:line="240" w:lineRule="auto"/>
              <w:rPr>
                <w:rFonts w:ascii="Arial" w:hAnsi="Arial" w:cs="Arial"/>
              </w:rPr>
            </w:pPr>
            <w:r>
              <w:rPr>
                <w:rFonts w:ascii="Arial" w:hAnsi="Arial" w:cs="Arial"/>
              </w:rPr>
              <w:t>Yes</w:t>
            </w:r>
          </w:p>
        </w:tc>
        <w:tc>
          <w:tcPr>
            <w:tcW w:w="0" w:type="auto"/>
          </w:tcPr>
          <w:p w14:paraId="4A84DAD4">
            <w:pPr>
              <w:spacing w:line="240" w:lineRule="auto"/>
              <w:rPr>
                <w:rFonts w:ascii="Arial" w:hAnsi="Arial" w:cs="Arial"/>
              </w:rPr>
            </w:pPr>
            <w:r>
              <w:rPr>
                <w:rFonts w:ascii="Arial" w:hAnsi="Arial" w:cs="Arial"/>
              </w:rPr>
              <w:t>Competitive Parity</w:t>
            </w:r>
          </w:p>
        </w:tc>
      </w:tr>
      <w:tr w14:paraId="136950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4" w:hRule="atLeast"/>
        </w:trPr>
        <w:tc>
          <w:tcPr>
            <w:tcW w:w="0" w:type="auto"/>
          </w:tcPr>
          <w:p w14:paraId="5488C17F">
            <w:pPr>
              <w:spacing w:line="240" w:lineRule="auto"/>
              <w:rPr>
                <w:rFonts w:ascii="Arial" w:hAnsi="Arial" w:cs="Arial"/>
                <w:b/>
                <w:bCs/>
              </w:rPr>
            </w:pPr>
            <w:r>
              <w:rPr>
                <w:rFonts w:ascii="Arial" w:hAnsi="Arial" w:cs="Arial"/>
                <w:b/>
                <w:bCs/>
              </w:rPr>
              <w:t>Global Distribution Network</w:t>
            </w:r>
          </w:p>
        </w:tc>
        <w:tc>
          <w:tcPr>
            <w:tcW w:w="0" w:type="auto"/>
            <w:shd w:val="clear" w:color="auto" w:fill="FFD965" w:themeFill="accent4" w:themeFillTint="99"/>
          </w:tcPr>
          <w:p w14:paraId="00900AA5">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36B383EC">
            <w:pPr>
              <w:spacing w:line="240" w:lineRule="auto"/>
              <w:rPr>
                <w:rFonts w:ascii="Arial" w:hAnsi="Arial" w:cs="Arial"/>
              </w:rPr>
            </w:pPr>
            <w:r>
              <w:rPr>
                <w:rFonts w:ascii="Arial" w:hAnsi="Arial" w:cs="Arial"/>
              </w:rPr>
              <w:t>Yes</w:t>
            </w:r>
          </w:p>
        </w:tc>
        <w:tc>
          <w:tcPr>
            <w:tcW w:w="0" w:type="auto"/>
            <w:shd w:val="clear" w:color="auto" w:fill="FF0000"/>
          </w:tcPr>
          <w:p w14:paraId="2F07A149">
            <w:pPr>
              <w:spacing w:line="240" w:lineRule="auto"/>
              <w:rPr>
                <w:rFonts w:ascii="Arial" w:hAnsi="Arial" w:cs="Arial"/>
              </w:rPr>
            </w:pPr>
            <w:r>
              <w:rPr>
                <w:rFonts w:ascii="Arial" w:hAnsi="Arial" w:cs="Arial"/>
              </w:rPr>
              <w:t>No</w:t>
            </w:r>
          </w:p>
        </w:tc>
        <w:tc>
          <w:tcPr>
            <w:tcW w:w="0" w:type="auto"/>
            <w:shd w:val="clear" w:color="auto" w:fill="FFD965" w:themeFill="accent4" w:themeFillTint="99"/>
          </w:tcPr>
          <w:p w14:paraId="786A2137">
            <w:pPr>
              <w:spacing w:line="240" w:lineRule="auto"/>
              <w:rPr>
                <w:rFonts w:ascii="Arial" w:hAnsi="Arial" w:cs="Arial"/>
              </w:rPr>
            </w:pPr>
            <w:r>
              <w:rPr>
                <w:rFonts w:ascii="Arial" w:hAnsi="Arial" w:cs="Arial"/>
              </w:rPr>
              <w:t>Yes</w:t>
            </w:r>
          </w:p>
        </w:tc>
        <w:tc>
          <w:tcPr>
            <w:tcW w:w="0" w:type="auto"/>
          </w:tcPr>
          <w:p w14:paraId="15962787">
            <w:pPr>
              <w:spacing w:line="240" w:lineRule="auto"/>
              <w:rPr>
                <w:rFonts w:ascii="Arial" w:hAnsi="Arial" w:cs="Arial"/>
              </w:rPr>
            </w:pPr>
            <w:r>
              <w:rPr>
                <w:rFonts w:ascii="Arial" w:hAnsi="Arial" w:cs="Arial"/>
              </w:rPr>
              <w:t>Temporary Advantage</w:t>
            </w:r>
          </w:p>
        </w:tc>
      </w:tr>
      <w:tr w14:paraId="36E40B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4" w:hRule="atLeast"/>
        </w:trPr>
        <w:tc>
          <w:tcPr>
            <w:tcW w:w="0" w:type="auto"/>
          </w:tcPr>
          <w:p w14:paraId="383A84AE">
            <w:pPr>
              <w:spacing w:line="240" w:lineRule="auto"/>
              <w:rPr>
                <w:rFonts w:ascii="Arial" w:hAnsi="Arial" w:cs="Arial"/>
                <w:b/>
                <w:bCs/>
              </w:rPr>
            </w:pPr>
            <w:r>
              <w:rPr>
                <w:rFonts w:ascii="Arial" w:hAnsi="Arial" w:cs="Arial"/>
                <w:b/>
                <w:bCs/>
              </w:rPr>
              <w:t>Brand Reputation</w:t>
            </w:r>
          </w:p>
        </w:tc>
        <w:tc>
          <w:tcPr>
            <w:tcW w:w="0" w:type="auto"/>
            <w:shd w:val="clear" w:color="auto" w:fill="FFD965" w:themeFill="accent4" w:themeFillTint="99"/>
          </w:tcPr>
          <w:p w14:paraId="78CEEC79">
            <w:pPr>
              <w:spacing w:line="240" w:lineRule="auto"/>
              <w:rPr>
                <w:rFonts w:ascii="Arial" w:hAnsi="Arial" w:cs="Arial"/>
              </w:rPr>
            </w:pPr>
            <w:r>
              <w:rPr>
                <w:rFonts w:ascii="Arial" w:hAnsi="Arial" w:cs="Arial"/>
              </w:rPr>
              <w:t>Yes</w:t>
            </w:r>
          </w:p>
        </w:tc>
        <w:tc>
          <w:tcPr>
            <w:tcW w:w="0" w:type="auto"/>
            <w:shd w:val="clear" w:color="auto" w:fill="FFD965" w:themeFill="accent4" w:themeFillTint="99"/>
          </w:tcPr>
          <w:p w14:paraId="68AA4C07">
            <w:pPr>
              <w:spacing w:line="240" w:lineRule="auto"/>
              <w:rPr>
                <w:rFonts w:ascii="Arial" w:hAnsi="Arial" w:cs="Arial"/>
              </w:rPr>
            </w:pPr>
            <w:r>
              <w:rPr>
                <w:rFonts w:ascii="Arial" w:hAnsi="Arial" w:cs="Arial"/>
              </w:rPr>
              <w:t>No</w:t>
            </w:r>
          </w:p>
        </w:tc>
        <w:tc>
          <w:tcPr>
            <w:tcW w:w="0" w:type="auto"/>
            <w:shd w:val="clear" w:color="auto" w:fill="FF0000"/>
          </w:tcPr>
          <w:p w14:paraId="4CD92FBD">
            <w:pPr>
              <w:spacing w:line="240" w:lineRule="auto"/>
              <w:rPr>
                <w:rFonts w:ascii="Arial" w:hAnsi="Arial" w:cs="Arial"/>
              </w:rPr>
            </w:pPr>
            <w:r>
              <w:rPr>
                <w:rFonts w:ascii="Arial" w:hAnsi="Arial" w:cs="Arial"/>
              </w:rPr>
              <w:t>No</w:t>
            </w:r>
          </w:p>
        </w:tc>
        <w:tc>
          <w:tcPr>
            <w:tcW w:w="0" w:type="auto"/>
            <w:shd w:val="clear" w:color="auto" w:fill="FFD965" w:themeFill="accent4" w:themeFillTint="99"/>
          </w:tcPr>
          <w:p w14:paraId="791B77C9">
            <w:pPr>
              <w:spacing w:line="240" w:lineRule="auto"/>
              <w:rPr>
                <w:rFonts w:ascii="Arial" w:hAnsi="Arial" w:cs="Arial"/>
              </w:rPr>
            </w:pPr>
            <w:r>
              <w:rPr>
                <w:rFonts w:ascii="Arial" w:hAnsi="Arial" w:cs="Arial"/>
              </w:rPr>
              <w:t>Yes</w:t>
            </w:r>
          </w:p>
        </w:tc>
        <w:tc>
          <w:tcPr>
            <w:tcW w:w="0" w:type="auto"/>
          </w:tcPr>
          <w:p w14:paraId="77CCC09F">
            <w:pPr>
              <w:spacing w:line="240" w:lineRule="auto"/>
              <w:rPr>
                <w:rFonts w:ascii="Arial" w:hAnsi="Arial" w:cs="Arial"/>
              </w:rPr>
            </w:pPr>
            <w:r>
              <w:rPr>
                <w:rFonts w:ascii="Arial" w:hAnsi="Arial" w:cs="Arial"/>
              </w:rPr>
              <w:t>Competitive Parity</w:t>
            </w:r>
          </w:p>
        </w:tc>
      </w:tr>
    </w:tbl>
    <w:p w14:paraId="5F2F4314">
      <w:pPr>
        <w:pStyle w:val="13"/>
        <w:spacing w:line="360" w:lineRule="auto"/>
        <w:jc w:val="both"/>
        <w:rPr>
          <w:rFonts w:ascii="Arial" w:hAnsi="Arial" w:cs="Arial"/>
        </w:rPr>
      </w:pPr>
      <w:r>
        <w:rPr>
          <w:rStyle w:val="14"/>
          <w:rFonts w:ascii="Arial" w:hAnsi="Arial" w:cs="Arial" w:eastAsiaTheme="majorEastAsia"/>
        </w:rPr>
        <w:t>Analysis:</w:t>
      </w:r>
      <w:r>
        <w:rPr>
          <w:rFonts w:ascii="Arial" w:hAnsi="Arial" w:cs="Arial"/>
        </w:rPr>
        <w:t xml:space="preserve"> Analysis GSK has an effective and sustained competitive advantage with its R&amp;D pipeline and patent portfolio which is of value, rare, inimitable, and well organised. Its market credibility and compliance are supported by its brand reputation and its regulatory capabilities that are not as easy to copy by the competitors (Nakashima et al., 2023). Global distribution networks are scalable, but can be imitated so as to provide a temporary benefit (Nandy, 2023).</w:t>
      </w:r>
    </w:p>
    <w:p w14:paraId="149B0C2E">
      <w:pPr>
        <w:pStyle w:val="3"/>
        <w:rPr>
          <w:rStyle w:val="14"/>
          <w:rFonts w:ascii="Arial" w:hAnsi="Arial" w:cs="Arial"/>
          <w:b/>
          <w:bCs w:val="0"/>
          <w:color w:val="auto"/>
        </w:rPr>
      </w:pPr>
      <w:bookmarkStart w:id="11" w:name="_Toc223942507"/>
      <w:r>
        <w:rPr>
          <w:rStyle w:val="14"/>
          <w:rFonts w:ascii="Arial" w:hAnsi="Arial" w:cs="Arial"/>
          <w:b/>
          <w:bCs w:val="0"/>
          <w:color w:val="auto"/>
        </w:rPr>
        <w:t>2.5 Internal Strengths and Competitive Advantage</w:t>
      </w:r>
      <w:bookmarkEnd w:id="11"/>
    </w:p>
    <w:p w14:paraId="0172918E">
      <w:pPr>
        <w:spacing w:before="100" w:beforeAutospacing="1" w:after="100" w:afterAutospacing="1"/>
        <w:rPr>
          <w:rFonts w:ascii="Arial" w:hAnsi="Arial" w:cs="Arial"/>
          <w:szCs w:val="24"/>
        </w:rPr>
      </w:pPr>
      <w:r>
        <w:rPr>
          <w:rFonts w:ascii="Arial" w:hAnsi="Arial" w:cs="Arial"/>
          <w:szCs w:val="24"/>
        </w:rPr>
        <w:t xml:space="preserve">The internal strengths of GSK are the key factors in its long-term competitive advantage. </w:t>
      </w:r>
    </w:p>
    <w:p w14:paraId="0BA15514">
      <w:pPr>
        <w:spacing w:before="100" w:beforeAutospacing="1" w:after="100" w:afterAutospacing="1"/>
        <w:rPr>
          <w:rFonts w:ascii="Arial" w:hAnsi="Arial" w:cs="Arial"/>
          <w:szCs w:val="24"/>
        </w:rPr>
      </w:pPr>
      <w:r>
        <w:rPr>
          <w:rFonts w:ascii="Arial" w:hAnsi="Arial" w:cs="Arial"/>
          <w:b/>
          <w:bCs/>
          <w:szCs w:val="24"/>
        </w:rPr>
        <w:t>R&amp;D capabilities</w:t>
      </w:r>
      <w:r>
        <w:rPr>
          <w:rFonts w:ascii="Arial" w:hAnsi="Arial" w:cs="Arial"/>
          <w:szCs w:val="24"/>
        </w:rPr>
        <w:t>: The invention of new therapies and vaccines before competitors through R&amp;D abilities would enable the company to produce proprietary products that will enjoy market monopoly and high prices (Deng et al., 2025). These innovations are safeguarded by its patent portfolio and IP rights which minimize the risk of generic products and provide long-term revenues (Mikulic, 2023).</w:t>
      </w:r>
    </w:p>
    <w:p w14:paraId="418F790C">
      <w:pPr>
        <w:spacing w:before="100" w:beforeAutospacing="1" w:after="100" w:afterAutospacing="1"/>
        <w:rPr>
          <w:rFonts w:ascii="Arial" w:hAnsi="Arial" w:cs="Arial"/>
          <w:szCs w:val="24"/>
        </w:rPr>
      </w:pPr>
      <w:r>
        <w:rPr>
          <w:rFonts w:ascii="Arial" w:hAnsi="Arial" w:cs="Arial"/>
          <w:b/>
          <w:bCs/>
          <w:szCs w:val="24"/>
        </w:rPr>
        <w:t>Global manufacturing and distribution networks</w:t>
      </w:r>
      <w:r>
        <w:rPr>
          <w:rFonts w:ascii="Arial" w:hAnsi="Arial" w:cs="Arial"/>
          <w:szCs w:val="24"/>
        </w:rPr>
        <w:t>: The global manufacturing and distribution systems have given the company scalability on the operational level as it is able to deploy products quickly in more than 100 countries. The presence across the world promotes penetration of the market and enables collaborations with governments and non-governmental organisations, especially in regard to vaccines and public health programmes (Bashirynejad et al., 2024).</w:t>
      </w:r>
    </w:p>
    <w:p w14:paraId="02934056">
      <w:pPr>
        <w:spacing w:before="100" w:beforeAutospacing="1" w:after="100" w:afterAutospacing="1"/>
        <w:rPr>
          <w:rFonts w:ascii="Arial" w:hAnsi="Arial" w:cs="Arial"/>
          <w:szCs w:val="24"/>
        </w:rPr>
      </w:pPr>
      <w:r>
        <w:rPr>
          <w:rFonts w:ascii="Arial" w:hAnsi="Arial" w:cs="Arial"/>
          <w:b/>
          <w:bCs/>
          <w:szCs w:val="24"/>
        </w:rPr>
        <w:t>Brand reputation and regulatory expertise</w:t>
      </w:r>
      <w:r>
        <w:rPr>
          <w:rFonts w:ascii="Arial" w:hAnsi="Arial" w:cs="Arial"/>
          <w:szCs w:val="24"/>
        </w:rPr>
        <w:t>: the company brand name and regulatory experience provide an additional boost to stakeholder confidence and facilitates market approvals which is essential in an overly regulated and safety conscious industry. Commercial and R&amp;D activities are combined to make sure product development and market strategy are aligned and enhance commercialisation success (Doron et al., 2023).</w:t>
      </w:r>
    </w:p>
    <w:p w14:paraId="1C8C70C3">
      <w:pPr>
        <w:ind w:left="426"/>
        <w:rPr>
          <w:rFonts w:ascii="Arial" w:hAnsi="Arial" w:cs="Arial"/>
          <w:sz w:val="22"/>
        </w:rPr>
      </w:pPr>
    </w:p>
    <w:p w14:paraId="764F0742">
      <w:pPr>
        <w:spacing w:before="240" w:after="240"/>
        <w:rPr>
          <w:rFonts w:ascii="Arial" w:hAnsi="Arial" w:cs="Arial" w:eastAsiaTheme="majorEastAsia"/>
          <w:b/>
          <w:bCs/>
          <w:sz w:val="32"/>
          <w:szCs w:val="32"/>
          <w:lang w:eastAsia="en-US"/>
        </w:rPr>
      </w:pPr>
      <w:r>
        <w:rPr>
          <w:rFonts w:ascii="Arial" w:hAnsi="Arial" w:cs="Arial"/>
        </w:rPr>
        <w:br w:type="page"/>
      </w:r>
    </w:p>
    <w:p w14:paraId="7EE2032A">
      <w:pPr>
        <w:pStyle w:val="2"/>
        <w:rPr>
          <w:rFonts w:ascii="Arial" w:hAnsi="Arial" w:cs="Arial"/>
          <w:color w:val="auto"/>
        </w:rPr>
      </w:pPr>
      <w:bookmarkStart w:id="12" w:name="_Toc223942508"/>
      <w:r>
        <w:rPr>
          <w:rFonts w:ascii="Arial" w:hAnsi="Arial" w:cs="Arial"/>
          <w:color w:val="auto"/>
        </w:rPr>
        <w:t>3. CSR and Sustainability Objectives</w:t>
      </w:r>
      <w:bookmarkEnd w:id="12"/>
    </w:p>
    <w:p w14:paraId="543E086F">
      <w:pPr>
        <w:spacing w:before="240" w:after="240"/>
        <w:rPr>
          <w:rFonts w:ascii="Arial" w:hAnsi="Arial" w:cs="Arial"/>
        </w:rPr>
      </w:pPr>
      <w:r>
        <w:rPr>
          <w:rFonts w:ascii="Arial" w:hAnsi="Arial" w:cs="Arial"/>
        </w:rPr>
        <w:t>CSR and sustainability became very important strategic issues among pharmaceutical firms especially in responding to global health issues, environmental issues, and ethical business conduct. GSK has incorporated CSR as part of its corporate agenda by aligning social responsibility efforts with its fundamental goal of enhancing worldwide health outcomes through sustainable business development. The main pillars of the CSR strategy of the company are better health on a global level, responsible operation, and a safe environment.</w:t>
      </w:r>
    </w:p>
    <w:p w14:paraId="332F0F92">
      <w:pPr>
        <w:spacing w:before="240" w:after="240"/>
        <w:rPr>
          <w:rFonts w:ascii="Arial" w:hAnsi="Arial" w:cs="Arial"/>
        </w:rPr>
      </w:pPr>
      <w:r>
        <w:rPr>
          <w:rFonts w:ascii="Arial" w:hAnsi="Arial" w:cs="Arial"/>
        </w:rPr>
        <w:t>Widening access to vaccines and drugs, especially in low and middle-income states, is one of the elements of the GSK CSR strategy. The firm joins forces with other health organisations, governments and non-profit organisations around the world to provide affordable medicine and vaccines to underserved communities. These efforts are in line with the mission of GSK that helps people to do more, feel better and live longer, and enhance its global market presence (Bashirynejad et al., 2024). The programmes related to vaccine accessibility and public health partnerships show that long-term business sustainability can be supported by social impact goals as well.</w:t>
      </w:r>
    </w:p>
    <w:p w14:paraId="4B884726">
      <w:pPr>
        <w:spacing w:before="240" w:after="240"/>
        <w:rPr>
          <w:rFonts w:ascii="Arial" w:hAnsi="Arial" w:cs="Arial"/>
        </w:rPr>
      </w:pPr>
      <w:r>
        <w:rPr>
          <w:rFonts w:ascii="Arial" w:hAnsi="Arial" w:cs="Arial"/>
        </w:rPr>
        <w:t>The other main ingredient in the GSK CSR strategy is environmental sustainability. The company has also been determined to cut carbon emission and maximise energy efficiency and waste minimisation on its global manufacturing and supply chain. These are initiatives that mirror the mounting regulatory and stakeholder pressure of pharmaceutical companies to be good citizens and be part of the world sustainability agenda (Chehimi and Naro, 2024).</w:t>
      </w:r>
    </w:p>
    <w:p w14:paraId="1EFF6487">
      <w:pPr>
        <w:spacing w:before="240" w:after="240"/>
        <w:rPr>
          <w:rFonts w:ascii="Arial" w:hAnsi="Arial" w:cs="Arial"/>
        </w:rPr>
      </w:pPr>
      <w:r>
        <w:rPr>
          <w:rFonts w:ascii="Arial" w:hAnsi="Arial" w:cs="Arial"/>
        </w:rPr>
        <w:t>In addition, GSK focuses on ethical governance, transparency, and responsible supply chain management. Such practises guarantee adherence to the international regulatory frameworks and foster the trust of stakeholders, such as investors, healthcare professionals, and patients. Deng et al. (2025) state that both financial and non-financial outcomes can be improved by aligning sustainability initiatives with organisational performance indicators, e.g. sustainability balanced scorecard.</w:t>
      </w:r>
    </w:p>
    <w:p w14:paraId="6E542E54">
      <w:pPr>
        <w:rPr>
          <w:rFonts w:ascii="Arial" w:hAnsi="Arial" w:cs="Arial"/>
        </w:rPr>
      </w:pPr>
    </w:p>
    <w:p w14:paraId="241D1E4E">
      <w:pPr>
        <w:rPr>
          <w:rFonts w:ascii="Arial" w:hAnsi="Arial" w:cs="Arial"/>
        </w:rPr>
      </w:pPr>
    </w:p>
    <w:p w14:paraId="624FA6FD">
      <w:pPr>
        <w:pStyle w:val="2"/>
        <w:rPr>
          <w:rFonts w:ascii="Arial" w:hAnsi="Arial" w:cs="Arial"/>
          <w:color w:val="auto"/>
        </w:rPr>
      </w:pPr>
      <w:bookmarkStart w:id="13" w:name="_Toc223942509"/>
      <w:r>
        <w:rPr>
          <w:rFonts w:ascii="Arial" w:hAnsi="Arial" w:cs="Arial"/>
          <w:color w:val="auto"/>
        </w:rPr>
        <w:t xml:space="preserve">4. </w:t>
      </w:r>
      <w:r>
        <w:rPr>
          <w:rFonts w:ascii="Arial" w:hAnsi="Arial" w:cs="Arial"/>
          <w:color w:val="auto"/>
          <w:lang w:val="en-US"/>
        </w:rPr>
        <w:t xml:space="preserve">Comprehensive and holistic view of the </w:t>
      </w:r>
      <w:bookmarkEnd w:id="13"/>
      <w:r>
        <w:rPr>
          <w:rFonts w:ascii="Arial" w:hAnsi="Arial" w:cs="Arial"/>
          <w:color w:val="auto"/>
          <w:lang w:val="en-US"/>
        </w:rPr>
        <w:t>organization</w:t>
      </w:r>
    </w:p>
    <w:p w14:paraId="1CF23104">
      <w:pPr>
        <w:rPr>
          <w:rFonts w:ascii="Arial" w:hAnsi="Arial" w:cs="Arial"/>
        </w:rPr>
      </w:pPr>
      <w:r>
        <w:rPr>
          <w:rFonts w:ascii="Arial" w:hAnsi="Arial" w:cs="Arial"/>
        </w:rPr>
        <w:t>The Balanced Scorecard (BSC) model invented by Kaplan and Norton (1992) is a holistic method of managing organisational performance through the combination of financial and non-financial measures</w:t>
      </w:r>
      <w:r>
        <w:rPr>
          <w:rFonts w:ascii="Arial" w:hAnsi="Arial" w:cs="Arial"/>
          <w:szCs w:val="24"/>
        </w:rPr>
        <w:t>(Professional Academy, 2026)</w:t>
      </w:r>
      <w:r>
        <w:rPr>
          <w:rFonts w:ascii="Arial" w:hAnsi="Arial" w:cs="Arial"/>
        </w:rPr>
        <w:t>. The balanced scorecard also considers four perspectives as opposed to traditional performance measurement systems which mainly consider financial outcomes (Chehimi and Naro, 2024).</w:t>
      </w:r>
    </w:p>
    <w:p w14:paraId="00CE7C0C">
      <w:pPr>
        <w:pStyle w:val="13"/>
        <w:jc w:val="center"/>
        <w:rPr>
          <w:rFonts w:ascii="Arial" w:hAnsi="Arial" w:cs="Arial"/>
          <w:b/>
          <w:bCs/>
        </w:rPr>
      </w:pPr>
      <w:r>
        <w:rPr>
          <w:rFonts w:ascii="Arial" w:hAnsi="Arial" w:cs="Arial"/>
          <w:b/>
          <w:bCs/>
          <w:lang w:val="en-US" w:eastAsia="en-US"/>
        </w:rPr>
        <w:drawing>
          <wp:inline distT="0" distB="0" distL="0" distR="0">
            <wp:extent cx="5295900" cy="4400550"/>
            <wp:effectExtent l="0" t="0" r="0" b="0"/>
            <wp:docPr id="9" name="Picture 9" descr="Marketing Theories - Balanced Score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rketing Theories - Balanced Scorecard"/>
                    <pic:cNvPicPr>
                      <a:picLocks noChangeAspect="1" noChangeArrowheads="1"/>
                    </pic:cNvPicPr>
                  </pic:nvPicPr>
                  <pic:blipFill>
                    <a:blip r:embed="rId21">
                      <a:extLst>
                        <a:ext uri="{28A0092B-C50C-407E-A947-70E740481C1C}">
                          <a14:useLocalDpi xmlns:a14="http://schemas.microsoft.com/office/drawing/2010/main" val="0"/>
                        </a:ext>
                      </a:extLst>
                    </a:blip>
                    <a:srcRect t="9085" b="7822"/>
                    <a:stretch>
                      <a:fillRect/>
                    </a:stretch>
                  </pic:blipFill>
                  <pic:spPr>
                    <a:xfrm>
                      <a:off x="0" y="0"/>
                      <a:ext cx="5296763" cy="4401255"/>
                    </a:xfrm>
                    <a:prstGeom prst="rect">
                      <a:avLst/>
                    </a:prstGeom>
                    <a:noFill/>
                    <a:ln>
                      <a:noFill/>
                    </a:ln>
                  </pic:spPr>
                </pic:pic>
              </a:graphicData>
            </a:graphic>
          </wp:inline>
        </w:drawing>
      </w:r>
    </w:p>
    <w:p w14:paraId="36D84D72">
      <w:pPr>
        <w:pStyle w:val="13"/>
        <w:jc w:val="center"/>
        <w:rPr>
          <w:rFonts w:ascii="Arial" w:hAnsi="Arial" w:cs="Arial"/>
          <w:b/>
          <w:bCs/>
        </w:rPr>
      </w:pPr>
      <w:r>
        <w:rPr>
          <w:rFonts w:ascii="Arial" w:hAnsi="Arial" w:cs="Arial"/>
          <w:b/>
          <w:bCs/>
        </w:rPr>
        <w:t>Figure 08: Balanced Scorecard (BSC) Framework</w:t>
      </w:r>
    </w:p>
    <w:p w14:paraId="593D0558">
      <w:pPr>
        <w:jc w:val="center"/>
        <w:rPr>
          <w:rFonts w:ascii="Arial" w:hAnsi="Arial" w:cs="Arial"/>
          <w:b/>
          <w:bCs/>
          <w:szCs w:val="24"/>
        </w:rPr>
      </w:pPr>
      <w:r>
        <w:rPr>
          <w:rFonts w:ascii="Arial" w:hAnsi="Arial" w:cs="Arial"/>
          <w:b/>
          <w:bCs/>
        </w:rPr>
        <w:t xml:space="preserve">Source: </w:t>
      </w:r>
      <w:r>
        <w:rPr>
          <w:rFonts w:ascii="Arial" w:hAnsi="Arial" w:cs="Arial"/>
          <w:b/>
          <w:bCs/>
          <w:szCs w:val="24"/>
        </w:rPr>
        <w:t>(Professional Academy, 2026)</w:t>
      </w:r>
    </w:p>
    <w:p w14:paraId="5C48E8D3">
      <w:pPr>
        <w:pStyle w:val="3"/>
        <w:rPr>
          <w:rFonts w:ascii="Arial" w:hAnsi="Arial" w:cs="Arial"/>
          <w:color w:val="auto"/>
        </w:rPr>
      </w:pPr>
      <w:bookmarkStart w:id="14" w:name="_Toc223942510"/>
      <w:r>
        <w:rPr>
          <w:rStyle w:val="14"/>
          <w:rFonts w:ascii="Arial" w:hAnsi="Arial" w:cs="Arial"/>
          <w:b/>
          <w:bCs w:val="0"/>
          <w:color w:val="auto"/>
        </w:rPr>
        <w:t>4.1 Financial Perspective</w:t>
      </w:r>
      <w:bookmarkEnd w:id="14"/>
    </w:p>
    <w:p w14:paraId="034F77D2">
      <w:pPr>
        <w:pStyle w:val="13"/>
        <w:spacing w:line="360" w:lineRule="auto"/>
        <w:jc w:val="both"/>
        <w:rPr>
          <w:rFonts w:ascii="Arial" w:hAnsi="Arial" w:cs="Arial"/>
        </w:rPr>
      </w:pPr>
      <w:r>
        <w:rPr>
          <w:rFonts w:ascii="Arial" w:hAnsi="Arial" w:cs="Arial"/>
        </w:rPr>
        <w:t xml:space="preserve">The financial view analyses the validity of the strategic initiatives of GSK in enhancing the financial performance and shareholder wealth. Financial sustainability is a key goal, since the company is a publicly traded pharmaceutical company(Humphreys, 2024). </w:t>
      </w:r>
    </w:p>
    <w:p w14:paraId="70C9B41E">
      <w:pPr>
        <w:pStyle w:val="13"/>
        <w:spacing w:line="360" w:lineRule="auto"/>
        <w:jc w:val="both"/>
        <w:rPr>
          <w:rFonts w:ascii="Arial" w:hAnsi="Arial" w:cs="Arial"/>
        </w:rPr>
      </w:pPr>
      <w:r>
        <w:rPr>
          <w:rStyle w:val="14"/>
          <w:rFonts w:ascii="Arial" w:hAnsi="Arial" w:cs="Arial" w:eastAsiaTheme="majorEastAsia"/>
        </w:rPr>
        <w:t>Objectives:</w:t>
      </w:r>
    </w:p>
    <w:p w14:paraId="5550F466">
      <w:pPr>
        <w:pStyle w:val="13"/>
        <w:numPr>
          <w:ilvl w:val="0"/>
          <w:numId w:val="7"/>
        </w:numPr>
        <w:spacing w:line="360" w:lineRule="auto"/>
        <w:jc w:val="both"/>
        <w:rPr>
          <w:rFonts w:ascii="Arial" w:hAnsi="Arial" w:cs="Arial"/>
        </w:rPr>
      </w:pPr>
      <w:r>
        <w:rPr>
          <w:rFonts w:ascii="Arial" w:hAnsi="Arial" w:cs="Arial"/>
        </w:rPr>
        <w:t>Grow pharmaceutical and vaccine sales in the world.</w:t>
      </w:r>
    </w:p>
    <w:p w14:paraId="765FAFB4">
      <w:pPr>
        <w:pStyle w:val="13"/>
        <w:numPr>
          <w:ilvl w:val="0"/>
          <w:numId w:val="7"/>
        </w:numPr>
        <w:spacing w:line="360" w:lineRule="auto"/>
        <w:jc w:val="both"/>
        <w:rPr>
          <w:rFonts w:ascii="Arial" w:hAnsi="Arial" w:cs="Arial"/>
        </w:rPr>
      </w:pPr>
      <w:r>
        <w:rPr>
          <w:rFonts w:ascii="Arial" w:hAnsi="Arial" w:cs="Arial"/>
        </w:rPr>
        <w:t>Enhance profitability by being efficient in operation.</w:t>
      </w:r>
    </w:p>
    <w:p w14:paraId="302B606C">
      <w:pPr>
        <w:pStyle w:val="13"/>
        <w:numPr>
          <w:ilvl w:val="0"/>
          <w:numId w:val="7"/>
        </w:numPr>
        <w:spacing w:line="360" w:lineRule="auto"/>
        <w:jc w:val="both"/>
        <w:rPr>
          <w:rFonts w:ascii="Arial" w:hAnsi="Arial" w:cs="Arial"/>
        </w:rPr>
      </w:pPr>
      <w:r>
        <w:rPr>
          <w:rFonts w:ascii="Arial" w:hAnsi="Arial" w:cs="Arial"/>
        </w:rPr>
        <w:t>Enhance shareholder returns.</w:t>
      </w:r>
    </w:p>
    <w:p w14:paraId="30B6BD96">
      <w:pPr>
        <w:pStyle w:val="13"/>
        <w:spacing w:line="360" w:lineRule="auto"/>
        <w:jc w:val="both"/>
        <w:rPr>
          <w:rFonts w:ascii="Arial" w:hAnsi="Arial" w:cs="Arial"/>
        </w:rPr>
      </w:pPr>
      <w:r>
        <w:rPr>
          <w:rStyle w:val="14"/>
          <w:rFonts w:ascii="Arial" w:hAnsi="Arial" w:cs="Arial" w:eastAsiaTheme="majorEastAsia"/>
        </w:rPr>
        <w:t>Key Performance Indicators (KPIs):</w:t>
      </w:r>
    </w:p>
    <w:p w14:paraId="1ADDFEBF">
      <w:pPr>
        <w:pStyle w:val="13"/>
        <w:numPr>
          <w:ilvl w:val="0"/>
          <w:numId w:val="8"/>
        </w:numPr>
        <w:spacing w:line="360" w:lineRule="auto"/>
        <w:jc w:val="both"/>
        <w:rPr>
          <w:rFonts w:ascii="Arial" w:hAnsi="Arial" w:cs="Arial"/>
        </w:rPr>
      </w:pPr>
      <w:r>
        <w:rPr>
          <w:rFonts w:ascii="Arial" w:hAnsi="Arial" w:cs="Arial"/>
        </w:rPr>
        <w:t>Total annual revenue growth</w:t>
      </w:r>
    </w:p>
    <w:p w14:paraId="1F7FEC42">
      <w:pPr>
        <w:pStyle w:val="13"/>
        <w:numPr>
          <w:ilvl w:val="0"/>
          <w:numId w:val="8"/>
        </w:numPr>
        <w:spacing w:line="360" w:lineRule="auto"/>
        <w:jc w:val="both"/>
        <w:rPr>
          <w:rFonts w:ascii="Arial" w:hAnsi="Arial" w:cs="Arial"/>
        </w:rPr>
      </w:pPr>
      <w:r>
        <w:rPr>
          <w:rFonts w:ascii="Arial" w:hAnsi="Arial" w:cs="Arial"/>
        </w:rPr>
        <w:t>Core earnings per share (EPS)</w:t>
      </w:r>
    </w:p>
    <w:p w14:paraId="46F05D96">
      <w:pPr>
        <w:pStyle w:val="13"/>
        <w:numPr>
          <w:ilvl w:val="0"/>
          <w:numId w:val="8"/>
        </w:numPr>
        <w:spacing w:line="360" w:lineRule="auto"/>
        <w:jc w:val="both"/>
        <w:rPr>
          <w:rFonts w:ascii="Arial" w:hAnsi="Arial" w:cs="Arial"/>
        </w:rPr>
      </w:pPr>
      <w:r>
        <w:rPr>
          <w:rFonts w:ascii="Arial" w:hAnsi="Arial" w:cs="Arial"/>
        </w:rPr>
        <w:t>Return on investment in R&amp;D</w:t>
      </w:r>
    </w:p>
    <w:p w14:paraId="6A462B4C">
      <w:pPr>
        <w:pStyle w:val="13"/>
        <w:spacing w:line="360" w:lineRule="auto"/>
        <w:jc w:val="both"/>
        <w:rPr>
          <w:rFonts w:ascii="Arial" w:hAnsi="Arial" w:cs="Arial"/>
        </w:rPr>
      </w:pPr>
      <w:r>
        <w:rPr>
          <w:rStyle w:val="14"/>
          <w:rFonts w:ascii="Arial" w:hAnsi="Arial" w:cs="Arial" w:eastAsiaTheme="majorEastAsia"/>
        </w:rPr>
        <w:t>Targets:</w:t>
      </w:r>
      <w:r>
        <w:rPr>
          <w:rFonts w:ascii="Arial" w:hAnsi="Arial" w:cs="Arial"/>
        </w:rPr>
        <w:t>GSK seeks to realise sustainable revenue growth by the use of its specialty medicines and vaccines portfolio. The projections in the pharmaceutical industry show that companies need to ensure stable productivity in R&amp;D to stay competitive (Coyle, 2025).</w:t>
      </w:r>
    </w:p>
    <w:p w14:paraId="665B9DD5">
      <w:pPr>
        <w:pStyle w:val="13"/>
        <w:spacing w:line="360" w:lineRule="auto"/>
        <w:jc w:val="both"/>
        <w:rPr>
          <w:rFonts w:ascii="Arial" w:hAnsi="Arial" w:cs="Arial"/>
        </w:rPr>
      </w:pPr>
      <w:r>
        <w:rPr>
          <w:rStyle w:val="14"/>
          <w:rFonts w:ascii="Arial" w:hAnsi="Arial" w:cs="Arial" w:eastAsiaTheme="majorEastAsia"/>
        </w:rPr>
        <w:t>Initiatives:</w:t>
      </w:r>
      <w:r>
        <w:rPr>
          <w:rFonts w:ascii="Arial" w:hAnsi="Arial" w:cs="Arial"/>
        </w:rPr>
        <w:t xml:space="preserve"> Some of the strategic initiatives are portfolio optimisation, expansion to high growth markets and strategic partnerships in order to increase the productivity of research. These measures underpin long-term financial performance and adhere to the strategic focus of innovation and global healthcare solutions of GSK.</w:t>
      </w:r>
    </w:p>
    <w:p w14:paraId="4CE9E8C0">
      <w:pPr>
        <w:pStyle w:val="3"/>
        <w:rPr>
          <w:rFonts w:ascii="Arial" w:hAnsi="Arial" w:cs="Arial"/>
          <w:color w:val="auto"/>
        </w:rPr>
      </w:pPr>
      <w:bookmarkStart w:id="15" w:name="_Toc223942511"/>
      <w:r>
        <w:rPr>
          <w:rStyle w:val="14"/>
          <w:rFonts w:ascii="Arial" w:hAnsi="Arial" w:cs="Arial"/>
          <w:b/>
          <w:bCs w:val="0"/>
          <w:color w:val="auto"/>
        </w:rPr>
        <w:t>4.2 Customer Perspective</w:t>
      </w:r>
      <w:bookmarkEnd w:id="15"/>
    </w:p>
    <w:p w14:paraId="2443F352">
      <w:pPr>
        <w:pStyle w:val="13"/>
        <w:spacing w:line="360" w:lineRule="auto"/>
        <w:jc w:val="both"/>
        <w:rPr>
          <w:rFonts w:ascii="Arial" w:hAnsi="Arial" w:cs="Arial"/>
        </w:rPr>
      </w:pPr>
      <w:r>
        <w:rPr>
          <w:rFonts w:ascii="Arial" w:hAnsi="Arial" w:cs="Arial"/>
        </w:rPr>
        <w:t xml:space="preserve">The customer view is centred on the way the organisation creates value to the patients, the health care providers and the stakeholders. Trust, product efficacy, and accessibility are some of the major drivers of customer satisfaction in the pharmaceutical industry(Olariu et al., 2023). </w:t>
      </w:r>
    </w:p>
    <w:p w14:paraId="7F6B9E3D">
      <w:pPr>
        <w:pStyle w:val="13"/>
        <w:spacing w:line="360" w:lineRule="auto"/>
        <w:jc w:val="both"/>
        <w:rPr>
          <w:rFonts w:ascii="Arial" w:hAnsi="Arial" w:cs="Arial"/>
        </w:rPr>
      </w:pPr>
      <w:r>
        <w:rPr>
          <w:rStyle w:val="14"/>
          <w:rFonts w:ascii="Arial" w:hAnsi="Arial" w:cs="Arial" w:eastAsiaTheme="majorEastAsia"/>
        </w:rPr>
        <w:t>Objectives:</w:t>
      </w:r>
    </w:p>
    <w:p w14:paraId="0E8F6B5E">
      <w:pPr>
        <w:pStyle w:val="13"/>
        <w:numPr>
          <w:ilvl w:val="0"/>
          <w:numId w:val="9"/>
        </w:numPr>
        <w:spacing w:line="360" w:lineRule="auto"/>
        <w:jc w:val="both"/>
        <w:rPr>
          <w:rFonts w:ascii="Arial" w:hAnsi="Arial" w:cs="Arial"/>
        </w:rPr>
      </w:pPr>
      <w:r>
        <w:rPr>
          <w:rFonts w:ascii="Arial" w:hAnsi="Arial" w:cs="Arial"/>
        </w:rPr>
        <w:t>Enhance the access of the patients to the medicines and vaccines.</w:t>
      </w:r>
    </w:p>
    <w:p w14:paraId="6FAD05FF">
      <w:pPr>
        <w:pStyle w:val="13"/>
        <w:numPr>
          <w:ilvl w:val="0"/>
          <w:numId w:val="9"/>
        </w:numPr>
        <w:spacing w:line="360" w:lineRule="auto"/>
        <w:jc w:val="both"/>
        <w:rPr>
          <w:rFonts w:ascii="Arial" w:hAnsi="Arial" w:cs="Arial"/>
        </w:rPr>
      </w:pPr>
      <w:r>
        <w:rPr>
          <w:rFonts w:ascii="Arial" w:hAnsi="Arial" w:cs="Arial"/>
        </w:rPr>
        <w:t>Build brand reputation and trust.</w:t>
      </w:r>
    </w:p>
    <w:p w14:paraId="540CA027">
      <w:pPr>
        <w:pStyle w:val="13"/>
        <w:numPr>
          <w:ilvl w:val="0"/>
          <w:numId w:val="9"/>
        </w:numPr>
        <w:spacing w:line="360" w:lineRule="auto"/>
        <w:jc w:val="both"/>
        <w:rPr>
          <w:rFonts w:ascii="Arial" w:hAnsi="Arial" w:cs="Arial"/>
        </w:rPr>
      </w:pPr>
      <w:r>
        <w:rPr>
          <w:rFonts w:ascii="Arial" w:hAnsi="Arial" w:cs="Arial"/>
        </w:rPr>
        <w:t>Improve relations with healthcare providers and governments.</w:t>
      </w:r>
    </w:p>
    <w:p w14:paraId="06482130">
      <w:pPr>
        <w:pStyle w:val="13"/>
        <w:spacing w:line="360" w:lineRule="auto"/>
        <w:jc w:val="both"/>
        <w:rPr>
          <w:rFonts w:ascii="Arial" w:hAnsi="Arial" w:cs="Arial"/>
        </w:rPr>
      </w:pPr>
      <w:r>
        <w:rPr>
          <w:rStyle w:val="14"/>
          <w:rFonts w:ascii="Arial" w:hAnsi="Arial" w:cs="Arial" w:eastAsiaTheme="majorEastAsia"/>
        </w:rPr>
        <w:t>KPIs:</w:t>
      </w:r>
    </w:p>
    <w:p w14:paraId="3AC30ECD">
      <w:pPr>
        <w:pStyle w:val="13"/>
        <w:numPr>
          <w:ilvl w:val="0"/>
          <w:numId w:val="10"/>
        </w:numPr>
        <w:spacing w:line="360" w:lineRule="auto"/>
        <w:jc w:val="both"/>
        <w:rPr>
          <w:rFonts w:ascii="Arial" w:hAnsi="Arial" w:cs="Arial"/>
        </w:rPr>
      </w:pPr>
      <w:r>
        <w:rPr>
          <w:rFonts w:ascii="Arial" w:hAnsi="Arial" w:cs="Arial"/>
        </w:rPr>
        <w:t>Patient access programmes and immunisation rates.</w:t>
      </w:r>
    </w:p>
    <w:p w14:paraId="60AF6618">
      <w:pPr>
        <w:pStyle w:val="13"/>
        <w:numPr>
          <w:ilvl w:val="0"/>
          <w:numId w:val="10"/>
        </w:numPr>
        <w:spacing w:line="360" w:lineRule="auto"/>
        <w:jc w:val="both"/>
        <w:rPr>
          <w:rFonts w:ascii="Arial" w:hAnsi="Arial" w:cs="Arial"/>
        </w:rPr>
      </w:pPr>
      <w:r>
        <w:rPr>
          <w:rFonts w:ascii="Arial" w:hAnsi="Arial" w:cs="Arial"/>
        </w:rPr>
        <w:t>Satisfaction of customer amongst health practitioners.</w:t>
      </w:r>
    </w:p>
    <w:p w14:paraId="328681E6">
      <w:pPr>
        <w:pStyle w:val="13"/>
        <w:numPr>
          <w:ilvl w:val="0"/>
          <w:numId w:val="10"/>
        </w:numPr>
        <w:spacing w:line="360" w:lineRule="auto"/>
        <w:jc w:val="both"/>
        <w:rPr>
          <w:rFonts w:ascii="Arial" w:hAnsi="Arial" w:cs="Arial"/>
        </w:rPr>
      </w:pPr>
      <w:r>
        <w:rPr>
          <w:rFonts w:ascii="Arial" w:hAnsi="Arial" w:cs="Arial"/>
        </w:rPr>
        <w:t>Market share within therapeutic areas market share.</w:t>
      </w:r>
    </w:p>
    <w:p w14:paraId="714670DD">
      <w:pPr>
        <w:pStyle w:val="13"/>
        <w:spacing w:line="360" w:lineRule="auto"/>
        <w:jc w:val="both"/>
        <w:rPr>
          <w:rFonts w:ascii="Arial" w:hAnsi="Arial" w:cs="Arial"/>
        </w:rPr>
      </w:pPr>
      <w:r>
        <w:rPr>
          <w:rStyle w:val="14"/>
          <w:rFonts w:ascii="Arial" w:hAnsi="Arial" w:cs="Arial" w:eastAsiaTheme="majorEastAsia"/>
        </w:rPr>
        <w:t>Targets:</w:t>
      </w:r>
      <w:r>
        <w:rPr>
          <w:rFonts w:ascii="Arial" w:hAnsi="Arial" w:cs="Arial"/>
        </w:rPr>
        <w:t>GSK strives to increase access to medicines in the new markets without compromising on product quality and safety level. Such efforts also help to meet the corporate social responsibility objectives and strengthen the customer confidence (Bashirynejad et al., 2024).</w:t>
      </w:r>
    </w:p>
    <w:p w14:paraId="3F8C24D4">
      <w:pPr>
        <w:pStyle w:val="13"/>
        <w:spacing w:line="360" w:lineRule="auto"/>
        <w:jc w:val="both"/>
        <w:rPr>
          <w:rFonts w:ascii="Arial" w:hAnsi="Arial" w:cs="Arial"/>
        </w:rPr>
      </w:pPr>
      <w:r>
        <w:rPr>
          <w:rStyle w:val="14"/>
          <w:rFonts w:ascii="Arial" w:hAnsi="Arial" w:cs="Arial" w:eastAsiaTheme="majorEastAsia"/>
        </w:rPr>
        <w:t>Initiatives:</w:t>
      </w:r>
      <w:r>
        <w:rPr>
          <w:rFonts w:ascii="Arial" w:hAnsi="Arial" w:cs="Arial"/>
        </w:rPr>
        <w:t xml:space="preserve"> The main initiatives involve collaborating with the community in promoting health, immunisation efforts, and online communication with caregivers to enhance care delivery and patient outcomes.</w:t>
      </w:r>
    </w:p>
    <w:p w14:paraId="797633F5">
      <w:pPr>
        <w:pStyle w:val="3"/>
        <w:rPr>
          <w:rFonts w:ascii="Arial" w:hAnsi="Arial" w:cs="Arial"/>
          <w:color w:val="auto"/>
        </w:rPr>
      </w:pPr>
      <w:bookmarkStart w:id="16" w:name="_Toc223942512"/>
      <w:r>
        <w:rPr>
          <w:rStyle w:val="14"/>
          <w:rFonts w:ascii="Arial" w:hAnsi="Arial" w:cs="Arial"/>
          <w:b/>
          <w:bCs w:val="0"/>
          <w:color w:val="auto"/>
        </w:rPr>
        <w:t>4.3 Internal Business Processes Perspective</w:t>
      </w:r>
      <w:bookmarkEnd w:id="16"/>
    </w:p>
    <w:p w14:paraId="21A1EC32">
      <w:pPr>
        <w:pStyle w:val="13"/>
        <w:spacing w:line="360" w:lineRule="auto"/>
        <w:jc w:val="both"/>
        <w:rPr>
          <w:rFonts w:ascii="Arial" w:hAnsi="Arial" w:cs="Arial"/>
        </w:rPr>
      </w:pPr>
      <w:r>
        <w:rPr>
          <w:rFonts w:ascii="Arial" w:hAnsi="Arial" w:cs="Arial"/>
        </w:rPr>
        <w:t>Internal processes perspective looks at the efficiency of the organisation’s operation and value creation in terms of innovation, production and regulatory compliance. In drugs, effective supply chain management and R&amp;D procedures play a major role in introducing new medications to the market(Tawse and Tabesh, 2023).</w:t>
      </w:r>
    </w:p>
    <w:p w14:paraId="2B2ECFAC">
      <w:pPr>
        <w:pStyle w:val="13"/>
        <w:spacing w:line="360" w:lineRule="auto"/>
        <w:jc w:val="both"/>
        <w:rPr>
          <w:rFonts w:ascii="Arial" w:hAnsi="Arial" w:cs="Arial"/>
        </w:rPr>
      </w:pPr>
      <w:r>
        <w:rPr>
          <w:rStyle w:val="14"/>
          <w:rFonts w:ascii="Arial" w:hAnsi="Arial" w:cs="Arial" w:eastAsiaTheme="majorEastAsia"/>
        </w:rPr>
        <w:t>Objectives:</w:t>
      </w:r>
    </w:p>
    <w:p w14:paraId="003CE8FF">
      <w:pPr>
        <w:pStyle w:val="13"/>
        <w:numPr>
          <w:ilvl w:val="0"/>
          <w:numId w:val="11"/>
        </w:numPr>
        <w:spacing w:line="360" w:lineRule="auto"/>
        <w:jc w:val="both"/>
        <w:rPr>
          <w:rFonts w:ascii="Arial" w:hAnsi="Arial" w:cs="Arial"/>
        </w:rPr>
      </w:pPr>
      <w:r>
        <w:rPr>
          <w:rFonts w:ascii="Arial" w:hAnsi="Arial" w:cs="Arial"/>
        </w:rPr>
        <w:t>Enhance the effectiveness of research and development.</w:t>
      </w:r>
    </w:p>
    <w:p w14:paraId="0CC45CB4">
      <w:pPr>
        <w:pStyle w:val="13"/>
        <w:numPr>
          <w:ilvl w:val="0"/>
          <w:numId w:val="11"/>
        </w:numPr>
        <w:spacing w:line="360" w:lineRule="auto"/>
        <w:jc w:val="both"/>
        <w:rPr>
          <w:rFonts w:ascii="Arial" w:hAnsi="Arial" w:cs="Arial"/>
        </w:rPr>
      </w:pPr>
      <w:r>
        <w:rPr>
          <w:rFonts w:ascii="Arial" w:hAnsi="Arial" w:cs="Arial"/>
        </w:rPr>
        <w:t>Enhance the resilience of manufacturing and supply chain.</w:t>
      </w:r>
    </w:p>
    <w:p w14:paraId="2C5B2C30">
      <w:pPr>
        <w:pStyle w:val="13"/>
        <w:numPr>
          <w:ilvl w:val="0"/>
          <w:numId w:val="11"/>
        </w:numPr>
        <w:spacing w:line="360" w:lineRule="auto"/>
        <w:jc w:val="both"/>
        <w:rPr>
          <w:rFonts w:ascii="Arial" w:hAnsi="Arial" w:cs="Arial"/>
        </w:rPr>
      </w:pPr>
      <w:r>
        <w:rPr>
          <w:rFonts w:ascii="Arial" w:hAnsi="Arial" w:cs="Arial"/>
        </w:rPr>
        <w:t>Make sure that it meets the regulatory standards.</w:t>
      </w:r>
    </w:p>
    <w:p w14:paraId="0F0C29D4">
      <w:pPr>
        <w:pStyle w:val="13"/>
        <w:spacing w:line="360" w:lineRule="auto"/>
        <w:jc w:val="both"/>
        <w:rPr>
          <w:rFonts w:ascii="Arial" w:hAnsi="Arial" w:cs="Arial"/>
        </w:rPr>
      </w:pPr>
      <w:r>
        <w:rPr>
          <w:rStyle w:val="14"/>
          <w:rFonts w:ascii="Arial" w:hAnsi="Arial" w:cs="Arial" w:eastAsiaTheme="majorEastAsia"/>
        </w:rPr>
        <w:t>KPIs:</w:t>
      </w:r>
    </w:p>
    <w:p w14:paraId="10D922B9">
      <w:pPr>
        <w:pStyle w:val="13"/>
        <w:numPr>
          <w:ilvl w:val="0"/>
          <w:numId w:val="12"/>
        </w:numPr>
        <w:spacing w:line="360" w:lineRule="auto"/>
        <w:jc w:val="both"/>
        <w:rPr>
          <w:rFonts w:ascii="Arial" w:hAnsi="Arial" w:cs="Arial"/>
        </w:rPr>
      </w:pPr>
      <w:r>
        <w:rPr>
          <w:rFonts w:ascii="Arial" w:hAnsi="Arial" w:cs="Arial"/>
        </w:rPr>
        <w:t>Successful number of successful drug approvals.</w:t>
      </w:r>
    </w:p>
    <w:p w14:paraId="78D8D4C4">
      <w:pPr>
        <w:pStyle w:val="13"/>
        <w:numPr>
          <w:ilvl w:val="0"/>
          <w:numId w:val="12"/>
        </w:numPr>
        <w:spacing w:line="360" w:lineRule="auto"/>
        <w:jc w:val="both"/>
        <w:rPr>
          <w:rFonts w:ascii="Arial" w:hAnsi="Arial" w:cs="Arial"/>
        </w:rPr>
      </w:pPr>
      <w:r>
        <w:rPr>
          <w:rFonts w:ascii="Arial" w:hAnsi="Arial" w:cs="Arial"/>
        </w:rPr>
        <w:t>Drug development and regulatory approval period.</w:t>
      </w:r>
    </w:p>
    <w:p w14:paraId="7FAF80C9">
      <w:pPr>
        <w:pStyle w:val="13"/>
        <w:numPr>
          <w:ilvl w:val="0"/>
          <w:numId w:val="12"/>
        </w:numPr>
        <w:spacing w:line="360" w:lineRule="auto"/>
        <w:jc w:val="both"/>
        <w:rPr>
          <w:rFonts w:ascii="Arial" w:hAnsi="Arial" w:cs="Arial"/>
        </w:rPr>
      </w:pPr>
      <w:r>
        <w:rPr>
          <w:rFonts w:ascii="Arial" w:hAnsi="Arial" w:cs="Arial"/>
        </w:rPr>
        <w:t>Efficiency and product quality indicators.</w:t>
      </w:r>
    </w:p>
    <w:p w14:paraId="2B80F93E">
      <w:pPr>
        <w:pStyle w:val="13"/>
        <w:spacing w:line="360" w:lineRule="auto"/>
        <w:jc w:val="both"/>
        <w:rPr>
          <w:rFonts w:ascii="Arial" w:hAnsi="Arial" w:cs="Arial"/>
        </w:rPr>
      </w:pPr>
      <w:r>
        <w:rPr>
          <w:rStyle w:val="14"/>
          <w:rFonts w:ascii="Arial" w:hAnsi="Arial" w:cs="Arial" w:eastAsiaTheme="majorEastAsia"/>
        </w:rPr>
        <w:t>Targets:</w:t>
      </w:r>
      <w:r>
        <w:rPr>
          <w:rFonts w:ascii="Arial" w:hAnsi="Arial" w:cs="Arial"/>
        </w:rPr>
        <w:t>GSK would like to enhance commercial success of its drug development pipeline besides minimising development timelines. Biotechnological and digital innovation gains more and more significance in enhancing the R&amp;D productivity (Doron et al., 2023).</w:t>
      </w:r>
    </w:p>
    <w:p w14:paraId="5FF92E4B">
      <w:pPr>
        <w:pStyle w:val="13"/>
        <w:spacing w:line="360" w:lineRule="auto"/>
        <w:jc w:val="both"/>
        <w:rPr>
          <w:rFonts w:ascii="Arial" w:hAnsi="Arial" w:cs="Arial"/>
        </w:rPr>
      </w:pPr>
      <w:r>
        <w:rPr>
          <w:rStyle w:val="14"/>
          <w:rFonts w:ascii="Arial" w:hAnsi="Arial" w:cs="Arial" w:eastAsiaTheme="majorEastAsia"/>
        </w:rPr>
        <w:t>Initiatives:</w:t>
      </w:r>
      <w:r>
        <w:rPr>
          <w:rFonts w:ascii="Arial" w:hAnsi="Arial" w:cs="Arial"/>
        </w:rPr>
        <w:t xml:space="preserve"> Such strategic initiatives are the integration of R&amp;D with commercial teams, use of digital tools in clinical trials, and enhancement of supply chain efficiency to facilitate global distribution.</w:t>
      </w:r>
    </w:p>
    <w:p w14:paraId="63F09331">
      <w:pPr>
        <w:pStyle w:val="3"/>
        <w:rPr>
          <w:rFonts w:ascii="Arial" w:hAnsi="Arial" w:cs="Arial"/>
          <w:color w:val="auto"/>
        </w:rPr>
      </w:pPr>
      <w:bookmarkStart w:id="17" w:name="_Toc223942513"/>
      <w:r>
        <w:rPr>
          <w:rStyle w:val="14"/>
          <w:rFonts w:ascii="Arial" w:hAnsi="Arial" w:cs="Arial"/>
          <w:b/>
          <w:bCs w:val="0"/>
          <w:color w:val="auto"/>
        </w:rPr>
        <w:t>4.4 Learning and Growth Perspective</w:t>
      </w:r>
      <w:bookmarkEnd w:id="17"/>
    </w:p>
    <w:p w14:paraId="3A4451F9">
      <w:pPr>
        <w:pStyle w:val="13"/>
        <w:spacing w:line="360" w:lineRule="auto"/>
        <w:jc w:val="both"/>
        <w:rPr>
          <w:rFonts w:ascii="Arial" w:hAnsi="Arial" w:cs="Arial"/>
        </w:rPr>
      </w:pPr>
      <w:r>
        <w:rPr>
          <w:rFonts w:ascii="Arial" w:hAnsi="Arial" w:cs="Arial"/>
        </w:rPr>
        <w:t>Learning and growth perspective emphasises organisational capabilities, employee growth and their innovation capability. Knowledge-intensive firms like in the pharmaceutical industry, sustained learning and talent growth are vital to being in the frontline of innovation(Humphreys, 2024).</w:t>
      </w:r>
    </w:p>
    <w:p w14:paraId="3CF7C0CA">
      <w:pPr>
        <w:pStyle w:val="13"/>
        <w:spacing w:line="360" w:lineRule="auto"/>
        <w:jc w:val="both"/>
        <w:rPr>
          <w:rFonts w:ascii="Arial" w:hAnsi="Arial" w:cs="Arial"/>
        </w:rPr>
      </w:pPr>
      <w:r>
        <w:rPr>
          <w:rStyle w:val="14"/>
          <w:rFonts w:ascii="Arial" w:hAnsi="Arial" w:cs="Arial" w:eastAsiaTheme="majorEastAsia"/>
        </w:rPr>
        <w:t>Objectives:</w:t>
      </w:r>
    </w:p>
    <w:p w14:paraId="6C95A72B">
      <w:pPr>
        <w:pStyle w:val="13"/>
        <w:numPr>
          <w:ilvl w:val="0"/>
          <w:numId w:val="13"/>
        </w:numPr>
        <w:spacing w:line="360" w:lineRule="auto"/>
        <w:jc w:val="both"/>
        <w:rPr>
          <w:rFonts w:ascii="Arial" w:hAnsi="Arial" w:cs="Arial"/>
        </w:rPr>
      </w:pPr>
      <w:r>
        <w:rPr>
          <w:rFonts w:ascii="Arial" w:hAnsi="Arial" w:cs="Arial"/>
        </w:rPr>
        <w:t>Empower research and scientific competence.</w:t>
      </w:r>
    </w:p>
    <w:p w14:paraId="53E84A07">
      <w:pPr>
        <w:pStyle w:val="13"/>
        <w:numPr>
          <w:ilvl w:val="0"/>
          <w:numId w:val="13"/>
        </w:numPr>
        <w:spacing w:line="360" w:lineRule="auto"/>
        <w:jc w:val="both"/>
        <w:rPr>
          <w:rFonts w:ascii="Arial" w:hAnsi="Arial" w:cs="Arial"/>
        </w:rPr>
      </w:pPr>
      <w:r>
        <w:rPr>
          <w:rFonts w:ascii="Arial" w:hAnsi="Arial" w:cs="Arial"/>
        </w:rPr>
        <w:t>Build leadership and skills of employees.</w:t>
      </w:r>
    </w:p>
    <w:p w14:paraId="28784519">
      <w:pPr>
        <w:pStyle w:val="13"/>
        <w:numPr>
          <w:ilvl w:val="0"/>
          <w:numId w:val="13"/>
        </w:numPr>
        <w:spacing w:line="360" w:lineRule="auto"/>
        <w:jc w:val="both"/>
        <w:rPr>
          <w:rFonts w:ascii="Arial" w:hAnsi="Arial" w:cs="Arial"/>
        </w:rPr>
      </w:pPr>
      <w:r>
        <w:rPr>
          <w:rFonts w:ascii="Arial" w:hAnsi="Arial" w:cs="Arial"/>
        </w:rPr>
        <w:t>Create an innovative and collaborative culture.</w:t>
      </w:r>
    </w:p>
    <w:p w14:paraId="65DDC703">
      <w:pPr>
        <w:pStyle w:val="13"/>
        <w:spacing w:line="360" w:lineRule="auto"/>
        <w:jc w:val="both"/>
        <w:rPr>
          <w:rFonts w:ascii="Arial" w:hAnsi="Arial" w:cs="Arial"/>
        </w:rPr>
      </w:pPr>
      <w:r>
        <w:rPr>
          <w:rStyle w:val="14"/>
          <w:rFonts w:ascii="Arial" w:hAnsi="Arial" w:cs="Arial" w:eastAsiaTheme="majorEastAsia"/>
        </w:rPr>
        <w:t>KPIs:</w:t>
      </w:r>
    </w:p>
    <w:p w14:paraId="19E9677C">
      <w:pPr>
        <w:pStyle w:val="13"/>
        <w:numPr>
          <w:ilvl w:val="0"/>
          <w:numId w:val="14"/>
        </w:numPr>
        <w:spacing w:line="360" w:lineRule="auto"/>
        <w:jc w:val="both"/>
        <w:rPr>
          <w:rFonts w:ascii="Arial" w:hAnsi="Arial" w:cs="Arial"/>
        </w:rPr>
      </w:pPr>
      <w:r>
        <w:rPr>
          <w:rFonts w:ascii="Arial" w:hAnsi="Arial" w:cs="Arial"/>
        </w:rPr>
        <w:t>Training and development programmes among the staff.</w:t>
      </w:r>
    </w:p>
    <w:p w14:paraId="199048CB">
      <w:pPr>
        <w:pStyle w:val="13"/>
        <w:numPr>
          <w:ilvl w:val="0"/>
          <w:numId w:val="14"/>
        </w:numPr>
        <w:spacing w:line="360" w:lineRule="auto"/>
        <w:jc w:val="both"/>
        <w:rPr>
          <w:rFonts w:ascii="Arial" w:hAnsi="Arial" w:cs="Arial"/>
        </w:rPr>
      </w:pPr>
      <w:r>
        <w:rPr>
          <w:rFonts w:ascii="Arial" w:hAnsi="Arial" w:cs="Arial"/>
        </w:rPr>
        <w:t>R&amp;D productivity and number of patents registered.</w:t>
      </w:r>
    </w:p>
    <w:p w14:paraId="6FA781F9">
      <w:pPr>
        <w:pStyle w:val="13"/>
        <w:numPr>
          <w:ilvl w:val="0"/>
          <w:numId w:val="14"/>
        </w:numPr>
        <w:spacing w:line="360" w:lineRule="auto"/>
        <w:jc w:val="both"/>
        <w:rPr>
          <w:rFonts w:ascii="Arial" w:hAnsi="Arial" w:cs="Arial"/>
        </w:rPr>
      </w:pPr>
      <w:r>
        <w:rPr>
          <w:rFonts w:ascii="Arial" w:hAnsi="Arial" w:cs="Arial"/>
        </w:rPr>
        <w:t>Retention and employee engagement levels.</w:t>
      </w:r>
    </w:p>
    <w:p w14:paraId="39FC9D3C">
      <w:pPr>
        <w:spacing w:before="240"/>
        <w:rPr>
          <w:rFonts w:ascii="Arial" w:hAnsi="Arial" w:cs="Arial"/>
        </w:rPr>
      </w:pPr>
      <w:r>
        <w:rPr>
          <w:rStyle w:val="14"/>
          <w:rFonts w:ascii="Arial" w:hAnsi="Arial" w:cs="Arial" w:eastAsiaTheme="majorEastAsia"/>
        </w:rPr>
        <w:t>Targets:</w:t>
      </w:r>
      <w:r>
        <w:rPr>
          <w:rFonts w:ascii="Arial" w:hAnsi="Arial" w:cs="Arial"/>
        </w:rPr>
        <w:t>GSK is trying to maximise its human resource through research talent and collaborative innovation investment. Constant learning and sharing knowledge will help the organisation to respond to change in the technologies and market (Deng et al., 2025).</w:t>
      </w:r>
    </w:p>
    <w:p w14:paraId="4E6FD92A">
      <w:pPr>
        <w:spacing w:before="240"/>
        <w:rPr>
          <w:rFonts w:ascii="Arial" w:hAnsi="Arial" w:cs="Arial"/>
        </w:rPr>
      </w:pPr>
      <w:r>
        <w:rPr>
          <w:rStyle w:val="14"/>
          <w:rFonts w:ascii="Arial" w:hAnsi="Arial" w:cs="Arial" w:eastAsiaTheme="majorEastAsia"/>
        </w:rPr>
        <w:t>Initiatives:</w:t>
      </w:r>
      <w:r>
        <w:rPr>
          <w:rFonts w:ascii="Arial" w:hAnsi="Arial" w:cs="Arial"/>
        </w:rPr>
        <w:t xml:space="preserve"> Some of the major efforts involve collaboration with research centres, employee education, and investment in digital technologies to aid innovation (Chehimi and Naro, 2024).</w:t>
      </w:r>
    </w:p>
    <w:p w14:paraId="46FF800F">
      <w:pPr>
        <w:ind w:left="426"/>
        <w:rPr>
          <w:rFonts w:ascii="Arial" w:hAnsi="Arial" w:cs="Arial"/>
          <w:sz w:val="22"/>
        </w:rPr>
      </w:pPr>
    </w:p>
    <w:p w14:paraId="06434737">
      <w:pPr>
        <w:spacing w:before="240" w:after="240"/>
        <w:rPr>
          <w:rFonts w:ascii="Arial" w:hAnsi="Arial" w:cs="Arial" w:eastAsiaTheme="majorEastAsia"/>
          <w:b/>
          <w:bCs/>
          <w:sz w:val="32"/>
          <w:szCs w:val="32"/>
          <w:lang w:eastAsia="en-US"/>
        </w:rPr>
      </w:pPr>
      <w:r>
        <w:rPr>
          <w:rFonts w:ascii="Arial" w:hAnsi="Arial" w:cs="Arial"/>
        </w:rPr>
        <w:br w:type="page"/>
      </w:r>
    </w:p>
    <w:p w14:paraId="02FB8BA3">
      <w:pPr>
        <w:pStyle w:val="2"/>
        <w:rPr>
          <w:rFonts w:ascii="Arial" w:hAnsi="Arial" w:cs="Arial"/>
          <w:color w:val="auto"/>
          <w:sz w:val="24"/>
        </w:rPr>
      </w:pPr>
      <w:bookmarkStart w:id="18" w:name="_Toc223942514"/>
      <w:r>
        <w:rPr>
          <w:rFonts w:ascii="Arial" w:hAnsi="Arial" w:cs="Arial"/>
          <w:color w:val="auto"/>
        </w:rPr>
        <w:t>5. Strategic Choices and Implementation</w:t>
      </w:r>
      <w:bookmarkEnd w:id="18"/>
    </w:p>
    <w:p w14:paraId="3C92D1AF">
      <w:pPr>
        <w:pStyle w:val="3"/>
        <w:rPr>
          <w:rFonts w:ascii="Arial" w:hAnsi="Arial" w:cs="Arial"/>
          <w:color w:val="auto"/>
          <w:sz w:val="27"/>
        </w:rPr>
      </w:pPr>
      <w:bookmarkStart w:id="19" w:name="_Toc223942515"/>
      <w:r>
        <w:rPr>
          <w:rStyle w:val="14"/>
          <w:rFonts w:ascii="Arial" w:hAnsi="Arial" w:cs="Arial"/>
          <w:b/>
          <w:bCs w:val="0"/>
          <w:color w:val="auto"/>
        </w:rPr>
        <w:t>5.1 Business-Level Strategic Choices</w:t>
      </w:r>
      <w:bookmarkEnd w:id="19"/>
    </w:p>
    <w:p w14:paraId="2C87DD92">
      <w:pPr>
        <w:pStyle w:val="13"/>
        <w:spacing w:line="360" w:lineRule="auto"/>
        <w:jc w:val="both"/>
        <w:rPr>
          <w:rFonts w:ascii="Arial" w:hAnsi="Arial" w:cs="Arial"/>
        </w:rPr>
      </w:pPr>
      <w:r>
        <w:rPr>
          <w:rFonts w:ascii="Arial" w:hAnsi="Arial" w:cs="Arial"/>
        </w:rPr>
        <w:t xml:space="preserve">At the business level, the competitive advantage is usually achieved using cost leadership, differentiation or the focus strategy which are usually adopted by the organisations. </w:t>
      </w:r>
    </w:p>
    <w:p w14:paraId="0F41970A">
      <w:pPr>
        <w:pStyle w:val="13"/>
        <w:spacing w:line="360" w:lineRule="auto"/>
        <w:jc w:val="both"/>
        <w:rPr>
          <w:rFonts w:ascii="Arial" w:hAnsi="Arial" w:cs="Arial"/>
        </w:rPr>
      </w:pPr>
      <w:r>
        <w:rPr>
          <w:rStyle w:val="14"/>
          <w:rFonts w:ascii="Arial" w:hAnsi="Arial" w:cs="Arial" w:eastAsiaTheme="majorEastAsia"/>
        </w:rPr>
        <w:t xml:space="preserve">Product differentiation: </w:t>
      </w:r>
      <w:r>
        <w:rPr>
          <w:rFonts w:ascii="Arial" w:hAnsi="Arial" w:cs="Arial"/>
        </w:rPr>
        <w:t xml:space="preserve">Differentiation is typically most applicable in the pharmaceutical sector since innovation, intellectual property and scientific research are central to value creation. GSK relies mainly on product differentiation, which is centred on new therapies, vaccines, and specialty medicines that serve complex health conditions (Nandy, 2023). </w:t>
      </w:r>
    </w:p>
    <w:p w14:paraId="1C7D56FB">
      <w:pPr>
        <w:pStyle w:val="13"/>
        <w:spacing w:line="360" w:lineRule="auto"/>
        <w:jc w:val="both"/>
        <w:rPr>
          <w:rFonts w:ascii="Arial" w:hAnsi="Arial" w:cs="Arial"/>
        </w:rPr>
      </w:pPr>
      <w:r>
        <w:rPr>
          <w:rStyle w:val="14"/>
          <w:rFonts w:ascii="Arial" w:hAnsi="Arial" w:cs="Arial" w:eastAsiaTheme="majorEastAsia"/>
        </w:rPr>
        <w:t>Cost efficiency</w:t>
      </w:r>
      <w:r>
        <w:rPr>
          <w:rFonts w:ascii="Arial" w:hAnsi="Arial" w:cs="Arial"/>
        </w:rPr>
        <w:t xml:space="preserve">: Differentiation will help GSK have a premium price on the innovative medicines and vaccines and still have a good brand reputation and customer trust. This is especially in its respiratory medicines and their HIV medicines, which make a major part of its pharmaceutical offerings. </w:t>
      </w:r>
    </w:p>
    <w:p w14:paraId="4EA87F21">
      <w:pPr>
        <w:pStyle w:val="13"/>
        <w:spacing w:line="360" w:lineRule="auto"/>
        <w:jc w:val="both"/>
        <w:rPr>
          <w:rFonts w:ascii="Arial" w:hAnsi="Arial" w:cs="Arial"/>
        </w:rPr>
      </w:pPr>
      <w:r>
        <w:rPr>
          <w:rStyle w:val="14"/>
          <w:rFonts w:ascii="Arial" w:hAnsi="Arial" w:cs="Arial" w:eastAsiaTheme="majorEastAsia"/>
        </w:rPr>
        <w:t>Differentiation through innovation</w:t>
      </w:r>
      <w:r>
        <w:rPr>
          <w:rFonts w:ascii="Arial" w:hAnsi="Arial" w:cs="Arial"/>
        </w:rPr>
        <w:t>: Innovation-based differentiation is the best business-level strategy of GSK. The pharmaceutical industry is highly dependent on technology and scientific research, so companies that do not stop innovating have higher chances of maintaining competitive edge. A robust R&amp;D pipeline and specialisation in the fields of therapeutics will help GSK to improve its market standing and profitability in the long run (Bashirynejad et al., 2024).</w:t>
      </w:r>
    </w:p>
    <w:p w14:paraId="6C64A55F">
      <w:pPr>
        <w:pStyle w:val="3"/>
        <w:rPr>
          <w:rFonts w:ascii="Arial" w:hAnsi="Arial" w:cs="Arial"/>
          <w:color w:val="auto"/>
        </w:rPr>
      </w:pPr>
      <w:bookmarkStart w:id="20" w:name="_Toc223942516"/>
      <w:r>
        <w:rPr>
          <w:rStyle w:val="14"/>
          <w:rFonts w:ascii="Arial" w:hAnsi="Arial" w:cs="Arial"/>
          <w:b/>
          <w:bCs w:val="0"/>
          <w:color w:val="auto"/>
        </w:rPr>
        <w:t>5.2 Corporate-Level Strategic Choices</w:t>
      </w:r>
      <w:bookmarkEnd w:id="20"/>
    </w:p>
    <w:p w14:paraId="74CC559A">
      <w:pPr>
        <w:pStyle w:val="13"/>
        <w:spacing w:line="360" w:lineRule="auto"/>
        <w:jc w:val="both"/>
        <w:rPr>
          <w:rFonts w:ascii="Arial" w:hAnsi="Arial" w:cs="Arial"/>
        </w:rPr>
      </w:pPr>
      <w:r>
        <w:rPr>
          <w:rFonts w:ascii="Arial" w:hAnsi="Arial" w:cs="Arial"/>
        </w:rPr>
        <w:t>These are the strategic decisions that are made at the corporate level concerning diversification, mergers and acquisitions, strategic partnerships and international expansion. GSK has historically pursued mergers and acquisitions as a strategy to diversify its product range and internationalisation. The 2000 merger of Glaxo Wellcome with SmithKline Beecham formed one of the biggest pharmaceutical companies in the world and this allowed economies of scale and increased capabilities in R&amp;D.</w:t>
      </w:r>
    </w:p>
    <w:p w14:paraId="2A47BFD7">
      <w:pPr>
        <w:pStyle w:val="13"/>
        <w:spacing w:line="360" w:lineRule="auto"/>
        <w:jc w:val="both"/>
        <w:rPr>
          <w:rFonts w:ascii="Arial" w:hAnsi="Arial" w:cs="Arial"/>
        </w:rPr>
      </w:pPr>
      <w:r>
        <w:rPr>
          <w:rStyle w:val="14"/>
          <w:rFonts w:ascii="Arial" w:hAnsi="Arial" w:cs="Arial" w:eastAsiaTheme="majorEastAsia"/>
        </w:rPr>
        <w:t>Strategic specialization and portfolio restructuring</w:t>
      </w:r>
      <w:r>
        <w:rPr>
          <w:rFonts w:ascii="Arial" w:hAnsi="Arial" w:cs="Arial"/>
        </w:rPr>
        <w:t>: GSK has more recently concentrated on strategic specialisation and portfolio restructuring. By 2021, the company split its consumer healthcare business into a new company, Haleon, and enabled GSK to focus on pharmaceuticals and vaccines. Such a strategic action reflects the movement toward the emphasis on high-value bio-pharmaceutical innovation and enhanced operational efficiency.</w:t>
      </w:r>
    </w:p>
    <w:p w14:paraId="4A662381">
      <w:pPr>
        <w:pStyle w:val="13"/>
        <w:spacing w:line="360" w:lineRule="auto"/>
        <w:jc w:val="both"/>
        <w:rPr>
          <w:rFonts w:ascii="Arial" w:hAnsi="Arial" w:cs="Arial"/>
        </w:rPr>
      </w:pPr>
      <w:r>
        <w:rPr>
          <w:rStyle w:val="14"/>
          <w:rFonts w:ascii="Arial" w:hAnsi="Arial" w:cs="Arial" w:eastAsiaTheme="majorEastAsia"/>
        </w:rPr>
        <w:t>International expansion</w:t>
      </w:r>
      <w:r>
        <w:rPr>
          <w:rFonts w:ascii="Arial" w:hAnsi="Arial" w:cs="Arial"/>
        </w:rPr>
        <w:t>: The other significant corporate strategy is the expansion internationally especially in emerging economies where healthcare demand is increasing at an alarming pace. GSK can tap into new patient groups and diversify its revenue stream through expansion in new regions, including Asia-Pacific and Latin America. Innovation capabilities and R&amp;D risk reduction can also be achieved through strategic partnerships with biotechnology firms and research centres (Nakashima et al., 2023).</w:t>
      </w:r>
    </w:p>
    <w:p w14:paraId="415FD58E">
      <w:pPr>
        <w:pStyle w:val="3"/>
        <w:rPr>
          <w:rFonts w:ascii="Arial" w:hAnsi="Arial" w:cs="Arial"/>
          <w:color w:val="auto"/>
        </w:rPr>
      </w:pPr>
      <w:bookmarkStart w:id="21" w:name="_Toc223942517"/>
      <w:r>
        <w:rPr>
          <w:rStyle w:val="14"/>
          <w:rFonts w:ascii="Arial" w:hAnsi="Arial" w:cs="Arial"/>
          <w:b/>
          <w:bCs w:val="0"/>
          <w:color w:val="auto"/>
        </w:rPr>
        <w:t>5.3 Change Management and Strategic Implementation</w:t>
      </w:r>
      <w:bookmarkEnd w:id="21"/>
    </w:p>
    <w:p w14:paraId="0C51F23E">
      <w:pPr>
        <w:pStyle w:val="13"/>
        <w:spacing w:line="360" w:lineRule="auto"/>
        <w:jc w:val="both"/>
        <w:rPr>
          <w:rFonts w:ascii="Arial" w:hAnsi="Arial" w:cs="Arial"/>
        </w:rPr>
      </w:pPr>
      <w:r>
        <w:rPr>
          <w:rFonts w:ascii="Arial" w:hAnsi="Arial" w:cs="Arial"/>
        </w:rPr>
        <w:t xml:space="preserve">Effective change management is needed to deliver successful strategic implementation. In recent years, GSK has made a series of significant organisational transformations to enhance performance and align its operations to its strategic priorities. The company also embarked on portfolio simplification under the new CEO Emma Walmsley, which cut non-core product and shifted resources towards high-potential research. </w:t>
      </w:r>
    </w:p>
    <w:p w14:paraId="20F2E660">
      <w:pPr>
        <w:pStyle w:val="13"/>
        <w:spacing w:line="360" w:lineRule="auto"/>
        <w:jc w:val="both"/>
        <w:rPr>
          <w:rFonts w:ascii="Arial" w:hAnsi="Arial" w:cs="Arial"/>
        </w:rPr>
      </w:pPr>
      <w:r>
        <w:rPr>
          <w:rFonts w:ascii="Arial" w:hAnsi="Arial" w:cs="Arial"/>
        </w:rPr>
        <w:t>The spin-off of the consumer healthcare business was also a major structural change to refocus GSK strategy on pharmaceuticals and vaccines. This restructuring has enabled the firm to streamline its operations and to refocus its resources in innovative therapies and vaccines with greater growth potential.</w:t>
      </w:r>
    </w:p>
    <w:p w14:paraId="2B09AF0F">
      <w:pPr>
        <w:pStyle w:val="13"/>
        <w:spacing w:line="360" w:lineRule="auto"/>
        <w:jc w:val="both"/>
        <w:rPr>
          <w:rFonts w:ascii="Arial" w:hAnsi="Arial" w:cs="Arial"/>
        </w:rPr>
      </w:pPr>
      <w:r>
        <w:rPr>
          <w:rFonts w:ascii="Arial" w:hAnsi="Arial" w:cs="Arial"/>
        </w:rPr>
        <w:t>Change implementation has also not been without challenges though. Considering the recent case of the company entering the market with the COVID-19 vaccine late showed the dangers of timing and strategy in R&amp;D in a fast-moving industry (Doron et al., 2023). Nonetheless, the attempts of GSK to combine commercial and research activities, enhance supply chains, and improve innovation processes imply active strategic change.</w:t>
      </w:r>
    </w:p>
    <w:p w14:paraId="15A36CEF">
      <w:pPr>
        <w:spacing w:before="240" w:after="240"/>
        <w:rPr>
          <w:rFonts w:ascii="Arial" w:hAnsi="Arial" w:cs="Arial" w:eastAsiaTheme="majorEastAsia"/>
          <w:b/>
          <w:bCs/>
          <w:sz w:val="32"/>
          <w:szCs w:val="32"/>
          <w:lang w:eastAsia="en-US"/>
        </w:rPr>
      </w:pPr>
    </w:p>
    <w:p w14:paraId="34941843">
      <w:pPr>
        <w:pStyle w:val="2"/>
        <w:rPr>
          <w:rFonts w:ascii="Arial" w:hAnsi="Arial" w:cs="Arial"/>
          <w:color w:val="auto"/>
        </w:rPr>
      </w:pPr>
      <w:bookmarkStart w:id="22" w:name="_Toc223942518"/>
      <w:r>
        <w:rPr>
          <w:rFonts w:ascii="Arial" w:hAnsi="Arial" w:cs="Arial"/>
          <w:color w:val="auto"/>
        </w:rPr>
        <w:t>6. Strategic Evaluation and Recommendations</w:t>
      </w:r>
      <w:bookmarkEnd w:id="22"/>
    </w:p>
    <w:p w14:paraId="07CDFACA">
      <w:pPr>
        <w:pStyle w:val="3"/>
        <w:rPr>
          <w:rFonts w:ascii="Arial" w:hAnsi="Arial" w:cs="Arial"/>
          <w:color w:val="auto"/>
        </w:rPr>
      </w:pPr>
      <w:bookmarkStart w:id="23" w:name="_Toc223942519"/>
      <w:r>
        <w:rPr>
          <w:rFonts w:ascii="Arial" w:hAnsi="Arial" w:cs="Arial"/>
          <w:color w:val="auto"/>
        </w:rPr>
        <w:t>6.1 Strategic Evaluation Using the BCG Matrix</w:t>
      </w:r>
      <w:bookmarkEnd w:id="23"/>
    </w:p>
    <w:p w14:paraId="1BD78D82">
      <w:pPr>
        <w:rPr>
          <w:rFonts w:ascii="Arial" w:hAnsi="Arial" w:cs="Arial"/>
        </w:rPr>
      </w:pPr>
      <w:r>
        <w:rPr>
          <w:rFonts w:ascii="Arial" w:hAnsi="Arial" w:cs="Arial"/>
        </w:rPr>
        <w:t>The Boston Consulting Group has devised the BCG Matrix which categorises business units into four classes which include the Stars, Cash Cows, Questions Marks, and Dogs. This framework assists organisations to allocate resources effectively as it determines areas of high growth and poor performing products.</w:t>
      </w:r>
    </w:p>
    <w:p w14:paraId="6C359FBF">
      <w:pPr>
        <w:pStyle w:val="13"/>
        <w:spacing w:before="0" w:beforeAutospacing="0" w:after="0" w:afterAutospacing="0"/>
        <w:jc w:val="center"/>
        <w:rPr>
          <w:rFonts w:ascii="Arial" w:hAnsi="Arial" w:cs="Arial"/>
          <w:b/>
          <w:bCs/>
        </w:rPr>
      </w:pPr>
      <w:r>
        <w:rPr>
          <w:rFonts w:ascii="Arial" w:hAnsi="Arial" w:cs="Arial"/>
          <w:b/>
          <w:bCs/>
          <w:lang w:val="en-US" w:eastAsia="en-US"/>
        </w:rPr>
        <w:drawing>
          <wp:inline distT="0" distB="0" distL="0" distR="0">
            <wp:extent cx="4238625" cy="4566285"/>
            <wp:effectExtent l="0" t="0" r="0" b="5715"/>
            <wp:docPr id="10" name="Picture 10" descr="How to use the BCG Matrix | Smart Insights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How to use the BCG Matrix | Smart Insights Digital Marketi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a:xfrm>
                      <a:off x="0" y="0"/>
                      <a:ext cx="4246188" cy="4574556"/>
                    </a:xfrm>
                    <a:prstGeom prst="rect">
                      <a:avLst/>
                    </a:prstGeom>
                    <a:noFill/>
                    <a:ln>
                      <a:noFill/>
                    </a:ln>
                  </pic:spPr>
                </pic:pic>
              </a:graphicData>
            </a:graphic>
          </wp:inline>
        </w:drawing>
      </w:r>
    </w:p>
    <w:p w14:paraId="33DD2B6E">
      <w:pPr>
        <w:pStyle w:val="13"/>
        <w:spacing w:before="0" w:beforeAutospacing="0" w:after="0" w:afterAutospacing="0"/>
        <w:jc w:val="center"/>
        <w:rPr>
          <w:rFonts w:ascii="Arial" w:hAnsi="Arial" w:cs="Arial"/>
          <w:b/>
          <w:bCs/>
        </w:rPr>
      </w:pPr>
      <w:r>
        <w:rPr>
          <w:rFonts w:ascii="Arial" w:hAnsi="Arial" w:cs="Arial"/>
          <w:b/>
          <w:bCs/>
        </w:rPr>
        <w:t>Figure 09: BCG Matrix</w:t>
      </w:r>
    </w:p>
    <w:p w14:paraId="1B95D130">
      <w:pPr>
        <w:pStyle w:val="13"/>
        <w:spacing w:before="0" w:beforeAutospacing="0" w:after="0" w:afterAutospacing="0"/>
        <w:jc w:val="center"/>
        <w:rPr>
          <w:rFonts w:ascii="Arial" w:hAnsi="Arial" w:cs="Arial"/>
          <w:b/>
          <w:bCs/>
        </w:rPr>
      </w:pPr>
      <w:r>
        <w:rPr>
          <w:rFonts w:ascii="Arial" w:hAnsi="Arial" w:cs="Arial"/>
          <w:b/>
          <w:bCs/>
        </w:rPr>
        <w:t>Source: (</w:t>
      </w:r>
      <w:r>
        <w:rPr>
          <w:rFonts w:ascii="Arial" w:hAnsi="Arial" w:cs="Arial"/>
          <w:b/>
          <w:bCs/>
          <w:shd w:val="clear" w:color="auto" w:fill="FFFFFF"/>
        </w:rPr>
        <w:t>Gorb et al., 2022)</w:t>
      </w:r>
    </w:p>
    <w:p w14:paraId="3A615267">
      <w:pPr>
        <w:spacing w:before="240"/>
        <w:rPr>
          <w:rFonts w:ascii="Arial" w:hAnsi="Arial" w:cs="Arial"/>
        </w:rPr>
      </w:pPr>
      <w:r>
        <w:rPr>
          <w:rStyle w:val="14"/>
          <w:rFonts w:ascii="Arial" w:hAnsi="Arial" w:cs="Arial" w:eastAsiaTheme="majorEastAsia"/>
        </w:rPr>
        <w:t>Stars:</w:t>
      </w:r>
      <w:r>
        <w:rPr>
          <w:rFonts w:ascii="Arial" w:hAnsi="Arial" w:cs="Arial"/>
        </w:rPr>
        <w:t xml:space="preserve"> Stars are those products having a large market share in the fast-developing markets. In the case of GSK, products that achieve high revenue like Shingrix, one of the most popular shingles vaccines, can be treated as star products since it operates in a developing global vaccine environment. These products need to be reinvested in the R&amp;D, production, and marketing to stay on top and contribute to the future development (Gorb et al., 2022).</w:t>
      </w:r>
    </w:p>
    <w:p w14:paraId="6917C3CE">
      <w:pPr>
        <w:spacing w:before="240"/>
        <w:rPr>
          <w:rFonts w:ascii="Arial" w:hAnsi="Arial" w:cs="Arial"/>
        </w:rPr>
      </w:pPr>
      <w:r>
        <w:rPr>
          <w:rStyle w:val="14"/>
          <w:rFonts w:ascii="Arial" w:hAnsi="Arial" w:cs="Arial" w:eastAsiaTheme="majorEastAsia"/>
        </w:rPr>
        <w:t>Cash Cows:</w:t>
      </w:r>
      <w:r>
        <w:rPr>
          <w:rFonts w:ascii="Arial" w:hAnsi="Arial" w:cs="Arial"/>
        </w:rPr>
        <w:t xml:space="preserve"> Cash cows are products that have penetrated the market with high market share in fairly mature markets. GSK has a number of respiratory medicines that are classified in this category such as those that are used in treating asthma as well as chronic respiratory illnesses. These products create consistent cash flow that can be refocused on new research and innovation undertakings (Nandy, 2023).</w:t>
      </w:r>
    </w:p>
    <w:p w14:paraId="6E0502B1">
      <w:pPr>
        <w:spacing w:before="240"/>
        <w:rPr>
          <w:rFonts w:ascii="Arial" w:hAnsi="Arial" w:cs="Arial"/>
        </w:rPr>
      </w:pPr>
      <w:r>
        <w:rPr>
          <w:rStyle w:val="14"/>
          <w:rFonts w:ascii="Arial" w:hAnsi="Arial" w:cs="Arial" w:eastAsiaTheme="majorEastAsia"/>
        </w:rPr>
        <w:t>Question Marks:</w:t>
      </w:r>
      <w:r>
        <w:rPr>
          <w:rFonts w:ascii="Arial" w:hAnsi="Arial" w:cs="Arial"/>
        </w:rPr>
        <w:t xml:space="preserve"> Question marks are the products that are characterised by low market share and high growth potential. Newly developed biotechnology treatment and early-stage vaccines can be categorised as a part of this category in the portfolio of GSK (Afshar and Shah, 2025). Such products need to be strategically invested in order to know whether they can attain great market share or not or should be dropped.</w:t>
      </w:r>
    </w:p>
    <w:p w14:paraId="2C8BF3C8">
      <w:pPr>
        <w:spacing w:before="240"/>
        <w:rPr>
          <w:rFonts w:ascii="Arial" w:hAnsi="Arial" w:cs="Arial"/>
        </w:rPr>
      </w:pPr>
      <w:r>
        <w:rPr>
          <w:rStyle w:val="14"/>
          <w:rFonts w:ascii="Arial" w:hAnsi="Arial" w:cs="Arial" w:eastAsiaTheme="majorEastAsia"/>
        </w:rPr>
        <w:t>Dogs:</w:t>
      </w:r>
      <w:r>
        <w:rPr>
          <w:rFonts w:ascii="Arial" w:hAnsi="Arial" w:cs="Arial"/>
        </w:rPr>
        <w:t xml:space="preserve"> Dogs are products that have low market share in low-growth markets. GSK has overcome this challenge by simplifying its portfolio by selling unproductive brands, non-core drug programmes. Such a tactic enables the company to adopt other areas with greater growth potential (Bashirynejad et al., 2024).</w:t>
      </w:r>
    </w:p>
    <w:p w14:paraId="094733F1">
      <w:pPr>
        <w:pStyle w:val="3"/>
        <w:rPr>
          <w:rFonts w:ascii="Arial" w:hAnsi="Arial" w:cs="Arial"/>
          <w:color w:val="auto"/>
        </w:rPr>
      </w:pPr>
      <w:bookmarkStart w:id="24" w:name="_Toc223942520"/>
      <w:r>
        <w:rPr>
          <w:rStyle w:val="14"/>
          <w:rFonts w:ascii="Arial" w:hAnsi="Arial" w:cs="Arial"/>
          <w:b/>
          <w:bCs w:val="0"/>
          <w:color w:val="auto"/>
        </w:rPr>
        <w:t>6.2 Strategic Recommendations</w:t>
      </w:r>
      <w:bookmarkEnd w:id="24"/>
    </w:p>
    <w:p w14:paraId="785E846B">
      <w:pPr>
        <w:pStyle w:val="13"/>
        <w:spacing w:before="240" w:beforeAutospacing="0" w:after="240" w:afterAutospacing="0" w:line="360" w:lineRule="auto"/>
        <w:jc w:val="both"/>
        <w:rPr>
          <w:rStyle w:val="14"/>
          <w:rFonts w:ascii="Arial" w:hAnsi="Arial" w:cs="Arial" w:eastAsiaTheme="majorEastAsia"/>
        </w:rPr>
      </w:pPr>
      <w:r>
        <w:rPr>
          <w:rStyle w:val="14"/>
          <w:rFonts w:ascii="Arial" w:hAnsi="Arial" w:cs="Arial" w:eastAsiaTheme="majorEastAsia"/>
        </w:rPr>
        <w:t xml:space="preserve">1. Make More investments into New R&amp;D and New Technology: </w:t>
      </w:r>
      <w:r>
        <w:rPr>
          <w:rStyle w:val="14"/>
          <w:rFonts w:ascii="Arial" w:hAnsi="Arial" w:cs="Arial" w:eastAsiaTheme="majorEastAsia"/>
          <w:b w:val="0"/>
          <w:bCs w:val="0"/>
        </w:rPr>
        <w:t>The most significant competitive aspect in the pharmaceutical industry is still innovation. GSK needs to increase its adoption of new technology like artificial intelligence and new biotechnology to enhance drug discovery and time to develop. Digital technologies are able to improve the efficiency of clinical trials and improve the success rate of new drug development (Doron et al., 2023).</w:t>
      </w:r>
    </w:p>
    <w:p w14:paraId="2738E062">
      <w:pPr>
        <w:pStyle w:val="13"/>
        <w:spacing w:before="240" w:beforeAutospacing="0" w:after="240" w:afterAutospacing="0" w:line="360" w:lineRule="auto"/>
        <w:jc w:val="both"/>
        <w:rPr>
          <w:rFonts w:ascii="Arial" w:hAnsi="Arial" w:cs="Arial" w:eastAsiaTheme="majorEastAsia"/>
          <w:b/>
          <w:bCs/>
        </w:rPr>
      </w:pPr>
      <w:r>
        <w:rPr>
          <w:rStyle w:val="14"/>
          <w:rFonts w:ascii="Arial" w:hAnsi="Arial" w:cs="Arial" w:eastAsiaTheme="majorEastAsia"/>
        </w:rPr>
        <w:t xml:space="preserve">2. Enhance Strategic Partnerships and Collaborations: </w:t>
      </w:r>
      <w:r>
        <w:rPr>
          <w:rStyle w:val="14"/>
          <w:rFonts w:ascii="Arial" w:hAnsi="Arial" w:cs="Arial" w:eastAsiaTheme="majorEastAsia"/>
          <w:b w:val="0"/>
          <w:bCs w:val="0"/>
        </w:rPr>
        <w:t>Partnerships with biotechnology companies, research centres and technological firms can maximise the level of innovation as well as minimising risk in R&amp;D. Strategic alliances enable pharmaceutical firms to exchange their expertise and speed up the introduction of breakthrough treatments (Nakashima et al., 2023).</w:t>
      </w:r>
    </w:p>
    <w:p w14:paraId="58477511">
      <w:pPr>
        <w:pStyle w:val="13"/>
        <w:spacing w:before="240" w:beforeAutospacing="0" w:after="240" w:afterAutospacing="0" w:line="360" w:lineRule="auto"/>
        <w:jc w:val="both"/>
        <w:rPr>
          <w:rFonts w:ascii="Arial" w:hAnsi="Arial" w:cs="Arial" w:eastAsiaTheme="majorEastAsia"/>
          <w:b/>
          <w:bCs/>
        </w:rPr>
      </w:pPr>
      <w:r>
        <w:rPr>
          <w:rStyle w:val="14"/>
          <w:rFonts w:ascii="Arial" w:hAnsi="Arial" w:cs="Arial" w:eastAsiaTheme="majorEastAsia"/>
        </w:rPr>
        <w:t xml:space="preserve">3. Improve Integration of Sustainability and CSR: </w:t>
      </w:r>
      <w:r>
        <w:rPr>
          <w:rStyle w:val="14"/>
          <w:rFonts w:ascii="Arial" w:hAnsi="Arial" w:cs="Arial" w:eastAsiaTheme="majorEastAsia"/>
          <w:b w:val="0"/>
          <w:bCs w:val="0"/>
        </w:rPr>
        <w:t>Incorporating sustainability in business strategy may enhance brand image and confidence of stakeholders. Pharmaceutical companies have an increasing demand to guarantee fair access of medicines and minimise environmental effects (Chehimi and Naro, 2024).</w:t>
      </w:r>
    </w:p>
    <w:p w14:paraId="2D111368">
      <w:pPr>
        <w:pStyle w:val="3"/>
        <w:rPr>
          <w:rFonts w:ascii="Arial" w:hAnsi="Arial" w:cs="Arial"/>
          <w:color w:val="auto"/>
        </w:rPr>
      </w:pPr>
      <w:bookmarkStart w:id="25" w:name="_Toc223942521"/>
      <w:r>
        <w:rPr>
          <w:rStyle w:val="14"/>
          <w:rFonts w:ascii="Arial" w:hAnsi="Arial" w:cs="Arial"/>
          <w:b/>
          <w:bCs w:val="0"/>
          <w:color w:val="auto"/>
        </w:rPr>
        <w:t>6.3 Justification of Recommendations</w:t>
      </w:r>
      <w:bookmarkEnd w:id="25"/>
    </w:p>
    <w:p w14:paraId="7A250DCA">
      <w:pPr>
        <w:spacing w:before="240"/>
        <w:rPr>
          <w:rFonts w:ascii="Arial" w:hAnsi="Arial" w:cs="Arial"/>
        </w:rPr>
      </w:pPr>
      <w:r>
        <w:rPr>
          <w:rFonts w:ascii="Arial" w:hAnsi="Arial" w:cs="Arial"/>
        </w:rPr>
        <w:t xml:space="preserve">The strategic management theory and industry practises support these recommendations. </w:t>
      </w:r>
    </w:p>
    <w:p w14:paraId="583BF65B">
      <w:pPr>
        <w:spacing w:before="240"/>
        <w:rPr>
          <w:rFonts w:ascii="Arial" w:hAnsi="Arial" w:cs="Arial"/>
        </w:rPr>
      </w:pPr>
      <w:r>
        <w:rPr>
          <w:rFonts w:ascii="Arial" w:hAnsi="Arial" w:cs="Arial"/>
        </w:rPr>
        <w:t>Resource-based theory suggests that firms can attain sustainable competitive advantage by generating rare capabilities and resources that other firms find it hard to replicate. In the case of GSK, the innovation abilities, powerful R&amp;D base, and intellectual property are such strategic resources.</w:t>
      </w:r>
    </w:p>
    <w:p w14:paraId="6BA945E7">
      <w:pPr>
        <w:spacing w:before="240"/>
        <w:rPr>
          <w:rFonts w:ascii="Arial" w:hAnsi="Arial" w:cs="Arial"/>
        </w:rPr>
      </w:pPr>
      <w:r>
        <w:rPr>
          <w:rFonts w:ascii="Arial" w:hAnsi="Arial" w:cs="Arial"/>
        </w:rPr>
        <w:t>Moreover, portfolio management models like the BCG Matrix emphasise the need to redistribute resources to high-growth products and to sell non-performing assets. This theoretical approach is reflected in the strategy of GSK (specialty medicines and vaccines).</w:t>
      </w:r>
    </w:p>
    <w:p w14:paraId="2E104047">
      <w:pPr>
        <w:spacing w:before="240"/>
        <w:rPr>
          <w:rFonts w:ascii="Arial" w:hAnsi="Arial" w:cs="Arial"/>
        </w:rPr>
      </w:pPr>
      <w:r>
        <w:rPr>
          <w:rFonts w:ascii="Arial" w:hAnsi="Arial" w:cs="Arial"/>
        </w:rPr>
        <w:t>These recommendations are also backed by real life examples. Modern and Pfizer companies have shown that fast innovation and strategic partnership can be crucial in the creation of the breakthrough treatment and vaccines. By following the same strategies and sustaining its innovation ecosystem, GSK will be able to improve its competitive edge in the world pharmaceutical market.</w:t>
      </w:r>
    </w:p>
    <w:p w14:paraId="4023628A">
      <w:pPr>
        <w:spacing w:before="240"/>
        <w:rPr>
          <w:rFonts w:ascii="Arial" w:hAnsi="Arial" w:cs="Arial"/>
        </w:rPr>
      </w:pPr>
    </w:p>
    <w:p w14:paraId="7DB4C700">
      <w:pPr>
        <w:rPr>
          <w:rFonts w:ascii="Arial" w:hAnsi="Arial" w:cs="Arial"/>
          <w:bCs/>
          <w:sz w:val="22"/>
        </w:rPr>
      </w:pPr>
    </w:p>
    <w:p w14:paraId="4F18C5F2">
      <w:pPr>
        <w:rPr>
          <w:rFonts w:ascii="Arial" w:hAnsi="Arial" w:cs="Arial"/>
          <w:bCs/>
          <w:sz w:val="22"/>
        </w:rPr>
      </w:pPr>
    </w:p>
    <w:p w14:paraId="3E51DC95">
      <w:pPr>
        <w:spacing w:before="240" w:after="240"/>
        <w:rPr>
          <w:rFonts w:ascii="Arial" w:hAnsi="Arial" w:cs="Arial" w:eastAsiaTheme="majorEastAsia"/>
          <w:b/>
          <w:bCs/>
          <w:sz w:val="32"/>
          <w:szCs w:val="32"/>
          <w:lang w:eastAsia="en-US"/>
        </w:rPr>
      </w:pPr>
      <w:r>
        <w:rPr>
          <w:rFonts w:ascii="Arial" w:hAnsi="Arial" w:cs="Arial"/>
        </w:rPr>
        <w:br w:type="page"/>
      </w:r>
    </w:p>
    <w:p w14:paraId="2E48D84F">
      <w:pPr>
        <w:pStyle w:val="2"/>
        <w:rPr>
          <w:rFonts w:ascii="Arial" w:hAnsi="Arial" w:cs="Arial"/>
          <w:color w:val="auto"/>
        </w:rPr>
      </w:pPr>
      <w:bookmarkStart w:id="26" w:name="_Toc223942522"/>
      <w:r>
        <w:rPr>
          <w:rFonts w:ascii="Arial" w:hAnsi="Arial" w:cs="Arial"/>
          <w:color w:val="auto"/>
        </w:rPr>
        <w:t>Section 2</w:t>
      </w:r>
      <w:bookmarkEnd w:id="26"/>
    </w:p>
    <w:p w14:paraId="44E83406">
      <w:pPr>
        <w:pStyle w:val="3"/>
        <w:rPr>
          <w:rFonts w:ascii="Arial" w:hAnsi="Arial" w:cs="Arial"/>
          <w:color w:val="auto"/>
        </w:rPr>
      </w:pPr>
      <w:bookmarkStart w:id="27" w:name="_Toc223942523"/>
      <w:r>
        <w:rPr>
          <w:rFonts w:ascii="Arial" w:hAnsi="Arial" w:cs="Arial"/>
          <w:color w:val="auto"/>
        </w:rPr>
        <w:t>Introduction</w:t>
      </w:r>
      <w:bookmarkEnd w:id="27"/>
    </w:p>
    <w:p w14:paraId="0D19B0D2">
      <w:pPr>
        <w:rPr>
          <w:rFonts w:ascii="Arial" w:hAnsi="Arial" w:cs="Arial"/>
        </w:rPr>
      </w:pPr>
      <w:r>
        <w:rPr>
          <w:rFonts w:ascii="Arial" w:hAnsi="Arial" w:cs="Arial"/>
        </w:rPr>
        <w:t>Reflective practise has the importance of forming academic knowledge and professional proficiency. When writing the strategic management report on GSK, I used the Experiential Learning Cycle developed by Kolb, which includes four steps: Concrete Experience, Reflective Observation, Abstract Conceptualisation, and Active Experimentation (Kolb, 1984). The reflective model assists learners in assessing their experiences, creating new knowledge, and transferring theory to practise (Meijer et al., 2022). Using this cycle, I managed to critically examine my learning process as I conducted research, analysed and prepared the strategic analysis of GSK.</w:t>
      </w:r>
    </w:p>
    <w:p w14:paraId="4661DDF4">
      <w:pPr>
        <w:pStyle w:val="3"/>
        <w:rPr>
          <w:rFonts w:ascii="Arial" w:hAnsi="Arial" w:cs="Arial"/>
          <w:color w:val="auto"/>
        </w:rPr>
      </w:pPr>
      <w:bookmarkStart w:id="28" w:name="_Toc223942524"/>
      <w:r>
        <w:rPr>
          <w:rStyle w:val="14"/>
          <w:rFonts w:ascii="Arial" w:hAnsi="Arial" w:cs="Arial"/>
          <w:b/>
          <w:bCs w:val="0"/>
          <w:color w:val="auto"/>
        </w:rPr>
        <w:t>1. Concrete Experience</w:t>
      </w:r>
      <w:bookmarkEnd w:id="28"/>
    </w:p>
    <w:p w14:paraId="555934C8">
      <w:pPr>
        <w:spacing w:before="240"/>
        <w:rPr>
          <w:rFonts w:ascii="Arial" w:hAnsi="Arial" w:cs="Arial"/>
        </w:rPr>
      </w:pPr>
      <w:r>
        <w:rPr>
          <w:rFonts w:ascii="Arial" w:hAnsi="Arial" w:cs="Arial"/>
        </w:rPr>
        <w:t>The identification and description of the experience is the first part of the Kolb cycle. My experience in this assessment was to research the strategic management activities of GSK and compose a detailed analysis of the external environment of the company, its internal resources, strategic positioning, CSR activities, and strategic advice(Hanisyah et al., 2023).</w:t>
      </w:r>
    </w:p>
    <w:p w14:paraId="406E61B4">
      <w:pPr>
        <w:spacing w:before="240"/>
        <w:rPr>
          <w:rFonts w:ascii="Arial" w:hAnsi="Arial" w:cs="Arial"/>
        </w:rPr>
      </w:pPr>
      <w:r>
        <w:rPr>
          <w:rFonts w:ascii="Arial" w:hAnsi="Arial" w:cs="Arial"/>
        </w:rPr>
        <w:t>In the first part of the assignment, I used different academic databases, including Google scholar, journal articles, industry reports, and company publications, to obtain quality information on GSK and the pharmaceutical industry in the world. I was interested in learning the organisational context of the company, its history, mission, vision, business model, and market position. I also checked the impact of external environmental factors including political regulations, economic trends, techno advancements and social factors on strategic decisions within pharmaceutical industry.</w:t>
      </w:r>
    </w:p>
    <w:p w14:paraId="3D1939B6">
      <w:pPr>
        <w:spacing w:before="240"/>
        <w:rPr>
          <w:rFonts w:ascii="Arial" w:hAnsi="Arial" w:cs="Arial"/>
        </w:rPr>
      </w:pPr>
      <w:r>
        <w:rPr>
          <w:rFonts w:ascii="Arial" w:hAnsi="Arial" w:cs="Arial"/>
        </w:rPr>
        <w:t>In preparing the report, I used various strategic management models mentioned in the course such as the PESTEL analysis, the VRIO framework, the Balanced Scorecard, the BCG Matrix, and the strategic choice models. These frameworks assisted in structuring the analysis and allowed me to relate theoretical concepts with the business practises in the real world. The stage provided me with an important learning experience since I was able to work with practical examples of strategic management in a global healthcare organisation.</w:t>
      </w:r>
    </w:p>
    <w:p w14:paraId="7EBC58F2">
      <w:pPr>
        <w:pStyle w:val="3"/>
        <w:rPr>
          <w:rFonts w:ascii="Arial" w:hAnsi="Arial" w:cs="Arial"/>
          <w:color w:val="auto"/>
        </w:rPr>
      </w:pPr>
      <w:bookmarkStart w:id="29" w:name="_Toc223942525"/>
      <w:r>
        <w:rPr>
          <w:rStyle w:val="14"/>
          <w:rFonts w:ascii="Arial" w:hAnsi="Arial" w:cs="Arial"/>
          <w:b/>
          <w:bCs w:val="0"/>
          <w:color w:val="auto"/>
        </w:rPr>
        <w:t>2. Reflective Observation</w:t>
      </w:r>
      <w:bookmarkEnd w:id="29"/>
    </w:p>
    <w:p w14:paraId="5A34D108">
      <w:pPr>
        <w:pStyle w:val="13"/>
        <w:spacing w:line="360" w:lineRule="auto"/>
        <w:jc w:val="both"/>
        <w:rPr>
          <w:rFonts w:ascii="Arial" w:hAnsi="Arial" w:cs="Arial"/>
        </w:rPr>
      </w:pPr>
      <w:r>
        <w:rPr>
          <w:rFonts w:ascii="Arial" w:hAnsi="Arial" w:cs="Arial"/>
        </w:rPr>
        <w:t>The second phase of the Kolb cycle is a reflection of the experience and analysis of what occurred in the process of learning. In this step, I took into account the strengths as well as the difficulties I had during the preparation of the report.</w:t>
      </w:r>
    </w:p>
    <w:p w14:paraId="6C20BE8B">
      <w:pPr>
        <w:pStyle w:val="13"/>
        <w:spacing w:line="360" w:lineRule="auto"/>
        <w:jc w:val="both"/>
        <w:rPr>
          <w:rFonts w:ascii="Arial" w:hAnsi="Arial" w:cs="Arial"/>
        </w:rPr>
      </w:pPr>
      <w:r>
        <w:rPr>
          <w:rFonts w:ascii="Arial" w:hAnsi="Arial" w:cs="Arial"/>
        </w:rPr>
        <w:t>The good thing that came out of the process is that I gained a better insight into the complexity of the pharmaceutical industry. In studying the strategies of GSK, I understood the extent to which the industry relies on research and development, innovation, regulatory compliance, and global alliances. The PESTEL analysis made me realise that political regulation and healthcare policies can have a big impact on pharmaceutical firms and the VRIO framework made me appreciate how internal strengths like R and D knowledge and intellectual property generate competitive advantage(Khan, 2025).</w:t>
      </w:r>
    </w:p>
    <w:p w14:paraId="48C4F757">
      <w:pPr>
        <w:pStyle w:val="13"/>
        <w:spacing w:line="360" w:lineRule="auto"/>
        <w:jc w:val="both"/>
        <w:rPr>
          <w:rFonts w:ascii="Arial" w:hAnsi="Arial" w:cs="Arial"/>
        </w:rPr>
      </w:pPr>
      <w:r>
        <w:rPr>
          <w:rFonts w:ascii="Arial" w:hAnsi="Arial" w:cs="Arial"/>
        </w:rPr>
        <w:t>Nevertheless, some difficulties were also experienced in the course of research. Among the primary difficulties was the need to find credible and current scholarly materials concerning the pharmaceutical sector and the approach of GSK. Since the industry is dynamic and constantly changing with technological innovation and changes in regulation, a need to have the majority of references up to date and relevant(Meijer et al., 2022). Synthesising a great deal of information between various sources and structuring it into a sensible and coherent report was another challenge.</w:t>
      </w:r>
    </w:p>
    <w:p w14:paraId="131192F9">
      <w:pPr>
        <w:pStyle w:val="13"/>
        <w:spacing w:line="360" w:lineRule="auto"/>
        <w:jc w:val="both"/>
        <w:rPr>
          <w:rFonts w:ascii="Arial" w:hAnsi="Arial" w:cs="Arial"/>
        </w:rPr>
      </w:pPr>
      <w:r>
        <w:rPr>
          <w:rFonts w:ascii="Arial" w:hAnsi="Arial" w:cs="Arial"/>
        </w:rPr>
        <w:t>Thinking about this step allowed me to understand the necessity of critical thinking, information filtering, and time management in doing academic research.</w:t>
      </w:r>
    </w:p>
    <w:p w14:paraId="20E570E0">
      <w:pPr>
        <w:pStyle w:val="3"/>
        <w:rPr>
          <w:rFonts w:ascii="Arial" w:hAnsi="Arial" w:cs="Arial"/>
          <w:color w:val="auto"/>
        </w:rPr>
      </w:pPr>
      <w:bookmarkStart w:id="30" w:name="_Toc223942526"/>
      <w:r>
        <w:rPr>
          <w:rStyle w:val="14"/>
          <w:rFonts w:ascii="Arial" w:hAnsi="Arial" w:cs="Arial"/>
          <w:b/>
          <w:bCs w:val="0"/>
          <w:color w:val="auto"/>
        </w:rPr>
        <w:t>3. Abstract Conceptualisation</w:t>
      </w:r>
      <w:bookmarkEnd w:id="30"/>
    </w:p>
    <w:p w14:paraId="210DA087">
      <w:pPr>
        <w:pStyle w:val="13"/>
        <w:spacing w:line="360" w:lineRule="auto"/>
        <w:jc w:val="both"/>
        <w:rPr>
          <w:rFonts w:ascii="Arial" w:hAnsi="Arial" w:cs="Arial"/>
        </w:rPr>
      </w:pPr>
      <w:r>
        <w:rPr>
          <w:rFonts w:ascii="Arial" w:hAnsi="Arial" w:cs="Arial"/>
        </w:rPr>
        <w:t>The third step in the learning cycle offered by Kolb consists of building theories and bridging the gap between experience and academic ideas. At this phase, I thought over how the theories I had learned in the strategic management module might be used to explain the strategic behaviour of GSK.</w:t>
      </w:r>
    </w:p>
    <w:p w14:paraId="22D7E70B">
      <w:pPr>
        <w:pStyle w:val="13"/>
        <w:spacing w:line="360" w:lineRule="auto"/>
        <w:jc w:val="both"/>
        <w:rPr>
          <w:rFonts w:ascii="Arial" w:hAnsi="Arial" w:cs="Arial"/>
        </w:rPr>
      </w:pPr>
      <w:r>
        <w:rPr>
          <w:rFonts w:ascii="Arial" w:hAnsi="Arial" w:cs="Arial"/>
        </w:rPr>
        <w:t>Indicatively, the Resource- Based View (RBV) was used to explain why the global distribution network, research and development capabilities and intellectual property portfolio of GSK offers sustainable competitive advantage(Hanisyah et al., 2023). The VRIO framework has shown that long-term competitive advantage can be achieved through the resources that are valuable, difficult to imitate, rare, and backed by organisational capabilities.</w:t>
      </w:r>
    </w:p>
    <w:p w14:paraId="39F7614E">
      <w:pPr>
        <w:pStyle w:val="13"/>
        <w:spacing w:line="360" w:lineRule="auto"/>
        <w:jc w:val="both"/>
        <w:rPr>
          <w:rFonts w:ascii="Arial" w:hAnsi="Arial" w:cs="Arial"/>
        </w:rPr>
      </w:pPr>
      <w:r>
        <w:rPr>
          <w:rFonts w:ascii="Arial" w:hAnsi="Arial" w:cs="Arial"/>
        </w:rPr>
        <w:t>On the same note, Balanced Scorecard model by Kaplan and Norton (1992) gave a balanced picture of organisational performance due to the incorporation of both financial and non-financial performance measures. This framework allowed me to realise how organisations such as GSK connect their strategic goals to operational performance using financial performance, customer satisfaction, internal operations, and learning and growth(Meijer et al., 2022).</w:t>
      </w:r>
    </w:p>
    <w:p w14:paraId="2C873B74">
      <w:pPr>
        <w:pStyle w:val="13"/>
        <w:spacing w:line="360" w:lineRule="auto"/>
        <w:jc w:val="both"/>
        <w:rPr>
          <w:rFonts w:ascii="Arial" w:hAnsi="Arial" w:cs="Arial"/>
        </w:rPr>
      </w:pPr>
      <w:r>
        <w:rPr>
          <w:rFonts w:ascii="Arial" w:hAnsi="Arial" w:cs="Arial"/>
        </w:rPr>
        <w:t>The other significant theoretical construct that was used in the report was through the portfolio management with the help of the BCG Matrix that assists organisations in distributing their resources among various business units or products. By conducting this analysis, I learned about the way pharmaceutical firms appraise the portfolios of their products and make decisions as to which products to invest and divest (Khan, 2025).</w:t>
      </w:r>
    </w:p>
    <w:p w14:paraId="45D0570A">
      <w:pPr>
        <w:pStyle w:val="13"/>
        <w:spacing w:line="360" w:lineRule="auto"/>
        <w:jc w:val="both"/>
        <w:rPr>
          <w:rFonts w:ascii="Arial" w:hAnsi="Arial" w:cs="Arial"/>
        </w:rPr>
      </w:pPr>
      <w:r>
        <w:rPr>
          <w:rFonts w:ascii="Arial" w:hAnsi="Arial" w:cs="Arial"/>
        </w:rPr>
        <w:t>This step has made me understand that strategic management frameworks are not merely theoretical constructs but functional tools that organisations operate on to make decisions and long-term plans.</w:t>
      </w:r>
    </w:p>
    <w:p w14:paraId="7DC201A9">
      <w:pPr>
        <w:pStyle w:val="3"/>
        <w:rPr>
          <w:rFonts w:ascii="Arial" w:hAnsi="Arial" w:cs="Arial"/>
          <w:color w:val="auto"/>
        </w:rPr>
      </w:pPr>
      <w:bookmarkStart w:id="31" w:name="_Toc223942527"/>
      <w:r>
        <w:rPr>
          <w:rStyle w:val="14"/>
          <w:rFonts w:ascii="Arial" w:hAnsi="Arial" w:cs="Arial"/>
          <w:b/>
          <w:bCs w:val="0"/>
          <w:color w:val="auto"/>
        </w:rPr>
        <w:t>4. Active Experimentation</w:t>
      </w:r>
      <w:bookmarkEnd w:id="31"/>
    </w:p>
    <w:p w14:paraId="2D35348D">
      <w:pPr>
        <w:pStyle w:val="13"/>
        <w:spacing w:before="240" w:beforeAutospacing="0" w:after="240" w:afterAutospacing="0" w:line="360" w:lineRule="auto"/>
        <w:jc w:val="both"/>
        <w:rPr>
          <w:rFonts w:ascii="Arial" w:hAnsi="Arial" w:cs="Arial"/>
        </w:rPr>
      </w:pPr>
      <w:r>
        <w:rPr>
          <w:rFonts w:ascii="Arial" w:hAnsi="Arial" w:cs="Arial"/>
        </w:rPr>
        <w:t>The last phase in the cycle of Kolb involves the application of learning to new areas. By doing this assignment, I have acquired a number of academic and professional skills that I will use in my future research and career.</w:t>
      </w:r>
    </w:p>
    <w:p w14:paraId="7D734671">
      <w:pPr>
        <w:pStyle w:val="13"/>
        <w:spacing w:before="240" w:beforeAutospacing="0" w:after="240" w:afterAutospacing="0" w:line="360" w:lineRule="auto"/>
        <w:jc w:val="both"/>
        <w:rPr>
          <w:rFonts w:ascii="Arial" w:hAnsi="Arial" w:cs="Arial"/>
        </w:rPr>
      </w:pPr>
      <w:r>
        <w:rPr>
          <w:rFonts w:ascii="Arial" w:hAnsi="Arial" w:cs="Arial"/>
        </w:rPr>
        <w:t>I enhanced my skills in performing systematic strategic analysis when applying recognised models of PESTEL, VRIO, Balanced Scorecard, and BCG Matrix. These tools are applicable in analysing any organisation or industry in future. Secondly, the research process also enhanced my cognitive abilities and analytical capabilities to assess complex business contexts and detect strategic opportunities and threats.</w:t>
      </w:r>
    </w:p>
    <w:p w14:paraId="24ABE365">
      <w:pPr>
        <w:pStyle w:val="13"/>
        <w:spacing w:before="240" w:beforeAutospacing="0" w:after="240" w:afterAutospacing="0" w:line="360" w:lineRule="auto"/>
        <w:jc w:val="both"/>
        <w:rPr>
          <w:rFonts w:ascii="Arial" w:hAnsi="Arial" w:cs="Arial"/>
        </w:rPr>
      </w:pPr>
      <w:r>
        <w:rPr>
          <w:rFonts w:ascii="Arial" w:hAnsi="Arial" w:cs="Arial"/>
        </w:rPr>
        <w:t>Moreover, I have acquired experience in writing academic papers, citing, and combining theoretical ideas and real-life examples. Such abilities can be used to write quality academic reports and carry out professional research. I will do better next time by initiating the research earlier, consulting a broader variety of scholarly materials, and devoting more time to critical analysis and revision.</w:t>
      </w:r>
    </w:p>
    <w:p w14:paraId="4CAC4316">
      <w:pPr>
        <w:pStyle w:val="13"/>
        <w:spacing w:before="240" w:beforeAutospacing="0" w:after="240" w:afterAutospacing="0" w:line="360" w:lineRule="auto"/>
        <w:jc w:val="both"/>
        <w:rPr>
          <w:rFonts w:ascii="Arial" w:hAnsi="Arial" w:cs="Arial"/>
        </w:rPr>
      </w:pPr>
      <w:r>
        <w:rPr>
          <w:rFonts w:ascii="Arial" w:hAnsi="Arial" w:cs="Arial"/>
        </w:rPr>
        <w:t>Moreover, the learning experience has raised my curiosity in strategic management in the health care and pharmaceutical. The industry also contributes greatly towards mitigating global health and strategic decision-making on this area directly influences the society(Egan et al., 2023).</w:t>
      </w:r>
    </w:p>
    <w:p w14:paraId="362F1F9F">
      <w:pPr>
        <w:pStyle w:val="3"/>
        <w:rPr>
          <w:rFonts w:ascii="Arial" w:hAnsi="Arial" w:cs="Arial"/>
          <w:color w:val="auto"/>
        </w:rPr>
      </w:pPr>
      <w:bookmarkStart w:id="32" w:name="_Toc223942528"/>
      <w:r>
        <w:rPr>
          <w:rStyle w:val="14"/>
          <w:rFonts w:ascii="Arial" w:hAnsi="Arial" w:cs="Arial"/>
          <w:b/>
          <w:bCs w:val="0"/>
          <w:color w:val="auto"/>
        </w:rPr>
        <w:t>Conclusion</w:t>
      </w:r>
      <w:bookmarkEnd w:id="32"/>
    </w:p>
    <w:p w14:paraId="3954F0BF">
      <w:pPr>
        <w:rPr>
          <w:rFonts w:ascii="Arial" w:hAnsi="Arial" w:cs="Arial"/>
        </w:rPr>
      </w:pPr>
      <w:r>
        <w:rPr>
          <w:rFonts w:ascii="Arial" w:hAnsi="Arial" w:cs="Arial"/>
        </w:rPr>
        <w:t>The use of the Experiential Learning Cycle by Kolb enabled me to engage in a progressive reflection of the research and prepare strategic management report on GSK. This experience allowed me to relate academic theories to the real business practise, to become better at research and analysis, and to gain more insight into the strategic management of the pharmaceutical industry. Considering the weaknesses and strengths of the learning process, I have acquired important lessons that will be helpful in my future academic and professional experience.</w:t>
      </w:r>
    </w:p>
    <w:p w14:paraId="45E7376D">
      <w:pPr>
        <w:pStyle w:val="2"/>
        <w:rPr>
          <w:rFonts w:ascii="Arial" w:hAnsi="Arial" w:cs="Arial"/>
          <w:color w:val="auto"/>
        </w:rPr>
      </w:pPr>
      <w:r>
        <w:rPr>
          <w:rFonts w:ascii="Arial" w:hAnsi="Arial" w:cs="Arial"/>
          <w:color w:val="auto"/>
        </w:rPr>
        <w:br w:type="page"/>
      </w:r>
    </w:p>
    <w:p w14:paraId="49AE9713">
      <w:pPr>
        <w:pStyle w:val="2"/>
        <w:rPr>
          <w:rFonts w:ascii="Arial" w:hAnsi="Arial" w:cs="Arial"/>
          <w:color w:val="auto"/>
        </w:rPr>
      </w:pPr>
      <w:bookmarkStart w:id="33" w:name="_Toc223942529"/>
      <w:r>
        <w:rPr>
          <w:rFonts w:ascii="Arial" w:hAnsi="Arial" w:cs="Arial"/>
          <w:color w:val="auto"/>
        </w:rPr>
        <w:t>Reference List</w:t>
      </w:r>
      <w:bookmarkEnd w:id="33"/>
    </w:p>
    <w:p w14:paraId="4A97633E">
      <w:pPr>
        <w:pStyle w:val="13"/>
        <w:spacing w:before="240" w:beforeAutospacing="0" w:after="240" w:afterAutospacing="0" w:line="360" w:lineRule="auto"/>
        <w:ind w:left="720" w:hanging="720"/>
        <w:jc w:val="both"/>
        <w:rPr>
          <w:rFonts w:ascii="Arial" w:hAnsi="Arial" w:cs="Arial"/>
        </w:rPr>
      </w:pPr>
      <w:r>
        <w:rPr>
          <w:rFonts w:ascii="Arial" w:hAnsi="Arial" w:cs="Arial"/>
          <w:shd w:val="clear" w:color="auto" w:fill="FFFFFF"/>
        </w:rPr>
        <w:t>Afshar, M.Z. and Shah, M.H. (2025). A narrative review for revisiting BCG matrix application in performance evaluation of public sector entities. </w:t>
      </w:r>
      <w:r>
        <w:rPr>
          <w:rFonts w:ascii="Arial" w:hAnsi="Arial" w:cs="Arial"/>
          <w:i/>
          <w:iCs/>
          <w:shd w:val="clear" w:color="auto" w:fill="FFFFFF"/>
        </w:rPr>
        <w:t>The Journal of Research Review</w:t>
      </w:r>
      <w:r>
        <w:rPr>
          <w:rFonts w:ascii="Arial" w:hAnsi="Arial" w:cs="Arial"/>
          <w:shd w:val="clear" w:color="auto" w:fill="FFFFFF"/>
        </w:rPr>
        <w:t>, </w:t>
      </w:r>
      <w:r>
        <w:rPr>
          <w:rFonts w:ascii="Arial" w:hAnsi="Arial" w:cs="Arial"/>
          <w:i/>
          <w:iCs/>
          <w:shd w:val="clear" w:color="auto" w:fill="FFFFFF"/>
        </w:rPr>
        <w:t>2</w:t>
      </w:r>
      <w:r>
        <w:rPr>
          <w:rFonts w:ascii="Arial" w:hAnsi="Arial" w:cs="Arial"/>
          <w:shd w:val="clear" w:color="auto" w:fill="FFFFFF"/>
        </w:rPr>
        <w:t>(02), pp.325-337.</w:t>
      </w:r>
    </w:p>
    <w:p w14:paraId="503704DE">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Bashirynejad, M., Fatemi, B., Zackery, A., Zare, N., Nikfar, S., Kebriaeezadeh, A., Majdzadeh, R. and Soleymani, F. (2024). Trends analysis and future study of the pharmaceutical industry field: a scoping review. </w:t>
      </w:r>
      <w:r>
        <w:rPr>
          <w:rFonts w:ascii="Arial" w:hAnsi="Arial" w:cs="Arial"/>
          <w:i/>
          <w:iCs/>
        </w:rPr>
        <w:t>DARU Journal of Pharmaceutical Sciences</w:t>
      </w:r>
      <w:r>
        <w:rPr>
          <w:rFonts w:ascii="Arial" w:hAnsi="Arial" w:cs="Arial"/>
        </w:rPr>
        <w:t>, 33(1), p.6. doi:https://doi.org/10.1007/s40199-024-00550-x.</w:t>
      </w:r>
    </w:p>
    <w:p w14:paraId="52A7ABB8">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BCC Research (2025). </w:t>
      </w:r>
      <w:r>
        <w:rPr>
          <w:rFonts w:ascii="Arial" w:hAnsi="Arial" w:cs="Arial"/>
          <w:i/>
          <w:iCs/>
        </w:rPr>
        <w:t>Global Pharmaceutical Drugs Industry: Competitive Landscape 2023</w:t>
      </w:r>
      <w:r>
        <w:rPr>
          <w:rFonts w:ascii="Arial" w:hAnsi="Arial" w:cs="Arial"/>
        </w:rPr>
        <w:t>. [online] Bccresearch.com. Available at: https://www.bccresearch.com/market-research/pharmaceuticals/pharmaceutical-drugs-industry-competitive-landscape.html?utm [Accessed 9 Mar. 2026].</w:t>
      </w:r>
    </w:p>
    <w:p w14:paraId="60D61B94">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Chehimi, M. and Naro, G. (2024). Balanced Scorecards and sustainability Balanced Scorecards for corporate social responsibility strategic alignment: A systematic literature review. </w:t>
      </w:r>
      <w:r>
        <w:rPr>
          <w:rFonts w:ascii="Arial" w:hAnsi="Arial" w:cs="Arial"/>
          <w:i/>
          <w:iCs/>
        </w:rPr>
        <w:t>Journal of Environmental Management</w:t>
      </w:r>
      <w:r>
        <w:rPr>
          <w:rFonts w:ascii="Arial" w:hAnsi="Arial" w:cs="Arial"/>
        </w:rPr>
        <w:t>, 367, p.122000. doi:https://doi.org/10.1016/j.jenvman.2024.122000.</w:t>
      </w:r>
    </w:p>
    <w:p w14:paraId="78BD97A3">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Cicero, S. and Quintarelli, E. (2022). </w:t>
      </w:r>
      <w:r>
        <w:rPr>
          <w:rFonts w:ascii="Arial" w:hAnsi="Arial" w:cs="Arial"/>
          <w:i/>
          <w:iCs/>
        </w:rPr>
        <w:t>Adopting a Product-Centric operating model at Scale - Boundaryless</w:t>
      </w:r>
      <w:r>
        <w:rPr>
          <w:rFonts w:ascii="Arial" w:hAnsi="Arial" w:cs="Arial"/>
        </w:rPr>
        <w:t>. [online] Boundaryless. Available at: https://www.boundaryless.io/blog/adopting-a-product-centric-operating-model-at-scale/ [Accessed 9 Mar. 2026].</w:t>
      </w:r>
    </w:p>
    <w:p w14:paraId="64794E6E">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Coyle, B. (2025). </w:t>
      </w:r>
      <w:r>
        <w:rPr>
          <w:rFonts w:ascii="Arial" w:hAnsi="Arial" w:cs="Arial"/>
          <w:i/>
          <w:iCs/>
        </w:rPr>
        <w:t>Breakthroughs or bottlenecks? Pharma industry outlook, trends and strategies for 2025</w:t>
      </w:r>
      <w:r>
        <w:rPr>
          <w:rFonts w:ascii="Arial" w:hAnsi="Arial" w:cs="Arial"/>
        </w:rPr>
        <w:t>. [online] @zsassociates. Available at: https://www.zs.com/insights/pharmaceutical-trends-2025-outlook-ai-supplychain-and-beyond?utm [Accessed 9 Mar. 2026].</w:t>
      </w:r>
    </w:p>
    <w:p w14:paraId="290DA400">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Deng, D., Zhang, J., Wang, J. and Zong, X. (2025). Sustainable performance evaluation of pharmaceutical companies: sustainable balanced scorecard and hybrid MCDM approach. </w:t>
      </w:r>
      <w:r>
        <w:rPr>
          <w:rFonts w:ascii="Arial" w:hAnsi="Arial" w:cs="Arial"/>
          <w:i/>
          <w:iCs/>
        </w:rPr>
        <w:t>Frontiers in Public Health</w:t>
      </w:r>
      <w:r>
        <w:rPr>
          <w:rFonts w:ascii="Arial" w:hAnsi="Arial" w:cs="Arial"/>
        </w:rPr>
        <w:t>, 12, p.1495156. doi:https://doi.org/10.3389/fpubh.2024.1495156.</w:t>
      </w:r>
    </w:p>
    <w:p w14:paraId="03D4F0D6">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Doron, G., Genway, S., Roberts, M. and Jasti, S. (2023). </w:t>
      </w:r>
      <w:r>
        <w:rPr>
          <w:rFonts w:ascii="Arial" w:hAnsi="Arial" w:cs="Arial"/>
          <w:i/>
          <w:iCs/>
        </w:rPr>
        <w:t>New Horizons: Pioneering Pharmaceutical R&amp;D with Generative AI from lab to the clinic -- an industry perspective</w:t>
      </w:r>
      <w:r>
        <w:rPr>
          <w:rFonts w:ascii="Arial" w:hAnsi="Arial" w:cs="Arial"/>
        </w:rPr>
        <w:t>. [online] arXiv.org. Available at: https://arxiv.org/abs/2312.12482?utm [Accessed 9 Mar. 2026].</w:t>
      </w:r>
    </w:p>
    <w:p w14:paraId="2E03925D">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Duffin, E. (2025). </w:t>
      </w:r>
      <w:r>
        <w:rPr>
          <w:rFonts w:ascii="Arial" w:hAnsi="Arial" w:cs="Arial"/>
          <w:i/>
          <w:iCs/>
        </w:rPr>
        <w:t>GSK revenue by division 2006-2024</w:t>
      </w:r>
      <w:r>
        <w:rPr>
          <w:rFonts w:ascii="Arial" w:hAnsi="Arial" w:cs="Arial"/>
        </w:rPr>
        <w:t>. [online] Statista. Available at: https://www.statista.com/statistics/266311/glaxosmithklines-revenue-by-division-since-2006/?srsltid=AfmBOoofs6GpdutzYdaZWmh4h0SS7JiuqRUTEM5kx6FyfQ18muqTgp6_ [Accessed 9 Mar. 2026].</w:t>
      </w:r>
    </w:p>
    <w:p w14:paraId="7C12D56E">
      <w:pPr>
        <w:spacing w:before="240" w:after="240"/>
        <w:ind w:left="720" w:hanging="720"/>
        <w:rPr>
          <w:rFonts w:ascii="Arial" w:hAnsi="Arial" w:cs="Arial"/>
          <w:szCs w:val="24"/>
          <w:shd w:val="clear" w:color="auto" w:fill="FFFFFF"/>
        </w:rPr>
      </w:pPr>
      <w:r>
        <w:rPr>
          <w:rFonts w:ascii="Arial" w:hAnsi="Arial" w:cs="Arial"/>
          <w:szCs w:val="24"/>
          <w:shd w:val="clear" w:color="auto" w:fill="FFFFFF"/>
        </w:rPr>
        <w:t>Egan, J.D., Tolman, S., McBrayer, J.S. and Ballesteros, E. (2023). Reconceptualizing Kolb's Learning Cycle as Episodic &amp; Lifelong. </w:t>
      </w:r>
      <w:r>
        <w:rPr>
          <w:rFonts w:ascii="Arial" w:hAnsi="Arial" w:cs="Arial"/>
          <w:i/>
          <w:iCs/>
          <w:szCs w:val="24"/>
          <w:shd w:val="clear" w:color="auto" w:fill="FFFFFF"/>
        </w:rPr>
        <w:t>Experiential Learning and Teaching in Higher Education</w:t>
      </w:r>
      <w:r>
        <w:rPr>
          <w:rFonts w:ascii="Arial" w:hAnsi="Arial" w:cs="Arial"/>
          <w:szCs w:val="24"/>
          <w:shd w:val="clear" w:color="auto" w:fill="FFFFFF"/>
        </w:rPr>
        <w:t>, </w:t>
      </w:r>
      <w:r>
        <w:rPr>
          <w:rFonts w:ascii="Arial" w:hAnsi="Arial" w:cs="Arial"/>
          <w:i/>
          <w:iCs/>
          <w:szCs w:val="24"/>
          <w:shd w:val="clear" w:color="auto" w:fill="FFFFFF"/>
        </w:rPr>
        <w:t>6</w:t>
      </w:r>
      <w:r>
        <w:rPr>
          <w:rFonts w:ascii="Arial" w:hAnsi="Arial" w:cs="Arial"/>
          <w:szCs w:val="24"/>
          <w:shd w:val="clear" w:color="auto" w:fill="FFFFFF"/>
        </w:rPr>
        <w:t>(1), pp.24-33.</w:t>
      </w:r>
    </w:p>
    <w:p w14:paraId="4B1A3AE1">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Extance, A. (2017). </w:t>
      </w:r>
      <w:r>
        <w:rPr>
          <w:rFonts w:ascii="Arial" w:hAnsi="Arial" w:cs="Arial"/>
          <w:i/>
          <w:iCs/>
        </w:rPr>
        <w:t>GSK stops over 30 research programmes to prioritise innovation</w:t>
      </w:r>
      <w:r>
        <w:rPr>
          <w:rFonts w:ascii="Arial" w:hAnsi="Arial" w:cs="Arial"/>
        </w:rPr>
        <w:t>. [online] Chemistry World. Available at: https://www.chemistryworld.com/news/gsk-stops-over-30-research-programmes-to-prioritise-innovation-/3007808.article [Accessed 9 Mar. 2026].</w:t>
      </w:r>
    </w:p>
    <w:p w14:paraId="249BB31C">
      <w:pPr>
        <w:pStyle w:val="13"/>
        <w:spacing w:before="240" w:beforeAutospacing="0" w:after="240" w:afterAutospacing="0" w:line="360" w:lineRule="auto"/>
        <w:ind w:left="720" w:hanging="720"/>
        <w:jc w:val="both"/>
        <w:rPr>
          <w:rFonts w:ascii="Arial" w:hAnsi="Arial" w:cs="Arial"/>
          <w:shd w:val="clear" w:color="auto" w:fill="FFFFFF"/>
        </w:rPr>
      </w:pPr>
      <w:r>
        <w:rPr>
          <w:rFonts w:ascii="Arial" w:hAnsi="Arial" w:cs="Arial"/>
          <w:shd w:val="clear" w:color="auto" w:fill="FFFFFF"/>
        </w:rPr>
        <w:t>Gorb, O., Dorohan-Pysarenko, L., Yehorova, O., Yasnolob, I. and Doroshenko, A. (2022). Boston consulting group matrix: Opportunities for use in economic analysis. </w:t>
      </w:r>
      <w:r>
        <w:rPr>
          <w:rFonts w:ascii="Arial" w:hAnsi="Arial" w:cs="Arial"/>
          <w:i/>
          <w:iCs/>
          <w:shd w:val="clear" w:color="auto" w:fill="FFFFFF"/>
        </w:rPr>
        <w:t>Scientific Horizons</w:t>
      </w:r>
      <w:r>
        <w:rPr>
          <w:rFonts w:ascii="Arial" w:hAnsi="Arial" w:cs="Arial"/>
          <w:shd w:val="clear" w:color="auto" w:fill="FFFFFF"/>
        </w:rPr>
        <w:t>, </w:t>
      </w:r>
      <w:r>
        <w:rPr>
          <w:rFonts w:ascii="Arial" w:hAnsi="Arial" w:cs="Arial"/>
          <w:i/>
          <w:iCs/>
          <w:shd w:val="clear" w:color="auto" w:fill="FFFFFF"/>
        </w:rPr>
        <w:t>7</w:t>
      </w:r>
      <w:r>
        <w:rPr>
          <w:rFonts w:ascii="Arial" w:hAnsi="Arial" w:cs="Arial"/>
          <w:shd w:val="clear" w:color="auto" w:fill="FFFFFF"/>
        </w:rPr>
        <w:t>(25), pp.20-30.</w:t>
      </w:r>
    </w:p>
    <w:p w14:paraId="5EBF8EE1">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GSK (2026). </w:t>
      </w:r>
      <w:r>
        <w:rPr>
          <w:rFonts w:ascii="Arial" w:hAnsi="Arial" w:cs="Arial"/>
          <w:i/>
          <w:iCs/>
        </w:rPr>
        <w:t>GSK delivers strong 2025 performance and re-affirms long-term outlooks | GSK</w:t>
      </w:r>
      <w:r>
        <w:rPr>
          <w:rFonts w:ascii="Arial" w:hAnsi="Arial" w:cs="Arial"/>
        </w:rPr>
        <w:t>. [online] Gsk.com. Available at: https://www.gsk.com/en-gb/media/press-releases/gsk-delivers-strong-2025-performance-and-re-affirms-long-term-outlooks/ [Accessed 9 Mar. 2026].</w:t>
      </w:r>
    </w:p>
    <w:p w14:paraId="53A79E17">
      <w:pPr>
        <w:spacing w:before="240" w:after="240"/>
        <w:ind w:left="720" w:hanging="720"/>
        <w:rPr>
          <w:rFonts w:ascii="Arial" w:hAnsi="Arial" w:cs="Arial"/>
          <w:szCs w:val="24"/>
        </w:rPr>
      </w:pPr>
      <w:r>
        <w:rPr>
          <w:rFonts w:ascii="Arial" w:hAnsi="Arial" w:cs="Arial"/>
          <w:szCs w:val="24"/>
          <w:shd w:val="clear" w:color="auto" w:fill="FFFFFF"/>
        </w:rPr>
        <w:t>Hanisyah, W.A., Winarko, G.C., Elfitria, L.S. and Ardiansyah, A.S. (2023). The effect of kolb's learning cycle on students' critical thinking skills. In </w:t>
      </w:r>
      <w:r>
        <w:rPr>
          <w:rFonts w:ascii="Arial" w:hAnsi="Arial" w:cs="Arial"/>
          <w:i/>
          <w:iCs/>
          <w:szCs w:val="24"/>
          <w:shd w:val="clear" w:color="auto" w:fill="FFFFFF"/>
        </w:rPr>
        <w:t>PRISMA, Prosiding Seminar Nasional Matematika</w:t>
      </w:r>
      <w:r>
        <w:rPr>
          <w:rFonts w:ascii="Arial" w:hAnsi="Arial" w:cs="Arial"/>
          <w:szCs w:val="24"/>
          <w:shd w:val="clear" w:color="auto" w:fill="FFFFFF"/>
        </w:rPr>
        <w:t> (Vol. 6, pp. 65-69).</w:t>
      </w:r>
    </w:p>
    <w:p w14:paraId="32A4E3EE">
      <w:pPr>
        <w:spacing w:before="240" w:after="240"/>
        <w:ind w:left="720" w:hanging="720"/>
        <w:rPr>
          <w:rFonts w:ascii="Arial" w:hAnsi="Arial" w:cs="Arial"/>
          <w:szCs w:val="24"/>
          <w:shd w:val="clear" w:color="auto" w:fill="FFFFFF"/>
        </w:rPr>
      </w:pPr>
      <w:r>
        <w:rPr>
          <w:rFonts w:ascii="Arial" w:hAnsi="Arial" w:cs="Arial"/>
          <w:szCs w:val="24"/>
          <w:shd w:val="clear" w:color="auto" w:fill="FFFFFF"/>
        </w:rPr>
        <w:t>Humphreys, K.A.(2024). The balanced scorecard framework as a key performance measurement innovation: A judgment and decision-making perspective. </w:t>
      </w:r>
      <w:r>
        <w:rPr>
          <w:rFonts w:ascii="Arial" w:hAnsi="Arial" w:cs="Arial"/>
          <w:i/>
          <w:iCs/>
          <w:szCs w:val="24"/>
          <w:shd w:val="clear" w:color="auto" w:fill="FFFFFF"/>
        </w:rPr>
        <w:t>Research handbook on performance measurement for management control</w:t>
      </w:r>
      <w:r>
        <w:rPr>
          <w:rFonts w:ascii="Arial" w:hAnsi="Arial" w:cs="Arial"/>
          <w:szCs w:val="24"/>
          <w:shd w:val="clear" w:color="auto" w:fill="FFFFFF"/>
        </w:rPr>
        <w:t>, pp.86-111.</w:t>
      </w:r>
    </w:p>
    <w:p w14:paraId="61468FFC">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Khan, S.S. (2025). Gilead Sciences analysis using strategic frameworks SWOT, PESTLE, VRIO. </w:t>
      </w:r>
      <w:r>
        <w:rPr>
          <w:rFonts w:ascii="Arial" w:hAnsi="Arial" w:cs="Arial"/>
          <w:i/>
          <w:iCs/>
        </w:rPr>
        <w:t>Research Gate</w:t>
      </w:r>
      <w:r>
        <w:rPr>
          <w:rFonts w:ascii="Arial" w:hAnsi="Arial" w:cs="Arial"/>
        </w:rPr>
        <w:t>. [online] doi:https://doi.org/10.13140/rg.2.2.17686.46404.</w:t>
      </w:r>
    </w:p>
    <w:p w14:paraId="0BBCB956">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MBA Skool (2022). </w:t>
      </w:r>
      <w:r>
        <w:rPr>
          <w:rFonts w:ascii="Arial" w:hAnsi="Arial" w:cs="Arial"/>
          <w:i/>
          <w:iCs/>
        </w:rPr>
        <w:t>GSK Consumer Healthcare PESTLE Analysis</w:t>
      </w:r>
      <w:r>
        <w:rPr>
          <w:rFonts w:ascii="Arial" w:hAnsi="Arial" w:cs="Arial"/>
        </w:rPr>
        <w:t>. [online] MBA Skool. Available at: https://www.mbaskool.com/pestle-analysis/companies/18224-gsk-consumer-healthcare.html [Accessed 9 Mar. 2026].</w:t>
      </w:r>
    </w:p>
    <w:p w14:paraId="4B9A4195">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Meijer, M.W., Brandhuber, T., Schneider, A. and Berberat, P.O. (2022). Implementing Kolb´s Experiential Learning Cycle by Linking Real Experience, Case-Based Discussion and Simulation. </w:t>
      </w:r>
      <w:r>
        <w:rPr>
          <w:rFonts w:ascii="Arial" w:hAnsi="Arial" w:cs="Arial"/>
          <w:i/>
          <w:iCs/>
        </w:rPr>
        <w:t>Journal of Medical Education and Curricular Development</w:t>
      </w:r>
      <w:r>
        <w:rPr>
          <w:rFonts w:ascii="Arial" w:hAnsi="Arial" w:cs="Arial"/>
        </w:rPr>
        <w:t>, [online] 9(2), pp.1–5. Available at: https://journals.sagepub.com/doi/full/10.1177/23821205221091511 [Accessed 9 Mar. 2026].</w:t>
      </w:r>
    </w:p>
    <w:p w14:paraId="7EF2F9CA">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Mikulic, M. (2023). </w:t>
      </w:r>
      <w:r>
        <w:rPr>
          <w:rFonts w:ascii="Arial" w:hAnsi="Arial" w:cs="Arial"/>
          <w:i/>
          <w:iCs/>
        </w:rPr>
        <w:t>Topic: GSK (GlaxoSmithKline)</w:t>
      </w:r>
      <w:r>
        <w:rPr>
          <w:rFonts w:ascii="Arial" w:hAnsi="Arial" w:cs="Arial"/>
        </w:rPr>
        <w:t>. [online] Statista. Available at: https://www.statista.com/topics/12090/gsk-glaxosmithkline/#topicOverview [Accessed 9 Mar. 2026].</w:t>
      </w:r>
    </w:p>
    <w:p w14:paraId="030D2CED">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Nakashima, A., Kodama, K. and Sengoku, S. (2023). Strategic trends of pharmaceutical companies: a growth model through regional focus and inter-regional alliances. </w:t>
      </w:r>
      <w:r>
        <w:rPr>
          <w:rFonts w:ascii="Arial" w:hAnsi="Arial" w:cs="Arial"/>
          <w:i/>
          <w:iCs/>
        </w:rPr>
        <w:t>Drug Discovery Today</w:t>
      </w:r>
      <w:r>
        <w:rPr>
          <w:rFonts w:ascii="Arial" w:hAnsi="Arial" w:cs="Arial"/>
        </w:rPr>
        <w:t>, 28(7), p.103611. doi:https://doi.org/10.1016/j.drudis.2023.103611.</w:t>
      </w:r>
    </w:p>
    <w:p w14:paraId="4718F804">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Nandy, M. (2023). </w:t>
      </w:r>
      <w:r>
        <w:rPr>
          <w:rFonts w:ascii="Arial" w:hAnsi="Arial" w:cs="Arial"/>
          <w:i/>
          <w:iCs/>
        </w:rPr>
        <w:t>Strategic Pharmaceutical Marketing Management in Growth Markets</w:t>
      </w:r>
      <w:r>
        <w:rPr>
          <w:rFonts w:ascii="Arial" w:hAnsi="Arial" w:cs="Arial"/>
        </w:rPr>
        <w:t>. 1st ed. Taylor &amp; Francis.</w:t>
      </w:r>
    </w:p>
    <w:p w14:paraId="3F975384">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NAVADHI (2019). </w:t>
      </w:r>
      <w:r>
        <w:rPr>
          <w:rFonts w:ascii="Arial" w:hAnsi="Arial" w:cs="Arial"/>
          <w:i/>
          <w:iCs/>
        </w:rPr>
        <w:t>GlaxoSmithKline Plc - Company Snapshot &amp; SWOT Analysis</w:t>
      </w:r>
      <w:r>
        <w:rPr>
          <w:rFonts w:ascii="Arial" w:hAnsi="Arial" w:cs="Arial"/>
        </w:rPr>
        <w:t>. [online] NAVADHI Market Research. Available at: https://www.navadhi.com/publications/glaxosmithkline-plc-company-snapshot-swot-analysis [Accessed 9 Mar. 2026].</w:t>
      </w:r>
    </w:p>
    <w:p w14:paraId="2CDF0C0A">
      <w:pPr>
        <w:spacing w:before="240" w:after="240"/>
        <w:ind w:left="720" w:hanging="720"/>
        <w:rPr>
          <w:rFonts w:ascii="Arial" w:hAnsi="Arial" w:cs="Arial"/>
          <w:szCs w:val="24"/>
          <w:shd w:val="clear" w:color="auto" w:fill="FFFFFF"/>
        </w:rPr>
      </w:pPr>
      <w:r>
        <w:rPr>
          <w:rFonts w:ascii="Arial" w:hAnsi="Arial" w:cs="Arial"/>
          <w:szCs w:val="24"/>
          <w:shd w:val="clear" w:color="auto" w:fill="FFFFFF"/>
        </w:rPr>
        <w:t>Olariu, A.A., Popa, Ş.C., Breazu, A. and Popa, C.F. (2023). Organizational performance in the public and private sectors in Romania: The Balanced Scorecard perspective. </w:t>
      </w:r>
      <w:r>
        <w:rPr>
          <w:rFonts w:ascii="Arial" w:hAnsi="Arial" w:cs="Arial"/>
          <w:i/>
          <w:iCs/>
          <w:szCs w:val="24"/>
          <w:shd w:val="clear" w:color="auto" w:fill="FFFFFF"/>
        </w:rPr>
        <w:t>Management Research and Practice</w:t>
      </w:r>
      <w:r>
        <w:rPr>
          <w:rFonts w:ascii="Arial" w:hAnsi="Arial" w:cs="Arial"/>
          <w:szCs w:val="24"/>
          <w:shd w:val="clear" w:color="auto" w:fill="FFFFFF"/>
        </w:rPr>
        <w:t>, </w:t>
      </w:r>
      <w:r>
        <w:rPr>
          <w:rFonts w:ascii="Arial" w:hAnsi="Arial" w:cs="Arial"/>
          <w:i/>
          <w:iCs/>
          <w:szCs w:val="24"/>
          <w:shd w:val="clear" w:color="auto" w:fill="FFFFFF"/>
        </w:rPr>
        <w:t>15</w:t>
      </w:r>
      <w:r>
        <w:rPr>
          <w:rFonts w:ascii="Arial" w:hAnsi="Arial" w:cs="Arial"/>
          <w:szCs w:val="24"/>
          <w:shd w:val="clear" w:color="auto" w:fill="FFFFFF"/>
        </w:rPr>
        <w:t>(2), pp.17-28.</w:t>
      </w:r>
    </w:p>
    <w:p w14:paraId="61A6E608">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Professional Academy (2026). </w:t>
      </w:r>
      <w:r>
        <w:rPr>
          <w:rFonts w:ascii="Arial" w:hAnsi="Arial" w:cs="Arial"/>
          <w:i/>
          <w:iCs/>
        </w:rPr>
        <w:t>Marketing Theories - Balanced Scorecard</w:t>
      </w:r>
      <w:r>
        <w:rPr>
          <w:rFonts w:ascii="Arial" w:hAnsi="Arial" w:cs="Arial"/>
        </w:rPr>
        <w:t>. [online] Professional academy . Available at: https://www.professionalacademy.com/blogs/marketing-theories-balanced-scorecard/ [Accessed 9 Mar. 2026].</w:t>
      </w:r>
    </w:p>
    <w:p w14:paraId="5CA1610A">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Saat, B. and Aşlamacı, A. (2023). GREEN ELECTROSPINNING Making Electrospinning Environmentally Friendly. </w:t>
      </w:r>
      <w:r>
        <w:rPr>
          <w:rFonts w:ascii="Arial" w:hAnsi="Arial" w:cs="Arial"/>
          <w:i/>
          <w:iCs/>
        </w:rPr>
        <w:t>Research Gate</w:t>
      </w:r>
      <w:r>
        <w:rPr>
          <w:rFonts w:ascii="Arial" w:hAnsi="Arial" w:cs="Arial"/>
        </w:rPr>
        <w:t>. [online] doi:https://doi.org/10.13140/RG.2.2.33115.13603.</w:t>
      </w:r>
    </w:p>
    <w:p w14:paraId="01968E10">
      <w:pPr>
        <w:pStyle w:val="13"/>
        <w:spacing w:before="240" w:beforeAutospacing="0" w:after="240" w:afterAutospacing="0" w:line="360" w:lineRule="auto"/>
        <w:ind w:left="720" w:hanging="720"/>
        <w:jc w:val="both"/>
        <w:rPr>
          <w:rFonts w:ascii="Arial" w:hAnsi="Arial" w:cs="Arial"/>
        </w:rPr>
      </w:pPr>
      <w:r>
        <w:rPr>
          <w:rFonts w:ascii="Arial" w:hAnsi="Arial" w:cs="Arial"/>
        </w:rPr>
        <w:t xml:space="preserve">Satija, B. and Shabong, Y. (2025). GSK cancer, HIV drug sales lift 2025 outlook in boost for shares. </w:t>
      </w:r>
      <w:r>
        <w:rPr>
          <w:rFonts w:ascii="Arial" w:hAnsi="Arial" w:cs="Arial"/>
          <w:i/>
          <w:iCs/>
        </w:rPr>
        <w:t>Reuters</w:t>
      </w:r>
      <w:r>
        <w:rPr>
          <w:rFonts w:ascii="Arial" w:hAnsi="Arial" w:cs="Arial"/>
        </w:rPr>
        <w:t>. [online] 29 Oct. Available at: https://www.reuters.com/business/healthcare-pharmaceuticals/gsk-raises-2025-sales-forecast-after-strong-growth-specialty-medicines-2025-10-29/ [Accessed 9 Mar. 2026].</w:t>
      </w:r>
    </w:p>
    <w:p w14:paraId="5F6C9ABC">
      <w:pPr>
        <w:spacing w:before="240" w:after="240"/>
        <w:ind w:left="720" w:hanging="720"/>
        <w:rPr>
          <w:rFonts w:ascii="Arial" w:hAnsi="Arial" w:cs="Arial"/>
          <w:szCs w:val="24"/>
          <w:shd w:val="clear" w:color="auto" w:fill="FFFFFF"/>
        </w:rPr>
      </w:pPr>
      <w:r>
        <w:rPr>
          <w:rFonts w:ascii="Arial" w:hAnsi="Arial" w:cs="Arial"/>
          <w:szCs w:val="24"/>
          <w:shd w:val="clear" w:color="auto" w:fill="FFFFFF"/>
        </w:rPr>
        <w:t>Tawse, A. and Tabesh, P. (2023). Thirty years with the balanced scorecard: What we have learned. </w:t>
      </w:r>
      <w:r>
        <w:rPr>
          <w:rFonts w:ascii="Arial" w:hAnsi="Arial" w:cs="Arial"/>
          <w:i/>
          <w:iCs/>
          <w:szCs w:val="24"/>
          <w:shd w:val="clear" w:color="auto" w:fill="FFFFFF"/>
        </w:rPr>
        <w:t>Business Horizons</w:t>
      </w:r>
      <w:r>
        <w:rPr>
          <w:rFonts w:ascii="Arial" w:hAnsi="Arial" w:cs="Arial"/>
          <w:szCs w:val="24"/>
          <w:shd w:val="clear" w:color="auto" w:fill="FFFFFF"/>
        </w:rPr>
        <w:t>, </w:t>
      </w:r>
      <w:r>
        <w:rPr>
          <w:rFonts w:ascii="Arial" w:hAnsi="Arial" w:cs="Arial"/>
          <w:i/>
          <w:iCs/>
          <w:szCs w:val="24"/>
          <w:shd w:val="clear" w:color="auto" w:fill="FFFFFF"/>
        </w:rPr>
        <w:t>66</w:t>
      </w:r>
      <w:r>
        <w:rPr>
          <w:rFonts w:ascii="Arial" w:hAnsi="Arial" w:cs="Arial"/>
          <w:szCs w:val="24"/>
          <w:shd w:val="clear" w:color="auto" w:fill="FFFFFF"/>
        </w:rPr>
        <w:t>(1), pp.123-132.</w:t>
      </w:r>
    </w:p>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等线 Light">
    <w:altName w:val="Siyam Rupali"/>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Tahoma">
    <w:panose1 w:val="020B0604030504040204"/>
    <w:charset w:val="00"/>
    <w:family w:val="swiss"/>
    <w:pitch w:val="default"/>
    <w:sig w:usb0="E1002EFF" w:usb1="C000605B" w:usb2="00000029" w:usb3="00000000" w:csb0="200101FF" w:csb1="20280000"/>
  </w:font>
  <w:font w:name="等线">
    <w:altName w:val="Arial Unicode MS"/>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6493814"/>
      <w:docPartObj>
        <w:docPartGallery w:val="AutoText"/>
      </w:docPartObj>
    </w:sdtPr>
    <w:sdtContent>
      <w:p w14:paraId="664CF4C0">
        <w:pPr>
          <w:pStyle w:val="10"/>
          <w:jc w:val="right"/>
        </w:pPr>
        <w:r>
          <w:fldChar w:fldCharType="begin"/>
        </w:r>
        <w:r>
          <w:instrText xml:space="preserve"> PAGE   \* MERGEFORMAT </w:instrText>
        </w:r>
        <w:r>
          <w:fldChar w:fldCharType="separate"/>
        </w:r>
        <w:r>
          <w:t>1</w:t>
        </w:r>
        <w:r>
          <w:fldChar w:fldCharType="end"/>
        </w:r>
      </w:p>
    </w:sdtContent>
  </w:sdt>
  <w:p w14:paraId="19B4F87F">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798B45">
    <w:pPr>
      <w:pStyle w:val="1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D953A19">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CB0BF81">
    <w:pPr>
      <w:pStyle w:val="11"/>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8B8743E">
    <w:pPr>
      <w:pStyle w:val="11"/>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288E3F">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1053E1"/>
    <w:multiLevelType w:val="multilevel"/>
    <w:tmpl w:val="021053E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6E94830"/>
    <w:multiLevelType w:val="multilevel"/>
    <w:tmpl w:val="06E9483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09A065E6"/>
    <w:multiLevelType w:val="multilevel"/>
    <w:tmpl w:val="09A065E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1FE12070"/>
    <w:multiLevelType w:val="multilevel"/>
    <w:tmpl w:val="1FE1207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26386431"/>
    <w:multiLevelType w:val="multilevel"/>
    <w:tmpl w:val="26386431"/>
    <w:lvl w:ilvl="0" w:tentative="0">
      <w:start w:val="1"/>
      <w:numFmt w:val="bullet"/>
      <w:lvlText w:val=""/>
      <w:lvlJc w:val="left"/>
      <w:pPr>
        <w:ind w:left="1080" w:hanging="360"/>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5">
    <w:nsid w:val="2FCD1150"/>
    <w:multiLevelType w:val="multilevel"/>
    <w:tmpl w:val="2FCD115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6">
    <w:nsid w:val="33073EC1"/>
    <w:multiLevelType w:val="multilevel"/>
    <w:tmpl w:val="33073EC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41D132D2"/>
    <w:multiLevelType w:val="multilevel"/>
    <w:tmpl w:val="41D132D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4E0E308C"/>
    <w:multiLevelType w:val="multilevel"/>
    <w:tmpl w:val="4E0E308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54DA77FB"/>
    <w:multiLevelType w:val="multilevel"/>
    <w:tmpl w:val="54DA77F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0">
    <w:nsid w:val="66C43D50"/>
    <w:multiLevelType w:val="multilevel"/>
    <w:tmpl w:val="66C43D5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709D12F1"/>
    <w:multiLevelType w:val="multilevel"/>
    <w:tmpl w:val="709D12F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2">
    <w:nsid w:val="75657BB1"/>
    <w:multiLevelType w:val="multilevel"/>
    <w:tmpl w:val="75657BB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3">
    <w:nsid w:val="7A7776AD"/>
    <w:multiLevelType w:val="multilevel"/>
    <w:tmpl w:val="7A7776A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11"/>
  </w:num>
  <w:num w:numId="2">
    <w:abstractNumId w:val="7"/>
  </w:num>
  <w:num w:numId="3">
    <w:abstractNumId w:val="10"/>
  </w:num>
  <w:num w:numId="4">
    <w:abstractNumId w:val="4"/>
  </w:num>
  <w:num w:numId="5">
    <w:abstractNumId w:val="8"/>
  </w:num>
  <w:num w:numId="6">
    <w:abstractNumId w:val="0"/>
  </w:num>
  <w:num w:numId="7">
    <w:abstractNumId w:val="13"/>
  </w:num>
  <w:num w:numId="8">
    <w:abstractNumId w:val="1"/>
  </w:num>
  <w:num w:numId="9">
    <w:abstractNumId w:val="6"/>
  </w:num>
  <w:num w:numId="10">
    <w:abstractNumId w:val="3"/>
  </w:num>
  <w:num w:numId="11">
    <w:abstractNumId w:val="12"/>
  </w:num>
  <w:num w:numId="12">
    <w:abstractNumId w:val="9"/>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DexNDKxsDAzMzQxMjZV0lEKTi0uzszPAykwrAUA+2CnTywAAAA="/>
  </w:docVars>
  <w:rsids>
    <w:rsidRoot w:val="00950AAE"/>
    <w:rsid w:val="00010614"/>
    <w:rsid w:val="00055655"/>
    <w:rsid w:val="00095B5D"/>
    <w:rsid w:val="000D7D80"/>
    <w:rsid w:val="000E79C6"/>
    <w:rsid w:val="0010010D"/>
    <w:rsid w:val="00106D5F"/>
    <w:rsid w:val="00111DF4"/>
    <w:rsid w:val="001315C6"/>
    <w:rsid w:val="00156474"/>
    <w:rsid w:val="00162AA4"/>
    <w:rsid w:val="00171DDC"/>
    <w:rsid w:val="001E7B8F"/>
    <w:rsid w:val="0020089B"/>
    <w:rsid w:val="00200F54"/>
    <w:rsid w:val="0022795E"/>
    <w:rsid w:val="002338A4"/>
    <w:rsid w:val="00236600"/>
    <w:rsid w:val="002461B7"/>
    <w:rsid w:val="00253AD4"/>
    <w:rsid w:val="002576AF"/>
    <w:rsid w:val="002706FB"/>
    <w:rsid w:val="002A7BA2"/>
    <w:rsid w:val="002C055D"/>
    <w:rsid w:val="003154CC"/>
    <w:rsid w:val="00320768"/>
    <w:rsid w:val="00336B59"/>
    <w:rsid w:val="004F6B6B"/>
    <w:rsid w:val="00503AE8"/>
    <w:rsid w:val="00513C20"/>
    <w:rsid w:val="00564321"/>
    <w:rsid w:val="005D68A2"/>
    <w:rsid w:val="0060100E"/>
    <w:rsid w:val="00613795"/>
    <w:rsid w:val="00632FBE"/>
    <w:rsid w:val="006776B4"/>
    <w:rsid w:val="006972EA"/>
    <w:rsid w:val="00720886"/>
    <w:rsid w:val="00737307"/>
    <w:rsid w:val="00761441"/>
    <w:rsid w:val="00782B6C"/>
    <w:rsid w:val="007E3E23"/>
    <w:rsid w:val="00806264"/>
    <w:rsid w:val="008535BA"/>
    <w:rsid w:val="00855098"/>
    <w:rsid w:val="008B771C"/>
    <w:rsid w:val="008C0D68"/>
    <w:rsid w:val="008E075D"/>
    <w:rsid w:val="00916C2E"/>
    <w:rsid w:val="009256BA"/>
    <w:rsid w:val="009379F9"/>
    <w:rsid w:val="00950AAE"/>
    <w:rsid w:val="00970AD7"/>
    <w:rsid w:val="0097244C"/>
    <w:rsid w:val="0097306D"/>
    <w:rsid w:val="00973919"/>
    <w:rsid w:val="009B35AF"/>
    <w:rsid w:val="009F1541"/>
    <w:rsid w:val="009F51AF"/>
    <w:rsid w:val="00A04848"/>
    <w:rsid w:val="00AC59FD"/>
    <w:rsid w:val="00AE6C69"/>
    <w:rsid w:val="00AF3E3E"/>
    <w:rsid w:val="00AF6691"/>
    <w:rsid w:val="00B54E20"/>
    <w:rsid w:val="00BD069F"/>
    <w:rsid w:val="00BE2D5F"/>
    <w:rsid w:val="00C026E2"/>
    <w:rsid w:val="00C05C55"/>
    <w:rsid w:val="00CB4879"/>
    <w:rsid w:val="00CB6C18"/>
    <w:rsid w:val="00CD2EBA"/>
    <w:rsid w:val="00D3519D"/>
    <w:rsid w:val="00DB1CD4"/>
    <w:rsid w:val="00DD359A"/>
    <w:rsid w:val="00E24631"/>
    <w:rsid w:val="00E277D7"/>
    <w:rsid w:val="00E75D1B"/>
    <w:rsid w:val="00E97FE4"/>
    <w:rsid w:val="00F162D5"/>
    <w:rsid w:val="00F24CE7"/>
    <w:rsid w:val="00F25464"/>
    <w:rsid w:val="00F57F47"/>
    <w:rsid w:val="00FB6168"/>
    <w:rsid w:val="00FD2893"/>
    <w:rsid w:val="00FD377D"/>
    <w:rsid w:val="00FE7E1E"/>
    <w:rsid w:val="1F0803C0"/>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imes New Roman"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0" w:line="360" w:lineRule="auto"/>
      <w:jc w:val="both"/>
    </w:pPr>
    <w:rPr>
      <w:rFonts w:ascii="Times New Roman" w:hAnsi="Times New Roman" w:eastAsia="Times New Roman" w:cs="Times New Roman"/>
      <w:sz w:val="24"/>
      <w:szCs w:val="22"/>
      <w:lang w:val="en-GB" w:eastAsia="en-GB" w:bidi="ar-SA"/>
    </w:rPr>
  </w:style>
  <w:style w:type="paragraph" w:styleId="2">
    <w:name w:val="heading 1"/>
    <w:basedOn w:val="1"/>
    <w:next w:val="1"/>
    <w:link w:val="19"/>
    <w:autoRedefine/>
    <w:qFormat/>
    <w:uiPriority w:val="9"/>
    <w:pPr>
      <w:keepNext/>
      <w:keepLines/>
      <w:spacing w:after="240"/>
      <w:outlineLvl w:val="0"/>
    </w:pPr>
    <w:rPr>
      <w:rFonts w:eastAsiaTheme="majorEastAsia" w:cstheme="majorBidi"/>
      <w:b/>
      <w:bCs/>
      <w:color w:val="31849B"/>
      <w:sz w:val="32"/>
      <w:szCs w:val="32"/>
      <w:lang w:eastAsia="en-US"/>
    </w:rPr>
  </w:style>
  <w:style w:type="paragraph" w:styleId="3">
    <w:name w:val="heading 2"/>
    <w:basedOn w:val="1"/>
    <w:next w:val="1"/>
    <w:link w:val="20"/>
    <w:autoRedefine/>
    <w:unhideWhenUsed/>
    <w:qFormat/>
    <w:uiPriority w:val="0"/>
    <w:pPr>
      <w:keepNext/>
      <w:keepLines/>
      <w:spacing w:before="160" w:after="80"/>
      <w:outlineLvl w:val="1"/>
    </w:pPr>
    <w:rPr>
      <w:rFonts w:eastAsiaTheme="majorEastAsia" w:cstheme="majorBidi"/>
      <w:b/>
      <w:color w:val="2E75B6" w:themeColor="accent5" w:themeShade="BF"/>
      <w:sz w:val="28"/>
      <w:szCs w:val="32"/>
      <w:lang w:eastAsia="en-US"/>
    </w:rPr>
  </w:style>
  <w:style w:type="paragraph" w:styleId="4">
    <w:name w:val="heading 3"/>
    <w:basedOn w:val="1"/>
    <w:next w:val="1"/>
    <w:link w:val="21"/>
    <w:autoRedefine/>
    <w:unhideWhenUsed/>
    <w:qFormat/>
    <w:uiPriority w:val="9"/>
    <w:pPr>
      <w:keepNext/>
      <w:keepLines/>
      <w:spacing w:before="40"/>
      <w:outlineLvl w:val="2"/>
    </w:pPr>
    <w:rPr>
      <w:rFonts w:eastAsiaTheme="majorEastAsia"/>
      <w:b/>
      <w:color w:val="00B0F0"/>
      <w:sz w:val="28"/>
      <w:szCs w:val="28"/>
      <w:lang w:eastAsia="en-US"/>
    </w:rPr>
  </w:style>
  <w:style w:type="paragraph" w:styleId="5">
    <w:name w:val="heading 4"/>
    <w:basedOn w:val="1"/>
    <w:next w:val="1"/>
    <w:link w:val="28"/>
    <w:unhideWhenUsed/>
    <w:qFormat/>
    <w:uiPriority w:val="9"/>
    <w:pPr>
      <w:keepNext/>
      <w:keepLines/>
      <w:spacing w:before="40"/>
      <w:outlineLvl w:val="3"/>
    </w:pPr>
    <w:rPr>
      <w:rFonts w:asciiTheme="majorHAnsi" w:hAnsiTheme="majorHAnsi" w:eastAsiaTheme="majorEastAsia" w:cstheme="majorBidi"/>
      <w:i/>
      <w:iCs/>
      <w:color w:val="2F5597" w:themeColor="accent1" w:themeShade="BF"/>
    </w:rPr>
  </w:style>
  <w:style w:type="character" w:default="1" w:styleId="6">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30"/>
    <w:semiHidden/>
    <w:unhideWhenUsed/>
    <w:qFormat/>
    <w:uiPriority w:val="99"/>
    <w:pPr>
      <w:spacing w:line="240" w:lineRule="auto"/>
    </w:pPr>
    <w:rPr>
      <w:rFonts w:ascii="Tahoma" w:hAnsi="Tahoma" w:cs="Tahoma"/>
      <w:sz w:val="16"/>
      <w:szCs w:val="16"/>
    </w:rPr>
  </w:style>
  <w:style w:type="character" w:styleId="9">
    <w:name w:val="Emphasis"/>
    <w:basedOn w:val="6"/>
    <w:qFormat/>
    <w:uiPriority w:val="20"/>
    <w:rPr>
      <w:i/>
      <w:iCs/>
    </w:rPr>
  </w:style>
  <w:style w:type="paragraph" w:styleId="10">
    <w:name w:val="footer"/>
    <w:basedOn w:val="1"/>
    <w:link w:val="24"/>
    <w:unhideWhenUsed/>
    <w:qFormat/>
    <w:uiPriority w:val="99"/>
    <w:pPr>
      <w:tabs>
        <w:tab w:val="center" w:pos="4513"/>
        <w:tab w:val="right" w:pos="9026"/>
      </w:tabs>
      <w:spacing w:line="240" w:lineRule="auto"/>
    </w:pPr>
  </w:style>
  <w:style w:type="paragraph" w:styleId="11">
    <w:name w:val="header"/>
    <w:basedOn w:val="1"/>
    <w:link w:val="23"/>
    <w:unhideWhenUsed/>
    <w:qFormat/>
    <w:uiPriority w:val="99"/>
    <w:pPr>
      <w:tabs>
        <w:tab w:val="center" w:pos="4513"/>
        <w:tab w:val="right" w:pos="9026"/>
      </w:tabs>
      <w:spacing w:line="240" w:lineRule="auto"/>
    </w:pPr>
  </w:style>
  <w:style w:type="character" w:styleId="12">
    <w:name w:val="Hyperlink"/>
    <w:basedOn w:val="6"/>
    <w:unhideWhenUsed/>
    <w:qFormat/>
    <w:uiPriority w:val="99"/>
    <w:rPr>
      <w:color w:val="0563C1" w:themeColor="hyperlink"/>
      <w:u w:val="single"/>
      <w14:textFill>
        <w14:solidFill>
          <w14:schemeClr w14:val="hlink"/>
        </w14:solidFill>
      </w14:textFill>
    </w:rPr>
  </w:style>
  <w:style w:type="paragraph" w:styleId="13">
    <w:name w:val="Normal (Web)"/>
    <w:basedOn w:val="1"/>
    <w:unhideWhenUsed/>
    <w:qFormat/>
    <w:uiPriority w:val="99"/>
    <w:pPr>
      <w:spacing w:before="100" w:beforeAutospacing="1" w:after="100" w:afterAutospacing="1" w:line="240" w:lineRule="auto"/>
      <w:jc w:val="left"/>
    </w:pPr>
    <w:rPr>
      <w:szCs w:val="24"/>
    </w:rPr>
  </w:style>
  <w:style w:type="character" w:styleId="14">
    <w:name w:val="Strong"/>
    <w:basedOn w:val="6"/>
    <w:qFormat/>
    <w:uiPriority w:val="22"/>
    <w:rPr>
      <w:b/>
      <w:bCs/>
    </w:rPr>
  </w:style>
  <w:style w:type="table" w:styleId="15">
    <w:name w:val="Table Grid"/>
    <w:basedOn w:val="7"/>
    <w:qFormat/>
    <w:uiPriority w:val="39"/>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oc 1"/>
    <w:basedOn w:val="1"/>
    <w:next w:val="1"/>
    <w:autoRedefine/>
    <w:unhideWhenUsed/>
    <w:qFormat/>
    <w:uiPriority w:val="39"/>
    <w:pPr>
      <w:spacing w:after="100"/>
    </w:pPr>
  </w:style>
  <w:style w:type="paragraph" w:styleId="17">
    <w:name w:val="toc 2"/>
    <w:basedOn w:val="1"/>
    <w:next w:val="1"/>
    <w:autoRedefine/>
    <w:unhideWhenUsed/>
    <w:qFormat/>
    <w:uiPriority w:val="39"/>
    <w:pPr>
      <w:spacing w:after="100"/>
      <w:ind w:left="240"/>
    </w:pPr>
  </w:style>
  <w:style w:type="paragraph" w:styleId="18">
    <w:name w:val="toc 3"/>
    <w:basedOn w:val="1"/>
    <w:next w:val="1"/>
    <w:autoRedefine/>
    <w:unhideWhenUsed/>
    <w:uiPriority w:val="39"/>
    <w:pPr>
      <w:spacing w:after="100"/>
      <w:ind w:left="480"/>
    </w:pPr>
  </w:style>
  <w:style w:type="character" w:customStyle="1" w:styleId="19">
    <w:name w:val="Heading 1 Char"/>
    <w:basedOn w:val="6"/>
    <w:link w:val="2"/>
    <w:qFormat/>
    <w:uiPriority w:val="9"/>
    <w:rPr>
      <w:rFonts w:ascii="Times New Roman" w:hAnsi="Times New Roman" w:eastAsiaTheme="majorEastAsia" w:cstheme="majorBidi"/>
      <w:b/>
      <w:bCs/>
      <w:color w:val="31849B"/>
      <w:sz w:val="32"/>
      <w:szCs w:val="32"/>
    </w:rPr>
  </w:style>
  <w:style w:type="character" w:customStyle="1" w:styleId="20">
    <w:name w:val="Heading 2 Char"/>
    <w:basedOn w:val="6"/>
    <w:link w:val="3"/>
    <w:qFormat/>
    <w:uiPriority w:val="0"/>
    <w:rPr>
      <w:rFonts w:ascii="Times New Roman" w:hAnsi="Times New Roman" w:eastAsiaTheme="majorEastAsia" w:cstheme="majorBidi"/>
      <w:b/>
      <w:color w:val="2E75B6" w:themeColor="accent5" w:themeShade="BF"/>
      <w:sz w:val="28"/>
      <w:szCs w:val="32"/>
    </w:rPr>
  </w:style>
  <w:style w:type="character" w:customStyle="1" w:styleId="21">
    <w:name w:val="Heading 3 Char"/>
    <w:basedOn w:val="6"/>
    <w:link w:val="4"/>
    <w:qFormat/>
    <w:uiPriority w:val="9"/>
    <w:rPr>
      <w:rFonts w:ascii="Times New Roman" w:hAnsi="Times New Roman" w:cs="Times New Roman" w:eastAsiaTheme="majorEastAsia"/>
      <w:b/>
      <w:color w:val="00B0F0"/>
      <w:sz w:val="28"/>
      <w:szCs w:val="28"/>
    </w:rPr>
  </w:style>
  <w:style w:type="paragraph" w:styleId="22">
    <w:name w:val="No Spacing"/>
    <w:autoRedefine/>
    <w:qFormat/>
    <w:uiPriority w:val="1"/>
    <w:pPr>
      <w:spacing w:before="0" w:after="0" w:line="240" w:lineRule="auto"/>
      <w:jc w:val="both"/>
    </w:pPr>
    <w:rPr>
      <w:rFonts w:ascii="Times New Roman" w:hAnsi="Times New Roman" w:eastAsia="Times New Roman" w:cstheme="minorBidi"/>
      <w:sz w:val="24"/>
      <w:szCs w:val="22"/>
      <w:lang w:val="en-US" w:eastAsia="en-US" w:bidi="ar-SA"/>
    </w:rPr>
  </w:style>
  <w:style w:type="character" w:customStyle="1" w:styleId="23">
    <w:name w:val="Header Char"/>
    <w:basedOn w:val="6"/>
    <w:link w:val="11"/>
    <w:qFormat/>
    <w:uiPriority w:val="99"/>
    <w:rPr>
      <w:rFonts w:ascii="Times New Roman" w:hAnsi="Times New Roman" w:cs="Times New Roman"/>
      <w:sz w:val="24"/>
      <w:lang w:eastAsia="en-GB"/>
    </w:rPr>
  </w:style>
  <w:style w:type="character" w:customStyle="1" w:styleId="24">
    <w:name w:val="Footer Char"/>
    <w:basedOn w:val="6"/>
    <w:link w:val="10"/>
    <w:qFormat/>
    <w:uiPriority w:val="99"/>
    <w:rPr>
      <w:rFonts w:ascii="Times New Roman" w:hAnsi="Times New Roman" w:cs="Times New Roman"/>
      <w:sz w:val="24"/>
      <w:lang w:eastAsia="en-GB"/>
    </w:rPr>
  </w:style>
  <w:style w:type="character" w:customStyle="1" w:styleId="25">
    <w:name w:val="List Paragraph Char"/>
    <w:basedOn w:val="6"/>
    <w:link w:val="26"/>
    <w:qFormat/>
    <w:locked/>
    <w:uiPriority w:val="1"/>
    <w:rPr>
      <w:lang w:eastAsia="en-GB"/>
    </w:rPr>
  </w:style>
  <w:style w:type="paragraph" w:styleId="26">
    <w:name w:val="List Paragraph"/>
    <w:basedOn w:val="1"/>
    <w:link w:val="25"/>
    <w:qFormat/>
    <w:uiPriority w:val="1"/>
    <w:pPr>
      <w:spacing w:line="240" w:lineRule="auto"/>
      <w:ind w:left="720"/>
      <w:contextualSpacing/>
      <w:jc w:val="left"/>
    </w:pPr>
    <w:rPr>
      <w:rFonts w:asciiTheme="minorHAnsi" w:hAnsiTheme="minorHAnsi" w:cstheme="minorBidi"/>
      <w:sz w:val="22"/>
    </w:rPr>
  </w:style>
  <w:style w:type="character" w:customStyle="1" w:styleId="27">
    <w:name w:val="vkekvd"/>
    <w:basedOn w:val="6"/>
    <w:uiPriority w:val="0"/>
  </w:style>
  <w:style w:type="character" w:customStyle="1" w:styleId="28">
    <w:name w:val="Heading 4 Char"/>
    <w:basedOn w:val="6"/>
    <w:link w:val="5"/>
    <w:uiPriority w:val="9"/>
    <w:rPr>
      <w:rFonts w:asciiTheme="majorHAnsi" w:hAnsiTheme="majorHAnsi" w:eastAsiaTheme="majorEastAsia" w:cstheme="majorBidi"/>
      <w:i/>
      <w:iCs/>
      <w:color w:val="2F5597" w:themeColor="accent1" w:themeShade="BF"/>
      <w:sz w:val="24"/>
      <w:lang w:eastAsia="en-GB"/>
    </w:rPr>
  </w:style>
  <w:style w:type="paragraph" w:customStyle="1" w:styleId="29">
    <w:name w:val="TOC Heading"/>
    <w:basedOn w:val="2"/>
    <w:next w:val="1"/>
    <w:unhideWhenUsed/>
    <w:qFormat/>
    <w:uiPriority w:val="39"/>
    <w:pPr>
      <w:spacing w:before="240" w:after="0" w:line="259" w:lineRule="auto"/>
      <w:jc w:val="left"/>
      <w:outlineLvl w:val="9"/>
    </w:pPr>
    <w:rPr>
      <w:rFonts w:asciiTheme="majorHAnsi" w:hAnsiTheme="majorHAnsi"/>
      <w:b w:val="0"/>
      <w:bCs w:val="0"/>
      <w:color w:val="2F5597" w:themeColor="accent1" w:themeShade="BF"/>
      <w:lang w:val="en-US"/>
    </w:rPr>
  </w:style>
  <w:style w:type="character" w:customStyle="1" w:styleId="30">
    <w:name w:val="Balloon Text Char"/>
    <w:basedOn w:val="6"/>
    <w:link w:val="8"/>
    <w:semiHidden/>
    <w:qFormat/>
    <w:uiPriority w:val="99"/>
    <w:rPr>
      <w:rFonts w:ascii="Tahoma" w:hAnsi="Tahoma" w:cs="Tahoma"/>
      <w:sz w:val="16"/>
      <w:szCs w:val="16"/>
      <w:lang w:eastAsia="en-GB"/>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5" Type="http://schemas.openxmlformats.org/officeDocument/2006/relationships/fontTable" Target="fontTable.xml"/><Relationship Id="rId24" Type="http://schemas.openxmlformats.org/officeDocument/2006/relationships/customXml" Target="../customXml/item1.xml"/><Relationship Id="rId23" Type="http://schemas.openxmlformats.org/officeDocument/2006/relationships/numbering" Target="numbering.xml"/><Relationship Id="rId22" Type="http://schemas.openxmlformats.org/officeDocument/2006/relationships/image" Target="media/image10.png"/><Relationship Id="rId21" Type="http://schemas.openxmlformats.org/officeDocument/2006/relationships/image" Target="media/image9.png"/><Relationship Id="rId20" Type="http://schemas.openxmlformats.org/officeDocument/2006/relationships/image" Target="media/image8.png"/><Relationship Id="rId2" Type="http://schemas.openxmlformats.org/officeDocument/2006/relationships/settings" Target="settings.xml"/><Relationship Id="rId19" Type="http://schemas.openxmlformats.org/officeDocument/2006/relationships/image" Target="media/image7.jpeg"/><Relationship Id="rId18" Type="http://schemas.openxmlformats.org/officeDocument/2006/relationships/image" Target="media/image6.png"/><Relationship Id="rId17" Type="http://schemas.openxmlformats.org/officeDocument/2006/relationships/image" Target="media/image5.png"/><Relationship Id="rId16"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image" Target="media/image2.png"/><Relationship Id="rId13" Type="http://schemas.openxmlformats.org/officeDocument/2006/relationships/image" Target="cid:image001.png@01D0EA4A.2BD679A0" TargetMode="External"/><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D44C7-C434-4713-9C97-BF9DBA655C27}">
  <ds:schemaRefs/>
</ds:datastoreItem>
</file>

<file path=docProps/app.xml><?xml version="1.0" encoding="utf-8"?>
<Properties xmlns="http://schemas.openxmlformats.org/officeDocument/2006/extended-properties" xmlns:vt="http://schemas.openxmlformats.org/officeDocument/2006/docPropsVTypes">
  <Template>Normal</Template>
  <Pages>33</Pages>
  <Words>7133</Words>
  <Characters>40660</Characters>
  <Lines>338</Lines>
  <Paragraphs>95</Paragraphs>
  <TotalTime>3978</TotalTime>
  <ScaleCrop>false</ScaleCrop>
  <LinksUpToDate>false</LinksUpToDate>
  <CharactersWithSpaces>47698</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2026-03-10T06:37:00Z</dcterms:created>
  <dcterms:modified xsi:type="dcterms:W3CDTF">2026-03-31T07:50:04Z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C1A0D570FF5048D8BA214CD8EC3D8C71_12</vt:lpwstr>
  </property>
</Properties>
</file>