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9430B" w14:textId="537818A4" w:rsidR="00044FC6" w:rsidRDefault="00044FC6">
      <w:pPr>
        <w:rPr>
          <w:b/>
          <w:bCs/>
        </w:rPr>
      </w:pPr>
    </w:p>
    <w:p w14:paraId="03F78ADF" w14:textId="0ED857CF" w:rsidR="00044FC6" w:rsidRDefault="00044FC6" w:rsidP="00044FC6">
      <w:pPr>
        <w:jc w:val="center"/>
        <w:rPr>
          <w:b/>
          <w:bCs/>
        </w:rPr>
      </w:pPr>
      <w:r>
        <w:rPr>
          <w:rFonts w:ascii="Times New Roman"/>
          <w:noProof/>
          <w:sz w:val="20"/>
          <w:lang w:val="en-IN"/>
        </w:rPr>
        <w:drawing>
          <wp:inline distT="0" distB="0" distL="0" distR="0" wp14:anchorId="1CAD51BB" wp14:editId="0EB3EC79">
            <wp:extent cx="1854200" cy="792480"/>
            <wp:effectExtent l="0" t="0" r="0" b="7620"/>
            <wp:docPr id="1057311790"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7" cstate="print"/>
                    <a:stretch>
                      <a:fillRect/>
                    </a:stretch>
                  </pic:blipFill>
                  <pic:spPr>
                    <a:xfrm>
                      <a:off x="0" y="0"/>
                      <a:ext cx="1854799" cy="792736"/>
                    </a:xfrm>
                    <a:prstGeom prst="rect">
                      <a:avLst/>
                    </a:prstGeom>
                  </pic:spPr>
                </pic:pic>
              </a:graphicData>
            </a:graphic>
          </wp:inline>
        </w:drawing>
      </w:r>
    </w:p>
    <w:p w14:paraId="2783A1B2" w14:textId="77777777" w:rsidR="0042144F" w:rsidRDefault="0042144F" w:rsidP="00044FC6">
      <w:pPr>
        <w:jc w:val="center"/>
        <w:rPr>
          <w:b/>
          <w:bCs/>
        </w:rPr>
      </w:pPr>
    </w:p>
    <w:p w14:paraId="7FDEE4EE" w14:textId="77777777" w:rsidR="0042144F" w:rsidRDefault="0042144F" w:rsidP="00044FC6">
      <w:pPr>
        <w:jc w:val="center"/>
        <w:rPr>
          <w:b/>
          <w:bCs/>
        </w:rPr>
      </w:pPr>
    </w:p>
    <w:p w14:paraId="2501724D" w14:textId="77777777" w:rsidR="0042144F" w:rsidRDefault="0042144F" w:rsidP="00044FC6">
      <w:pPr>
        <w:jc w:val="center"/>
        <w:rPr>
          <w:b/>
          <w:bCs/>
        </w:rPr>
      </w:pPr>
    </w:p>
    <w:p w14:paraId="310BCBDF" w14:textId="77777777" w:rsidR="00044FC6" w:rsidRDefault="00044FC6" w:rsidP="00044FC6">
      <w:pPr>
        <w:jc w:val="center"/>
        <w:rPr>
          <w:b/>
          <w:bCs/>
        </w:rPr>
      </w:pP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4"/>
        <w:gridCol w:w="2268"/>
        <w:gridCol w:w="1981"/>
      </w:tblGrid>
      <w:tr w:rsidR="00044FC6" w:rsidRPr="00044FC6" w14:paraId="7E39274A" w14:textId="77777777" w:rsidTr="00044FC6">
        <w:trPr>
          <w:trHeight w:val="494"/>
        </w:trPr>
        <w:tc>
          <w:tcPr>
            <w:tcW w:w="2096" w:type="dxa"/>
          </w:tcPr>
          <w:p w14:paraId="536DDD47" w14:textId="77777777" w:rsidR="00044FC6" w:rsidRPr="00044FC6" w:rsidRDefault="00044FC6" w:rsidP="009B04C3">
            <w:pPr>
              <w:pStyle w:val="TableParagraph"/>
              <w:spacing w:before="120"/>
              <w:rPr>
                <w:rFonts w:ascii="Arial"/>
                <w:b/>
                <w:sz w:val="20"/>
                <w:szCs w:val="20"/>
              </w:rPr>
            </w:pPr>
            <w:r w:rsidRPr="00044FC6">
              <w:rPr>
                <w:rFonts w:ascii="Arial"/>
                <w:b/>
                <w:sz w:val="20"/>
                <w:szCs w:val="20"/>
              </w:rPr>
              <w:t>Student</w:t>
            </w:r>
            <w:r w:rsidRPr="00044FC6">
              <w:rPr>
                <w:rFonts w:ascii="Arial"/>
                <w:b/>
                <w:spacing w:val="-3"/>
                <w:sz w:val="20"/>
                <w:szCs w:val="20"/>
              </w:rPr>
              <w:t xml:space="preserve"> </w:t>
            </w:r>
            <w:r w:rsidRPr="00044FC6">
              <w:rPr>
                <w:rFonts w:ascii="Arial"/>
                <w:b/>
                <w:spacing w:val="-2"/>
                <w:sz w:val="20"/>
                <w:szCs w:val="20"/>
              </w:rPr>
              <w:t>name:</w:t>
            </w:r>
          </w:p>
        </w:tc>
        <w:tc>
          <w:tcPr>
            <w:tcW w:w="3294" w:type="dxa"/>
          </w:tcPr>
          <w:p w14:paraId="38CED64B" w14:textId="4E1448F6" w:rsidR="00044FC6" w:rsidRPr="00CA5C7B" w:rsidRDefault="00CA5C7B" w:rsidP="009B04C3">
            <w:pPr>
              <w:pStyle w:val="TableParagraph"/>
              <w:ind w:left="0"/>
              <w:rPr>
                <w:rFonts w:ascii="Arial" w:hAnsi="Arial" w:cs="Arial"/>
                <w:b/>
                <w:bCs/>
                <w:sz w:val="20"/>
                <w:szCs w:val="20"/>
              </w:rPr>
            </w:pPr>
            <w:r>
              <w:rPr>
                <w:rFonts w:ascii="Times New Roman"/>
                <w:sz w:val="20"/>
                <w:szCs w:val="20"/>
              </w:rPr>
              <w:t xml:space="preserve"> </w:t>
            </w:r>
            <w:r>
              <w:rPr>
                <w:rFonts w:ascii="Arial" w:hAnsi="Arial" w:cs="Arial"/>
                <w:b/>
                <w:bCs/>
                <w:sz w:val="20"/>
                <w:szCs w:val="20"/>
              </w:rPr>
              <w:t>Vaibhavi Hardik Barot</w:t>
            </w:r>
          </w:p>
        </w:tc>
        <w:tc>
          <w:tcPr>
            <w:tcW w:w="2268" w:type="dxa"/>
            <w:shd w:val="clear" w:color="auto" w:fill="D9D9D9"/>
          </w:tcPr>
          <w:p w14:paraId="71FFCB7E" w14:textId="77777777" w:rsidR="00044FC6" w:rsidRPr="00044FC6" w:rsidRDefault="00044FC6" w:rsidP="009B04C3">
            <w:pPr>
              <w:pStyle w:val="TableParagraph"/>
              <w:spacing w:before="120"/>
              <w:rPr>
                <w:rFonts w:ascii="Arial"/>
                <w:b/>
                <w:sz w:val="20"/>
                <w:szCs w:val="20"/>
              </w:rPr>
            </w:pPr>
            <w:r w:rsidRPr="00044FC6">
              <w:rPr>
                <w:rFonts w:ascii="Arial"/>
                <w:b/>
                <w:sz w:val="20"/>
                <w:szCs w:val="20"/>
              </w:rPr>
              <w:t>Student</w:t>
            </w:r>
            <w:r w:rsidRPr="00044FC6">
              <w:rPr>
                <w:rFonts w:ascii="Arial"/>
                <w:b/>
                <w:spacing w:val="-3"/>
                <w:sz w:val="20"/>
                <w:szCs w:val="20"/>
              </w:rPr>
              <w:t xml:space="preserve"> </w:t>
            </w:r>
            <w:r w:rsidRPr="00044FC6">
              <w:rPr>
                <w:rFonts w:ascii="Arial"/>
                <w:b/>
                <w:sz w:val="20"/>
                <w:szCs w:val="20"/>
              </w:rPr>
              <w:t>ID</w:t>
            </w:r>
            <w:r w:rsidRPr="00044FC6">
              <w:rPr>
                <w:rFonts w:ascii="Arial"/>
                <w:b/>
                <w:spacing w:val="-2"/>
                <w:sz w:val="20"/>
                <w:szCs w:val="20"/>
              </w:rPr>
              <w:t xml:space="preserve"> number:</w:t>
            </w:r>
          </w:p>
        </w:tc>
        <w:tc>
          <w:tcPr>
            <w:tcW w:w="1981" w:type="dxa"/>
          </w:tcPr>
          <w:p w14:paraId="7D2E8F37" w14:textId="5DC08CBD" w:rsidR="00044FC6" w:rsidRPr="00CA5C7B" w:rsidRDefault="00CA5C7B" w:rsidP="009B04C3">
            <w:pPr>
              <w:pStyle w:val="TableParagraph"/>
              <w:ind w:left="0"/>
              <w:rPr>
                <w:rFonts w:ascii="Arial" w:hAnsi="Arial" w:cs="Arial"/>
                <w:b/>
                <w:bCs/>
                <w:sz w:val="20"/>
                <w:szCs w:val="20"/>
              </w:rPr>
            </w:pPr>
            <w:r>
              <w:rPr>
                <w:rFonts w:ascii="Times New Roman"/>
                <w:sz w:val="20"/>
                <w:szCs w:val="20"/>
              </w:rPr>
              <w:t xml:space="preserve"> </w:t>
            </w:r>
            <w:r>
              <w:rPr>
                <w:rFonts w:ascii="Arial" w:hAnsi="Arial" w:cs="Arial"/>
                <w:b/>
                <w:bCs/>
                <w:sz w:val="20"/>
                <w:szCs w:val="20"/>
              </w:rPr>
              <w:t>2539619</w:t>
            </w:r>
          </w:p>
        </w:tc>
      </w:tr>
      <w:tr w:rsidR="00044FC6" w:rsidRPr="00044FC6" w14:paraId="7464D896" w14:textId="77777777" w:rsidTr="00044FC6">
        <w:trPr>
          <w:trHeight w:val="491"/>
        </w:trPr>
        <w:tc>
          <w:tcPr>
            <w:tcW w:w="2096" w:type="dxa"/>
          </w:tcPr>
          <w:p w14:paraId="71A53AE4" w14:textId="77777777" w:rsidR="00044FC6" w:rsidRPr="00044FC6" w:rsidRDefault="00044FC6" w:rsidP="009B04C3">
            <w:pPr>
              <w:pStyle w:val="TableParagraph"/>
              <w:spacing w:before="120"/>
              <w:rPr>
                <w:rFonts w:ascii="Arial"/>
                <w:b/>
                <w:sz w:val="20"/>
                <w:szCs w:val="20"/>
              </w:rPr>
            </w:pPr>
            <w:r w:rsidRPr="00044FC6">
              <w:rPr>
                <w:rFonts w:ascii="Arial"/>
                <w:b/>
                <w:spacing w:val="-2"/>
                <w:sz w:val="20"/>
                <w:szCs w:val="20"/>
              </w:rPr>
              <w:t>Programme:</w:t>
            </w:r>
          </w:p>
        </w:tc>
        <w:tc>
          <w:tcPr>
            <w:tcW w:w="7543" w:type="dxa"/>
            <w:gridSpan w:val="3"/>
          </w:tcPr>
          <w:p w14:paraId="6AD12427" w14:textId="77777777" w:rsidR="00044FC6" w:rsidRPr="00044FC6" w:rsidRDefault="00044FC6" w:rsidP="009B04C3">
            <w:pPr>
              <w:pStyle w:val="TableParagraph"/>
              <w:spacing w:before="120"/>
              <w:ind w:left="105"/>
              <w:rPr>
                <w:rFonts w:ascii="Arial"/>
                <w:b/>
                <w:sz w:val="20"/>
                <w:szCs w:val="20"/>
              </w:rPr>
            </w:pPr>
            <w:r w:rsidRPr="00044FC6">
              <w:rPr>
                <w:rFonts w:ascii="Arial"/>
                <w:b/>
                <w:sz w:val="20"/>
                <w:szCs w:val="20"/>
              </w:rPr>
              <w:t>MSc</w:t>
            </w:r>
            <w:r w:rsidRPr="00044FC6">
              <w:rPr>
                <w:rFonts w:ascii="Arial"/>
                <w:b/>
                <w:spacing w:val="-3"/>
                <w:sz w:val="20"/>
                <w:szCs w:val="20"/>
              </w:rPr>
              <w:t xml:space="preserve"> </w:t>
            </w:r>
            <w:r w:rsidRPr="00044FC6">
              <w:rPr>
                <w:rFonts w:ascii="Arial"/>
                <w:b/>
                <w:sz w:val="20"/>
                <w:szCs w:val="20"/>
              </w:rPr>
              <w:t>Public</w:t>
            </w:r>
            <w:r w:rsidRPr="00044FC6">
              <w:rPr>
                <w:rFonts w:ascii="Arial"/>
                <w:b/>
                <w:spacing w:val="-3"/>
                <w:sz w:val="20"/>
                <w:szCs w:val="20"/>
              </w:rPr>
              <w:t xml:space="preserve"> </w:t>
            </w:r>
            <w:r w:rsidRPr="00044FC6">
              <w:rPr>
                <w:rFonts w:ascii="Arial"/>
                <w:b/>
                <w:sz w:val="20"/>
                <w:szCs w:val="20"/>
              </w:rPr>
              <w:t>Health</w:t>
            </w:r>
            <w:r w:rsidRPr="00044FC6">
              <w:rPr>
                <w:rFonts w:ascii="Arial"/>
                <w:b/>
                <w:spacing w:val="-5"/>
                <w:sz w:val="20"/>
                <w:szCs w:val="20"/>
              </w:rPr>
              <w:t xml:space="preserve"> </w:t>
            </w:r>
            <w:r w:rsidRPr="00044FC6">
              <w:rPr>
                <w:rFonts w:ascii="Arial"/>
                <w:b/>
                <w:sz w:val="20"/>
                <w:szCs w:val="20"/>
              </w:rPr>
              <w:t>and</w:t>
            </w:r>
            <w:r w:rsidRPr="00044FC6">
              <w:rPr>
                <w:rFonts w:ascii="Arial"/>
                <w:b/>
                <w:spacing w:val="-4"/>
                <w:sz w:val="20"/>
                <w:szCs w:val="20"/>
              </w:rPr>
              <w:t xml:space="preserve"> </w:t>
            </w:r>
            <w:r w:rsidRPr="00044FC6">
              <w:rPr>
                <w:rFonts w:ascii="Arial"/>
                <w:b/>
                <w:sz w:val="20"/>
                <w:szCs w:val="20"/>
              </w:rPr>
              <w:t>Social</w:t>
            </w:r>
            <w:r w:rsidRPr="00044FC6">
              <w:rPr>
                <w:rFonts w:ascii="Arial"/>
                <w:b/>
                <w:spacing w:val="-2"/>
                <w:sz w:val="20"/>
                <w:szCs w:val="20"/>
              </w:rPr>
              <w:t xml:space="preserve"> </w:t>
            </w:r>
            <w:r w:rsidRPr="00044FC6">
              <w:rPr>
                <w:rFonts w:ascii="Arial"/>
                <w:b/>
                <w:sz w:val="20"/>
                <w:szCs w:val="20"/>
              </w:rPr>
              <w:t>Care</w:t>
            </w:r>
            <w:r w:rsidRPr="00044FC6">
              <w:rPr>
                <w:rFonts w:ascii="Arial"/>
                <w:b/>
                <w:spacing w:val="-5"/>
                <w:sz w:val="20"/>
                <w:szCs w:val="20"/>
              </w:rPr>
              <w:t xml:space="preserve"> </w:t>
            </w:r>
            <w:r w:rsidRPr="00044FC6">
              <w:rPr>
                <w:rFonts w:ascii="Arial"/>
                <w:b/>
                <w:sz w:val="20"/>
                <w:szCs w:val="20"/>
              </w:rPr>
              <w:t>in</w:t>
            </w:r>
            <w:r w:rsidRPr="00044FC6">
              <w:rPr>
                <w:rFonts w:ascii="Arial"/>
                <w:b/>
                <w:spacing w:val="-2"/>
                <w:sz w:val="20"/>
                <w:szCs w:val="20"/>
              </w:rPr>
              <w:t xml:space="preserve"> Practice</w:t>
            </w:r>
          </w:p>
        </w:tc>
      </w:tr>
      <w:tr w:rsidR="00044FC6" w:rsidRPr="00044FC6" w14:paraId="42B3A5B0" w14:textId="77777777" w:rsidTr="00044FC6">
        <w:trPr>
          <w:trHeight w:val="494"/>
        </w:trPr>
        <w:tc>
          <w:tcPr>
            <w:tcW w:w="2096" w:type="dxa"/>
          </w:tcPr>
          <w:p w14:paraId="5BD5EC66" w14:textId="77777777" w:rsidR="00044FC6" w:rsidRPr="00044FC6" w:rsidRDefault="00044FC6" w:rsidP="009B04C3">
            <w:pPr>
              <w:pStyle w:val="TableParagraph"/>
              <w:spacing w:before="123"/>
              <w:rPr>
                <w:rFonts w:ascii="Arial"/>
                <w:b/>
                <w:sz w:val="20"/>
                <w:szCs w:val="20"/>
              </w:rPr>
            </w:pPr>
            <w:r w:rsidRPr="00044FC6">
              <w:rPr>
                <w:rFonts w:ascii="Arial"/>
                <w:b/>
                <w:spacing w:val="-2"/>
                <w:sz w:val="20"/>
                <w:szCs w:val="20"/>
              </w:rPr>
              <w:t>Module:</w:t>
            </w:r>
          </w:p>
        </w:tc>
        <w:tc>
          <w:tcPr>
            <w:tcW w:w="7543" w:type="dxa"/>
            <w:gridSpan w:val="3"/>
          </w:tcPr>
          <w:p w14:paraId="38DAF346" w14:textId="77777777" w:rsidR="00044FC6" w:rsidRPr="00044FC6" w:rsidRDefault="00044FC6" w:rsidP="009B04C3">
            <w:pPr>
              <w:pStyle w:val="TableParagraph"/>
              <w:spacing w:before="123"/>
              <w:ind w:left="105"/>
              <w:rPr>
                <w:rFonts w:ascii="Arial"/>
                <w:b/>
                <w:sz w:val="20"/>
                <w:szCs w:val="20"/>
              </w:rPr>
            </w:pPr>
            <w:r w:rsidRPr="00044FC6">
              <w:rPr>
                <w:rFonts w:ascii="Arial"/>
                <w:b/>
                <w:sz w:val="20"/>
                <w:szCs w:val="20"/>
              </w:rPr>
              <w:t>Social</w:t>
            </w:r>
            <w:r w:rsidRPr="00044FC6">
              <w:rPr>
                <w:rFonts w:ascii="Arial"/>
                <w:b/>
                <w:spacing w:val="-5"/>
                <w:sz w:val="20"/>
                <w:szCs w:val="20"/>
              </w:rPr>
              <w:t xml:space="preserve"> </w:t>
            </w:r>
            <w:r w:rsidRPr="00044FC6">
              <w:rPr>
                <w:rFonts w:ascii="Arial"/>
                <w:b/>
                <w:sz w:val="20"/>
                <w:szCs w:val="20"/>
              </w:rPr>
              <w:t>Epidemiology</w:t>
            </w:r>
            <w:r w:rsidRPr="00044FC6">
              <w:rPr>
                <w:rFonts w:ascii="Arial"/>
                <w:b/>
                <w:spacing w:val="-9"/>
                <w:sz w:val="20"/>
                <w:szCs w:val="20"/>
              </w:rPr>
              <w:t xml:space="preserve"> </w:t>
            </w:r>
            <w:r w:rsidRPr="00044FC6">
              <w:rPr>
                <w:rFonts w:ascii="Arial"/>
                <w:b/>
                <w:sz w:val="20"/>
                <w:szCs w:val="20"/>
              </w:rPr>
              <w:t>and</w:t>
            </w:r>
            <w:r w:rsidRPr="00044FC6">
              <w:rPr>
                <w:rFonts w:ascii="Arial"/>
                <w:b/>
                <w:spacing w:val="-5"/>
                <w:sz w:val="20"/>
                <w:szCs w:val="20"/>
              </w:rPr>
              <w:t xml:space="preserve"> </w:t>
            </w:r>
            <w:r w:rsidRPr="00044FC6">
              <w:rPr>
                <w:rFonts w:ascii="Arial"/>
                <w:b/>
                <w:sz w:val="20"/>
                <w:szCs w:val="20"/>
              </w:rPr>
              <w:t>Public</w:t>
            </w:r>
            <w:r w:rsidRPr="00044FC6">
              <w:rPr>
                <w:rFonts w:ascii="Arial"/>
                <w:b/>
                <w:spacing w:val="-8"/>
                <w:sz w:val="20"/>
                <w:szCs w:val="20"/>
              </w:rPr>
              <w:t xml:space="preserve"> </w:t>
            </w:r>
            <w:r w:rsidRPr="00044FC6">
              <w:rPr>
                <w:rFonts w:ascii="Arial"/>
                <w:b/>
                <w:sz w:val="20"/>
                <w:szCs w:val="20"/>
              </w:rPr>
              <w:t>Health</w:t>
            </w:r>
            <w:r w:rsidRPr="00044FC6">
              <w:rPr>
                <w:rFonts w:ascii="Arial"/>
                <w:b/>
                <w:spacing w:val="-5"/>
                <w:sz w:val="20"/>
                <w:szCs w:val="20"/>
              </w:rPr>
              <w:t xml:space="preserve"> </w:t>
            </w:r>
            <w:r w:rsidRPr="00044FC6">
              <w:rPr>
                <w:rFonts w:ascii="Arial"/>
                <w:b/>
                <w:spacing w:val="-2"/>
                <w:sz w:val="20"/>
                <w:szCs w:val="20"/>
              </w:rPr>
              <w:t>Development</w:t>
            </w:r>
          </w:p>
        </w:tc>
      </w:tr>
      <w:tr w:rsidR="00044FC6" w:rsidRPr="00044FC6" w14:paraId="1F09D2E9" w14:textId="77777777" w:rsidTr="00044FC6">
        <w:trPr>
          <w:trHeight w:val="865"/>
        </w:trPr>
        <w:tc>
          <w:tcPr>
            <w:tcW w:w="2096" w:type="dxa"/>
          </w:tcPr>
          <w:p w14:paraId="00E821F0" w14:textId="77777777" w:rsidR="00044FC6" w:rsidRPr="00044FC6" w:rsidRDefault="00044FC6" w:rsidP="009B04C3">
            <w:pPr>
              <w:pStyle w:val="TableParagraph"/>
              <w:spacing w:before="120"/>
              <w:rPr>
                <w:rFonts w:ascii="Arial"/>
                <w:b/>
                <w:sz w:val="20"/>
                <w:szCs w:val="20"/>
              </w:rPr>
            </w:pPr>
            <w:r w:rsidRPr="00044FC6">
              <w:rPr>
                <w:rFonts w:ascii="Arial"/>
                <w:b/>
                <w:sz w:val="20"/>
                <w:szCs w:val="20"/>
              </w:rPr>
              <w:t>Module</w:t>
            </w:r>
            <w:r w:rsidRPr="00044FC6">
              <w:rPr>
                <w:rFonts w:ascii="Arial"/>
                <w:b/>
                <w:spacing w:val="-8"/>
                <w:sz w:val="20"/>
                <w:szCs w:val="20"/>
              </w:rPr>
              <w:t xml:space="preserve"> </w:t>
            </w:r>
            <w:r w:rsidRPr="00044FC6">
              <w:rPr>
                <w:rFonts w:ascii="Arial"/>
                <w:b/>
                <w:spacing w:val="-2"/>
                <w:sz w:val="20"/>
                <w:szCs w:val="20"/>
              </w:rPr>
              <w:t>code:</w:t>
            </w:r>
          </w:p>
        </w:tc>
        <w:tc>
          <w:tcPr>
            <w:tcW w:w="3294" w:type="dxa"/>
          </w:tcPr>
          <w:p w14:paraId="646AB539" w14:textId="77777777" w:rsidR="00044FC6" w:rsidRPr="00044FC6" w:rsidRDefault="00044FC6" w:rsidP="009B04C3">
            <w:pPr>
              <w:pStyle w:val="TableParagraph"/>
              <w:spacing w:before="120"/>
              <w:ind w:left="105"/>
              <w:rPr>
                <w:rFonts w:ascii="Arial"/>
                <w:b/>
                <w:sz w:val="20"/>
                <w:szCs w:val="20"/>
              </w:rPr>
            </w:pPr>
            <w:r w:rsidRPr="00044FC6">
              <w:rPr>
                <w:rFonts w:ascii="Arial"/>
                <w:b/>
                <w:spacing w:val="-2"/>
                <w:sz w:val="20"/>
                <w:szCs w:val="20"/>
              </w:rPr>
              <w:t>LCHS7000</w:t>
            </w:r>
          </w:p>
        </w:tc>
        <w:tc>
          <w:tcPr>
            <w:tcW w:w="2268" w:type="dxa"/>
            <w:shd w:val="clear" w:color="auto" w:fill="D9D9D9"/>
          </w:tcPr>
          <w:p w14:paraId="6CB73F05" w14:textId="77777777" w:rsidR="00044FC6" w:rsidRPr="00044FC6" w:rsidRDefault="00044FC6" w:rsidP="009B04C3">
            <w:pPr>
              <w:pStyle w:val="TableParagraph"/>
              <w:ind w:right="94"/>
              <w:jc w:val="both"/>
              <w:rPr>
                <w:rFonts w:ascii="Arial"/>
                <w:b/>
                <w:sz w:val="20"/>
                <w:szCs w:val="20"/>
              </w:rPr>
            </w:pPr>
            <w:r w:rsidRPr="00044FC6">
              <w:rPr>
                <w:rFonts w:ascii="Arial"/>
                <w:b/>
                <w:sz w:val="20"/>
                <w:szCs w:val="20"/>
              </w:rPr>
              <w:t>Contribution to Overall Module Assessment (%):</w:t>
            </w:r>
          </w:p>
        </w:tc>
        <w:tc>
          <w:tcPr>
            <w:tcW w:w="1981" w:type="dxa"/>
          </w:tcPr>
          <w:p w14:paraId="4CF99D06" w14:textId="77777777" w:rsidR="00044FC6" w:rsidRPr="00044FC6" w:rsidRDefault="00044FC6" w:rsidP="009B04C3">
            <w:pPr>
              <w:pStyle w:val="TableParagraph"/>
              <w:spacing w:before="119"/>
              <w:rPr>
                <w:rFonts w:ascii="Arial"/>
                <w:b/>
                <w:sz w:val="20"/>
                <w:szCs w:val="20"/>
              </w:rPr>
            </w:pPr>
            <w:r w:rsidRPr="00044FC6">
              <w:rPr>
                <w:rFonts w:ascii="Arial"/>
                <w:b/>
                <w:spacing w:val="-5"/>
                <w:sz w:val="20"/>
                <w:szCs w:val="20"/>
              </w:rPr>
              <w:t>50%</w:t>
            </w:r>
          </w:p>
        </w:tc>
      </w:tr>
      <w:tr w:rsidR="00044FC6" w:rsidRPr="00044FC6" w14:paraId="042B3A4A" w14:textId="77777777" w:rsidTr="00044FC6">
        <w:trPr>
          <w:trHeight w:val="493"/>
        </w:trPr>
        <w:tc>
          <w:tcPr>
            <w:tcW w:w="2096" w:type="dxa"/>
          </w:tcPr>
          <w:p w14:paraId="56ED056B" w14:textId="77777777" w:rsidR="00044FC6" w:rsidRPr="00044FC6" w:rsidRDefault="00044FC6" w:rsidP="009B04C3">
            <w:pPr>
              <w:pStyle w:val="TableParagraph"/>
              <w:spacing w:before="120"/>
              <w:rPr>
                <w:rFonts w:ascii="Arial"/>
                <w:b/>
                <w:sz w:val="20"/>
                <w:szCs w:val="20"/>
              </w:rPr>
            </w:pPr>
            <w:r w:rsidRPr="00044FC6">
              <w:rPr>
                <w:rFonts w:ascii="Arial"/>
                <w:b/>
                <w:spacing w:val="-2"/>
                <w:sz w:val="20"/>
                <w:szCs w:val="20"/>
              </w:rPr>
              <w:t>Lecturer:</w:t>
            </w:r>
          </w:p>
        </w:tc>
        <w:tc>
          <w:tcPr>
            <w:tcW w:w="3294" w:type="dxa"/>
          </w:tcPr>
          <w:p w14:paraId="5DF5AC5E" w14:textId="349D1962" w:rsidR="00044FC6" w:rsidRPr="00CA5C7B" w:rsidRDefault="00CA5C7B" w:rsidP="009B04C3">
            <w:pPr>
              <w:pStyle w:val="TableParagraph"/>
              <w:ind w:left="0"/>
              <w:rPr>
                <w:rFonts w:ascii="Arial" w:hAnsi="Arial" w:cs="Arial"/>
                <w:b/>
                <w:bCs/>
                <w:sz w:val="20"/>
                <w:szCs w:val="20"/>
              </w:rPr>
            </w:pPr>
            <w:r>
              <w:rPr>
                <w:rFonts w:ascii="Times New Roman"/>
                <w:sz w:val="20"/>
                <w:szCs w:val="20"/>
              </w:rPr>
              <w:t xml:space="preserve"> </w:t>
            </w:r>
            <w:proofErr w:type="spellStart"/>
            <w:r>
              <w:rPr>
                <w:rFonts w:ascii="Arial" w:hAnsi="Arial" w:cs="Arial"/>
                <w:b/>
                <w:bCs/>
                <w:sz w:val="20"/>
                <w:szCs w:val="20"/>
              </w:rPr>
              <w:t>Itse</w:t>
            </w:r>
            <w:proofErr w:type="spellEnd"/>
            <w:r>
              <w:rPr>
                <w:rFonts w:ascii="Arial" w:hAnsi="Arial" w:cs="Arial"/>
                <w:b/>
                <w:bCs/>
                <w:sz w:val="20"/>
                <w:szCs w:val="20"/>
              </w:rPr>
              <w:t xml:space="preserve"> Olaoye</w:t>
            </w:r>
          </w:p>
        </w:tc>
        <w:tc>
          <w:tcPr>
            <w:tcW w:w="2268" w:type="dxa"/>
            <w:shd w:val="clear" w:color="auto" w:fill="D9D9D9"/>
          </w:tcPr>
          <w:p w14:paraId="34E26B77" w14:textId="77777777" w:rsidR="00044FC6" w:rsidRPr="00044FC6" w:rsidRDefault="00044FC6" w:rsidP="009B04C3">
            <w:pPr>
              <w:pStyle w:val="TableParagraph"/>
              <w:spacing w:before="120"/>
              <w:rPr>
                <w:rFonts w:ascii="Arial"/>
                <w:b/>
                <w:sz w:val="20"/>
                <w:szCs w:val="20"/>
              </w:rPr>
            </w:pPr>
            <w:r w:rsidRPr="00044FC6">
              <w:rPr>
                <w:rFonts w:ascii="Arial"/>
                <w:b/>
                <w:sz w:val="20"/>
                <w:szCs w:val="20"/>
              </w:rPr>
              <w:t>Internal</w:t>
            </w:r>
            <w:r w:rsidRPr="00044FC6">
              <w:rPr>
                <w:rFonts w:ascii="Arial"/>
                <w:b/>
                <w:spacing w:val="-6"/>
                <w:sz w:val="20"/>
                <w:szCs w:val="20"/>
              </w:rPr>
              <w:t xml:space="preserve"> </w:t>
            </w:r>
            <w:r w:rsidRPr="00044FC6">
              <w:rPr>
                <w:rFonts w:ascii="Arial"/>
                <w:b/>
                <w:spacing w:val="-2"/>
                <w:sz w:val="20"/>
                <w:szCs w:val="20"/>
              </w:rPr>
              <w:t>Verifier:</w:t>
            </w:r>
          </w:p>
        </w:tc>
        <w:tc>
          <w:tcPr>
            <w:tcW w:w="1981" w:type="dxa"/>
          </w:tcPr>
          <w:p w14:paraId="6D417B7C" w14:textId="77777777" w:rsidR="00044FC6" w:rsidRPr="00044FC6" w:rsidRDefault="00044FC6" w:rsidP="009B04C3">
            <w:pPr>
              <w:pStyle w:val="TableParagraph"/>
              <w:spacing w:before="120"/>
              <w:rPr>
                <w:rFonts w:ascii="Arial"/>
                <w:b/>
                <w:sz w:val="20"/>
                <w:szCs w:val="20"/>
              </w:rPr>
            </w:pPr>
            <w:r w:rsidRPr="00044FC6">
              <w:rPr>
                <w:rFonts w:ascii="Arial"/>
                <w:b/>
                <w:sz w:val="20"/>
                <w:szCs w:val="20"/>
              </w:rPr>
              <w:t>Dr</w:t>
            </w:r>
            <w:r w:rsidRPr="00044FC6">
              <w:rPr>
                <w:rFonts w:ascii="Arial"/>
                <w:b/>
                <w:spacing w:val="-2"/>
                <w:sz w:val="20"/>
                <w:szCs w:val="20"/>
              </w:rPr>
              <w:t xml:space="preserve"> </w:t>
            </w:r>
            <w:r w:rsidRPr="00044FC6">
              <w:rPr>
                <w:rFonts w:ascii="Arial"/>
                <w:b/>
                <w:sz w:val="20"/>
                <w:szCs w:val="20"/>
              </w:rPr>
              <w:t>Hamdi</w:t>
            </w:r>
            <w:r w:rsidRPr="00044FC6">
              <w:rPr>
                <w:rFonts w:ascii="Arial"/>
                <w:b/>
                <w:spacing w:val="-2"/>
                <w:sz w:val="20"/>
                <w:szCs w:val="20"/>
              </w:rPr>
              <w:t xml:space="preserve"> Hussain</w:t>
            </w:r>
          </w:p>
        </w:tc>
      </w:tr>
      <w:tr w:rsidR="00044FC6" w:rsidRPr="00044FC6" w14:paraId="3E0BCDA8" w14:textId="77777777" w:rsidTr="00044FC6">
        <w:trPr>
          <w:trHeight w:val="758"/>
        </w:trPr>
        <w:tc>
          <w:tcPr>
            <w:tcW w:w="2096" w:type="dxa"/>
          </w:tcPr>
          <w:p w14:paraId="0967CE47" w14:textId="77777777" w:rsidR="00044FC6" w:rsidRPr="00044FC6" w:rsidRDefault="00044FC6" w:rsidP="009B04C3">
            <w:pPr>
              <w:pStyle w:val="TableParagraph"/>
              <w:spacing w:before="120"/>
              <w:rPr>
                <w:rFonts w:ascii="Arial"/>
                <w:b/>
                <w:sz w:val="20"/>
                <w:szCs w:val="20"/>
              </w:rPr>
            </w:pPr>
            <w:r w:rsidRPr="00044FC6">
              <w:rPr>
                <w:rFonts w:ascii="Arial"/>
                <w:b/>
                <w:sz w:val="20"/>
                <w:szCs w:val="20"/>
              </w:rPr>
              <w:t>Assignment</w:t>
            </w:r>
            <w:r w:rsidRPr="00044FC6">
              <w:rPr>
                <w:rFonts w:ascii="Arial"/>
                <w:b/>
                <w:spacing w:val="-9"/>
                <w:sz w:val="20"/>
                <w:szCs w:val="20"/>
              </w:rPr>
              <w:t xml:space="preserve"> </w:t>
            </w:r>
            <w:r w:rsidRPr="00044FC6">
              <w:rPr>
                <w:rFonts w:ascii="Arial"/>
                <w:b/>
                <w:spacing w:val="-2"/>
                <w:sz w:val="20"/>
                <w:szCs w:val="20"/>
              </w:rPr>
              <w:t>Title:</w:t>
            </w:r>
          </w:p>
        </w:tc>
        <w:tc>
          <w:tcPr>
            <w:tcW w:w="3294" w:type="dxa"/>
          </w:tcPr>
          <w:p w14:paraId="6E611F68" w14:textId="77777777" w:rsidR="00044FC6" w:rsidRPr="00044FC6" w:rsidRDefault="00044FC6" w:rsidP="009B04C3">
            <w:pPr>
              <w:pStyle w:val="TableParagraph"/>
              <w:ind w:right="1363"/>
              <w:rPr>
                <w:rFonts w:ascii="Arial"/>
                <w:b/>
                <w:sz w:val="20"/>
                <w:szCs w:val="20"/>
              </w:rPr>
            </w:pPr>
            <w:r w:rsidRPr="00044FC6">
              <w:rPr>
                <w:rFonts w:ascii="Arial"/>
                <w:b/>
                <w:sz w:val="20"/>
                <w:szCs w:val="20"/>
              </w:rPr>
              <w:t>Component 2 Analytical</w:t>
            </w:r>
            <w:r w:rsidRPr="00044FC6">
              <w:rPr>
                <w:rFonts w:ascii="Arial"/>
                <w:b/>
                <w:spacing w:val="-16"/>
                <w:sz w:val="20"/>
                <w:szCs w:val="20"/>
              </w:rPr>
              <w:t xml:space="preserve"> </w:t>
            </w:r>
            <w:r w:rsidRPr="00044FC6">
              <w:rPr>
                <w:rFonts w:ascii="Arial"/>
                <w:b/>
                <w:sz w:val="20"/>
                <w:szCs w:val="20"/>
              </w:rPr>
              <w:t>Report</w:t>
            </w:r>
          </w:p>
        </w:tc>
        <w:tc>
          <w:tcPr>
            <w:tcW w:w="2268" w:type="dxa"/>
          </w:tcPr>
          <w:p w14:paraId="1EFEB9AA" w14:textId="77777777" w:rsidR="00044FC6" w:rsidRPr="00044FC6" w:rsidRDefault="00044FC6" w:rsidP="009B04C3">
            <w:pPr>
              <w:pStyle w:val="TableParagraph"/>
              <w:tabs>
                <w:tab w:val="left" w:pos="970"/>
                <w:tab w:val="left" w:pos="1865"/>
              </w:tabs>
              <w:spacing w:before="120"/>
              <w:ind w:right="95"/>
              <w:rPr>
                <w:rFonts w:ascii="Arial"/>
                <w:b/>
                <w:sz w:val="20"/>
                <w:szCs w:val="20"/>
              </w:rPr>
            </w:pPr>
            <w:r w:rsidRPr="00044FC6">
              <w:rPr>
                <w:rFonts w:ascii="Arial"/>
                <w:b/>
                <w:spacing w:val="-4"/>
                <w:sz w:val="20"/>
                <w:szCs w:val="20"/>
              </w:rPr>
              <w:t>Word</w:t>
            </w:r>
            <w:r w:rsidRPr="00044FC6">
              <w:rPr>
                <w:rFonts w:ascii="Arial"/>
                <w:b/>
                <w:sz w:val="20"/>
                <w:szCs w:val="20"/>
              </w:rPr>
              <w:tab/>
            </w:r>
            <w:r w:rsidRPr="00044FC6">
              <w:rPr>
                <w:rFonts w:ascii="Arial"/>
                <w:b/>
                <w:spacing w:val="-2"/>
                <w:sz w:val="20"/>
                <w:szCs w:val="20"/>
              </w:rPr>
              <w:t>count</w:t>
            </w:r>
            <w:r w:rsidRPr="00044FC6">
              <w:rPr>
                <w:rFonts w:ascii="Arial"/>
                <w:b/>
                <w:sz w:val="20"/>
                <w:szCs w:val="20"/>
              </w:rPr>
              <w:tab/>
            </w:r>
            <w:r w:rsidRPr="00044FC6">
              <w:rPr>
                <w:rFonts w:ascii="Arial"/>
                <w:b/>
                <w:spacing w:val="-4"/>
                <w:sz w:val="20"/>
                <w:szCs w:val="20"/>
              </w:rPr>
              <w:t xml:space="preserve">(or </w:t>
            </w:r>
            <w:r w:rsidRPr="00044FC6">
              <w:rPr>
                <w:rFonts w:ascii="Arial"/>
                <w:b/>
                <w:spacing w:val="-2"/>
                <w:sz w:val="20"/>
                <w:szCs w:val="20"/>
              </w:rPr>
              <w:t>equivalent):</w:t>
            </w:r>
          </w:p>
        </w:tc>
        <w:tc>
          <w:tcPr>
            <w:tcW w:w="1981" w:type="dxa"/>
          </w:tcPr>
          <w:p w14:paraId="132CF04F" w14:textId="7F62933A" w:rsidR="00044FC6" w:rsidRPr="00044FC6" w:rsidRDefault="00CA5C7B" w:rsidP="009B04C3">
            <w:pPr>
              <w:pStyle w:val="TableParagraph"/>
              <w:spacing w:line="252" w:lineRule="exact"/>
              <w:rPr>
                <w:rFonts w:ascii="Arial"/>
                <w:b/>
                <w:sz w:val="20"/>
                <w:szCs w:val="20"/>
              </w:rPr>
            </w:pPr>
            <w:r>
              <w:rPr>
                <w:rFonts w:ascii="Arial"/>
                <w:b/>
                <w:sz w:val="20"/>
                <w:szCs w:val="20"/>
              </w:rPr>
              <w:t>2500 words</w:t>
            </w:r>
          </w:p>
        </w:tc>
      </w:tr>
    </w:tbl>
    <w:p w14:paraId="4CABA116" w14:textId="1C9918CD" w:rsidR="00044FC6" w:rsidRDefault="00044FC6">
      <w:pPr>
        <w:rPr>
          <w:b/>
          <w:bCs/>
        </w:rPr>
      </w:pPr>
    </w:p>
    <w:p w14:paraId="236D0E72" w14:textId="77777777" w:rsidR="00044FC6" w:rsidRDefault="00044FC6">
      <w:pPr>
        <w:rPr>
          <w:b/>
          <w:bCs/>
        </w:rPr>
      </w:pPr>
      <w:r>
        <w:rPr>
          <w:b/>
          <w:bCs/>
        </w:rPr>
        <w:br w:type="page"/>
      </w:r>
    </w:p>
    <w:sdt>
      <w:sdtPr>
        <w:rPr>
          <w:rFonts w:ascii="Arial" w:eastAsia="Arial" w:hAnsi="Arial" w:cs="Arial"/>
          <w:color w:val="auto"/>
          <w:sz w:val="22"/>
          <w:szCs w:val="22"/>
          <w:lang w:val="en" w:eastAsia="en-IN"/>
        </w:rPr>
        <w:id w:val="252093141"/>
        <w:docPartObj>
          <w:docPartGallery w:val="Table of Contents"/>
          <w:docPartUnique/>
        </w:docPartObj>
      </w:sdtPr>
      <w:sdtEndPr>
        <w:rPr>
          <w:b/>
          <w:bCs/>
          <w:noProof/>
        </w:rPr>
      </w:sdtEndPr>
      <w:sdtContent>
        <w:p w14:paraId="5027C526" w14:textId="15F23260" w:rsidR="00044FC6" w:rsidRPr="00044FC6" w:rsidRDefault="00044FC6" w:rsidP="00044FC6">
          <w:pPr>
            <w:pStyle w:val="TOCHeading"/>
            <w:spacing w:before="0" w:line="360" w:lineRule="auto"/>
            <w:jc w:val="center"/>
            <w:rPr>
              <w:rFonts w:ascii="Arial" w:hAnsi="Arial" w:cs="Arial"/>
              <w:b/>
              <w:bCs/>
              <w:color w:val="000000" w:themeColor="text1"/>
              <w:sz w:val="28"/>
              <w:szCs w:val="28"/>
            </w:rPr>
          </w:pPr>
          <w:r w:rsidRPr="00044FC6">
            <w:rPr>
              <w:rFonts w:ascii="Arial" w:hAnsi="Arial" w:cs="Arial"/>
              <w:b/>
              <w:bCs/>
              <w:color w:val="000000" w:themeColor="text1"/>
              <w:sz w:val="28"/>
              <w:szCs w:val="28"/>
            </w:rPr>
            <w:t>Table of Contents</w:t>
          </w:r>
        </w:p>
        <w:p w14:paraId="12AB4B89" w14:textId="2F82D5B7" w:rsidR="00044FC6" w:rsidRPr="00044FC6" w:rsidRDefault="00044FC6" w:rsidP="00044FC6">
          <w:pPr>
            <w:pStyle w:val="TOC1"/>
            <w:tabs>
              <w:tab w:val="right" w:leader="dot" w:pos="9350"/>
            </w:tabs>
            <w:spacing w:after="0" w:line="360" w:lineRule="auto"/>
            <w:rPr>
              <w:noProof/>
            </w:rPr>
          </w:pPr>
          <w:r w:rsidRPr="00044FC6">
            <w:fldChar w:fldCharType="begin"/>
          </w:r>
          <w:r w:rsidRPr="00044FC6">
            <w:instrText xml:space="preserve"> TOC \o "1-3" \h \z \u </w:instrText>
          </w:r>
          <w:r w:rsidRPr="00044FC6">
            <w:fldChar w:fldCharType="separate"/>
          </w:r>
          <w:hyperlink w:anchor="_Toc236949392" w:history="1">
            <w:r w:rsidRPr="00044FC6">
              <w:rPr>
                <w:rStyle w:val="Hyperlink"/>
                <w:noProof/>
              </w:rPr>
              <w:t>Task 1: Social Epidemiological Analysis</w:t>
            </w:r>
            <w:r w:rsidRPr="00044FC6">
              <w:rPr>
                <w:noProof/>
                <w:webHidden/>
              </w:rPr>
              <w:tab/>
            </w:r>
            <w:r w:rsidRPr="00044FC6">
              <w:rPr>
                <w:noProof/>
                <w:webHidden/>
              </w:rPr>
              <w:fldChar w:fldCharType="begin"/>
            </w:r>
            <w:r w:rsidRPr="00044FC6">
              <w:rPr>
                <w:noProof/>
                <w:webHidden/>
              </w:rPr>
              <w:instrText xml:space="preserve"> PAGEREF _Toc236949392 \h </w:instrText>
            </w:r>
            <w:r w:rsidRPr="00044FC6">
              <w:rPr>
                <w:noProof/>
                <w:webHidden/>
              </w:rPr>
            </w:r>
            <w:r w:rsidRPr="00044FC6">
              <w:rPr>
                <w:noProof/>
                <w:webHidden/>
              </w:rPr>
              <w:fldChar w:fldCharType="separate"/>
            </w:r>
            <w:r w:rsidR="009F068D">
              <w:rPr>
                <w:noProof/>
                <w:webHidden/>
              </w:rPr>
              <w:t>3</w:t>
            </w:r>
            <w:r w:rsidRPr="00044FC6">
              <w:rPr>
                <w:noProof/>
                <w:webHidden/>
              </w:rPr>
              <w:fldChar w:fldCharType="end"/>
            </w:r>
          </w:hyperlink>
        </w:p>
        <w:p w14:paraId="507D7B85" w14:textId="6999201A" w:rsidR="00044FC6" w:rsidRPr="00044FC6" w:rsidRDefault="00044FC6" w:rsidP="00044FC6">
          <w:pPr>
            <w:pStyle w:val="TOC2"/>
            <w:tabs>
              <w:tab w:val="right" w:leader="dot" w:pos="9350"/>
            </w:tabs>
            <w:spacing w:after="0" w:line="360" w:lineRule="auto"/>
            <w:rPr>
              <w:noProof/>
            </w:rPr>
          </w:pPr>
          <w:hyperlink w:anchor="_Toc236949393" w:history="1">
            <w:r w:rsidRPr="00044FC6">
              <w:rPr>
                <w:rStyle w:val="Hyperlink"/>
                <w:noProof/>
              </w:rPr>
              <w:t>Introduction</w:t>
            </w:r>
            <w:r w:rsidRPr="00044FC6">
              <w:rPr>
                <w:noProof/>
                <w:webHidden/>
              </w:rPr>
              <w:tab/>
            </w:r>
            <w:r w:rsidRPr="00044FC6">
              <w:rPr>
                <w:noProof/>
                <w:webHidden/>
              </w:rPr>
              <w:fldChar w:fldCharType="begin"/>
            </w:r>
            <w:r w:rsidRPr="00044FC6">
              <w:rPr>
                <w:noProof/>
                <w:webHidden/>
              </w:rPr>
              <w:instrText xml:space="preserve"> PAGEREF _Toc236949393 \h </w:instrText>
            </w:r>
            <w:r w:rsidRPr="00044FC6">
              <w:rPr>
                <w:noProof/>
                <w:webHidden/>
              </w:rPr>
            </w:r>
            <w:r w:rsidRPr="00044FC6">
              <w:rPr>
                <w:noProof/>
                <w:webHidden/>
              </w:rPr>
              <w:fldChar w:fldCharType="separate"/>
            </w:r>
            <w:r w:rsidR="009F068D">
              <w:rPr>
                <w:noProof/>
                <w:webHidden/>
              </w:rPr>
              <w:t>3</w:t>
            </w:r>
            <w:r w:rsidRPr="00044FC6">
              <w:rPr>
                <w:noProof/>
                <w:webHidden/>
              </w:rPr>
              <w:fldChar w:fldCharType="end"/>
            </w:r>
          </w:hyperlink>
        </w:p>
        <w:p w14:paraId="78F8725B" w14:textId="202CB2C7" w:rsidR="00044FC6" w:rsidRPr="00044FC6" w:rsidRDefault="00044FC6" w:rsidP="00044FC6">
          <w:pPr>
            <w:pStyle w:val="TOC2"/>
            <w:tabs>
              <w:tab w:val="right" w:leader="dot" w:pos="9350"/>
            </w:tabs>
            <w:spacing w:after="0" w:line="360" w:lineRule="auto"/>
            <w:rPr>
              <w:noProof/>
            </w:rPr>
          </w:pPr>
          <w:hyperlink w:anchor="_Toc236949394" w:history="1">
            <w:r w:rsidRPr="00044FC6">
              <w:rPr>
                <w:rStyle w:val="Hyperlink"/>
                <w:noProof/>
              </w:rPr>
              <w:t>Section 1: Contextual background and underlying factors</w:t>
            </w:r>
            <w:r w:rsidRPr="00044FC6">
              <w:rPr>
                <w:noProof/>
                <w:webHidden/>
              </w:rPr>
              <w:tab/>
            </w:r>
            <w:r w:rsidRPr="00044FC6">
              <w:rPr>
                <w:noProof/>
                <w:webHidden/>
              </w:rPr>
              <w:fldChar w:fldCharType="begin"/>
            </w:r>
            <w:r w:rsidRPr="00044FC6">
              <w:rPr>
                <w:noProof/>
                <w:webHidden/>
              </w:rPr>
              <w:instrText xml:space="preserve"> PAGEREF _Toc236949394 \h </w:instrText>
            </w:r>
            <w:r w:rsidRPr="00044FC6">
              <w:rPr>
                <w:noProof/>
                <w:webHidden/>
              </w:rPr>
            </w:r>
            <w:r w:rsidRPr="00044FC6">
              <w:rPr>
                <w:noProof/>
                <w:webHidden/>
              </w:rPr>
              <w:fldChar w:fldCharType="separate"/>
            </w:r>
            <w:r w:rsidR="009F068D">
              <w:rPr>
                <w:noProof/>
                <w:webHidden/>
              </w:rPr>
              <w:t>4</w:t>
            </w:r>
            <w:r w:rsidRPr="00044FC6">
              <w:rPr>
                <w:noProof/>
                <w:webHidden/>
              </w:rPr>
              <w:fldChar w:fldCharType="end"/>
            </w:r>
          </w:hyperlink>
        </w:p>
        <w:p w14:paraId="6E48137A" w14:textId="1D488AE4" w:rsidR="00044FC6" w:rsidRPr="00044FC6" w:rsidRDefault="00044FC6" w:rsidP="00044FC6">
          <w:pPr>
            <w:pStyle w:val="TOC3"/>
            <w:tabs>
              <w:tab w:val="right" w:leader="dot" w:pos="9350"/>
            </w:tabs>
            <w:spacing w:after="0" w:line="360" w:lineRule="auto"/>
            <w:rPr>
              <w:noProof/>
            </w:rPr>
          </w:pPr>
          <w:hyperlink w:anchor="_Toc236949395" w:history="1">
            <w:r w:rsidRPr="00044FC6">
              <w:rPr>
                <w:rStyle w:val="Hyperlink"/>
                <w:noProof/>
              </w:rPr>
              <w:t>3 Disease/Illness Issues</w:t>
            </w:r>
            <w:r w:rsidRPr="00044FC6">
              <w:rPr>
                <w:noProof/>
                <w:webHidden/>
              </w:rPr>
              <w:tab/>
            </w:r>
            <w:r w:rsidRPr="00044FC6">
              <w:rPr>
                <w:noProof/>
                <w:webHidden/>
              </w:rPr>
              <w:fldChar w:fldCharType="begin"/>
            </w:r>
            <w:r w:rsidRPr="00044FC6">
              <w:rPr>
                <w:noProof/>
                <w:webHidden/>
              </w:rPr>
              <w:instrText xml:space="preserve"> PAGEREF _Toc236949395 \h </w:instrText>
            </w:r>
            <w:r w:rsidRPr="00044FC6">
              <w:rPr>
                <w:noProof/>
                <w:webHidden/>
              </w:rPr>
            </w:r>
            <w:r w:rsidRPr="00044FC6">
              <w:rPr>
                <w:noProof/>
                <w:webHidden/>
              </w:rPr>
              <w:fldChar w:fldCharType="separate"/>
            </w:r>
            <w:r w:rsidR="009F068D">
              <w:rPr>
                <w:noProof/>
                <w:webHidden/>
              </w:rPr>
              <w:t>4</w:t>
            </w:r>
            <w:r w:rsidRPr="00044FC6">
              <w:rPr>
                <w:noProof/>
                <w:webHidden/>
              </w:rPr>
              <w:fldChar w:fldCharType="end"/>
            </w:r>
          </w:hyperlink>
        </w:p>
        <w:p w14:paraId="5E202A6D" w14:textId="00B1CF8F" w:rsidR="00044FC6" w:rsidRPr="00044FC6" w:rsidRDefault="00044FC6" w:rsidP="00044FC6">
          <w:pPr>
            <w:pStyle w:val="TOC3"/>
            <w:tabs>
              <w:tab w:val="right" w:leader="dot" w:pos="9350"/>
            </w:tabs>
            <w:spacing w:after="0" w:line="360" w:lineRule="auto"/>
            <w:rPr>
              <w:noProof/>
            </w:rPr>
          </w:pPr>
          <w:hyperlink w:anchor="_Toc236949396" w:history="1">
            <w:r w:rsidRPr="00044FC6">
              <w:rPr>
                <w:rStyle w:val="Hyperlink"/>
                <w:noProof/>
              </w:rPr>
              <w:t>3 Social Issues (social determinants of health)</w:t>
            </w:r>
            <w:r w:rsidRPr="00044FC6">
              <w:rPr>
                <w:noProof/>
                <w:webHidden/>
              </w:rPr>
              <w:tab/>
            </w:r>
            <w:r w:rsidRPr="00044FC6">
              <w:rPr>
                <w:noProof/>
                <w:webHidden/>
              </w:rPr>
              <w:fldChar w:fldCharType="begin"/>
            </w:r>
            <w:r w:rsidRPr="00044FC6">
              <w:rPr>
                <w:noProof/>
                <w:webHidden/>
              </w:rPr>
              <w:instrText xml:space="preserve"> PAGEREF _Toc236949396 \h </w:instrText>
            </w:r>
            <w:r w:rsidRPr="00044FC6">
              <w:rPr>
                <w:noProof/>
                <w:webHidden/>
              </w:rPr>
            </w:r>
            <w:r w:rsidRPr="00044FC6">
              <w:rPr>
                <w:noProof/>
                <w:webHidden/>
              </w:rPr>
              <w:fldChar w:fldCharType="separate"/>
            </w:r>
            <w:r w:rsidR="009F068D">
              <w:rPr>
                <w:noProof/>
                <w:webHidden/>
              </w:rPr>
              <w:t>5</w:t>
            </w:r>
            <w:r w:rsidRPr="00044FC6">
              <w:rPr>
                <w:noProof/>
                <w:webHidden/>
              </w:rPr>
              <w:fldChar w:fldCharType="end"/>
            </w:r>
          </w:hyperlink>
        </w:p>
        <w:p w14:paraId="13088239" w14:textId="50D29FB1" w:rsidR="00044FC6" w:rsidRPr="00044FC6" w:rsidRDefault="00044FC6" w:rsidP="00044FC6">
          <w:pPr>
            <w:pStyle w:val="TOC2"/>
            <w:tabs>
              <w:tab w:val="right" w:leader="dot" w:pos="9350"/>
            </w:tabs>
            <w:spacing w:after="0" w:line="360" w:lineRule="auto"/>
            <w:rPr>
              <w:noProof/>
            </w:rPr>
          </w:pPr>
          <w:hyperlink w:anchor="_Toc236949397" w:history="1">
            <w:r w:rsidRPr="00044FC6">
              <w:rPr>
                <w:rStyle w:val="Hyperlink"/>
                <w:noProof/>
              </w:rPr>
              <w:t>Section 2: National Response to reduce health inequalities</w:t>
            </w:r>
            <w:r w:rsidRPr="00044FC6">
              <w:rPr>
                <w:noProof/>
                <w:webHidden/>
              </w:rPr>
              <w:tab/>
            </w:r>
            <w:r w:rsidRPr="00044FC6">
              <w:rPr>
                <w:noProof/>
                <w:webHidden/>
              </w:rPr>
              <w:fldChar w:fldCharType="begin"/>
            </w:r>
            <w:r w:rsidRPr="00044FC6">
              <w:rPr>
                <w:noProof/>
                <w:webHidden/>
              </w:rPr>
              <w:instrText xml:space="preserve"> PAGEREF _Toc236949397 \h </w:instrText>
            </w:r>
            <w:r w:rsidRPr="00044FC6">
              <w:rPr>
                <w:noProof/>
                <w:webHidden/>
              </w:rPr>
            </w:r>
            <w:r w:rsidRPr="00044FC6">
              <w:rPr>
                <w:noProof/>
                <w:webHidden/>
              </w:rPr>
              <w:fldChar w:fldCharType="separate"/>
            </w:r>
            <w:r w:rsidR="009F068D">
              <w:rPr>
                <w:noProof/>
                <w:webHidden/>
              </w:rPr>
              <w:t>7</w:t>
            </w:r>
            <w:r w:rsidRPr="00044FC6">
              <w:rPr>
                <w:noProof/>
                <w:webHidden/>
              </w:rPr>
              <w:fldChar w:fldCharType="end"/>
            </w:r>
          </w:hyperlink>
        </w:p>
        <w:p w14:paraId="48788A64" w14:textId="36ED8345" w:rsidR="00044FC6" w:rsidRPr="00044FC6" w:rsidRDefault="00044FC6" w:rsidP="00044FC6">
          <w:pPr>
            <w:pStyle w:val="TOC3"/>
            <w:tabs>
              <w:tab w:val="right" w:leader="dot" w:pos="9350"/>
            </w:tabs>
            <w:spacing w:after="0" w:line="360" w:lineRule="auto"/>
            <w:rPr>
              <w:noProof/>
            </w:rPr>
          </w:pPr>
          <w:hyperlink w:anchor="_Toc236949398" w:history="1">
            <w:r w:rsidRPr="00044FC6">
              <w:rPr>
                <w:rStyle w:val="Hyperlink"/>
                <w:noProof/>
              </w:rPr>
              <w:t>NHS Learning Disability Annual Health Check</w:t>
            </w:r>
            <w:r w:rsidRPr="00044FC6">
              <w:rPr>
                <w:noProof/>
                <w:webHidden/>
              </w:rPr>
              <w:tab/>
            </w:r>
            <w:r w:rsidRPr="00044FC6">
              <w:rPr>
                <w:noProof/>
                <w:webHidden/>
              </w:rPr>
              <w:fldChar w:fldCharType="begin"/>
            </w:r>
            <w:r w:rsidRPr="00044FC6">
              <w:rPr>
                <w:noProof/>
                <w:webHidden/>
              </w:rPr>
              <w:instrText xml:space="preserve"> PAGEREF _Toc236949398 \h </w:instrText>
            </w:r>
            <w:r w:rsidRPr="00044FC6">
              <w:rPr>
                <w:noProof/>
                <w:webHidden/>
              </w:rPr>
            </w:r>
            <w:r w:rsidRPr="00044FC6">
              <w:rPr>
                <w:noProof/>
                <w:webHidden/>
              </w:rPr>
              <w:fldChar w:fldCharType="separate"/>
            </w:r>
            <w:r w:rsidR="009F068D">
              <w:rPr>
                <w:noProof/>
                <w:webHidden/>
              </w:rPr>
              <w:t>7</w:t>
            </w:r>
            <w:r w:rsidRPr="00044FC6">
              <w:rPr>
                <w:noProof/>
                <w:webHidden/>
              </w:rPr>
              <w:fldChar w:fldCharType="end"/>
            </w:r>
          </w:hyperlink>
        </w:p>
        <w:p w14:paraId="5361F552" w14:textId="4F5A9A23" w:rsidR="00044FC6" w:rsidRPr="00044FC6" w:rsidRDefault="00044FC6" w:rsidP="00044FC6">
          <w:pPr>
            <w:pStyle w:val="TOC3"/>
            <w:tabs>
              <w:tab w:val="right" w:leader="dot" w:pos="9350"/>
            </w:tabs>
            <w:spacing w:after="0" w:line="360" w:lineRule="auto"/>
            <w:rPr>
              <w:noProof/>
            </w:rPr>
          </w:pPr>
          <w:hyperlink w:anchor="_Toc236949399" w:history="1">
            <w:r w:rsidRPr="00044FC6">
              <w:rPr>
                <w:rStyle w:val="Hyperlink"/>
                <w:noProof/>
              </w:rPr>
              <w:t>Learning from Lives and Deaths (LeDeR) Programme</w:t>
            </w:r>
            <w:r w:rsidRPr="00044FC6">
              <w:rPr>
                <w:noProof/>
                <w:webHidden/>
              </w:rPr>
              <w:tab/>
            </w:r>
            <w:r w:rsidRPr="00044FC6">
              <w:rPr>
                <w:noProof/>
                <w:webHidden/>
              </w:rPr>
              <w:fldChar w:fldCharType="begin"/>
            </w:r>
            <w:r w:rsidRPr="00044FC6">
              <w:rPr>
                <w:noProof/>
                <w:webHidden/>
              </w:rPr>
              <w:instrText xml:space="preserve"> PAGEREF _Toc236949399 \h </w:instrText>
            </w:r>
            <w:r w:rsidRPr="00044FC6">
              <w:rPr>
                <w:noProof/>
                <w:webHidden/>
              </w:rPr>
            </w:r>
            <w:r w:rsidRPr="00044FC6">
              <w:rPr>
                <w:noProof/>
                <w:webHidden/>
              </w:rPr>
              <w:fldChar w:fldCharType="separate"/>
            </w:r>
            <w:r w:rsidR="009F068D">
              <w:rPr>
                <w:noProof/>
                <w:webHidden/>
              </w:rPr>
              <w:t>7</w:t>
            </w:r>
            <w:r w:rsidRPr="00044FC6">
              <w:rPr>
                <w:noProof/>
                <w:webHidden/>
              </w:rPr>
              <w:fldChar w:fldCharType="end"/>
            </w:r>
          </w:hyperlink>
        </w:p>
        <w:p w14:paraId="700D2034" w14:textId="45CAFF1F" w:rsidR="00044FC6" w:rsidRPr="00044FC6" w:rsidRDefault="00044FC6" w:rsidP="00044FC6">
          <w:pPr>
            <w:pStyle w:val="TOC2"/>
            <w:tabs>
              <w:tab w:val="right" w:leader="dot" w:pos="9350"/>
            </w:tabs>
            <w:spacing w:after="0" w:line="360" w:lineRule="auto"/>
            <w:rPr>
              <w:noProof/>
            </w:rPr>
          </w:pPr>
          <w:hyperlink w:anchor="_Toc236949400" w:history="1">
            <w:r w:rsidRPr="00044FC6">
              <w:rPr>
                <w:rStyle w:val="Hyperlink"/>
                <w:noProof/>
              </w:rPr>
              <w:t>Section 2: Organisations that support chosen group</w:t>
            </w:r>
            <w:r w:rsidRPr="00044FC6">
              <w:rPr>
                <w:noProof/>
                <w:webHidden/>
              </w:rPr>
              <w:tab/>
            </w:r>
            <w:r w:rsidRPr="00044FC6">
              <w:rPr>
                <w:noProof/>
                <w:webHidden/>
              </w:rPr>
              <w:fldChar w:fldCharType="begin"/>
            </w:r>
            <w:r w:rsidRPr="00044FC6">
              <w:rPr>
                <w:noProof/>
                <w:webHidden/>
              </w:rPr>
              <w:instrText xml:space="preserve"> PAGEREF _Toc236949400 \h </w:instrText>
            </w:r>
            <w:r w:rsidRPr="00044FC6">
              <w:rPr>
                <w:noProof/>
                <w:webHidden/>
              </w:rPr>
            </w:r>
            <w:r w:rsidRPr="00044FC6">
              <w:rPr>
                <w:noProof/>
                <w:webHidden/>
              </w:rPr>
              <w:fldChar w:fldCharType="separate"/>
            </w:r>
            <w:r w:rsidR="009F068D">
              <w:rPr>
                <w:noProof/>
                <w:webHidden/>
              </w:rPr>
              <w:t>7</w:t>
            </w:r>
            <w:r w:rsidRPr="00044FC6">
              <w:rPr>
                <w:noProof/>
                <w:webHidden/>
              </w:rPr>
              <w:fldChar w:fldCharType="end"/>
            </w:r>
          </w:hyperlink>
        </w:p>
        <w:p w14:paraId="42996DCA" w14:textId="7AE015BD" w:rsidR="00044FC6" w:rsidRPr="00044FC6" w:rsidRDefault="00044FC6" w:rsidP="00044FC6">
          <w:pPr>
            <w:pStyle w:val="TOC3"/>
            <w:tabs>
              <w:tab w:val="right" w:leader="dot" w:pos="9350"/>
            </w:tabs>
            <w:spacing w:after="0" w:line="360" w:lineRule="auto"/>
            <w:rPr>
              <w:noProof/>
            </w:rPr>
          </w:pPr>
          <w:hyperlink w:anchor="_Toc236949401" w:history="1">
            <w:r w:rsidRPr="00044FC6">
              <w:rPr>
                <w:rStyle w:val="Hyperlink"/>
                <w:noProof/>
              </w:rPr>
              <w:t>Scope</w:t>
            </w:r>
            <w:r w:rsidRPr="00044FC6">
              <w:rPr>
                <w:noProof/>
                <w:webHidden/>
              </w:rPr>
              <w:tab/>
            </w:r>
            <w:r w:rsidRPr="00044FC6">
              <w:rPr>
                <w:noProof/>
                <w:webHidden/>
              </w:rPr>
              <w:fldChar w:fldCharType="begin"/>
            </w:r>
            <w:r w:rsidRPr="00044FC6">
              <w:rPr>
                <w:noProof/>
                <w:webHidden/>
              </w:rPr>
              <w:instrText xml:space="preserve"> PAGEREF _Toc236949401 \h </w:instrText>
            </w:r>
            <w:r w:rsidRPr="00044FC6">
              <w:rPr>
                <w:noProof/>
                <w:webHidden/>
              </w:rPr>
            </w:r>
            <w:r w:rsidRPr="00044FC6">
              <w:rPr>
                <w:noProof/>
                <w:webHidden/>
              </w:rPr>
              <w:fldChar w:fldCharType="separate"/>
            </w:r>
            <w:r w:rsidR="009F068D">
              <w:rPr>
                <w:noProof/>
                <w:webHidden/>
              </w:rPr>
              <w:t>7</w:t>
            </w:r>
            <w:r w:rsidRPr="00044FC6">
              <w:rPr>
                <w:noProof/>
                <w:webHidden/>
              </w:rPr>
              <w:fldChar w:fldCharType="end"/>
            </w:r>
          </w:hyperlink>
        </w:p>
        <w:p w14:paraId="1315C4D0" w14:textId="1F3FDA37" w:rsidR="00044FC6" w:rsidRPr="00044FC6" w:rsidRDefault="00044FC6" w:rsidP="00044FC6">
          <w:pPr>
            <w:pStyle w:val="TOC3"/>
            <w:tabs>
              <w:tab w:val="right" w:leader="dot" w:pos="9350"/>
            </w:tabs>
            <w:spacing w:after="0" w:line="360" w:lineRule="auto"/>
            <w:rPr>
              <w:noProof/>
            </w:rPr>
          </w:pPr>
          <w:hyperlink w:anchor="_Toc236949402" w:history="1">
            <w:r w:rsidRPr="00044FC6">
              <w:rPr>
                <w:rStyle w:val="Hyperlink"/>
                <w:noProof/>
              </w:rPr>
              <w:t>Disability Rights UK</w:t>
            </w:r>
            <w:r w:rsidRPr="00044FC6">
              <w:rPr>
                <w:noProof/>
                <w:webHidden/>
              </w:rPr>
              <w:tab/>
            </w:r>
            <w:r w:rsidRPr="00044FC6">
              <w:rPr>
                <w:noProof/>
                <w:webHidden/>
              </w:rPr>
              <w:fldChar w:fldCharType="begin"/>
            </w:r>
            <w:r w:rsidRPr="00044FC6">
              <w:rPr>
                <w:noProof/>
                <w:webHidden/>
              </w:rPr>
              <w:instrText xml:space="preserve"> PAGEREF _Toc236949402 \h </w:instrText>
            </w:r>
            <w:r w:rsidRPr="00044FC6">
              <w:rPr>
                <w:noProof/>
                <w:webHidden/>
              </w:rPr>
            </w:r>
            <w:r w:rsidRPr="00044FC6">
              <w:rPr>
                <w:noProof/>
                <w:webHidden/>
              </w:rPr>
              <w:fldChar w:fldCharType="separate"/>
            </w:r>
            <w:r w:rsidR="009F068D">
              <w:rPr>
                <w:noProof/>
                <w:webHidden/>
              </w:rPr>
              <w:t>7</w:t>
            </w:r>
            <w:r w:rsidRPr="00044FC6">
              <w:rPr>
                <w:noProof/>
                <w:webHidden/>
              </w:rPr>
              <w:fldChar w:fldCharType="end"/>
            </w:r>
          </w:hyperlink>
        </w:p>
        <w:p w14:paraId="452C1EA7" w14:textId="7C56282A" w:rsidR="00044FC6" w:rsidRPr="00044FC6" w:rsidRDefault="00044FC6" w:rsidP="00044FC6">
          <w:pPr>
            <w:pStyle w:val="TOC2"/>
            <w:tabs>
              <w:tab w:val="right" w:leader="dot" w:pos="9350"/>
            </w:tabs>
            <w:spacing w:after="0" w:line="360" w:lineRule="auto"/>
            <w:rPr>
              <w:noProof/>
            </w:rPr>
          </w:pPr>
          <w:hyperlink w:anchor="_Toc236949403" w:history="1">
            <w:r w:rsidRPr="00044FC6">
              <w:rPr>
                <w:rStyle w:val="Hyperlink"/>
                <w:noProof/>
              </w:rPr>
              <w:t>Conclusion</w:t>
            </w:r>
            <w:r w:rsidRPr="00044FC6">
              <w:rPr>
                <w:noProof/>
                <w:webHidden/>
              </w:rPr>
              <w:tab/>
            </w:r>
            <w:r w:rsidRPr="00044FC6">
              <w:rPr>
                <w:noProof/>
                <w:webHidden/>
              </w:rPr>
              <w:fldChar w:fldCharType="begin"/>
            </w:r>
            <w:r w:rsidRPr="00044FC6">
              <w:rPr>
                <w:noProof/>
                <w:webHidden/>
              </w:rPr>
              <w:instrText xml:space="preserve"> PAGEREF _Toc236949403 \h </w:instrText>
            </w:r>
            <w:r w:rsidRPr="00044FC6">
              <w:rPr>
                <w:noProof/>
                <w:webHidden/>
              </w:rPr>
            </w:r>
            <w:r w:rsidRPr="00044FC6">
              <w:rPr>
                <w:noProof/>
                <w:webHidden/>
              </w:rPr>
              <w:fldChar w:fldCharType="separate"/>
            </w:r>
            <w:r w:rsidR="009F068D">
              <w:rPr>
                <w:noProof/>
                <w:webHidden/>
              </w:rPr>
              <w:t>8</w:t>
            </w:r>
            <w:r w:rsidRPr="00044FC6">
              <w:rPr>
                <w:noProof/>
                <w:webHidden/>
              </w:rPr>
              <w:fldChar w:fldCharType="end"/>
            </w:r>
          </w:hyperlink>
        </w:p>
        <w:p w14:paraId="48A0C442" w14:textId="1E106D07" w:rsidR="00044FC6" w:rsidRPr="00044FC6" w:rsidRDefault="00044FC6" w:rsidP="00044FC6">
          <w:pPr>
            <w:pStyle w:val="TOC1"/>
            <w:tabs>
              <w:tab w:val="right" w:leader="dot" w:pos="9350"/>
            </w:tabs>
            <w:spacing w:after="0" w:line="360" w:lineRule="auto"/>
            <w:rPr>
              <w:noProof/>
            </w:rPr>
          </w:pPr>
          <w:hyperlink w:anchor="_Toc236949404" w:history="1">
            <w:r w:rsidRPr="00044FC6">
              <w:rPr>
                <w:rStyle w:val="Hyperlink"/>
                <w:noProof/>
              </w:rPr>
              <w:t>Task 2</w:t>
            </w:r>
            <w:r w:rsidRPr="00044FC6">
              <w:rPr>
                <w:noProof/>
                <w:webHidden/>
              </w:rPr>
              <w:tab/>
            </w:r>
            <w:r w:rsidRPr="00044FC6">
              <w:rPr>
                <w:noProof/>
                <w:webHidden/>
              </w:rPr>
              <w:fldChar w:fldCharType="begin"/>
            </w:r>
            <w:r w:rsidRPr="00044FC6">
              <w:rPr>
                <w:noProof/>
                <w:webHidden/>
              </w:rPr>
              <w:instrText xml:space="preserve"> PAGEREF _Toc236949404 \h </w:instrText>
            </w:r>
            <w:r w:rsidRPr="00044FC6">
              <w:rPr>
                <w:noProof/>
                <w:webHidden/>
              </w:rPr>
            </w:r>
            <w:r w:rsidRPr="00044FC6">
              <w:rPr>
                <w:noProof/>
                <w:webHidden/>
              </w:rPr>
              <w:fldChar w:fldCharType="separate"/>
            </w:r>
            <w:r w:rsidR="009F068D">
              <w:rPr>
                <w:noProof/>
                <w:webHidden/>
              </w:rPr>
              <w:t>9</w:t>
            </w:r>
            <w:r w:rsidRPr="00044FC6">
              <w:rPr>
                <w:noProof/>
                <w:webHidden/>
              </w:rPr>
              <w:fldChar w:fldCharType="end"/>
            </w:r>
          </w:hyperlink>
        </w:p>
        <w:p w14:paraId="5A95FEC7" w14:textId="083869F5" w:rsidR="00044FC6" w:rsidRPr="00044FC6" w:rsidRDefault="00044FC6" w:rsidP="00044FC6">
          <w:pPr>
            <w:pStyle w:val="TOC2"/>
            <w:tabs>
              <w:tab w:val="right" w:leader="dot" w:pos="9350"/>
            </w:tabs>
            <w:spacing w:after="0" w:line="360" w:lineRule="auto"/>
            <w:rPr>
              <w:noProof/>
            </w:rPr>
          </w:pPr>
          <w:hyperlink w:anchor="_Toc236949405" w:history="1">
            <w:r w:rsidRPr="00044FC6">
              <w:rPr>
                <w:rStyle w:val="Hyperlink"/>
                <w:noProof/>
              </w:rPr>
              <w:t>Introduction</w:t>
            </w:r>
            <w:r w:rsidRPr="00044FC6">
              <w:rPr>
                <w:noProof/>
                <w:webHidden/>
              </w:rPr>
              <w:tab/>
            </w:r>
            <w:r w:rsidRPr="00044FC6">
              <w:rPr>
                <w:noProof/>
                <w:webHidden/>
              </w:rPr>
              <w:fldChar w:fldCharType="begin"/>
            </w:r>
            <w:r w:rsidRPr="00044FC6">
              <w:rPr>
                <w:noProof/>
                <w:webHidden/>
              </w:rPr>
              <w:instrText xml:space="preserve"> PAGEREF _Toc236949405 \h </w:instrText>
            </w:r>
            <w:r w:rsidRPr="00044FC6">
              <w:rPr>
                <w:noProof/>
                <w:webHidden/>
              </w:rPr>
            </w:r>
            <w:r w:rsidRPr="00044FC6">
              <w:rPr>
                <w:noProof/>
                <w:webHidden/>
              </w:rPr>
              <w:fldChar w:fldCharType="separate"/>
            </w:r>
            <w:r w:rsidR="009F068D">
              <w:rPr>
                <w:noProof/>
                <w:webHidden/>
              </w:rPr>
              <w:t>9</w:t>
            </w:r>
            <w:r w:rsidRPr="00044FC6">
              <w:rPr>
                <w:noProof/>
                <w:webHidden/>
              </w:rPr>
              <w:fldChar w:fldCharType="end"/>
            </w:r>
          </w:hyperlink>
        </w:p>
        <w:p w14:paraId="475BFA39" w14:textId="0BDF31B5" w:rsidR="00044FC6" w:rsidRPr="00044FC6" w:rsidRDefault="00044FC6" w:rsidP="00044FC6">
          <w:pPr>
            <w:pStyle w:val="TOC2"/>
            <w:tabs>
              <w:tab w:val="right" w:leader="dot" w:pos="9350"/>
            </w:tabs>
            <w:spacing w:after="0" w:line="360" w:lineRule="auto"/>
            <w:rPr>
              <w:noProof/>
            </w:rPr>
          </w:pPr>
          <w:hyperlink w:anchor="_Toc236949406" w:history="1">
            <w:r w:rsidRPr="00044FC6">
              <w:rPr>
                <w:rStyle w:val="Hyperlink"/>
                <w:noProof/>
              </w:rPr>
              <w:t>Public Health Measures (3Ps)</w:t>
            </w:r>
            <w:r w:rsidRPr="00044FC6">
              <w:rPr>
                <w:noProof/>
                <w:webHidden/>
              </w:rPr>
              <w:tab/>
            </w:r>
            <w:r w:rsidRPr="00044FC6">
              <w:rPr>
                <w:noProof/>
                <w:webHidden/>
              </w:rPr>
              <w:fldChar w:fldCharType="begin"/>
            </w:r>
            <w:r w:rsidRPr="00044FC6">
              <w:rPr>
                <w:noProof/>
                <w:webHidden/>
              </w:rPr>
              <w:instrText xml:space="preserve"> PAGEREF _Toc236949406 \h </w:instrText>
            </w:r>
            <w:r w:rsidRPr="00044FC6">
              <w:rPr>
                <w:noProof/>
                <w:webHidden/>
              </w:rPr>
            </w:r>
            <w:r w:rsidRPr="00044FC6">
              <w:rPr>
                <w:noProof/>
                <w:webHidden/>
              </w:rPr>
              <w:fldChar w:fldCharType="separate"/>
            </w:r>
            <w:r w:rsidR="009F068D">
              <w:rPr>
                <w:noProof/>
                <w:webHidden/>
              </w:rPr>
              <w:t>9</w:t>
            </w:r>
            <w:r w:rsidRPr="00044FC6">
              <w:rPr>
                <w:noProof/>
                <w:webHidden/>
              </w:rPr>
              <w:fldChar w:fldCharType="end"/>
            </w:r>
          </w:hyperlink>
        </w:p>
        <w:p w14:paraId="2E9B460F" w14:textId="1503B727" w:rsidR="00044FC6" w:rsidRPr="00044FC6" w:rsidRDefault="00044FC6" w:rsidP="00044FC6">
          <w:pPr>
            <w:pStyle w:val="TOC3"/>
            <w:tabs>
              <w:tab w:val="right" w:leader="dot" w:pos="9350"/>
            </w:tabs>
            <w:spacing w:after="0" w:line="360" w:lineRule="auto"/>
            <w:rPr>
              <w:noProof/>
            </w:rPr>
          </w:pPr>
          <w:hyperlink w:anchor="_Toc236949407" w:history="1">
            <w:r w:rsidRPr="00044FC6">
              <w:rPr>
                <w:rStyle w:val="Hyperlink"/>
                <w:noProof/>
              </w:rPr>
              <w:t>Prevention</w:t>
            </w:r>
            <w:r w:rsidRPr="00044FC6">
              <w:rPr>
                <w:noProof/>
                <w:webHidden/>
              </w:rPr>
              <w:tab/>
            </w:r>
            <w:r w:rsidRPr="00044FC6">
              <w:rPr>
                <w:noProof/>
                <w:webHidden/>
              </w:rPr>
              <w:fldChar w:fldCharType="begin"/>
            </w:r>
            <w:r w:rsidRPr="00044FC6">
              <w:rPr>
                <w:noProof/>
                <w:webHidden/>
              </w:rPr>
              <w:instrText xml:space="preserve"> PAGEREF _Toc236949407 \h </w:instrText>
            </w:r>
            <w:r w:rsidRPr="00044FC6">
              <w:rPr>
                <w:noProof/>
                <w:webHidden/>
              </w:rPr>
            </w:r>
            <w:r w:rsidRPr="00044FC6">
              <w:rPr>
                <w:noProof/>
                <w:webHidden/>
              </w:rPr>
              <w:fldChar w:fldCharType="separate"/>
            </w:r>
            <w:r w:rsidR="009F068D">
              <w:rPr>
                <w:noProof/>
                <w:webHidden/>
              </w:rPr>
              <w:t>9</w:t>
            </w:r>
            <w:r w:rsidRPr="00044FC6">
              <w:rPr>
                <w:noProof/>
                <w:webHidden/>
              </w:rPr>
              <w:fldChar w:fldCharType="end"/>
            </w:r>
          </w:hyperlink>
        </w:p>
        <w:p w14:paraId="15DB6FC3" w14:textId="71A8E88B" w:rsidR="00044FC6" w:rsidRPr="00044FC6" w:rsidRDefault="00044FC6" w:rsidP="00044FC6">
          <w:pPr>
            <w:pStyle w:val="TOC3"/>
            <w:tabs>
              <w:tab w:val="right" w:leader="dot" w:pos="9350"/>
            </w:tabs>
            <w:spacing w:after="0" w:line="360" w:lineRule="auto"/>
            <w:rPr>
              <w:noProof/>
            </w:rPr>
          </w:pPr>
          <w:hyperlink w:anchor="_Toc236949408" w:history="1">
            <w:r w:rsidRPr="00044FC6">
              <w:rPr>
                <w:rStyle w:val="Hyperlink"/>
                <w:noProof/>
              </w:rPr>
              <w:t>Protection</w:t>
            </w:r>
            <w:r w:rsidRPr="00044FC6">
              <w:rPr>
                <w:noProof/>
                <w:webHidden/>
              </w:rPr>
              <w:tab/>
            </w:r>
            <w:r w:rsidRPr="00044FC6">
              <w:rPr>
                <w:noProof/>
                <w:webHidden/>
              </w:rPr>
              <w:fldChar w:fldCharType="begin"/>
            </w:r>
            <w:r w:rsidRPr="00044FC6">
              <w:rPr>
                <w:noProof/>
                <w:webHidden/>
              </w:rPr>
              <w:instrText xml:space="preserve"> PAGEREF _Toc236949408 \h </w:instrText>
            </w:r>
            <w:r w:rsidRPr="00044FC6">
              <w:rPr>
                <w:noProof/>
                <w:webHidden/>
              </w:rPr>
            </w:r>
            <w:r w:rsidRPr="00044FC6">
              <w:rPr>
                <w:noProof/>
                <w:webHidden/>
              </w:rPr>
              <w:fldChar w:fldCharType="separate"/>
            </w:r>
            <w:r w:rsidR="009F068D">
              <w:rPr>
                <w:noProof/>
                <w:webHidden/>
              </w:rPr>
              <w:t>10</w:t>
            </w:r>
            <w:r w:rsidRPr="00044FC6">
              <w:rPr>
                <w:noProof/>
                <w:webHidden/>
              </w:rPr>
              <w:fldChar w:fldCharType="end"/>
            </w:r>
          </w:hyperlink>
        </w:p>
        <w:p w14:paraId="1E5B5C2A" w14:textId="2E165794" w:rsidR="00044FC6" w:rsidRPr="00044FC6" w:rsidRDefault="00044FC6" w:rsidP="00044FC6">
          <w:pPr>
            <w:pStyle w:val="TOC3"/>
            <w:tabs>
              <w:tab w:val="right" w:leader="dot" w:pos="9350"/>
            </w:tabs>
            <w:spacing w:after="0" w:line="360" w:lineRule="auto"/>
            <w:rPr>
              <w:noProof/>
            </w:rPr>
          </w:pPr>
          <w:hyperlink w:anchor="_Toc236949409" w:history="1">
            <w:r w:rsidRPr="00044FC6">
              <w:rPr>
                <w:rStyle w:val="Hyperlink"/>
                <w:noProof/>
              </w:rPr>
              <w:t>Promotion</w:t>
            </w:r>
            <w:r w:rsidRPr="00044FC6">
              <w:rPr>
                <w:noProof/>
                <w:webHidden/>
              </w:rPr>
              <w:tab/>
            </w:r>
            <w:r w:rsidRPr="00044FC6">
              <w:rPr>
                <w:noProof/>
                <w:webHidden/>
              </w:rPr>
              <w:fldChar w:fldCharType="begin"/>
            </w:r>
            <w:r w:rsidRPr="00044FC6">
              <w:rPr>
                <w:noProof/>
                <w:webHidden/>
              </w:rPr>
              <w:instrText xml:space="preserve"> PAGEREF _Toc236949409 \h </w:instrText>
            </w:r>
            <w:r w:rsidRPr="00044FC6">
              <w:rPr>
                <w:noProof/>
                <w:webHidden/>
              </w:rPr>
            </w:r>
            <w:r w:rsidRPr="00044FC6">
              <w:rPr>
                <w:noProof/>
                <w:webHidden/>
              </w:rPr>
              <w:fldChar w:fldCharType="separate"/>
            </w:r>
            <w:r w:rsidR="009F068D">
              <w:rPr>
                <w:noProof/>
                <w:webHidden/>
              </w:rPr>
              <w:t>10</w:t>
            </w:r>
            <w:r w:rsidRPr="00044FC6">
              <w:rPr>
                <w:noProof/>
                <w:webHidden/>
              </w:rPr>
              <w:fldChar w:fldCharType="end"/>
            </w:r>
          </w:hyperlink>
        </w:p>
        <w:p w14:paraId="31EB864F" w14:textId="4B113954" w:rsidR="00044FC6" w:rsidRPr="00044FC6" w:rsidRDefault="00044FC6" w:rsidP="00044FC6">
          <w:pPr>
            <w:pStyle w:val="TOC2"/>
            <w:tabs>
              <w:tab w:val="right" w:leader="dot" w:pos="9350"/>
            </w:tabs>
            <w:spacing w:after="0" w:line="360" w:lineRule="auto"/>
            <w:rPr>
              <w:noProof/>
            </w:rPr>
          </w:pPr>
          <w:hyperlink w:anchor="_Toc236949410" w:history="1">
            <w:r w:rsidRPr="00044FC6">
              <w:rPr>
                <w:rStyle w:val="Hyperlink"/>
                <w:noProof/>
              </w:rPr>
              <w:t>Determinants and Risk Factors</w:t>
            </w:r>
            <w:r w:rsidRPr="00044FC6">
              <w:rPr>
                <w:noProof/>
                <w:webHidden/>
              </w:rPr>
              <w:tab/>
            </w:r>
            <w:r w:rsidRPr="00044FC6">
              <w:rPr>
                <w:noProof/>
                <w:webHidden/>
              </w:rPr>
              <w:fldChar w:fldCharType="begin"/>
            </w:r>
            <w:r w:rsidRPr="00044FC6">
              <w:rPr>
                <w:noProof/>
                <w:webHidden/>
              </w:rPr>
              <w:instrText xml:space="preserve"> PAGEREF _Toc236949410 \h </w:instrText>
            </w:r>
            <w:r w:rsidRPr="00044FC6">
              <w:rPr>
                <w:noProof/>
                <w:webHidden/>
              </w:rPr>
            </w:r>
            <w:r w:rsidRPr="00044FC6">
              <w:rPr>
                <w:noProof/>
                <w:webHidden/>
              </w:rPr>
              <w:fldChar w:fldCharType="separate"/>
            </w:r>
            <w:r w:rsidR="009F068D">
              <w:rPr>
                <w:noProof/>
                <w:webHidden/>
              </w:rPr>
              <w:t>10</w:t>
            </w:r>
            <w:r w:rsidRPr="00044FC6">
              <w:rPr>
                <w:noProof/>
                <w:webHidden/>
              </w:rPr>
              <w:fldChar w:fldCharType="end"/>
            </w:r>
          </w:hyperlink>
        </w:p>
        <w:p w14:paraId="338C5061" w14:textId="09EEC7A2" w:rsidR="00044FC6" w:rsidRPr="00044FC6" w:rsidRDefault="00044FC6" w:rsidP="00044FC6">
          <w:pPr>
            <w:pStyle w:val="TOC2"/>
            <w:tabs>
              <w:tab w:val="right" w:leader="dot" w:pos="9350"/>
            </w:tabs>
            <w:spacing w:after="0" w:line="360" w:lineRule="auto"/>
            <w:rPr>
              <w:noProof/>
            </w:rPr>
          </w:pPr>
          <w:hyperlink w:anchor="_Toc236949411" w:history="1">
            <w:r w:rsidRPr="00044FC6">
              <w:rPr>
                <w:rStyle w:val="Hyperlink"/>
                <w:noProof/>
              </w:rPr>
              <w:t>Epidemiological Studies and Health Needs Assessment</w:t>
            </w:r>
            <w:r w:rsidRPr="00044FC6">
              <w:rPr>
                <w:noProof/>
                <w:webHidden/>
              </w:rPr>
              <w:tab/>
            </w:r>
            <w:r w:rsidRPr="00044FC6">
              <w:rPr>
                <w:noProof/>
                <w:webHidden/>
              </w:rPr>
              <w:fldChar w:fldCharType="begin"/>
            </w:r>
            <w:r w:rsidRPr="00044FC6">
              <w:rPr>
                <w:noProof/>
                <w:webHidden/>
              </w:rPr>
              <w:instrText xml:space="preserve"> PAGEREF _Toc236949411 \h </w:instrText>
            </w:r>
            <w:r w:rsidRPr="00044FC6">
              <w:rPr>
                <w:noProof/>
                <w:webHidden/>
              </w:rPr>
            </w:r>
            <w:r w:rsidRPr="00044FC6">
              <w:rPr>
                <w:noProof/>
                <w:webHidden/>
              </w:rPr>
              <w:fldChar w:fldCharType="separate"/>
            </w:r>
            <w:r w:rsidR="009F068D">
              <w:rPr>
                <w:noProof/>
                <w:webHidden/>
              </w:rPr>
              <w:t>11</w:t>
            </w:r>
            <w:r w:rsidRPr="00044FC6">
              <w:rPr>
                <w:noProof/>
                <w:webHidden/>
              </w:rPr>
              <w:fldChar w:fldCharType="end"/>
            </w:r>
          </w:hyperlink>
        </w:p>
        <w:p w14:paraId="28F45E40" w14:textId="6AF63B24" w:rsidR="00044FC6" w:rsidRPr="00044FC6" w:rsidRDefault="00044FC6" w:rsidP="00044FC6">
          <w:pPr>
            <w:pStyle w:val="TOC2"/>
            <w:tabs>
              <w:tab w:val="right" w:leader="dot" w:pos="9350"/>
            </w:tabs>
            <w:spacing w:after="0" w:line="360" w:lineRule="auto"/>
            <w:rPr>
              <w:noProof/>
            </w:rPr>
          </w:pPr>
          <w:hyperlink w:anchor="_Toc236949412" w:history="1">
            <w:r w:rsidRPr="00044FC6">
              <w:rPr>
                <w:rStyle w:val="Hyperlink"/>
                <w:noProof/>
              </w:rPr>
              <w:t>Monitoring and Surveillance System</w:t>
            </w:r>
            <w:r w:rsidRPr="00044FC6">
              <w:rPr>
                <w:noProof/>
                <w:webHidden/>
              </w:rPr>
              <w:tab/>
            </w:r>
            <w:r w:rsidRPr="00044FC6">
              <w:rPr>
                <w:noProof/>
                <w:webHidden/>
              </w:rPr>
              <w:fldChar w:fldCharType="begin"/>
            </w:r>
            <w:r w:rsidRPr="00044FC6">
              <w:rPr>
                <w:noProof/>
                <w:webHidden/>
              </w:rPr>
              <w:instrText xml:space="preserve"> PAGEREF _Toc236949412 \h </w:instrText>
            </w:r>
            <w:r w:rsidRPr="00044FC6">
              <w:rPr>
                <w:noProof/>
                <w:webHidden/>
              </w:rPr>
            </w:r>
            <w:r w:rsidRPr="00044FC6">
              <w:rPr>
                <w:noProof/>
                <w:webHidden/>
              </w:rPr>
              <w:fldChar w:fldCharType="separate"/>
            </w:r>
            <w:r w:rsidR="009F068D">
              <w:rPr>
                <w:noProof/>
                <w:webHidden/>
              </w:rPr>
              <w:t>11</w:t>
            </w:r>
            <w:r w:rsidRPr="00044FC6">
              <w:rPr>
                <w:noProof/>
                <w:webHidden/>
              </w:rPr>
              <w:fldChar w:fldCharType="end"/>
            </w:r>
          </w:hyperlink>
        </w:p>
        <w:p w14:paraId="41D07BE4" w14:textId="4CB73A45" w:rsidR="00044FC6" w:rsidRPr="00044FC6" w:rsidRDefault="00044FC6" w:rsidP="00044FC6">
          <w:pPr>
            <w:pStyle w:val="TOC3"/>
            <w:tabs>
              <w:tab w:val="right" w:leader="dot" w:pos="9350"/>
            </w:tabs>
            <w:spacing w:after="0" w:line="360" w:lineRule="auto"/>
            <w:rPr>
              <w:noProof/>
            </w:rPr>
          </w:pPr>
          <w:hyperlink w:anchor="_Toc236949413" w:history="1">
            <w:r w:rsidRPr="00044FC6">
              <w:rPr>
                <w:rStyle w:val="Hyperlink"/>
                <w:noProof/>
              </w:rPr>
              <w:t>Enhanced TB Surveillance (ETS)</w:t>
            </w:r>
            <w:r w:rsidRPr="00044FC6">
              <w:rPr>
                <w:noProof/>
                <w:webHidden/>
              </w:rPr>
              <w:tab/>
            </w:r>
            <w:r w:rsidRPr="00044FC6">
              <w:rPr>
                <w:noProof/>
                <w:webHidden/>
              </w:rPr>
              <w:fldChar w:fldCharType="begin"/>
            </w:r>
            <w:r w:rsidRPr="00044FC6">
              <w:rPr>
                <w:noProof/>
                <w:webHidden/>
              </w:rPr>
              <w:instrText xml:space="preserve"> PAGEREF _Toc236949413 \h </w:instrText>
            </w:r>
            <w:r w:rsidRPr="00044FC6">
              <w:rPr>
                <w:noProof/>
                <w:webHidden/>
              </w:rPr>
            </w:r>
            <w:r w:rsidRPr="00044FC6">
              <w:rPr>
                <w:noProof/>
                <w:webHidden/>
              </w:rPr>
              <w:fldChar w:fldCharType="separate"/>
            </w:r>
            <w:r w:rsidR="009F068D">
              <w:rPr>
                <w:noProof/>
                <w:webHidden/>
              </w:rPr>
              <w:t>11</w:t>
            </w:r>
            <w:r w:rsidRPr="00044FC6">
              <w:rPr>
                <w:noProof/>
                <w:webHidden/>
              </w:rPr>
              <w:fldChar w:fldCharType="end"/>
            </w:r>
          </w:hyperlink>
        </w:p>
        <w:p w14:paraId="762DADF8" w14:textId="459B020A" w:rsidR="00044FC6" w:rsidRPr="00044FC6" w:rsidRDefault="00044FC6" w:rsidP="00044FC6">
          <w:pPr>
            <w:pStyle w:val="TOC3"/>
            <w:tabs>
              <w:tab w:val="right" w:leader="dot" w:pos="9350"/>
            </w:tabs>
            <w:spacing w:after="0" w:line="360" w:lineRule="auto"/>
            <w:rPr>
              <w:noProof/>
            </w:rPr>
          </w:pPr>
          <w:hyperlink w:anchor="_Toc236949414" w:history="1">
            <w:r w:rsidRPr="00044FC6">
              <w:rPr>
                <w:rStyle w:val="Hyperlink"/>
                <w:noProof/>
              </w:rPr>
              <w:t>Active Case Finding and Contact Tracing</w:t>
            </w:r>
            <w:r w:rsidRPr="00044FC6">
              <w:rPr>
                <w:noProof/>
                <w:webHidden/>
              </w:rPr>
              <w:tab/>
            </w:r>
            <w:r w:rsidRPr="00044FC6">
              <w:rPr>
                <w:noProof/>
                <w:webHidden/>
              </w:rPr>
              <w:fldChar w:fldCharType="begin"/>
            </w:r>
            <w:r w:rsidRPr="00044FC6">
              <w:rPr>
                <w:noProof/>
                <w:webHidden/>
              </w:rPr>
              <w:instrText xml:space="preserve"> PAGEREF _Toc236949414 \h </w:instrText>
            </w:r>
            <w:r w:rsidRPr="00044FC6">
              <w:rPr>
                <w:noProof/>
                <w:webHidden/>
              </w:rPr>
            </w:r>
            <w:r w:rsidRPr="00044FC6">
              <w:rPr>
                <w:noProof/>
                <w:webHidden/>
              </w:rPr>
              <w:fldChar w:fldCharType="separate"/>
            </w:r>
            <w:r w:rsidR="009F068D">
              <w:rPr>
                <w:noProof/>
                <w:webHidden/>
              </w:rPr>
              <w:t>11</w:t>
            </w:r>
            <w:r w:rsidRPr="00044FC6">
              <w:rPr>
                <w:noProof/>
                <w:webHidden/>
              </w:rPr>
              <w:fldChar w:fldCharType="end"/>
            </w:r>
          </w:hyperlink>
        </w:p>
        <w:p w14:paraId="5178029F" w14:textId="4BC9EAA4" w:rsidR="00044FC6" w:rsidRPr="00044FC6" w:rsidRDefault="00044FC6" w:rsidP="00044FC6">
          <w:pPr>
            <w:pStyle w:val="TOC3"/>
            <w:tabs>
              <w:tab w:val="right" w:leader="dot" w:pos="9350"/>
            </w:tabs>
            <w:spacing w:after="0" w:line="360" w:lineRule="auto"/>
            <w:rPr>
              <w:noProof/>
            </w:rPr>
          </w:pPr>
          <w:hyperlink w:anchor="_Toc236949415" w:history="1">
            <w:r w:rsidRPr="00044FC6">
              <w:rPr>
                <w:rStyle w:val="Hyperlink"/>
                <w:noProof/>
              </w:rPr>
              <w:t>Laboratory and Community Monitoring</w:t>
            </w:r>
            <w:r w:rsidRPr="00044FC6">
              <w:rPr>
                <w:noProof/>
                <w:webHidden/>
              </w:rPr>
              <w:tab/>
            </w:r>
            <w:r w:rsidRPr="00044FC6">
              <w:rPr>
                <w:noProof/>
                <w:webHidden/>
              </w:rPr>
              <w:fldChar w:fldCharType="begin"/>
            </w:r>
            <w:r w:rsidRPr="00044FC6">
              <w:rPr>
                <w:noProof/>
                <w:webHidden/>
              </w:rPr>
              <w:instrText xml:space="preserve"> PAGEREF _Toc236949415 \h </w:instrText>
            </w:r>
            <w:r w:rsidRPr="00044FC6">
              <w:rPr>
                <w:noProof/>
                <w:webHidden/>
              </w:rPr>
            </w:r>
            <w:r w:rsidRPr="00044FC6">
              <w:rPr>
                <w:noProof/>
                <w:webHidden/>
              </w:rPr>
              <w:fldChar w:fldCharType="separate"/>
            </w:r>
            <w:r w:rsidR="009F068D">
              <w:rPr>
                <w:noProof/>
                <w:webHidden/>
              </w:rPr>
              <w:t>12</w:t>
            </w:r>
            <w:r w:rsidRPr="00044FC6">
              <w:rPr>
                <w:noProof/>
                <w:webHidden/>
              </w:rPr>
              <w:fldChar w:fldCharType="end"/>
            </w:r>
          </w:hyperlink>
        </w:p>
        <w:p w14:paraId="04096D99" w14:textId="151D072E" w:rsidR="00044FC6" w:rsidRPr="00044FC6" w:rsidRDefault="00044FC6" w:rsidP="00044FC6">
          <w:pPr>
            <w:pStyle w:val="TOC2"/>
            <w:tabs>
              <w:tab w:val="right" w:leader="dot" w:pos="9350"/>
            </w:tabs>
            <w:spacing w:after="0" w:line="360" w:lineRule="auto"/>
            <w:rPr>
              <w:noProof/>
            </w:rPr>
          </w:pPr>
          <w:hyperlink w:anchor="_Toc236949416" w:history="1">
            <w:r w:rsidRPr="00044FC6">
              <w:rPr>
                <w:rStyle w:val="Hyperlink"/>
                <w:noProof/>
              </w:rPr>
              <w:t>Public Health Impact</w:t>
            </w:r>
            <w:r w:rsidRPr="00044FC6">
              <w:rPr>
                <w:noProof/>
                <w:webHidden/>
              </w:rPr>
              <w:tab/>
            </w:r>
            <w:r w:rsidRPr="00044FC6">
              <w:rPr>
                <w:noProof/>
                <w:webHidden/>
              </w:rPr>
              <w:fldChar w:fldCharType="begin"/>
            </w:r>
            <w:r w:rsidRPr="00044FC6">
              <w:rPr>
                <w:noProof/>
                <w:webHidden/>
              </w:rPr>
              <w:instrText xml:space="preserve"> PAGEREF _Toc236949416 \h </w:instrText>
            </w:r>
            <w:r w:rsidRPr="00044FC6">
              <w:rPr>
                <w:noProof/>
                <w:webHidden/>
              </w:rPr>
            </w:r>
            <w:r w:rsidRPr="00044FC6">
              <w:rPr>
                <w:noProof/>
                <w:webHidden/>
              </w:rPr>
              <w:fldChar w:fldCharType="separate"/>
            </w:r>
            <w:r w:rsidR="009F068D">
              <w:rPr>
                <w:noProof/>
                <w:webHidden/>
              </w:rPr>
              <w:t>12</w:t>
            </w:r>
            <w:r w:rsidRPr="00044FC6">
              <w:rPr>
                <w:noProof/>
                <w:webHidden/>
              </w:rPr>
              <w:fldChar w:fldCharType="end"/>
            </w:r>
          </w:hyperlink>
        </w:p>
        <w:p w14:paraId="78BE4645" w14:textId="3CA7F3B9" w:rsidR="00044FC6" w:rsidRPr="00044FC6" w:rsidRDefault="00044FC6" w:rsidP="00044FC6">
          <w:pPr>
            <w:pStyle w:val="TOC2"/>
            <w:tabs>
              <w:tab w:val="right" w:leader="dot" w:pos="9350"/>
            </w:tabs>
            <w:spacing w:after="0" w:line="360" w:lineRule="auto"/>
            <w:rPr>
              <w:noProof/>
            </w:rPr>
          </w:pPr>
          <w:hyperlink w:anchor="_Toc236949417" w:history="1">
            <w:r w:rsidRPr="00044FC6">
              <w:rPr>
                <w:rStyle w:val="Hyperlink"/>
                <w:noProof/>
              </w:rPr>
              <w:t>Intervention Design and Evaluation</w:t>
            </w:r>
            <w:r w:rsidRPr="00044FC6">
              <w:rPr>
                <w:noProof/>
                <w:webHidden/>
              </w:rPr>
              <w:tab/>
            </w:r>
            <w:r w:rsidRPr="00044FC6">
              <w:rPr>
                <w:noProof/>
                <w:webHidden/>
              </w:rPr>
              <w:fldChar w:fldCharType="begin"/>
            </w:r>
            <w:r w:rsidRPr="00044FC6">
              <w:rPr>
                <w:noProof/>
                <w:webHidden/>
              </w:rPr>
              <w:instrText xml:space="preserve"> PAGEREF _Toc236949417 \h </w:instrText>
            </w:r>
            <w:r w:rsidRPr="00044FC6">
              <w:rPr>
                <w:noProof/>
                <w:webHidden/>
              </w:rPr>
            </w:r>
            <w:r w:rsidRPr="00044FC6">
              <w:rPr>
                <w:noProof/>
                <w:webHidden/>
              </w:rPr>
              <w:fldChar w:fldCharType="separate"/>
            </w:r>
            <w:r w:rsidR="009F068D">
              <w:rPr>
                <w:noProof/>
                <w:webHidden/>
              </w:rPr>
              <w:t>14</w:t>
            </w:r>
            <w:r w:rsidRPr="00044FC6">
              <w:rPr>
                <w:noProof/>
                <w:webHidden/>
              </w:rPr>
              <w:fldChar w:fldCharType="end"/>
            </w:r>
          </w:hyperlink>
        </w:p>
        <w:p w14:paraId="369AAE0B" w14:textId="7C7858F7" w:rsidR="00044FC6" w:rsidRPr="00044FC6" w:rsidRDefault="00044FC6" w:rsidP="00044FC6">
          <w:pPr>
            <w:pStyle w:val="TOC2"/>
            <w:tabs>
              <w:tab w:val="right" w:leader="dot" w:pos="9350"/>
            </w:tabs>
            <w:spacing w:after="0" w:line="360" w:lineRule="auto"/>
            <w:rPr>
              <w:noProof/>
            </w:rPr>
          </w:pPr>
          <w:hyperlink w:anchor="_Toc236949418" w:history="1">
            <w:r w:rsidRPr="00044FC6">
              <w:rPr>
                <w:rStyle w:val="Hyperlink"/>
                <w:noProof/>
              </w:rPr>
              <w:t>Strengths and Weaknesses</w:t>
            </w:r>
            <w:r w:rsidRPr="00044FC6">
              <w:rPr>
                <w:noProof/>
                <w:webHidden/>
              </w:rPr>
              <w:tab/>
            </w:r>
            <w:r w:rsidRPr="00044FC6">
              <w:rPr>
                <w:noProof/>
                <w:webHidden/>
              </w:rPr>
              <w:fldChar w:fldCharType="begin"/>
            </w:r>
            <w:r w:rsidRPr="00044FC6">
              <w:rPr>
                <w:noProof/>
                <w:webHidden/>
              </w:rPr>
              <w:instrText xml:space="preserve"> PAGEREF _Toc236949418 \h </w:instrText>
            </w:r>
            <w:r w:rsidRPr="00044FC6">
              <w:rPr>
                <w:noProof/>
                <w:webHidden/>
              </w:rPr>
            </w:r>
            <w:r w:rsidRPr="00044FC6">
              <w:rPr>
                <w:noProof/>
                <w:webHidden/>
              </w:rPr>
              <w:fldChar w:fldCharType="separate"/>
            </w:r>
            <w:r w:rsidR="009F068D">
              <w:rPr>
                <w:noProof/>
                <w:webHidden/>
              </w:rPr>
              <w:t>14</w:t>
            </w:r>
            <w:r w:rsidRPr="00044FC6">
              <w:rPr>
                <w:noProof/>
                <w:webHidden/>
              </w:rPr>
              <w:fldChar w:fldCharType="end"/>
            </w:r>
          </w:hyperlink>
        </w:p>
        <w:p w14:paraId="6713A1E7" w14:textId="461AF820" w:rsidR="00044FC6" w:rsidRPr="00044FC6" w:rsidRDefault="00044FC6" w:rsidP="00044FC6">
          <w:pPr>
            <w:pStyle w:val="TOC2"/>
            <w:tabs>
              <w:tab w:val="right" w:leader="dot" w:pos="9350"/>
            </w:tabs>
            <w:spacing w:after="0" w:line="360" w:lineRule="auto"/>
            <w:rPr>
              <w:noProof/>
            </w:rPr>
          </w:pPr>
          <w:hyperlink w:anchor="_Toc236949419" w:history="1">
            <w:r w:rsidRPr="00044FC6">
              <w:rPr>
                <w:rStyle w:val="Hyperlink"/>
                <w:noProof/>
              </w:rPr>
              <w:t>Conclusion</w:t>
            </w:r>
            <w:r w:rsidRPr="00044FC6">
              <w:rPr>
                <w:noProof/>
                <w:webHidden/>
              </w:rPr>
              <w:tab/>
            </w:r>
            <w:r w:rsidRPr="00044FC6">
              <w:rPr>
                <w:noProof/>
                <w:webHidden/>
              </w:rPr>
              <w:fldChar w:fldCharType="begin"/>
            </w:r>
            <w:r w:rsidRPr="00044FC6">
              <w:rPr>
                <w:noProof/>
                <w:webHidden/>
              </w:rPr>
              <w:instrText xml:space="preserve"> PAGEREF _Toc236949419 \h </w:instrText>
            </w:r>
            <w:r w:rsidRPr="00044FC6">
              <w:rPr>
                <w:noProof/>
                <w:webHidden/>
              </w:rPr>
            </w:r>
            <w:r w:rsidRPr="00044FC6">
              <w:rPr>
                <w:noProof/>
                <w:webHidden/>
              </w:rPr>
              <w:fldChar w:fldCharType="separate"/>
            </w:r>
            <w:r w:rsidR="009F068D">
              <w:rPr>
                <w:noProof/>
                <w:webHidden/>
              </w:rPr>
              <w:t>14</w:t>
            </w:r>
            <w:r w:rsidRPr="00044FC6">
              <w:rPr>
                <w:noProof/>
                <w:webHidden/>
              </w:rPr>
              <w:fldChar w:fldCharType="end"/>
            </w:r>
          </w:hyperlink>
        </w:p>
        <w:p w14:paraId="773706D0" w14:textId="4511980F" w:rsidR="00044FC6" w:rsidRPr="00044FC6" w:rsidRDefault="00044FC6" w:rsidP="00044FC6">
          <w:pPr>
            <w:pStyle w:val="TOC1"/>
            <w:tabs>
              <w:tab w:val="right" w:leader="dot" w:pos="9350"/>
            </w:tabs>
            <w:spacing w:after="0" w:line="360" w:lineRule="auto"/>
            <w:rPr>
              <w:noProof/>
            </w:rPr>
          </w:pPr>
          <w:hyperlink w:anchor="_Toc236949420" w:history="1">
            <w:r w:rsidRPr="00044FC6">
              <w:rPr>
                <w:rStyle w:val="Hyperlink"/>
                <w:noProof/>
              </w:rPr>
              <w:t>Reference List</w:t>
            </w:r>
            <w:r w:rsidRPr="00044FC6">
              <w:rPr>
                <w:noProof/>
                <w:webHidden/>
              </w:rPr>
              <w:tab/>
            </w:r>
            <w:r w:rsidRPr="00044FC6">
              <w:rPr>
                <w:noProof/>
                <w:webHidden/>
              </w:rPr>
              <w:fldChar w:fldCharType="begin"/>
            </w:r>
            <w:r w:rsidRPr="00044FC6">
              <w:rPr>
                <w:noProof/>
                <w:webHidden/>
              </w:rPr>
              <w:instrText xml:space="preserve"> PAGEREF _Toc236949420 \h </w:instrText>
            </w:r>
            <w:r w:rsidRPr="00044FC6">
              <w:rPr>
                <w:noProof/>
                <w:webHidden/>
              </w:rPr>
            </w:r>
            <w:r w:rsidRPr="00044FC6">
              <w:rPr>
                <w:noProof/>
                <w:webHidden/>
              </w:rPr>
              <w:fldChar w:fldCharType="separate"/>
            </w:r>
            <w:r w:rsidR="009F068D">
              <w:rPr>
                <w:noProof/>
                <w:webHidden/>
              </w:rPr>
              <w:t>15</w:t>
            </w:r>
            <w:r w:rsidRPr="00044FC6">
              <w:rPr>
                <w:noProof/>
                <w:webHidden/>
              </w:rPr>
              <w:fldChar w:fldCharType="end"/>
            </w:r>
          </w:hyperlink>
        </w:p>
        <w:p w14:paraId="150D48FC" w14:textId="0B2023AC" w:rsidR="00044FC6" w:rsidRPr="00044FC6" w:rsidRDefault="00044FC6" w:rsidP="00044FC6">
          <w:pPr>
            <w:pStyle w:val="TOC2"/>
            <w:tabs>
              <w:tab w:val="right" w:leader="dot" w:pos="9350"/>
            </w:tabs>
            <w:spacing w:after="0" w:line="360" w:lineRule="auto"/>
            <w:rPr>
              <w:noProof/>
            </w:rPr>
          </w:pPr>
          <w:hyperlink w:anchor="_Toc236949421" w:history="1">
            <w:r w:rsidRPr="00044FC6">
              <w:rPr>
                <w:rStyle w:val="Hyperlink"/>
                <w:noProof/>
              </w:rPr>
              <w:t>Task A</w:t>
            </w:r>
            <w:r w:rsidRPr="00044FC6">
              <w:rPr>
                <w:noProof/>
                <w:webHidden/>
              </w:rPr>
              <w:tab/>
            </w:r>
            <w:r w:rsidRPr="00044FC6">
              <w:rPr>
                <w:noProof/>
                <w:webHidden/>
              </w:rPr>
              <w:fldChar w:fldCharType="begin"/>
            </w:r>
            <w:r w:rsidRPr="00044FC6">
              <w:rPr>
                <w:noProof/>
                <w:webHidden/>
              </w:rPr>
              <w:instrText xml:space="preserve"> PAGEREF _Toc236949421 \h </w:instrText>
            </w:r>
            <w:r w:rsidRPr="00044FC6">
              <w:rPr>
                <w:noProof/>
                <w:webHidden/>
              </w:rPr>
            </w:r>
            <w:r w:rsidRPr="00044FC6">
              <w:rPr>
                <w:noProof/>
                <w:webHidden/>
              </w:rPr>
              <w:fldChar w:fldCharType="separate"/>
            </w:r>
            <w:r w:rsidR="009F068D">
              <w:rPr>
                <w:noProof/>
                <w:webHidden/>
              </w:rPr>
              <w:t>15</w:t>
            </w:r>
            <w:r w:rsidRPr="00044FC6">
              <w:rPr>
                <w:noProof/>
                <w:webHidden/>
              </w:rPr>
              <w:fldChar w:fldCharType="end"/>
            </w:r>
          </w:hyperlink>
        </w:p>
        <w:p w14:paraId="39B5A2EB" w14:textId="32CED59A" w:rsidR="00044FC6" w:rsidRPr="00044FC6" w:rsidRDefault="00044FC6" w:rsidP="00044FC6">
          <w:pPr>
            <w:pStyle w:val="TOC2"/>
            <w:tabs>
              <w:tab w:val="right" w:leader="dot" w:pos="9350"/>
            </w:tabs>
            <w:spacing w:after="0" w:line="360" w:lineRule="auto"/>
            <w:rPr>
              <w:noProof/>
            </w:rPr>
          </w:pPr>
          <w:hyperlink w:anchor="_Toc236949422" w:history="1">
            <w:r w:rsidRPr="00044FC6">
              <w:rPr>
                <w:rStyle w:val="Hyperlink"/>
                <w:noProof/>
              </w:rPr>
              <w:t>Task B</w:t>
            </w:r>
            <w:r w:rsidRPr="00044FC6">
              <w:rPr>
                <w:noProof/>
                <w:webHidden/>
              </w:rPr>
              <w:tab/>
            </w:r>
            <w:r w:rsidRPr="00044FC6">
              <w:rPr>
                <w:noProof/>
                <w:webHidden/>
              </w:rPr>
              <w:fldChar w:fldCharType="begin"/>
            </w:r>
            <w:r w:rsidRPr="00044FC6">
              <w:rPr>
                <w:noProof/>
                <w:webHidden/>
              </w:rPr>
              <w:instrText xml:space="preserve"> PAGEREF _Toc236949422 \h </w:instrText>
            </w:r>
            <w:r w:rsidRPr="00044FC6">
              <w:rPr>
                <w:noProof/>
                <w:webHidden/>
              </w:rPr>
            </w:r>
            <w:r w:rsidRPr="00044FC6">
              <w:rPr>
                <w:noProof/>
                <w:webHidden/>
              </w:rPr>
              <w:fldChar w:fldCharType="separate"/>
            </w:r>
            <w:r w:rsidR="009F068D">
              <w:rPr>
                <w:noProof/>
                <w:webHidden/>
              </w:rPr>
              <w:t>16</w:t>
            </w:r>
            <w:r w:rsidRPr="00044FC6">
              <w:rPr>
                <w:noProof/>
                <w:webHidden/>
              </w:rPr>
              <w:fldChar w:fldCharType="end"/>
            </w:r>
          </w:hyperlink>
        </w:p>
        <w:p w14:paraId="20C33080" w14:textId="7E1C122D" w:rsidR="00044FC6" w:rsidRDefault="00044FC6" w:rsidP="00044FC6">
          <w:pPr>
            <w:spacing w:line="360" w:lineRule="auto"/>
          </w:pPr>
          <w:r w:rsidRPr="00044FC6">
            <w:rPr>
              <w:b/>
              <w:bCs/>
              <w:noProof/>
            </w:rPr>
            <w:fldChar w:fldCharType="end"/>
          </w:r>
        </w:p>
      </w:sdtContent>
    </w:sdt>
    <w:p w14:paraId="479EB2AD" w14:textId="2DA63711" w:rsidR="00044FC6" w:rsidRDefault="00044FC6">
      <w:pPr>
        <w:rPr>
          <w:b/>
          <w:bCs/>
          <w:sz w:val="28"/>
          <w:szCs w:val="28"/>
        </w:rPr>
      </w:pPr>
    </w:p>
    <w:p w14:paraId="615D5E31" w14:textId="4F13D9FE" w:rsidR="0007032B" w:rsidRPr="00044FC6" w:rsidRDefault="009B1A1A" w:rsidP="00044FC6">
      <w:pPr>
        <w:pStyle w:val="Heading1"/>
      </w:pPr>
      <w:bookmarkStart w:id="0" w:name="_Toc236949392"/>
      <w:r w:rsidRPr="00044FC6">
        <w:lastRenderedPageBreak/>
        <w:t>Task 1: Social Epidemiological Analysis</w:t>
      </w:r>
      <w:bookmarkEnd w:id="0"/>
    </w:p>
    <w:p w14:paraId="55F3729D" w14:textId="77777777" w:rsidR="0007032B" w:rsidRPr="00044FC6" w:rsidRDefault="009B1A1A" w:rsidP="00044FC6">
      <w:pPr>
        <w:pStyle w:val="Heading2"/>
      </w:pPr>
      <w:bookmarkStart w:id="1" w:name="_Toc236949393"/>
      <w:r w:rsidRPr="00044FC6">
        <w:t>Introduction</w:t>
      </w:r>
      <w:bookmarkEnd w:id="1"/>
    </w:p>
    <w:p w14:paraId="7780D1B1" w14:textId="77777777" w:rsidR="0007032B" w:rsidRDefault="009B1A1A">
      <w:pPr>
        <w:spacing w:line="360" w:lineRule="auto"/>
        <w:jc w:val="both"/>
      </w:pPr>
      <w:r>
        <w:t xml:space="preserve">In England, health inequalities remain a significant public health problem, with wide differences in health status across groups. The selected target group for this report is working-age adults aged 18–64 years with moderate to severe learning disabilities in England, United Kingdom. A learning disability is a lifelong condition that impacts intellectual functioning and daily living. It makes learning, communication, problem-solving, and independent living harder. Approximately 1.3 million people with a learning disability live in England, including approximately 950,000 adults (Mencap, 2024). </w:t>
      </w:r>
    </w:p>
    <w:p w14:paraId="23F95948" w14:textId="77777777" w:rsidR="0007032B" w:rsidRDefault="009B1A1A">
      <w:pPr>
        <w:spacing w:line="360" w:lineRule="auto"/>
        <w:jc w:val="center"/>
      </w:pPr>
      <w:r>
        <w:rPr>
          <w:noProof/>
          <w:lang w:val="en-IN"/>
        </w:rPr>
        <w:drawing>
          <wp:inline distT="114300" distB="114300" distL="114300" distR="114300" wp14:anchorId="04CA7C07" wp14:editId="6704D35C">
            <wp:extent cx="5033963" cy="2718662"/>
            <wp:effectExtent l="12700" t="12700" r="12700" b="12700"/>
            <wp:docPr id="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a:stretch>
                      <a:fillRect/>
                    </a:stretch>
                  </pic:blipFill>
                  <pic:spPr>
                    <a:xfrm>
                      <a:off x="0" y="0"/>
                      <a:ext cx="5033963" cy="2718662"/>
                    </a:xfrm>
                    <a:prstGeom prst="rect">
                      <a:avLst/>
                    </a:prstGeom>
                    <a:ln w="12700">
                      <a:solidFill>
                        <a:srgbClr val="000000"/>
                      </a:solidFill>
                      <a:prstDash val="solid"/>
                    </a:ln>
                  </pic:spPr>
                </pic:pic>
              </a:graphicData>
            </a:graphic>
          </wp:inline>
        </w:drawing>
      </w:r>
    </w:p>
    <w:p w14:paraId="2FE2DAE0" w14:textId="77777777" w:rsidR="0007032B" w:rsidRDefault="009B1A1A">
      <w:pPr>
        <w:spacing w:line="360" w:lineRule="auto"/>
        <w:jc w:val="center"/>
        <w:rPr>
          <w:b/>
          <w:bCs/>
        </w:rPr>
      </w:pPr>
      <w:r>
        <w:rPr>
          <w:b/>
          <w:bCs/>
        </w:rPr>
        <w:t>Fig 1: 1.3 million people with learning disability in UK</w:t>
      </w:r>
    </w:p>
    <w:p w14:paraId="2CF3944D" w14:textId="77777777" w:rsidR="0007032B" w:rsidRDefault="009B1A1A">
      <w:pPr>
        <w:spacing w:line="360" w:lineRule="auto"/>
        <w:jc w:val="center"/>
      </w:pPr>
      <w:r>
        <w:t>(Source: Mencap, 2024)</w:t>
      </w:r>
    </w:p>
    <w:p w14:paraId="178D080B" w14:textId="77777777" w:rsidR="0007032B" w:rsidRDefault="009B1A1A">
      <w:pPr>
        <w:spacing w:line="360" w:lineRule="auto"/>
        <w:jc w:val="both"/>
      </w:pPr>
      <w:r>
        <w:t>Moderate to severe learning disability adults experience health inequalities due to access to health services, deprivation, unemployment, discrimination and social exclusion.</w:t>
      </w:r>
    </w:p>
    <w:p w14:paraId="344D197D" w14:textId="77777777" w:rsidR="00586EFE" w:rsidRDefault="00586EFE">
      <w:pPr>
        <w:rPr>
          <w:b/>
          <w:bCs/>
          <w:sz w:val="24"/>
          <w:szCs w:val="24"/>
        </w:rPr>
      </w:pPr>
      <w:bookmarkStart w:id="2" w:name="_Toc236949394"/>
      <w:r>
        <w:br w:type="page"/>
      </w:r>
    </w:p>
    <w:p w14:paraId="187A5F12" w14:textId="61CDEEC0" w:rsidR="0007032B" w:rsidRDefault="009B1A1A" w:rsidP="00044FC6">
      <w:pPr>
        <w:pStyle w:val="Heading2"/>
      </w:pPr>
      <w:r>
        <w:lastRenderedPageBreak/>
        <w:t>Section 1: Contextual background and underlying factors</w:t>
      </w:r>
      <w:bookmarkEnd w:id="2"/>
    </w:p>
    <w:p w14:paraId="299DFD8C" w14:textId="77777777" w:rsidR="0007032B" w:rsidRDefault="009B1A1A" w:rsidP="00044FC6">
      <w:pPr>
        <w:pStyle w:val="Heading3"/>
      </w:pPr>
      <w:bookmarkStart w:id="3" w:name="_Toc236949395"/>
      <w:r>
        <w:t>3 Disease/</w:t>
      </w:r>
      <w:r w:rsidRPr="00044FC6">
        <w:t>Illness</w:t>
      </w:r>
      <w:r>
        <w:t xml:space="preserve"> Issues</w:t>
      </w:r>
      <w:bookmarkEnd w:id="3"/>
    </w:p>
    <w:p w14:paraId="2D14ACB1" w14:textId="77777777" w:rsidR="0007032B" w:rsidRDefault="009B1A1A" w:rsidP="00044FC6">
      <w:pPr>
        <w:pStyle w:val="Heading4"/>
      </w:pPr>
      <w:r>
        <w:t>(a) Higher Rates of Mental Health Disorders</w:t>
      </w:r>
    </w:p>
    <w:p w14:paraId="0D31CB0F" w14:textId="7E71C1BA" w:rsidR="0007032B" w:rsidRDefault="009B1A1A">
      <w:pPr>
        <w:spacing w:line="360" w:lineRule="auto"/>
        <w:jc w:val="both"/>
        <w:rPr>
          <w:b/>
          <w:bCs/>
          <w:i/>
          <w:iCs/>
        </w:rPr>
      </w:pPr>
      <w:r>
        <w:t xml:space="preserve">Moderate to severe </w:t>
      </w:r>
      <w:r w:rsidR="00044FC6">
        <w:t>learning-disabled</w:t>
      </w:r>
      <w:r>
        <w:t xml:space="preserve"> </w:t>
      </w:r>
      <w:r>
        <w:rPr>
          <w:b/>
          <w:bCs/>
          <w:i/>
          <w:iCs/>
        </w:rPr>
        <w:t>working-age adults (18-64 age group)</w:t>
      </w:r>
      <w:r>
        <w:t xml:space="preserve"> are more likely to suffer from depression and anxiety than the general population. NHS England estimates that around 40% of adults with learning disabilities have a mental health condition (PHE, 2025).</w:t>
      </w:r>
    </w:p>
    <w:p w14:paraId="4A47C03C" w14:textId="77777777" w:rsidR="0007032B" w:rsidRDefault="009B1A1A" w:rsidP="00044FC6">
      <w:pPr>
        <w:pStyle w:val="Heading4"/>
      </w:pPr>
      <w:r>
        <w:t>(b) Higher Rates of Chronic Physical Health Conditions</w:t>
      </w:r>
    </w:p>
    <w:p w14:paraId="3DA6AA12" w14:textId="77777777" w:rsidR="0007032B" w:rsidRDefault="009B1A1A">
      <w:pPr>
        <w:spacing w:line="360" w:lineRule="auto"/>
        <w:jc w:val="both"/>
      </w:pPr>
      <w:r>
        <w:t xml:space="preserve">This age group is prone to long-term chronic physical health conditions. Official data in Fig 2 revealed that 16.5% of deaths were due to respiratory diseases and 13.5% due to diseases of the nervous system, primarily epilepsy (kcl.ac.uk, 2024). </w:t>
      </w:r>
    </w:p>
    <w:p w14:paraId="3DD73A13" w14:textId="77777777" w:rsidR="0007032B" w:rsidRDefault="009B1A1A">
      <w:pPr>
        <w:spacing w:line="360" w:lineRule="auto"/>
        <w:jc w:val="center"/>
      </w:pPr>
      <w:r>
        <w:rPr>
          <w:noProof/>
          <w:lang w:val="en-IN"/>
        </w:rPr>
        <w:drawing>
          <wp:inline distT="114300" distB="114300" distL="114300" distR="114300" wp14:anchorId="3F2D60D1" wp14:editId="4AE7F716">
            <wp:extent cx="5943600" cy="2578100"/>
            <wp:effectExtent l="12700" t="12700" r="12700" b="1270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943600" cy="2578100"/>
                    </a:xfrm>
                    <a:prstGeom prst="rect">
                      <a:avLst/>
                    </a:prstGeom>
                    <a:ln w="12700">
                      <a:solidFill>
                        <a:srgbClr val="000000"/>
                      </a:solidFill>
                      <a:prstDash val="solid"/>
                    </a:ln>
                  </pic:spPr>
                </pic:pic>
              </a:graphicData>
            </a:graphic>
          </wp:inline>
        </w:drawing>
      </w:r>
    </w:p>
    <w:p w14:paraId="04DBB3F6" w14:textId="77777777" w:rsidR="0007032B" w:rsidRDefault="009B1A1A">
      <w:pPr>
        <w:spacing w:line="360" w:lineRule="auto"/>
        <w:jc w:val="center"/>
        <w:rPr>
          <w:b/>
          <w:bCs/>
        </w:rPr>
      </w:pPr>
      <w:r>
        <w:rPr>
          <w:b/>
          <w:bCs/>
        </w:rPr>
        <w:t>Fig 2: Deaths for adults with a learning disability</w:t>
      </w:r>
    </w:p>
    <w:p w14:paraId="7B939BA9" w14:textId="77777777" w:rsidR="0007032B" w:rsidRDefault="009B1A1A">
      <w:pPr>
        <w:spacing w:line="360" w:lineRule="auto"/>
        <w:jc w:val="center"/>
      </w:pPr>
      <w:r>
        <w:t>(Source: kcl.ac.uk, 2024)</w:t>
      </w:r>
    </w:p>
    <w:p w14:paraId="68C7A48B" w14:textId="77777777" w:rsidR="0007032B" w:rsidRDefault="009B1A1A">
      <w:pPr>
        <w:spacing w:line="360" w:lineRule="auto"/>
        <w:jc w:val="both"/>
      </w:pPr>
      <w:r>
        <w:t>These poor health outcomes are the result of delayed diagnosis and limited preventive interventions.</w:t>
      </w:r>
    </w:p>
    <w:p w14:paraId="4E0055F7" w14:textId="77777777" w:rsidR="0007032B" w:rsidRDefault="009B1A1A" w:rsidP="00044FC6">
      <w:pPr>
        <w:pStyle w:val="Heading4"/>
      </w:pPr>
      <w:r>
        <w:t>(c) Higher Rates of Premature and Preventable Mortality</w:t>
      </w:r>
    </w:p>
    <w:p w14:paraId="7DEECD07" w14:textId="77777777" w:rsidR="0007032B" w:rsidRDefault="009B1A1A">
      <w:pPr>
        <w:spacing w:line="360" w:lineRule="auto"/>
        <w:jc w:val="both"/>
      </w:pPr>
      <w:r>
        <w:t>The life expectancy of adults with learning disabilities is much shorter than that of people without learning disabilities. The LeDeR Programme reported that they die at an average of 19.5 years earlier than the general population. These inequalities are caused by access problems to healthcare and postponed treatment.</w:t>
      </w:r>
    </w:p>
    <w:p w14:paraId="4D3C7FC0" w14:textId="77777777" w:rsidR="0007032B" w:rsidRDefault="009B1A1A" w:rsidP="00044FC6">
      <w:pPr>
        <w:pStyle w:val="Heading4"/>
      </w:pPr>
      <w:r>
        <w:t>Explanation of Health Inequalities</w:t>
      </w:r>
    </w:p>
    <w:p w14:paraId="24FDCC7B" w14:textId="77777777" w:rsidR="0007032B" w:rsidRDefault="009B1A1A">
      <w:pPr>
        <w:spacing w:line="360" w:lineRule="auto"/>
        <w:jc w:val="both"/>
      </w:pPr>
      <w:r>
        <w:t xml:space="preserve">There are health inequalities among adults with moderate to severe learning disabilities due to poor access to health care, poor communication and delayed diagnosis. LeDeR said 39% of </w:t>
      </w:r>
      <w:r>
        <w:lastRenderedPageBreak/>
        <w:t xml:space="preserve">deaths were preventable, while the non-LeDeR population had 21% preventable deaths (Mencap, 2025). </w:t>
      </w:r>
    </w:p>
    <w:p w14:paraId="379A5B75" w14:textId="77777777" w:rsidR="0007032B" w:rsidRDefault="009B1A1A">
      <w:pPr>
        <w:spacing w:line="360" w:lineRule="auto"/>
        <w:jc w:val="center"/>
      </w:pPr>
      <w:r>
        <w:rPr>
          <w:noProof/>
          <w:lang w:val="en-IN"/>
        </w:rPr>
        <w:drawing>
          <wp:inline distT="114300" distB="114300" distL="114300" distR="114300" wp14:anchorId="3FFED392" wp14:editId="2E0753F1">
            <wp:extent cx="5943600" cy="2336800"/>
            <wp:effectExtent l="12700" t="12700" r="12700" b="127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943600" cy="2336800"/>
                    </a:xfrm>
                    <a:prstGeom prst="rect">
                      <a:avLst/>
                    </a:prstGeom>
                    <a:ln w="12700">
                      <a:solidFill>
                        <a:srgbClr val="000000"/>
                      </a:solidFill>
                      <a:prstDash val="solid"/>
                    </a:ln>
                  </pic:spPr>
                </pic:pic>
              </a:graphicData>
            </a:graphic>
          </wp:inline>
        </w:drawing>
      </w:r>
    </w:p>
    <w:p w14:paraId="37B36A00" w14:textId="77777777" w:rsidR="0007032B" w:rsidRDefault="009B1A1A">
      <w:pPr>
        <w:spacing w:line="360" w:lineRule="auto"/>
        <w:jc w:val="center"/>
        <w:rPr>
          <w:b/>
          <w:bCs/>
        </w:rPr>
      </w:pPr>
      <w:r>
        <w:rPr>
          <w:b/>
          <w:bCs/>
        </w:rPr>
        <w:t>Fig 3: Percentage of deaths rated as "avoidable" in learning disability</w:t>
      </w:r>
    </w:p>
    <w:p w14:paraId="78F65B50" w14:textId="77777777" w:rsidR="0007032B" w:rsidRDefault="009B1A1A">
      <w:pPr>
        <w:spacing w:line="360" w:lineRule="auto"/>
        <w:jc w:val="center"/>
      </w:pPr>
      <w:r>
        <w:t>(Source: Mencap, 2025)</w:t>
      </w:r>
    </w:p>
    <w:p w14:paraId="1E19F9AF" w14:textId="77777777" w:rsidR="0007032B" w:rsidRDefault="009B1A1A">
      <w:pPr>
        <w:spacing w:line="360" w:lineRule="auto"/>
        <w:jc w:val="both"/>
      </w:pPr>
      <w:r>
        <w:t>These inequalities can be reduced through reasonable adjustments, early treatment and regular NHS Annual Health Checks, as well as staff training.</w:t>
      </w:r>
    </w:p>
    <w:p w14:paraId="658C7E85" w14:textId="77777777" w:rsidR="0007032B" w:rsidRDefault="009B1A1A" w:rsidP="00044FC6">
      <w:pPr>
        <w:pStyle w:val="Heading3"/>
      </w:pPr>
      <w:bookmarkStart w:id="4" w:name="_Toc236949396"/>
      <w:r>
        <w:t>3 Social Issues (social determinants of health)</w:t>
      </w:r>
      <w:bookmarkEnd w:id="4"/>
    </w:p>
    <w:p w14:paraId="59DEAD40" w14:textId="77777777" w:rsidR="0007032B" w:rsidRDefault="009B1A1A" w:rsidP="00044FC6">
      <w:pPr>
        <w:pStyle w:val="Heading4"/>
      </w:pPr>
      <w:r>
        <w:t>(a) Poor Access to Healthcare Services</w:t>
      </w:r>
    </w:p>
    <w:p w14:paraId="4EA95088" w14:textId="77777777" w:rsidR="0007032B" w:rsidRDefault="009B1A1A">
      <w:pPr>
        <w:spacing w:line="360" w:lineRule="auto"/>
        <w:jc w:val="both"/>
      </w:pPr>
      <w:r>
        <w:t>Adults suffering from severe learning disabilities in the age group of 18-64 face a lack of access to healthcare services. Only 79.88% of all adults who were eligible for an Annual Health Check received one (England, 2025).</w:t>
      </w:r>
    </w:p>
    <w:p w14:paraId="50835AE8" w14:textId="77777777" w:rsidR="0007032B" w:rsidRDefault="009B1A1A" w:rsidP="00044FC6">
      <w:pPr>
        <w:pStyle w:val="Heading4"/>
      </w:pPr>
      <w:r>
        <w:t>(b) Poverty and Unemployment</w:t>
      </w:r>
    </w:p>
    <w:p w14:paraId="5A434687" w14:textId="77777777" w:rsidR="0007032B" w:rsidRDefault="009B1A1A">
      <w:pPr>
        <w:spacing w:line="360" w:lineRule="auto"/>
        <w:jc w:val="both"/>
      </w:pPr>
      <w:r>
        <w:t>The employment rate of disabled individuals in the UK was 52.8% compared to 82.5% for non-disabled people (GOV.UK, 2025). Lack of employment limits independence, creates higher rates of poverty and fewer opportunities for a healthy lifestyle.</w:t>
      </w:r>
    </w:p>
    <w:p w14:paraId="61F5977C" w14:textId="77777777" w:rsidR="0007032B" w:rsidRDefault="009B1A1A">
      <w:pPr>
        <w:spacing w:line="360" w:lineRule="auto"/>
        <w:jc w:val="center"/>
      </w:pPr>
      <w:r>
        <w:rPr>
          <w:noProof/>
          <w:lang w:val="en-IN"/>
        </w:rPr>
        <w:lastRenderedPageBreak/>
        <w:drawing>
          <wp:inline distT="114300" distB="114300" distL="114300" distR="114300" wp14:anchorId="6A2C1E76" wp14:editId="399993DF">
            <wp:extent cx="4803101" cy="3910217"/>
            <wp:effectExtent l="12700" t="12700" r="12700" b="1270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4803101" cy="3910217"/>
                    </a:xfrm>
                    <a:prstGeom prst="rect">
                      <a:avLst/>
                    </a:prstGeom>
                    <a:ln w="12700">
                      <a:solidFill>
                        <a:srgbClr val="000000"/>
                      </a:solidFill>
                      <a:prstDash val="solid"/>
                    </a:ln>
                  </pic:spPr>
                </pic:pic>
              </a:graphicData>
            </a:graphic>
          </wp:inline>
        </w:drawing>
      </w:r>
    </w:p>
    <w:p w14:paraId="25C16636" w14:textId="77777777" w:rsidR="0007032B" w:rsidRDefault="009B1A1A">
      <w:pPr>
        <w:spacing w:line="360" w:lineRule="auto"/>
        <w:jc w:val="center"/>
        <w:rPr>
          <w:b/>
          <w:bCs/>
        </w:rPr>
      </w:pPr>
      <w:r>
        <w:rPr>
          <w:b/>
          <w:bCs/>
        </w:rPr>
        <w:t>Fig 4: 52.8% employment rate of people with learning disabilities (16-64)</w:t>
      </w:r>
    </w:p>
    <w:p w14:paraId="077AEA41" w14:textId="77777777" w:rsidR="0007032B" w:rsidRDefault="009B1A1A">
      <w:pPr>
        <w:spacing w:line="360" w:lineRule="auto"/>
        <w:jc w:val="center"/>
      </w:pPr>
      <w:r>
        <w:t>(Source: GOV.UK, 2025)</w:t>
      </w:r>
    </w:p>
    <w:p w14:paraId="117981C7" w14:textId="77777777" w:rsidR="0007032B" w:rsidRDefault="009B1A1A" w:rsidP="00044FC6">
      <w:pPr>
        <w:pStyle w:val="Heading4"/>
      </w:pPr>
      <w:r>
        <w:t>(c) Social Isolation and Discrimination</w:t>
      </w:r>
    </w:p>
    <w:p w14:paraId="7D7471AD" w14:textId="5920AD76" w:rsidR="0007032B" w:rsidRDefault="009B1A1A">
      <w:pPr>
        <w:spacing w:line="360" w:lineRule="auto"/>
        <w:jc w:val="both"/>
      </w:pPr>
      <w:r>
        <w:t xml:space="preserve">Social isolation becomes a common issue for many adults with learning disabilities due to stigma and reduced community participation.  According to official data, 49% of </w:t>
      </w:r>
      <w:r w:rsidR="00044FC6">
        <w:t>learning-disabled</w:t>
      </w:r>
      <w:r>
        <w:t xml:space="preserve"> people feel lonely most of the time.</w:t>
      </w:r>
    </w:p>
    <w:p w14:paraId="7739F780" w14:textId="77777777" w:rsidR="0007032B" w:rsidRDefault="009B1A1A" w:rsidP="00044FC6">
      <w:pPr>
        <w:pStyle w:val="Heading4"/>
      </w:pPr>
      <w:r>
        <w:t>Explanation of Health Inequalities</w:t>
      </w:r>
    </w:p>
    <w:p w14:paraId="05D8DADF" w14:textId="77777777" w:rsidR="0007032B" w:rsidRDefault="009B1A1A">
      <w:pPr>
        <w:spacing w:line="360" w:lineRule="auto"/>
        <w:jc w:val="both"/>
      </w:pPr>
      <w:r>
        <w:t>Social inequalities exist for adults with learning disabilities due to poverty, unemployment, social exclusion and access to health services. Only 79.88% were offered an NHS Annual Health Check, and employment was 52.8% compared to 82.5% for non-disabled people (England, 2025). These inequalities can be mitigated through enhanced access to healthcare, inclusive employment and community support.</w:t>
      </w:r>
    </w:p>
    <w:p w14:paraId="44417DBF" w14:textId="77777777" w:rsidR="00586EFE" w:rsidRDefault="00586EFE">
      <w:pPr>
        <w:rPr>
          <w:b/>
          <w:bCs/>
          <w:sz w:val="24"/>
          <w:szCs w:val="24"/>
        </w:rPr>
      </w:pPr>
      <w:bookmarkStart w:id="5" w:name="_Toc236949397"/>
      <w:r>
        <w:br w:type="page"/>
      </w:r>
    </w:p>
    <w:p w14:paraId="6B5149BE" w14:textId="0CD78CCE" w:rsidR="0007032B" w:rsidRDefault="009B1A1A" w:rsidP="00044FC6">
      <w:pPr>
        <w:pStyle w:val="Heading2"/>
      </w:pPr>
      <w:r>
        <w:lastRenderedPageBreak/>
        <w:t>Section 2: National Response to reduce health inequalities</w:t>
      </w:r>
      <w:bookmarkEnd w:id="5"/>
    </w:p>
    <w:p w14:paraId="2886E8B9" w14:textId="77777777" w:rsidR="0007032B" w:rsidRDefault="009B1A1A" w:rsidP="00044FC6">
      <w:pPr>
        <w:pStyle w:val="Heading3"/>
      </w:pPr>
      <w:bookmarkStart w:id="6" w:name="_Toc236949398"/>
      <w:r>
        <w:t>NHS Learning Disability Annual Health Check</w:t>
      </w:r>
      <w:bookmarkEnd w:id="6"/>
    </w:p>
    <w:p w14:paraId="5A9ACDDB" w14:textId="77777777" w:rsidR="0007032B" w:rsidRDefault="009B1A1A">
      <w:pPr>
        <w:spacing w:line="360" w:lineRule="auto"/>
        <w:jc w:val="both"/>
      </w:pPr>
      <w:r>
        <w:t xml:space="preserve">The Annual Health Check is an NHS procedure for people with learning disabilities, aimed at detecting health issues early and enhancing access to health services (Tanner </w:t>
      </w:r>
      <w:r>
        <w:rPr>
          <w:i/>
          <w:iCs/>
        </w:rPr>
        <w:t xml:space="preserve">et al. </w:t>
      </w:r>
      <w:r>
        <w:t xml:space="preserve">2022). It is offered for those 14 years and over who are registered on the GP Learning Disability Register. According to official data, more than 79.88% of adults participated in the Annual Health Check. This programme is supported by the </w:t>
      </w:r>
      <w:r>
        <w:rPr>
          <w:b/>
          <w:bCs/>
          <w:i/>
          <w:iCs/>
        </w:rPr>
        <w:t>Equality Act 2010.</w:t>
      </w:r>
    </w:p>
    <w:p w14:paraId="7FD843CA" w14:textId="77777777" w:rsidR="0007032B" w:rsidRDefault="009B1A1A" w:rsidP="00044FC6">
      <w:pPr>
        <w:pStyle w:val="Heading3"/>
      </w:pPr>
      <w:bookmarkStart w:id="7" w:name="_Toc236949399"/>
      <w:r>
        <w:t>Learning from Lives and Deaths (LeDeR) Programme</w:t>
      </w:r>
      <w:bookmarkEnd w:id="7"/>
    </w:p>
    <w:p w14:paraId="26AD988A" w14:textId="77777777" w:rsidR="0007032B" w:rsidRDefault="009B1A1A">
      <w:pPr>
        <w:spacing w:line="360" w:lineRule="auto"/>
        <w:jc w:val="both"/>
      </w:pPr>
      <w:r>
        <w:t xml:space="preserve">NHS England's LeDeR Programme is an investigation into the causes of death of people with learning disabilities to find out what is avoidable and how services can be better. The programme determined that 39% of deaths were avoidable, while this figure was 22% in the general population (Mencap, 2025). Its recommendations have had a positive impact on staff training, reasonable adjustments and patient safety. The LeDeR Programme is supported by the </w:t>
      </w:r>
      <w:r>
        <w:rPr>
          <w:b/>
          <w:bCs/>
          <w:i/>
          <w:iCs/>
        </w:rPr>
        <w:t>Health and Care Act 2022</w:t>
      </w:r>
      <w:r>
        <w:t>.</w:t>
      </w:r>
    </w:p>
    <w:p w14:paraId="6CC1BF38" w14:textId="77777777" w:rsidR="0007032B" w:rsidRDefault="009B1A1A" w:rsidP="00044FC6">
      <w:pPr>
        <w:pStyle w:val="Heading2"/>
      </w:pPr>
      <w:bookmarkStart w:id="8" w:name="_Toc236949400"/>
      <w:r>
        <w:t>Section 2: Organisations that support chosen group</w:t>
      </w:r>
      <w:bookmarkEnd w:id="8"/>
    </w:p>
    <w:p w14:paraId="5FD1C66C" w14:textId="77777777" w:rsidR="0007032B" w:rsidRDefault="009B1A1A" w:rsidP="00044FC6">
      <w:pPr>
        <w:pStyle w:val="Heading3"/>
      </w:pPr>
      <w:bookmarkStart w:id="9" w:name="_Toc236949401"/>
      <w:r>
        <w:t>Scope</w:t>
      </w:r>
      <w:bookmarkEnd w:id="9"/>
    </w:p>
    <w:p w14:paraId="0DB5F979" w14:textId="77777777" w:rsidR="0007032B" w:rsidRDefault="009B1A1A">
      <w:pPr>
        <w:spacing w:line="360" w:lineRule="auto"/>
        <w:jc w:val="both"/>
        <w:rPr>
          <w:b/>
          <w:bCs/>
          <w:i/>
          <w:iCs/>
        </w:rPr>
      </w:pPr>
      <w:r>
        <w:rPr>
          <w:b/>
          <w:bCs/>
          <w:i/>
          <w:iCs/>
        </w:rPr>
        <w:t>(a) Role in Supporting People with Learning Disabilities</w:t>
      </w:r>
    </w:p>
    <w:p w14:paraId="19306170" w14:textId="77777777" w:rsidR="0007032B" w:rsidRDefault="009B1A1A">
      <w:pPr>
        <w:spacing w:line="360" w:lineRule="auto"/>
        <w:jc w:val="both"/>
      </w:pPr>
      <w:r>
        <w:t xml:space="preserve">Scope is the UK's largest disability charity. It can help adults with learning disabilities with advice on healthcare, employment, benefits and independent living. The charity also works to end discrimination and enhance access to public services. In Scope's Disability Price Tag 2025 report, it has been revealed that disabled households require an additional £1,095 per month to be able to live on the same level as non-disabled households (Scope, 2025). </w:t>
      </w:r>
    </w:p>
    <w:p w14:paraId="7016CE4A" w14:textId="77777777" w:rsidR="0007032B" w:rsidRDefault="009B1A1A">
      <w:pPr>
        <w:spacing w:line="360" w:lineRule="auto"/>
        <w:jc w:val="both"/>
        <w:rPr>
          <w:b/>
          <w:bCs/>
          <w:i/>
          <w:iCs/>
        </w:rPr>
      </w:pPr>
      <w:r>
        <w:rPr>
          <w:b/>
          <w:bCs/>
          <w:i/>
          <w:iCs/>
        </w:rPr>
        <w:t>(b) Goal</w:t>
      </w:r>
    </w:p>
    <w:p w14:paraId="35F4ED76" w14:textId="77777777" w:rsidR="0007032B" w:rsidRDefault="009B1A1A">
      <w:pPr>
        <w:spacing w:line="360" w:lineRule="auto"/>
        <w:jc w:val="both"/>
      </w:pPr>
      <w:r>
        <w:t>Scope's vision is to create an equal society where disabled people are equal to everyone else. It carries out research, lobbies for disabled people's access to services, financial support, equal rights and better government policy in the UK.</w:t>
      </w:r>
    </w:p>
    <w:p w14:paraId="10469605" w14:textId="77777777" w:rsidR="0007032B" w:rsidRDefault="009B1A1A" w:rsidP="00044FC6">
      <w:pPr>
        <w:pStyle w:val="Heading3"/>
      </w:pPr>
      <w:bookmarkStart w:id="10" w:name="_Toc236949402"/>
      <w:r>
        <w:t>Disability Rights UK</w:t>
      </w:r>
      <w:bookmarkEnd w:id="10"/>
    </w:p>
    <w:p w14:paraId="7EF60299" w14:textId="77777777" w:rsidR="0007032B" w:rsidRDefault="009B1A1A">
      <w:pPr>
        <w:spacing w:line="360" w:lineRule="auto"/>
        <w:jc w:val="both"/>
        <w:rPr>
          <w:b/>
          <w:bCs/>
          <w:i/>
          <w:iCs/>
        </w:rPr>
      </w:pPr>
      <w:r>
        <w:rPr>
          <w:b/>
          <w:bCs/>
          <w:i/>
          <w:iCs/>
        </w:rPr>
        <w:t>(a) Role in Supporting People with Learning Disabilities</w:t>
      </w:r>
    </w:p>
    <w:p w14:paraId="3ECE9E0B" w14:textId="77777777" w:rsidR="0007032B" w:rsidRDefault="009B1A1A">
      <w:pPr>
        <w:spacing w:line="360" w:lineRule="auto"/>
        <w:jc w:val="both"/>
      </w:pPr>
      <w:r>
        <w:t>Disability Rights UK (DR UK) is a national charity run by disabled people. It offers advocacy, legal information and guidance to assist disabled people understand and exercise their rights (Evans, 2022). The charity supports the NHS, local authorities and the UK Government to enhance access to health care and to tackle discrimination.</w:t>
      </w:r>
    </w:p>
    <w:p w14:paraId="1791EC95" w14:textId="77777777" w:rsidR="0007032B" w:rsidRDefault="009B1A1A">
      <w:pPr>
        <w:spacing w:line="360" w:lineRule="auto"/>
        <w:jc w:val="both"/>
        <w:rPr>
          <w:b/>
          <w:bCs/>
          <w:i/>
          <w:iCs/>
        </w:rPr>
      </w:pPr>
      <w:r>
        <w:rPr>
          <w:b/>
          <w:bCs/>
          <w:i/>
          <w:iCs/>
        </w:rPr>
        <w:t>(b) Goal</w:t>
      </w:r>
    </w:p>
    <w:p w14:paraId="542DC8C6" w14:textId="77777777" w:rsidR="0007032B" w:rsidRDefault="009B1A1A">
      <w:pPr>
        <w:spacing w:line="360" w:lineRule="auto"/>
        <w:jc w:val="both"/>
      </w:pPr>
      <w:r>
        <w:lastRenderedPageBreak/>
        <w:t>Disability Rights UK aims to achieve equal rights and full participation for disabled people in society. It aims to advance health, education, work and community participation by conducting research, policy advocacy, public campaigns and collaborating with national organisations.</w:t>
      </w:r>
    </w:p>
    <w:p w14:paraId="7B7C3A0E" w14:textId="77777777" w:rsidR="0007032B" w:rsidRDefault="009B1A1A" w:rsidP="00044FC6">
      <w:pPr>
        <w:pStyle w:val="Heading2"/>
      </w:pPr>
      <w:bookmarkStart w:id="11" w:name="_Toc236949403"/>
      <w:r>
        <w:t>Conclusion</w:t>
      </w:r>
      <w:bookmarkEnd w:id="11"/>
    </w:p>
    <w:p w14:paraId="67CC1B07" w14:textId="77777777" w:rsidR="0007032B" w:rsidRDefault="009B1A1A">
      <w:pPr>
        <w:spacing w:line="360" w:lineRule="auto"/>
        <w:jc w:val="both"/>
      </w:pPr>
      <w:r>
        <w:t>There are still large health inequalities for adults aged 18-64 years with moderate to severe learning disabilities in England. Are at increased risk of mental and physical illness, early death, poor health care, poverty and social isolation. There has been an increase in awareness and support through national initiatives and charities, but more can be done. The NHS needs to expand Annual Health Check coverage, improve staff training, enhance reasonable adjustments, and encourage inclusive employment and community participation, to help reduce inequalities and to have positive long-term health outcomes.</w:t>
      </w:r>
    </w:p>
    <w:p w14:paraId="1C35C3C5" w14:textId="77777777" w:rsidR="0007032B" w:rsidRDefault="009B1A1A">
      <w:pPr>
        <w:spacing w:line="360" w:lineRule="auto"/>
        <w:jc w:val="both"/>
        <w:rPr>
          <w:b/>
          <w:bCs/>
        </w:rPr>
      </w:pPr>
      <w:r>
        <w:br w:type="page"/>
      </w:r>
    </w:p>
    <w:p w14:paraId="55A42971" w14:textId="77777777" w:rsidR="0007032B" w:rsidRDefault="009B1A1A" w:rsidP="00044FC6">
      <w:pPr>
        <w:pStyle w:val="Heading1"/>
      </w:pPr>
      <w:bookmarkStart w:id="12" w:name="_Toc236949404"/>
      <w:r>
        <w:lastRenderedPageBreak/>
        <w:t>Task 2</w:t>
      </w:r>
      <w:bookmarkEnd w:id="12"/>
    </w:p>
    <w:p w14:paraId="15D6BBD4" w14:textId="77777777" w:rsidR="0007032B" w:rsidRDefault="009B1A1A" w:rsidP="00044FC6">
      <w:pPr>
        <w:pStyle w:val="Heading2"/>
      </w:pPr>
      <w:bookmarkStart w:id="13" w:name="_Toc236949405"/>
      <w:r>
        <w:t>Introduction</w:t>
      </w:r>
      <w:bookmarkEnd w:id="13"/>
    </w:p>
    <w:p w14:paraId="69F07D71" w14:textId="77777777" w:rsidR="0007032B" w:rsidRDefault="009B1A1A">
      <w:pPr>
        <w:spacing w:line="360" w:lineRule="auto"/>
        <w:jc w:val="both"/>
      </w:pPr>
      <w:r>
        <w:t xml:space="preserve">The public health problem chosen for this report is tuberculosis (TB). The epidemiological analysis is based on the population of the </w:t>
      </w:r>
      <w:r>
        <w:rPr>
          <w:b/>
          <w:bCs/>
          <w:i/>
          <w:iCs/>
        </w:rPr>
        <w:t>London Borough of Newham</w:t>
      </w:r>
      <w:r>
        <w:t xml:space="preserve">, England, which has the highest notification rate of TB in the country. TB is a contagious disease that's caused by </w:t>
      </w:r>
      <w:r>
        <w:rPr>
          <w:b/>
          <w:bCs/>
          <w:i/>
          <w:iCs/>
        </w:rPr>
        <w:t>Mycobacterium tuberculosis</w:t>
      </w:r>
      <w:r>
        <w:t xml:space="preserve">. It primarily infects the lungs and is spread through the air when someone who is infected coughs or sneezes (Swalehe and Obeagu, 2024). If left untreated, TB may lead to severe </w:t>
      </w:r>
      <w:r>
        <w:rPr>
          <w:b/>
          <w:bCs/>
          <w:i/>
          <w:iCs/>
        </w:rPr>
        <w:t>health</w:t>
      </w:r>
      <w:r>
        <w:t xml:space="preserve"> complications such as disability, chronic lung damage and death. It also presents </w:t>
      </w:r>
      <w:r>
        <w:rPr>
          <w:b/>
          <w:bCs/>
          <w:i/>
          <w:iCs/>
        </w:rPr>
        <w:t xml:space="preserve">social and cultural </w:t>
      </w:r>
      <w:r>
        <w:t xml:space="preserve">issues like stigma and discrimination, loss of income, especially within migrant and disadvantaged communities. In 2024, it is estimated that 10.7 million people globally had TB and 1.23 million people died from TB (WHO, 2025). There were 5,480 cases of TB in England in 2024, with Newham having the highest notification rate of 43.8 per 100,000 population, </w:t>
      </w:r>
      <w:r>
        <w:rPr>
          <w:b/>
          <w:bCs/>
          <w:i/>
          <w:iCs/>
        </w:rPr>
        <w:t>especially people aged 16-35</w:t>
      </w:r>
      <w:r>
        <w:t>, who have migrated from TB-prone countries in the UK in the last 5 years (UKHSA, 2025).</w:t>
      </w:r>
    </w:p>
    <w:p w14:paraId="4A09588D" w14:textId="77777777" w:rsidR="0007032B" w:rsidRDefault="009B1A1A">
      <w:pPr>
        <w:spacing w:line="360" w:lineRule="auto"/>
        <w:jc w:val="both"/>
      </w:pPr>
      <w:r>
        <w:rPr>
          <w:noProof/>
          <w:lang w:val="en-IN"/>
        </w:rPr>
        <w:drawing>
          <wp:inline distT="114300" distB="114300" distL="114300" distR="114300" wp14:anchorId="53CAA747" wp14:editId="208043C2">
            <wp:extent cx="5943600" cy="2400300"/>
            <wp:effectExtent l="12700" t="12700" r="12700" b="1270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5943600" cy="2400300"/>
                    </a:xfrm>
                    <a:prstGeom prst="rect">
                      <a:avLst/>
                    </a:prstGeom>
                    <a:ln w="12700">
                      <a:solidFill>
                        <a:srgbClr val="000000"/>
                      </a:solidFill>
                      <a:prstDash val="solid"/>
                    </a:ln>
                  </pic:spPr>
                </pic:pic>
              </a:graphicData>
            </a:graphic>
          </wp:inline>
        </w:drawing>
      </w:r>
    </w:p>
    <w:p w14:paraId="639706C4" w14:textId="77777777" w:rsidR="0007032B" w:rsidRDefault="009B1A1A">
      <w:pPr>
        <w:spacing w:line="360" w:lineRule="auto"/>
        <w:jc w:val="center"/>
        <w:rPr>
          <w:b/>
          <w:bCs/>
        </w:rPr>
      </w:pPr>
      <w:r>
        <w:rPr>
          <w:b/>
          <w:bCs/>
        </w:rPr>
        <w:t>Fig 5: worldwide victims of TB</w:t>
      </w:r>
    </w:p>
    <w:p w14:paraId="33EB7C79" w14:textId="77777777" w:rsidR="0007032B" w:rsidRDefault="009B1A1A">
      <w:pPr>
        <w:spacing w:line="360" w:lineRule="auto"/>
        <w:jc w:val="center"/>
      </w:pPr>
      <w:r>
        <w:t>(Source: WHO, 2025)</w:t>
      </w:r>
    </w:p>
    <w:p w14:paraId="6C12FDAE" w14:textId="77777777" w:rsidR="0007032B" w:rsidRDefault="009B1A1A" w:rsidP="00044FC6">
      <w:pPr>
        <w:pStyle w:val="Heading2"/>
      </w:pPr>
      <w:bookmarkStart w:id="14" w:name="_Toc236949406"/>
      <w:r>
        <w:t>Public Health Measures (3Ps)</w:t>
      </w:r>
      <w:bookmarkEnd w:id="14"/>
      <w:r>
        <w:t xml:space="preserve"> </w:t>
      </w:r>
    </w:p>
    <w:p w14:paraId="2F9AE03E" w14:textId="77777777" w:rsidR="0007032B" w:rsidRDefault="009B1A1A" w:rsidP="00044FC6">
      <w:pPr>
        <w:pStyle w:val="Heading3"/>
      </w:pPr>
      <w:bookmarkStart w:id="15" w:name="_Toc236949407"/>
      <w:r>
        <w:t>Prevention</w:t>
      </w:r>
      <w:bookmarkEnd w:id="15"/>
    </w:p>
    <w:p w14:paraId="639970E1" w14:textId="77777777" w:rsidR="0007032B" w:rsidRDefault="009B1A1A">
      <w:pPr>
        <w:spacing w:line="360" w:lineRule="auto"/>
        <w:jc w:val="both"/>
      </w:pPr>
      <w:r>
        <w:t xml:space="preserve">The focus of public health prevention in Newham is on people aged 16-35 who are recent migrants from a high TB-incidence country who have arrived in the UK in the last 5 years and are registered with a GP. The population is at increased risk of having active TB. Newham has had a GP-led Latent Tuberculosis Infection (LTBI) programme since 2014, which provides migrants with the choice of having a blood test, a chest X-ray if necessary and preventive treatment before TB </w:t>
      </w:r>
      <w:r>
        <w:lastRenderedPageBreak/>
        <w:t>becomes active (Burman</w:t>
      </w:r>
      <w:r>
        <w:rPr>
          <w:i/>
          <w:iCs/>
        </w:rPr>
        <w:t xml:space="preserve"> et al.</w:t>
      </w:r>
      <w:r>
        <w:t xml:space="preserve"> 2024). This local model was incorporated into England's national TB strategy.</w:t>
      </w:r>
    </w:p>
    <w:p w14:paraId="108C5716" w14:textId="77777777" w:rsidR="0007032B" w:rsidRDefault="009B1A1A" w:rsidP="00044FC6">
      <w:pPr>
        <w:pStyle w:val="Heading3"/>
      </w:pPr>
      <w:bookmarkStart w:id="16" w:name="_Toc236949408"/>
      <w:r>
        <w:t>Protection</w:t>
      </w:r>
      <w:bookmarkEnd w:id="16"/>
    </w:p>
    <w:p w14:paraId="72F59751" w14:textId="77777777" w:rsidR="0007032B" w:rsidRDefault="009B1A1A">
      <w:pPr>
        <w:spacing w:line="360" w:lineRule="auto"/>
        <w:jc w:val="both"/>
      </w:pPr>
      <w:r>
        <w:t>The measures of protection are directed at limiting the spread of TB within the identified population by the following: mandatory notification, laboratory diagnosis, specialist TB services, and contact tracing. In 2023, Newham had the highest rate of TB cases in London (38.9 per 100,000 population) (UKHSA, 2025). As a result, Barts Health TB Services has collaborated with UKHSA to diagnose TB quickly, visit patients, screen contacts, and offer treatment assistance to reduce community transmission.</w:t>
      </w:r>
    </w:p>
    <w:p w14:paraId="52BB04B2" w14:textId="77777777" w:rsidR="0007032B" w:rsidRDefault="009B1A1A" w:rsidP="00044FC6">
      <w:pPr>
        <w:pStyle w:val="Heading3"/>
      </w:pPr>
      <w:bookmarkStart w:id="17" w:name="_Toc236949409"/>
      <w:r>
        <w:t>Promotion</w:t>
      </w:r>
      <w:bookmarkEnd w:id="17"/>
    </w:p>
    <w:p w14:paraId="6BB00DAF" w14:textId="5AC339FF" w:rsidR="0007032B" w:rsidRDefault="009B1A1A">
      <w:pPr>
        <w:spacing w:line="360" w:lineRule="auto"/>
        <w:jc w:val="both"/>
      </w:pPr>
      <w:r>
        <w:t xml:space="preserve">Newham's health promotion efforts target recent migrants aged between 16 and 35 years of age, from high TB incidence countries (UK, 2026). Multilingual education and free testing and treatment are offered by Well Newham, Newham Council, GP practices and Barts Health TB Services. They also </w:t>
      </w:r>
      <w:r w:rsidR="00A00C0A">
        <w:t xml:space="preserve">hereby </w:t>
      </w:r>
      <w:r>
        <w:t>promote early GP registration, minimise stigma, and enhance treatment completion via community outreach and local awareness campaigns.</w:t>
      </w:r>
    </w:p>
    <w:p w14:paraId="5C09D76D" w14:textId="77777777" w:rsidR="0007032B" w:rsidRDefault="009B1A1A" w:rsidP="00044FC6">
      <w:pPr>
        <w:pStyle w:val="Heading2"/>
      </w:pPr>
      <w:bookmarkStart w:id="18" w:name="_Toc236949410"/>
      <w:r>
        <w:t>Determinants and Risk Factors</w:t>
      </w:r>
      <w:bookmarkEnd w:id="18"/>
    </w:p>
    <w:tbl>
      <w:tblPr>
        <w:tblStyle w:val="a"/>
        <w:tblW w:w="949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415"/>
        <w:gridCol w:w="7080"/>
      </w:tblGrid>
      <w:tr w:rsidR="0007032B" w14:paraId="7ECDEB42" w14:textId="77777777">
        <w:trPr>
          <w:trHeight w:val="645"/>
        </w:trPr>
        <w:tc>
          <w:tcPr>
            <w:tcW w:w="2415" w:type="dxa"/>
            <w:tcBorders>
              <w:top w:val="single" w:sz="6" w:space="0" w:color="000000"/>
              <w:left w:val="single" w:sz="6" w:space="0" w:color="000000"/>
              <w:bottom w:val="single" w:sz="6" w:space="0" w:color="000000"/>
              <w:right w:val="single" w:sz="6" w:space="0" w:color="000000"/>
            </w:tcBorders>
            <w:shd w:val="clear" w:color="auto" w:fill="FFE599"/>
            <w:tcMar>
              <w:top w:w="0" w:type="dxa"/>
              <w:left w:w="100" w:type="dxa"/>
              <w:bottom w:w="0" w:type="dxa"/>
              <w:right w:w="100" w:type="dxa"/>
            </w:tcMar>
          </w:tcPr>
          <w:p w14:paraId="009A5D53" w14:textId="77777777" w:rsidR="0007032B" w:rsidRDefault="009B1A1A">
            <w:pPr>
              <w:spacing w:line="360" w:lineRule="auto"/>
              <w:jc w:val="center"/>
              <w:rPr>
                <w:b/>
                <w:bCs/>
              </w:rPr>
            </w:pPr>
            <w:r>
              <w:rPr>
                <w:b/>
                <w:bCs/>
              </w:rPr>
              <w:t>Determinant / Risk Factor</w:t>
            </w:r>
          </w:p>
        </w:tc>
        <w:tc>
          <w:tcPr>
            <w:tcW w:w="7080" w:type="dxa"/>
            <w:tcBorders>
              <w:top w:val="single" w:sz="6" w:space="0" w:color="000000"/>
              <w:left w:val="nil"/>
              <w:bottom w:val="single" w:sz="6" w:space="0" w:color="000000"/>
              <w:right w:val="single" w:sz="6" w:space="0" w:color="000000"/>
            </w:tcBorders>
            <w:shd w:val="clear" w:color="auto" w:fill="FFE599"/>
            <w:tcMar>
              <w:top w:w="0" w:type="dxa"/>
              <w:left w:w="100" w:type="dxa"/>
              <w:bottom w:w="0" w:type="dxa"/>
              <w:right w:w="100" w:type="dxa"/>
            </w:tcMar>
          </w:tcPr>
          <w:p w14:paraId="3CFADBC5" w14:textId="77777777" w:rsidR="0007032B" w:rsidRDefault="009B1A1A">
            <w:pPr>
              <w:spacing w:line="360" w:lineRule="auto"/>
              <w:jc w:val="center"/>
              <w:rPr>
                <w:b/>
                <w:bCs/>
              </w:rPr>
            </w:pPr>
            <w:r>
              <w:rPr>
                <w:b/>
                <w:bCs/>
              </w:rPr>
              <w:t>Evidence and Impact on the Defined Population</w:t>
            </w:r>
          </w:p>
        </w:tc>
      </w:tr>
      <w:tr w:rsidR="0007032B" w14:paraId="6FBF2441" w14:textId="77777777">
        <w:trPr>
          <w:trHeight w:val="1214"/>
        </w:trPr>
        <w:tc>
          <w:tcPr>
            <w:tcW w:w="2415" w:type="dxa"/>
            <w:tcBorders>
              <w:top w:val="nil"/>
              <w:left w:val="single" w:sz="6" w:space="0" w:color="000000"/>
              <w:bottom w:val="single" w:sz="6" w:space="0" w:color="000000"/>
              <w:right w:val="single" w:sz="6" w:space="0" w:color="000000"/>
            </w:tcBorders>
            <w:shd w:val="clear" w:color="auto" w:fill="CFE2F3"/>
            <w:tcMar>
              <w:top w:w="0" w:type="dxa"/>
              <w:left w:w="100" w:type="dxa"/>
              <w:bottom w:w="0" w:type="dxa"/>
              <w:right w:w="100" w:type="dxa"/>
            </w:tcMar>
          </w:tcPr>
          <w:p w14:paraId="3CC72E59" w14:textId="77777777" w:rsidR="0007032B" w:rsidRDefault="009B1A1A">
            <w:pPr>
              <w:spacing w:line="360" w:lineRule="auto"/>
              <w:jc w:val="center"/>
              <w:rPr>
                <w:b/>
                <w:bCs/>
                <w:i/>
                <w:iCs/>
              </w:rPr>
            </w:pPr>
            <w:r>
              <w:rPr>
                <w:b/>
                <w:bCs/>
                <w:i/>
                <w:iCs/>
              </w:rPr>
              <w:t>Recent migration from high TB-incidence countries</w:t>
            </w:r>
          </w:p>
        </w:tc>
        <w:tc>
          <w:tcPr>
            <w:tcW w:w="7080" w:type="dxa"/>
            <w:tcBorders>
              <w:top w:val="nil"/>
              <w:left w:val="nil"/>
              <w:bottom w:val="single" w:sz="6" w:space="0" w:color="000000"/>
              <w:right w:val="single" w:sz="6" w:space="0" w:color="000000"/>
            </w:tcBorders>
            <w:tcMar>
              <w:top w:w="0" w:type="dxa"/>
              <w:left w:w="100" w:type="dxa"/>
              <w:bottom w:w="0" w:type="dxa"/>
              <w:right w:w="100" w:type="dxa"/>
            </w:tcMar>
          </w:tcPr>
          <w:p w14:paraId="4049F169" w14:textId="77777777" w:rsidR="0007032B" w:rsidRDefault="009B1A1A">
            <w:pPr>
              <w:spacing w:line="360" w:lineRule="auto"/>
              <w:jc w:val="both"/>
            </w:pPr>
            <w:r>
              <w:t>The defined population comprises recent migrants aged 16–35 years from high TB-incidence countries registered with GPs in Newham (UK, 2026). The borough's LTBI programme specifically targets this group because latent TB is more common among recent migrants and may later develop into active TB.</w:t>
            </w:r>
          </w:p>
        </w:tc>
      </w:tr>
      <w:tr w:rsidR="0007032B" w14:paraId="3605FDD7" w14:textId="77777777">
        <w:trPr>
          <w:trHeight w:val="945"/>
        </w:trPr>
        <w:tc>
          <w:tcPr>
            <w:tcW w:w="2415" w:type="dxa"/>
            <w:tcBorders>
              <w:top w:val="nil"/>
              <w:left w:val="single" w:sz="6" w:space="0" w:color="000000"/>
              <w:bottom w:val="single" w:sz="6" w:space="0" w:color="000000"/>
              <w:right w:val="single" w:sz="6" w:space="0" w:color="000000"/>
            </w:tcBorders>
            <w:shd w:val="clear" w:color="auto" w:fill="CFE2F3"/>
            <w:tcMar>
              <w:top w:w="0" w:type="dxa"/>
              <w:left w:w="100" w:type="dxa"/>
              <w:bottom w:w="0" w:type="dxa"/>
              <w:right w:w="100" w:type="dxa"/>
            </w:tcMar>
          </w:tcPr>
          <w:p w14:paraId="12DECD06" w14:textId="77777777" w:rsidR="0007032B" w:rsidRDefault="009B1A1A">
            <w:pPr>
              <w:spacing w:line="360" w:lineRule="auto"/>
              <w:jc w:val="center"/>
              <w:rPr>
                <w:b/>
                <w:bCs/>
                <w:i/>
                <w:iCs/>
              </w:rPr>
            </w:pPr>
            <w:r>
              <w:rPr>
                <w:b/>
                <w:bCs/>
                <w:i/>
                <w:iCs/>
              </w:rPr>
              <w:t>High deprivation</w:t>
            </w:r>
          </w:p>
        </w:tc>
        <w:tc>
          <w:tcPr>
            <w:tcW w:w="7080" w:type="dxa"/>
            <w:tcBorders>
              <w:top w:val="nil"/>
              <w:left w:val="nil"/>
              <w:bottom w:val="single" w:sz="6" w:space="0" w:color="000000"/>
              <w:right w:val="single" w:sz="6" w:space="0" w:color="000000"/>
            </w:tcBorders>
            <w:tcMar>
              <w:top w:w="0" w:type="dxa"/>
              <w:left w:w="100" w:type="dxa"/>
              <w:bottom w:w="0" w:type="dxa"/>
              <w:right w:w="100" w:type="dxa"/>
            </w:tcMar>
          </w:tcPr>
          <w:p w14:paraId="086C18F4" w14:textId="77777777" w:rsidR="0007032B" w:rsidRDefault="009B1A1A">
            <w:pPr>
              <w:spacing w:line="360" w:lineRule="auto"/>
              <w:jc w:val="both"/>
            </w:pPr>
            <w:r>
              <w:t xml:space="preserve">TB is closely linked to deprivation. The Newham JSNA states that disadvantaged groups have a greater risk of TB. In England, TB rates in the most deprived communities are more than five times higher than in the least deprived communities (Berrocal-Almanza </w:t>
            </w:r>
            <w:r>
              <w:rPr>
                <w:i/>
                <w:iCs/>
              </w:rPr>
              <w:t>et al</w:t>
            </w:r>
            <w:r>
              <w:t>. 2023).</w:t>
            </w:r>
          </w:p>
        </w:tc>
      </w:tr>
      <w:tr w:rsidR="0007032B" w14:paraId="11D7CCDA" w14:textId="77777777">
        <w:trPr>
          <w:trHeight w:val="600"/>
        </w:trPr>
        <w:tc>
          <w:tcPr>
            <w:tcW w:w="2415" w:type="dxa"/>
            <w:tcBorders>
              <w:top w:val="nil"/>
              <w:left w:val="single" w:sz="6" w:space="0" w:color="000000"/>
              <w:bottom w:val="single" w:sz="6" w:space="0" w:color="000000"/>
              <w:right w:val="single" w:sz="6" w:space="0" w:color="000000"/>
            </w:tcBorders>
            <w:shd w:val="clear" w:color="auto" w:fill="CFE2F3"/>
            <w:tcMar>
              <w:top w:w="0" w:type="dxa"/>
              <w:left w:w="100" w:type="dxa"/>
              <w:bottom w:w="0" w:type="dxa"/>
              <w:right w:w="100" w:type="dxa"/>
            </w:tcMar>
          </w:tcPr>
          <w:p w14:paraId="1EE7F999" w14:textId="77777777" w:rsidR="0007032B" w:rsidRDefault="009B1A1A">
            <w:pPr>
              <w:spacing w:line="360" w:lineRule="auto"/>
              <w:jc w:val="center"/>
              <w:rPr>
                <w:b/>
                <w:bCs/>
                <w:i/>
                <w:iCs/>
              </w:rPr>
            </w:pPr>
            <w:r>
              <w:rPr>
                <w:b/>
                <w:bCs/>
                <w:i/>
                <w:iCs/>
              </w:rPr>
              <w:t>Overcrowded housing</w:t>
            </w:r>
          </w:p>
        </w:tc>
        <w:tc>
          <w:tcPr>
            <w:tcW w:w="7080" w:type="dxa"/>
            <w:tcBorders>
              <w:top w:val="nil"/>
              <w:left w:val="nil"/>
              <w:bottom w:val="single" w:sz="6" w:space="0" w:color="000000"/>
              <w:right w:val="single" w:sz="6" w:space="0" w:color="000000"/>
            </w:tcBorders>
            <w:tcMar>
              <w:top w:w="0" w:type="dxa"/>
              <w:left w:w="100" w:type="dxa"/>
              <w:bottom w:w="0" w:type="dxa"/>
              <w:right w:w="100" w:type="dxa"/>
            </w:tcMar>
          </w:tcPr>
          <w:p w14:paraId="445F29EA" w14:textId="77777777" w:rsidR="0007032B" w:rsidRDefault="009B1A1A">
            <w:pPr>
              <w:spacing w:line="360" w:lineRule="auto"/>
              <w:jc w:val="both"/>
            </w:pPr>
            <w:r>
              <w:t>Newham has high levels of overcrowded housing, increasing prolonged exposure to infectious individuals and facilitating airborne TB transmission.</w:t>
            </w:r>
          </w:p>
        </w:tc>
      </w:tr>
      <w:tr w:rsidR="0007032B" w14:paraId="41B44ABA" w14:textId="77777777">
        <w:trPr>
          <w:trHeight w:val="585"/>
        </w:trPr>
        <w:tc>
          <w:tcPr>
            <w:tcW w:w="2415" w:type="dxa"/>
            <w:tcBorders>
              <w:top w:val="nil"/>
              <w:left w:val="single" w:sz="6" w:space="0" w:color="000000"/>
              <w:bottom w:val="single" w:sz="6" w:space="0" w:color="000000"/>
              <w:right w:val="single" w:sz="6" w:space="0" w:color="000000"/>
            </w:tcBorders>
            <w:shd w:val="clear" w:color="auto" w:fill="CFE2F3"/>
            <w:tcMar>
              <w:top w:w="0" w:type="dxa"/>
              <w:left w:w="100" w:type="dxa"/>
              <w:bottom w:w="0" w:type="dxa"/>
              <w:right w:w="100" w:type="dxa"/>
            </w:tcMar>
          </w:tcPr>
          <w:p w14:paraId="1EDA8EAE" w14:textId="77777777" w:rsidR="0007032B" w:rsidRDefault="009B1A1A">
            <w:pPr>
              <w:spacing w:line="360" w:lineRule="auto"/>
              <w:jc w:val="center"/>
              <w:rPr>
                <w:b/>
                <w:bCs/>
                <w:i/>
                <w:iCs/>
              </w:rPr>
            </w:pPr>
            <w:r>
              <w:rPr>
                <w:b/>
                <w:bCs/>
                <w:i/>
                <w:iCs/>
              </w:rPr>
              <w:t>Social vulnerability and poor healthcare access</w:t>
            </w:r>
          </w:p>
        </w:tc>
        <w:tc>
          <w:tcPr>
            <w:tcW w:w="7080" w:type="dxa"/>
            <w:tcBorders>
              <w:top w:val="nil"/>
              <w:left w:val="nil"/>
              <w:bottom w:val="single" w:sz="6" w:space="0" w:color="000000"/>
              <w:right w:val="single" w:sz="6" w:space="0" w:color="000000"/>
            </w:tcBorders>
            <w:tcMar>
              <w:top w:w="0" w:type="dxa"/>
              <w:left w:w="100" w:type="dxa"/>
              <w:bottom w:w="0" w:type="dxa"/>
              <w:right w:w="100" w:type="dxa"/>
            </w:tcMar>
          </w:tcPr>
          <w:p w14:paraId="41A067A0" w14:textId="7A975207" w:rsidR="0007032B" w:rsidRDefault="009B1A1A">
            <w:pPr>
              <w:spacing w:line="360" w:lineRule="auto"/>
              <w:jc w:val="both"/>
            </w:pPr>
            <w:r>
              <w:t xml:space="preserve">In Newham, the most common social risk factors are alcohol misuse, mental health problems, and </w:t>
            </w:r>
            <w:r w:rsidR="00A00C0A">
              <w:t xml:space="preserve"> also </w:t>
            </w:r>
            <w:r>
              <w:t xml:space="preserve">homelessness. </w:t>
            </w:r>
          </w:p>
        </w:tc>
      </w:tr>
    </w:tbl>
    <w:p w14:paraId="3CA3A719" w14:textId="68D0202C" w:rsidR="0007032B" w:rsidRPr="00A00C0A" w:rsidRDefault="00A00C0A" w:rsidP="00A00C0A">
      <w:pPr>
        <w:spacing w:line="360" w:lineRule="auto"/>
        <w:jc w:val="center"/>
        <w:rPr>
          <w:b/>
          <w:bCs/>
        </w:rPr>
      </w:pPr>
      <w:r w:rsidRPr="00A00C0A">
        <w:rPr>
          <w:b/>
          <w:bCs/>
        </w:rPr>
        <w:t>Table 1: Determinants and Risk Factors</w:t>
      </w:r>
    </w:p>
    <w:p w14:paraId="54851D66" w14:textId="3A4A0938" w:rsidR="00A00C0A" w:rsidRDefault="00A00C0A" w:rsidP="00A00C0A">
      <w:pPr>
        <w:spacing w:line="360" w:lineRule="auto"/>
        <w:jc w:val="center"/>
      </w:pPr>
      <w:r>
        <w:lastRenderedPageBreak/>
        <w:t>Source: (Self)</w:t>
      </w:r>
    </w:p>
    <w:p w14:paraId="6D4E48A4" w14:textId="77777777" w:rsidR="0007032B" w:rsidRDefault="009B1A1A" w:rsidP="00044FC6">
      <w:pPr>
        <w:pStyle w:val="Heading2"/>
      </w:pPr>
      <w:bookmarkStart w:id="19" w:name="_Toc236949411"/>
      <w:r>
        <w:t>Epidemiological Studies and Health Needs Assessment</w:t>
      </w:r>
      <w:bookmarkEnd w:id="19"/>
    </w:p>
    <w:p w14:paraId="6F459E42" w14:textId="77777777" w:rsidR="0007032B" w:rsidRDefault="009B1A1A">
      <w:pPr>
        <w:spacing w:line="360" w:lineRule="auto"/>
        <w:jc w:val="both"/>
      </w:pPr>
      <w:r>
        <w:t>Epidemiological studies and the Newham Joint Strategic Needs Assessment (JSNA) indicate that the population most affected by tuberculosis (TB) in Newham are recent migrants (from high TB-incidence countries) aged 16-35 years who are registered with GP practices in Newham. Newham has one of the highest TB burdens in England, with 436 TB cases reported between 2020 and 2022 in the JSNA. The retrospective cohort study carried out in 59 GP practices in Newham revealed that 5,591 eligible migrants were invited to be screened for latent TB (</w:t>
      </w:r>
      <w:proofErr w:type="spellStart"/>
      <w:r>
        <w:t>Loutet</w:t>
      </w:r>
      <w:proofErr w:type="spellEnd"/>
      <w:r>
        <w:t xml:space="preserve"> </w:t>
      </w:r>
      <w:r>
        <w:rPr>
          <w:i/>
          <w:iCs/>
        </w:rPr>
        <w:t xml:space="preserve">et al. </w:t>
      </w:r>
      <w:r>
        <w:t xml:space="preserve">2018). </w:t>
      </w:r>
    </w:p>
    <w:p w14:paraId="5CD52C5B" w14:textId="77777777" w:rsidR="0007032B" w:rsidRDefault="009B1A1A">
      <w:pPr>
        <w:spacing w:line="360" w:lineRule="auto"/>
        <w:jc w:val="center"/>
      </w:pPr>
      <w:r>
        <w:rPr>
          <w:noProof/>
          <w:lang w:val="en-IN"/>
        </w:rPr>
        <w:drawing>
          <wp:inline distT="114300" distB="114300" distL="114300" distR="114300" wp14:anchorId="73B431B4" wp14:editId="62E3CA7D">
            <wp:extent cx="5943600" cy="1828800"/>
            <wp:effectExtent l="12700" t="12700" r="12700" b="12700"/>
            <wp:docPr id="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a:stretch>
                      <a:fillRect/>
                    </a:stretch>
                  </pic:blipFill>
                  <pic:spPr>
                    <a:xfrm>
                      <a:off x="0" y="0"/>
                      <a:ext cx="5943600" cy="1828800"/>
                    </a:xfrm>
                    <a:prstGeom prst="rect">
                      <a:avLst/>
                    </a:prstGeom>
                    <a:ln w="12700">
                      <a:solidFill>
                        <a:srgbClr val="000000"/>
                      </a:solidFill>
                      <a:prstDash val="solid"/>
                    </a:ln>
                  </pic:spPr>
                </pic:pic>
              </a:graphicData>
            </a:graphic>
          </wp:inline>
        </w:drawing>
      </w:r>
    </w:p>
    <w:p w14:paraId="79138BED" w14:textId="77777777" w:rsidR="0007032B" w:rsidRDefault="009B1A1A">
      <w:pPr>
        <w:spacing w:line="360" w:lineRule="auto"/>
        <w:jc w:val="center"/>
        <w:rPr>
          <w:b/>
          <w:bCs/>
        </w:rPr>
      </w:pPr>
      <w:r>
        <w:rPr>
          <w:b/>
          <w:bCs/>
        </w:rPr>
        <w:t>Fig 6: 5591 individuals were offered LTBI testing between August 2014 and August 2015</w:t>
      </w:r>
    </w:p>
    <w:p w14:paraId="7DEC0060" w14:textId="77777777" w:rsidR="0007032B" w:rsidRDefault="009B1A1A">
      <w:pPr>
        <w:spacing w:line="360" w:lineRule="auto"/>
        <w:jc w:val="center"/>
      </w:pPr>
      <w:r>
        <w:t xml:space="preserve">(Source: </w:t>
      </w:r>
      <w:proofErr w:type="spellStart"/>
      <w:r>
        <w:t>Loutet</w:t>
      </w:r>
      <w:proofErr w:type="spellEnd"/>
      <w:r>
        <w:t xml:space="preserve"> </w:t>
      </w:r>
      <w:r>
        <w:rPr>
          <w:i/>
          <w:iCs/>
        </w:rPr>
        <w:t>et al.</w:t>
      </w:r>
      <w:r>
        <w:t xml:space="preserve"> 2018)</w:t>
      </w:r>
    </w:p>
    <w:p w14:paraId="61D757B0" w14:textId="77777777" w:rsidR="0007032B" w:rsidRDefault="009B1A1A">
      <w:pPr>
        <w:spacing w:line="360" w:lineRule="auto"/>
        <w:jc w:val="both"/>
      </w:pPr>
      <w:r>
        <w:t>Of these, 71% were between 16 and 35 years old, and the majority had come from Bangladesh, India and Pakistan. In view of these findings, the Health Needs Assessment suggested screening for latent TB, early diagnosis and preventive treatment for this target group, to be delivered in the GP setting.</w:t>
      </w:r>
    </w:p>
    <w:p w14:paraId="1D4BDBAC" w14:textId="77777777" w:rsidR="0007032B" w:rsidRDefault="009B1A1A" w:rsidP="00044FC6">
      <w:pPr>
        <w:pStyle w:val="Heading2"/>
      </w:pPr>
      <w:bookmarkStart w:id="20" w:name="_Toc236949412"/>
      <w:r>
        <w:t>Monitoring and Surveillance System</w:t>
      </w:r>
      <w:bookmarkEnd w:id="20"/>
    </w:p>
    <w:p w14:paraId="02371C12" w14:textId="77777777" w:rsidR="0007032B" w:rsidRDefault="009B1A1A" w:rsidP="00044FC6">
      <w:pPr>
        <w:pStyle w:val="Heading3"/>
      </w:pPr>
      <w:bookmarkStart w:id="21" w:name="_Toc236949413"/>
      <w:r>
        <w:t>Enhanced TB Surveillance (ETS)</w:t>
      </w:r>
      <w:bookmarkEnd w:id="21"/>
    </w:p>
    <w:p w14:paraId="173C9610" w14:textId="77777777" w:rsidR="0007032B" w:rsidRDefault="009B1A1A">
      <w:pPr>
        <w:spacing w:line="360" w:lineRule="auto"/>
        <w:jc w:val="both"/>
      </w:pPr>
      <w:r>
        <w:t xml:space="preserve">The Enhanced TB Surveillance (ETS) system is run by the UK Health Security Agency (UKHSA) to keep an eye on TB cases among recent migrants aged 16-35 from high TB incidence countries registered with GP practices in Newham (Morgan </w:t>
      </w:r>
      <w:r>
        <w:rPr>
          <w:i/>
          <w:iCs/>
        </w:rPr>
        <w:t xml:space="preserve">et al. </w:t>
      </w:r>
      <w:r>
        <w:t>2026). ETS captures patient information, lab results, treatment history, and results. This information can be used to recognise patterns of disease and high-risk populations.</w:t>
      </w:r>
    </w:p>
    <w:p w14:paraId="0A55AE26" w14:textId="77777777" w:rsidR="0007032B" w:rsidRDefault="009B1A1A" w:rsidP="00044FC6">
      <w:pPr>
        <w:pStyle w:val="Heading3"/>
      </w:pPr>
      <w:bookmarkStart w:id="22" w:name="_Toc236949414"/>
      <w:r>
        <w:t>Active Case Finding and Contact Tracing</w:t>
      </w:r>
      <w:bookmarkEnd w:id="22"/>
    </w:p>
    <w:p w14:paraId="1406931E" w14:textId="77777777" w:rsidR="0007032B" w:rsidRDefault="009B1A1A">
      <w:pPr>
        <w:spacing w:line="360" w:lineRule="auto"/>
        <w:jc w:val="both"/>
      </w:pPr>
      <w:r>
        <w:t>Newham's TB programme is based on latent TB screening and contact tracing by GP-led screening to identify new TB cases early. When migrants register with a GP, they are provided with blood tests for latent TB if eligible. If someone is diagnosed with TB, Barts Health TB Services will conduct screening of close contacts, workplaces and households to stop further spread.</w:t>
      </w:r>
    </w:p>
    <w:p w14:paraId="5B4698EC" w14:textId="77777777" w:rsidR="0007032B" w:rsidRDefault="009B1A1A" w:rsidP="00044FC6">
      <w:pPr>
        <w:pStyle w:val="Heading3"/>
      </w:pPr>
      <w:bookmarkStart w:id="23" w:name="_Toc236949415"/>
      <w:r>
        <w:lastRenderedPageBreak/>
        <w:t>Laboratory and Community Monitoring</w:t>
      </w:r>
      <w:bookmarkEnd w:id="23"/>
    </w:p>
    <w:p w14:paraId="3E658A53" w14:textId="77777777" w:rsidR="0007032B" w:rsidRDefault="009B1A1A">
      <w:pPr>
        <w:spacing w:line="360" w:lineRule="auto"/>
        <w:jc w:val="both"/>
      </w:pPr>
      <w:r>
        <w:t xml:space="preserve">The diagnosis of TB is done by blood tests, sputum tests, chest X-rays and laboratory tests. Barts Health TB Services also do home visits, check treatment adherence and work with Newham GPs and the local Health Protection Team (O’Brien </w:t>
      </w:r>
      <w:r>
        <w:rPr>
          <w:i/>
          <w:iCs/>
        </w:rPr>
        <w:t>et al.</w:t>
      </w:r>
      <w:r>
        <w:t xml:space="preserve"> 2026). Community monitoring, multilingual education and immediate care are effective in the identification of new cases at an early stage in the defined population.</w:t>
      </w:r>
    </w:p>
    <w:p w14:paraId="58785DE7" w14:textId="77777777" w:rsidR="0007032B" w:rsidRDefault="009B1A1A" w:rsidP="00044FC6">
      <w:pPr>
        <w:pStyle w:val="Heading2"/>
      </w:pPr>
      <w:bookmarkStart w:id="24" w:name="_Toc236949416"/>
      <w:r>
        <w:t>Public Health Impact</w:t>
      </w:r>
      <w:bookmarkEnd w:id="24"/>
    </w:p>
    <w:p w14:paraId="1CB75943" w14:textId="77777777" w:rsidR="0007032B" w:rsidRDefault="009B1A1A">
      <w:pPr>
        <w:spacing w:line="360" w:lineRule="auto"/>
        <w:jc w:val="both"/>
      </w:pPr>
      <w:r>
        <w:t>Epidemiology is used to assess the impact of TB disease in recent migrants aged 16-35 years who are registered with GP practices in Newham, London Borough. Public health teams regularly monitor TB incidence, notification rates, latent TB screening results, treatment outcomes, and contact tracing data. These are useful for detecting trends in disease, high-risk groups and the effectiveness of local TB control programmes.</w:t>
      </w:r>
    </w:p>
    <w:p w14:paraId="40E819DC" w14:textId="77777777" w:rsidR="0007032B" w:rsidRDefault="009B1A1A">
      <w:pPr>
        <w:spacing w:line="360" w:lineRule="auto"/>
        <w:jc w:val="both"/>
      </w:pPr>
      <w:r>
        <w:t xml:space="preserve">TB in the </w:t>
      </w:r>
      <w:r>
        <w:rPr>
          <w:b/>
          <w:bCs/>
          <w:i/>
          <w:iCs/>
        </w:rPr>
        <w:t>short term</w:t>
      </w:r>
      <w:r>
        <w:t xml:space="preserve"> is a very sickening disease and poses a risk of transmission to family members and close contacts. Newham had the highest number of TB cases reported in 2023 (141) and the highest TB notification rate in London, 38.9 cases per 100,000 population (UK, 2026). It demonstrates the importance of early diagnosis and prompt treatment to prevent further transmission.</w:t>
      </w:r>
    </w:p>
    <w:p w14:paraId="2334E171" w14:textId="77777777" w:rsidR="0007032B" w:rsidRDefault="009B1A1A">
      <w:pPr>
        <w:spacing w:line="360" w:lineRule="auto"/>
        <w:jc w:val="center"/>
      </w:pPr>
      <w:r>
        <w:rPr>
          <w:noProof/>
          <w:lang w:val="en-IN"/>
        </w:rPr>
        <w:drawing>
          <wp:inline distT="114300" distB="114300" distL="114300" distR="114300" wp14:anchorId="57DC003D" wp14:editId="2E021467">
            <wp:extent cx="5943600" cy="1727200"/>
            <wp:effectExtent l="12700" t="12700" r="12700" b="1270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5943600" cy="1727200"/>
                    </a:xfrm>
                    <a:prstGeom prst="rect">
                      <a:avLst/>
                    </a:prstGeom>
                    <a:ln w="12700">
                      <a:solidFill>
                        <a:srgbClr val="000000"/>
                      </a:solidFill>
                      <a:prstDash val="solid"/>
                    </a:ln>
                  </pic:spPr>
                </pic:pic>
              </a:graphicData>
            </a:graphic>
          </wp:inline>
        </w:drawing>
      </w:r>
    </w:p>
    <w:p w14:paraId="3EB981B2" w14:textId="77777777" w:rsidR="0007032B" w:rsidRDefault="009B1A1A">
      <w:pPr>
        <w:spacing w:line="360" w:lineRule="auto"/>
        <w:jc w:val="center"/>
        <w:rPr>
          <w:b/>
          <w:bCs/>
        </w:rPr>
      </w:pPr>
      <w:r>
        <w:rPr>
          <w:b/>
          <w:bCs/>
        </w:rPr>
        <w:t>Fig 7: Newham TB cases</w:t>
      </w:r>
    </w:p>
    <w:p w14:paraId="6DB154BD" w14:textId="77777777" w:rsidR="0007032B" w:rsidRDefault="009B1A1A">
      <w:pPr>
        <w:spacing w:line="360" w:lineRule="auto"/>
        <w:jc w:val="center"/>
      </w:pPr>
      <w:r>
        <w:t>(Source: UK, 2026)</w:t>
      </w:r>
    </w:p>
    <w:p w14:paraId="470CD703" w14:textId="77777777" w:rsidR="0007032B" w:rsidRDefault="009B1A1A">
      <w:pPr>
        <w:spacing w:line="360" w:lineRule="auto"/>
        <w:jc w:val="both"/>
      </w:pPr>
      <w:r>
        <w:t>Untreated TB can lead to permanent lung damage, drug resistance, and early death in the</w:t>
      </w:r>
      <w:r>
        <w:rPr>
          <w:b/>
          <w:bCs/>
          <w:i/>
          <w:iCs/>
        </w:rPr>
        <w:t xml:space="preserve"> long term</w:t>
      </w:r>
      <w:r>
        <w:t xml:space="preserve">. In Newham, 41.4% of migrant children screened were positive for latent TB infection, with a high risk of active TB in the future without preventive treatment (UK, 2025b). </w:t>
      </w:r>
    </w:p>
    <w:p w14:paraId="52A16DC6" w14:textId="77777777" w:rsidR="0007032B" w:rsidRDefault="009B1A1A">
      <w:pPr>
        <w:spacing w:line="360" w:lineRule="auto"/>
        <w:jc w:val="center"/>
      </w:pPr>
      <w:r>
        <w:rPr>
          <w:noProof/>
          <w:lang w:val="en-IN"/>
        </w:rPr>
        <w:lastRenderedPageBreak/>
        <w:drawing>
          <wp:inline distT="114300" distB="114300" distL="114300" distR="114300" wp14:anchorId="20D59101" wp14:editId="3C28A82F">
            <wp:extent cx="4572000" cy="7191375"/>
            <wp:effectExtent l="12700" t="12700" r="12700" b="1270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4572000" cy="7191375"/>
                    </a:xfrm>
                    <a:prstGeom prst="rect">
                      <a:avLst/>
                    </a:prstGeom>
                    <a:ln w="12700">
                      <a:solidFill>
                        <a:srgbClr val="000000"/>
                      </a:solidFill>
                      <a:prstDash val="solid"/>
                    </a:ln>
                  </pic:spPr>
                </pic:pic>
              </a:graphicData>
            </a:graphic>
          </wp:inline>
        </w:drawing>
      </w:r>
    </w:p>
    <w:p w14:paraId="15FD1D0C" w14:textId="77777777" w:rsidR="0007032B" w:rsidRDefault="009B1A1A">
      <w:pPr>
        <w:spacing w:line="360" w:lineRule="auto"/>
        <w:jc w:val="center"/>
        <w:rPr>
          <w:b/>
          <w:bCs/>
        </w:rPr>
      </w:pPr>
      <w:r>
        <w:rPr>
          <w:b/>
          <w:bCs/>
        </w:rPr>
        <w:t>Fig 8: Percentage of migrant children got TB vaccination in Newham</w:t>
      </w:r>
    </w:p>
    <w:p w14:paraId="2A502037" w14:textId="77777777" w:rsidR="0007032B" w:rsidRDefault="009B1A1A">
      <w:pPr>
        <w:spacing w:line="360" w:lineRule="auto"/>
        <w:jc w:val="center"/>
      </w:pPr>
      <w:r>
        <w:t>(Source: UK, 2025b)</w:t>
      </w:r>
    </w:p>
    <w:p w14:paraId="5EF0A310" w14:textId="77777777" w:rsidR="0007032B" w:rsidRDefault="009B1A1A">
      <w:pPr>
        <w:spacing w:line="360" w:lineRule="auto"/>
        <w:jc w:val="both"/>
      </w:pPr>
      <w:r>
        <w:t>Epidemiological surveillance supports Newham health authorities to focus on high-risk groups, enhance treatment completion, reduce transmission and better utilise NHS resources.</w:t>
      </w:r>
    </w:p>
    <w:p w14:paraId="50AC88C9" w14:textId="77777777" w:rsidR="0007032B" w:rsidRDefault="009B1A1A" w:rsidP="00044FC6">
      <w:pPr>
        <w:pStyle w:val="Heading2"/>
      </w:pPr>
      <w:bookmarkStart w:id="25" w:name="_Toc236949417"/>
      <w:r>
        <w:lastRenderedPageBreak/>
        <w:t>Intervention Design and Evaluation</w:t>
      </w:r>
      <w:bookmarkEnd w:id="25"/>
    </w:p>
    <w:p w14:paraId="0608570C" w14:textId="42F6CC5E" w:rsidR="0007032B" w:rsidRDefault="009B1A1A">
      <w:pPr>
        <w:spacing w:line="360" w:lineRule="auto"/>
        <w:jc w:val="both"/>
      </w:pPr>
      <w:r>
        <w:t>The Newham GP-led Latent Tuberculosis Infection (LTBI) Programme should be extended to recent migrants aged 16-35 years from high TB incidence countries. The programme should maintain latent TB screening, treatment and follow-up in GP practice. It is also to be provided, in a multilingual way, health education and support by community TB workers. In the period 2014-2016, over 6,000 people were screened. Approximately 1,200 individuals were diagnosed with LTB, and 14 cases of ATB were detected early. The rate of TB in Newham later dropped by over 30%. This programme may also help to further decrease TB transmission and enhance health outcomes.</w:t>
      </w:r>
      <w:r w:rsidR="00A00C0A">
        <w:t xml:space="preserve"> </w:t>
      </w:r>
      <w:r w:rsidR="00A00C0A" w:rsidRPr="00A00C0A">
        <w:t>Expanding the programme could strengthen early identification and management of latent TB among high-risk migrant populations</w:t>
      </w:r>
      <w:r w:rsidR="00A00C0A">
        <w:t>.</w:t>
      </w:r>
      <w:r w:rsidR="00A00C0A" w:rsidRPr="00A00C0A">
        <w:t xml:space="preserve"> </w:t>
      </w:r>
      <w:r w:rsidR="00A00C0A">
        <w:t>T</w:t>
      </w:r>
      <w:r w:rsidR="00A00C0A" w:rsidRPr="00A00C0A">
        <w:t>hereby reducing progression to active disease. Continued investment in GP-based care and community TB worker support is likely to improve treatment adherence, patient engagement, and overall public health outcomes in Newham</w:t>
      </w:r>
      <w:r w:rsidR="00A00C0A">
        <w:t>.</w:t>
      </w:r>
    </w:p>
    <w:p w14:paraId="09001A8A" w14:textId="77777777" w:rsidR="0007032B" w:rsidRDefault="009B1A1A" w:rsidP="00044FC6">
      <w:pPr>
        <w:pStyle w:val="Heading2"/>
      </w:pPr>
      <w:bookmarkStart w:id="26" w:name="_Toc236949418"/>
      <w:r>
        <w:t>Strengths and Weaknesses</w:t>
      </w:r>
      <w:bookmarkEnd w:id="26"/>
    </w:p>
    <w:tbl>
      <w:tblPr>
        <w:tblStyle w:val="a0"/>
        <w:tblW w:w="928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380"/>
        <w:gridCol w:w="3825"/>
        <w:gridCol w:w="4080"/>
      </w:tblGrid>
      <w:tr w:rsidR="0007032B" w14:paraId="3F72F3EF" w14:textId="77777777">
        <w:trPr>
          <w:trHeight w:val="255"/>
        </w:trPr>
        <w:tc>
          <w:tcPr>
            <w:tcW w:w="1380" w:type="dxa"/>
            <w:tcBorders>
              <w:top w:val="single" w:sz="6" w:space="0" w:color="000000"/>
              <w:left w:val="single" w:sz="6" w:space="0" w:color="000000"/>
              <w:bottom w:val="single" w:sz="6" w:space="0" w:color="000000"/>
              <w:right w:val="single" w:sz="6" w:space="0" w:color="000000"/>
            </w:tcBorders>
            <w:shd w:val="clear" w:color="auto" w:fill="FFE599"/>
            <w:tcMar>
              <w:top w:w="0" w:type="dxa"/>
              <w:left w:w="100" w:type="dxa"/>
              <w:bottom w:w="0" w:type="dxa"/>
              <w:right w:w="100" w:type="dxa"/>
            </w:tcMar>
          </w:tcPr>
          <w:p w14:paraId="6406D5EE" w14:textId="77777777" w:rsidR="0007032B" w:rsidRDefault="009B1A1A">
            <w:pPr>
              <w:spacing w:line="360" w:lineRule="auto"/>
              <w:jc w:val="center"/>
              <w:rPr>
                <w:b/>
                <w:bCs/>
                <w:i/>
                <w:iCs/>
              </w:rPr>
            </w:pPr>
            <w:r>
              <w:rPr>
                <w:b/>
                <w:bCs/>
                <w:i/>
                <w:iCs/>
              </w:rPr>
              <w:t>Aspect</w:t>
            </w:r>
          </w:p>
        </w:tc>
        <w:tc>
          <w:tcPr>
            <w:tcW w:w="3825" w:type="dxa"/>
            <w:tcBorders>
              <w:top w:val="single" w:sz="6" w:space="0" w:color="000000"/>
              <w:left w:val="nil"/>
              <w:bottom w:val="single" w:sz="6" w:space="0" w:color="000000"/>
              <w:right w:val="single" w:sz="6" w:space="0" w:color="000000"/>
            </w:tcBorders>
            <w:shd w:val="clear" w:color="auto" w:fill="FFE599"/>
            <w:tcMar>
              <w:top w:w="0" w:type="dxa"/>
              <w:left w:w="100" w:type="dxa"/>
              <w:bottom w:w="0" w:type="dxa"/>
              <w:right w:w="100" w:type="dxa"/>
            </w:tcMar>
          </w:tcPr>
          <w:p w14:paraId="7549F555" w14:textId="77777777" w:rsidR="0007032B" w:rsidRDefault="009B1A1A">
            <w:pPr>
              <w:spacing w:line="360" w:lineRule="auto"/>
              <w:jc w:val="center"/>
              <w:rPr>
                <w:b/>
                <w:bCs/>
                <w:i/>
                <w:iCs/>
              </w:rPr>
            </w:pPr>
            <w:r>
              <w:rPr>
                <w:b/>
                <w:bCs/>
                <w:i/>
                <w:iCs/>
              </w:rPr>
              <w:t>Strengths</w:t>
            </w:r>
          </w:p>
        </w:tc>
        <w:tc>
          <w:tcPr>
            <w:tcW w:w="4080" w:type="dxa"/>
            <w:tcBorders>
              <w:top w:val="single" w:sz="6" w:space="0" w:color="000000"/>
              <w:left w:val="nil"/>
              <w:bottom w:val="single" w:sz="6" w:space="0" w:color="000000"/>
              <w:right w:val="single" w:sz="6" w:space="0" w:color="000000"/>
            </w:tcBorders>
            <w:shd w:val="clear" w:color="auto" w:fill="FFE599"/>
            <w:tcMar>
              <w:top w:w="0" w:type="dxa"/>
              <w:left w:w="100" w:type="dxa"/>
              <w:bottom w:w="0" w:type="dxa"/>
              <w:right w:w="100" w:type="dxa"/>
            </w:tcMar>
          </w:tcPr>
          <w:p w14:paraId="3155B0F8" w14:textId="77777777" w:rsidR="0007032B" w:rsidRDefault="009B1A1A">
            <w:pPr>
              <w:spacing w:line="360" w:lineRule="auto"/>
              <w:jc w:val="center"/>
              <w:rPr>
                <w:b/>
                <w:bCs/>
                <w:i/>
                <w:iCs/>
              </w:rPr>
            </w:pPr>
            <w:r>
              <w:rPr>
                <w:b/>
                <w:bCs/>
                <w:i/>
                <w:iCs/>
              </w:rPr>
              <w:t>Weaknesses</w:t>
            </w:r>
          </w:p>
        </w:tc>
      </w:tr>
      <w:tr w:rsidR="0007032B" w14:paraId="0AB29DD3" w14:textId="77777777">
        <w:trPr>
          <w:trHeight w:val="945"/>
        </w:trPr>
        <w:tc>
          <w:tcPr>
            <w:tcW w:w="138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804E97F" w14:textId="77777777" w:rsidR="0007032B" w:rsidRDefault="009B1A1A">
            <w:pPr>
              <w:spacing w:line="360" w:lineRule="auto"/>
              <w:jc w:val="center"/>
              <w:rPr>
                <w:b/>
                <w:bCs/>
                <w:i/>
                <w:iCs/>
              </w:rPr>
            </w:pPr>
            <w:r>
              <w:rPr>
                <w:b/>
                <w:bCs/>
                <w:i/>
                <w:iCs/>
              </w:rPr>
              <w:t>Data Sources</w:t>
            </w:r>
          </w:p>
        </w:tc>
        <w:tc>
          <w:tcPr>
            <w:tcW w:w="3825" w:type="dxa"/>
            <w:tcBorders>
              <w:top w:val="nil"/>
              <w:left w:val="nil"/>
              <w:bottom w:val="single" w:sz="6" w:space="0" w:color="000000"/>
              <w:right w:val="single" w:sz="6" w:space="0" w:color="000000"/>
            </w:tcBorders>
            <w:tcMar>
              <w:top w:w="0" w:type="dxa"/>
              <w:left w:w="100" w:type="dxa"/>
              <w:bottom w:w="0" w:type="dxa"/>
              <w:right w:w="100" w:type="dxa"/>
            </w:tcMar>
          </w:tcPr>
          <w:p w14:paraId="2F7E8687" w14:textId="77777777" w:rsidR="0007032B" w:rsidRDefault="009B1A1A">
            <w:pPr>
              <w:spacing w:line="360" w:lineRule="auto"/>
              <w:jc w:val="both"/>
            </w:pPr>
            <w:r>
              <w:t>Uses UKHSA Enhanced TB Surveillance (ETS), Newham JSNA, and published cohort studies</w:t>
            </w:r>
          </w:p>
        </w:tc>
        <w:tc>
          <w:tcPr>
            <w:tcW w:w="4080" w:type="dxa"/>
            <w:tcBorders>
              <w:top w:val="nil"/>
              <w:left w:val="nil"/>
              <w:bottom w:val="single" w:sz="6" w:space="0" w:color="000000"/>
              <w:right w:val="single" w:sz="6" w:space="0" w:color="000000"/>
            </w:tcBorders>
            <w:tcMar>
              <w:top w:w="0" w:type="dxa"/>
              <w:left w:w="100" w:type="dxa"/>
              <w:bottom w:w="0" w:type="dxa"/>
              <w:right w:w="100" w:type="dxa"/>
            </w:tcMar>
          </w:tcPr>
          <w:p w14:paraId="23FBB745" w14:textId="77777777" w:rsidR="0007032B" w:rsidRDefault="009B1A1A">
            <w:pPr>
              <w:spacing w:line="360" w:lineRule="auto"/>
              <w:jc w:val="both"/>
            </w:pPr>
            <w:r>
              <w:t>Some TB cases are not reported because latent TB has no symptoms. This may underestimate the true disease burden.</w:t>
            </w:r>
          </w:p>
        </w:tc>
      </w:tr>
      <w:tr w:rsidR="0007032B" w14:paraId="123EE146" w14:textId="77777777">
        <w:trPr>
          <w:trHeight w:val="944"/>
        </w:trPr>
        <w:tc>
          <w:tcPr>
            <w:tcW w:w="138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15D4D45" w14:textId="77777777" w:rsidR="0007032B" w:rsidRDefault="009B1A1A">
            <w:pPr>
              <w:spacing w:line="360" w:lineRule="auto"/>
              <w:jc w:val="center"/>
              <w:rPr>
                <w:b/>
                <w:bCs/>
                <w:i/>
                <w:iCs/>
              </w:rPr>
            </w:pPr>
            <w:r>
              <w:rPr>
                <w:b/>
                <w:bCs/>
                <w:i/>
                <w:iCs/>
              </w:rPr>
              <w:t>Target Population</w:t>
            </w:r>
          </w:p>
        </w:tc>
        <w:tc>
          <w:tcPr>
            <w:tcW w:w="3825" w:type="dxa"/>
            <w:tcBorders>
              <w:top w:val="nil"/>
              <w:left w:val="nil"/>
              <w:bottom w:val="single" w:sz="6" w:space="0" w:color="000000"/>
              <w:right w:val="single" w:sz="6" w:space="0" w:color="000000"/>
            </w:tcBorders>
            <w:tcMar>
              <w:top w:w="0" w:type="dxa"/>
              <w:left w:w="100" w:type="dxa"/>
              <w:bottom w:w="0" w:type="dxa"/>
              <w:right w:w="100" w:type="dxa"/>
            </w:tcMar>
          </w:tcPr>
          <w:p w14:paraId="736A0A95" w14:textId="77777777" w:rsidR="0007032B" w:rsidRDefault="009B1A1A">
            <w:pPr>
              <w:spacing w:line="360" w:lineRule="auto"/>
              <w:jc w:val="both"/>
            </w:pPr>
            <w:r>
              <w:t xml:space="preserve">Focuses on recent migrants aged 16–35 years from high TB-incidence countries. </w:t>
            </w:r>
          </w:p>
        </w:tc>
        <w:tc>
          <w:tcPr>
            <w:tcW w:w="4080" w:type="dxa"/>
            <w:tcBorders>
              <w:top w:val="nil"/>
              <w:left w:val="nil"/>
              <w:bottom w:val="single" w:sz="6" w:space="0" w:color="000000"/>
              <w:right w:val="single" w:sz="6" w:space="0" w:color="000000"/>
            </w:tcBorders>
            <w:tcMar>
              <w:top w:w="0" w:type="dxa"/>
              <w:left w:w="100" w:type="dxa"/>
              <w:bottom w:w="0" w:type="dxa"/>
              <w:right w:w="100" w:type="dxa"/>
            </w:tcMar>
          </w:tcPr>
          <w:p w14:paraId="4624F103" w14:textId="77777777" w:rsidR="0007032B" w:rsidRDefault="009B1A1A">
            <w:pPr>
              <w:spacing w:line="360" w:lineRule="auto"/>
              <w:jc w:val="both"/>
            </w:pPr>
            <w:r>
              <w:t>The findings may not represent all Newham residents because the analysis focuses on one high-risk population.</w:t>
            </w:r>
          </w:p>
        </w:tc>
      </w:tr>
      <w:tr w:rsidR="0007032B" w14:paraId="5DA56E2A" w14:textId="77777777">
        <w:trPr>
          <w:trHeight w:val="690"/>
        </w:trPr>
        <w:tc>
          <w:tcPr>
            <w:tcW w:w="138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1550476" w14:textId="77777777" w:rsidR="0007032B" w:rsidRDefault="009B1A1A">
            <w:pPr>
              <w:spacing w:line="360" w:lineRule="auto"/>
              <w:jc w:val="center"/>
              <w:rPr>
                <w:b/>
                <w:bCs/>
                <w:i/>
                <w:iCs/>
              </w:rPr>
            </w:pPr>
            <w:r>
              <w:rPr>
                <w:b/>
                <w:bCs/>
                <w:i/>
                <w:iCs/>
              </w:rPr>
              <w:t>Public Health Planning</w:t>
            </w:r>
          </w:p>
        </w:tc>
        <w:tc>
          <w:tcPr>
            <w:tcW w:w="3825" w:type="dxa"/>
            <w:tcBorders>
              <w:top w:val="nil"/>
              <w:left w:val="nil"/>
              <w:bottom w:val="single" w:sz="6" w:space="0" w:color="000000"/>
              <w:right w:val="single" w:sz="6" w:space="0" w:color="000000"/>
            </w:tcBorders>
            <w:tcMar>
              <w:top w:w="0" w:type="dxa"/>
              <w:left w:w="100" w:type="dxa"/>
              <w:bottom w:w="0" w:type="dxa"/>
              <w:right w:w="100" w:type="dxa"/>
            </w:tcMar>
          </w:tcPr>
          <w:p w14:paraId="0598E808" w14:textId="77777777" w:rsidR="0007032B" w:rsidRDefault="009B1A1A">
            <w:pPr>
              <w:spacing w:line="360" w:lineRule="auto"/>
              <w:jc w:val="both"/>
            </w:pPr>
            <w:r>
              <w:t xml:space="preserve">Epidemiological evidence supports early screening, contact tracing, and treatment. </w:t>
            </w:r>
          </w:p>
        </w:tc>
        <w:tc>
          <w:tcPr>
            <w:tcW w:w="4080" w:type="dxa"/>
            <w:tcBorders>
              <w:top w:val="nil"/>
              <w:left w:val="nil"/>
              <w:bottom w:val="single" w:sz="6" w:space="0" w:color="000000"/>
              <w:right w:val="single" w:sz="6" w:space="0" w:color="000000"/>
            </w:tcBorders>
            <w:tcMar>
              <w:top w:w="0" w:type="dxa"/>
              <w:left w:w="100" w:type="dxa"/>
              <w:bottom w:w="0" w:type="dxa"/>
              <w:right w:w="100" w:type="dxa"/>
            </w:tcMar>
          </w:tcPr>
          <w:p w14:paraId="560A211E" w14:textId="77777777" w:rsidR="0007032B" w:rsidRDefault="009B1A1A">
            <w:pPr>
              <w:spacing w:line="360" w:lineRule="auto"/>
              <w:jc w:val="both"/>
            </w:pPr>
            <w:r>
              <w:t>Language barriers, delayed GP registration, and incomplete patient records.</w:t>
            </w:r>
          </w:p>
        </w:tc>
      </w:tr>
    </w:tbl>
    <w:p w14:paraId="7F35F8E0" w14:textId="6BC96A6D" w:rsidR="00A00C0A" w:rsidRPr="00A00C0A" w:rsidRDefault="00A00C0A" w:rsidP="00A00C0A">
      <w:pPr>
        <w:spacing w:line="360" w:lineRule="auto"/>
        <w:jc w:val="center"/>
        <w:rPr>
          <w:b/>
          <w:bCs/>
        </w:rPr>
      </w:pPr>
      <w:r w:rsidRPr="00A00C0A">
        <w:rPr>
          <w:b/>
          <w:bCs/>
        </w:rPr>
        <w:t xml:space="preserve">Table </w:t>
      </w:r>
      <w:r>
        <w:rPr>
          <w:b/>
          <w:bCs/>
        </w:rPr>
        <w:t>2</w:t>
      </w:r>
      <w:r w:rsidRPr="00A00C0A">
        <w:rPr>
          <w:b/>
          <w:bCs/>
        </w:rPr>
        <w:t>: Strengths and Weaknesses</w:t>
      </w:r>
    </w:p>
    <w:p w14:paraId="2E801B2C" w14:textId="2904D0FC" w:rsidR="0007032B" w:rsidRPr="00A00C0A" w:rsidRDefault="00A00C0A" w:rsidP="00A00C0A">
      <w:pPr>
        <w:spacing w:line="360" w:lineRule="auto"/>
        <w:jc w:val="center"/>
      </w:pPr>
      <w:r>
        <w:t>Source: (Self)</w:t>
      </w:r>
    </w:p>
    <w:p w14:paraId="039F3FA1" w14:textId="77777777" w:rsidR="0007032B" w:rsidRDefault="009B1A1A" w:rsidP="00044FC6">
      <w:pPr>
        <w:pStyle w:val="Heading2"/>
      </w:pPr>
      <w:bookmarkStart w:id="27" w:name="_Toc236949419"/>
      <w:r>
        <w:t>Conclusion</w:t>
      </w:r>
      <w:bookmarkEnd w:id="27"/>
    </w:p>
    <w:p w14:paraId="0F58B266" w14:textId="77777777" w:rsidR="0007032B" w:rsidRDefault="009B1A1A">
      <w:pPr>
        <w:spacing w:line="360" w:lineRule="auto"/>
        <w:jc w:val="both"/>
      </w:pPr>
      <w:r>
        <w:t>TB continues to be a significant public health problem in Newham, particularly in young age groups (16-35 years) of recent migrants from high TB incidence countries. Epidemiological evidence can be used to identify high-risk groups, track disease trends and to inform effective interventions. Improving early diagnosis, decreasing TB transmission, and achieving better long-term health outcomes for the targeted population can be achieved through strengthening GP-led screening, surveillance and community awareness.</w:t>
      </w:r>
      <w:r>
        <w:br w:type="page"/>
      </w:r>
    </w:p>
    <w:p w14:paraId="58C09B4A" w14:textId="77777777" w:rsidR="0007032B" w:rsidRDefault="009B1A1A" w:rsidP="00044FC6">
      <w:pPr>
        <w:pStyle w:val="Heading1"/>
      </w:pPr>
      <w:bookmarkStart w:id="28" w:name="_Toc236949420"/>
      <w:r>
        <w:lastRenderedPageBreak/>
        <w:t>Reference List</w:t>
      </w:r>
      <w:bookmarkEnd w:id="28"/>
    </w:p>
    <w:p w14:paraId="70125479" w14:textId="77777777" w:rsidR="0007032B" w:rsidRDefault="009B1A1A" w:rsidP="00044FC6">
      <w:pPr>
        <w:pStyle w:val="Heading2"/>
        <w:spacing w:before="240"/>
      </w:pPr>
      <w:bookmarkStart w:id="29" w:name="_Toc236949421"/>
      <w:r>
        <w:t>Task A</w:t>
      </w:r>
      <w:bookmarkEnd w:id="29"/>
    </w:p>
    <w:p w14:paraId="0A3FAA0F" w14:textId="77777777" w:rsidR="0007032B" w:rsidRDefault="009B1A1A" w:rsidP="00044FC6">
      <w:pPr>
        <w:spacing w:before="240" w:line="360" w:lineRule="auto"/>
        <w:jc w:val="both"/>
      </w:pPr>
      <w:r>
        <w:t xml:space="preserve">Mencap (2024). </w:t>
      </w:r>
      <w:r>
        <w:rPr>
          <w:i/>
          <w:iCs/>
        </w:rPr>
        <w:t>How common is learning disability?</w:t>
      </w:r>
      <w:r>
        <w:t xml:space="preserve"> [online] </w:t>
      </w:r>
      <w:r>
        <w:rPr>
          <w:i/>
          <w:iCs/>
        </w:rPr>
        <w:t>Mencap</w:t>
      </w:r>
      <w:r>
        <w:t>. Available at: https://www.mencap.org.uk/learning-disability-explained/research-and-statistics/how-common-learning-disability [Accessed 4 Aug. 2026].</w:t>
      </w:r>
    </w:p>
    <w:p w14:paraId="476BBDEB" w14:textId="77777777" w:rsidR="0007032B" w:rsidRDefault="009B1A1A" w:rsidP="00044FC6">
      <w:pPr>
        <w:spacing w:before="240" w:line="360" w:lineRule="auto"/>
        <w:jc w:val="both"/>
      </w:pPr>
      <w:r>
        <w:t xml:space="preserve">PHE (2025). </w:t>
      </w:r>
      <w:r>
        <w:rPr>
          <w:i/>
          <w:iCs/>
        </w:rPr>
        <w:t>Health inequalities: Mental health problems</w:t>
      </w:r>
      <w:r>
        <w:t>. [online] Available at: https://fingertips.phe.org.uk/documents/Health%20Inequalities_Mental%20health%20problems.pdf [Accessed 2 Aug. 2026].</w:t>
      </w:r>
    </w:p>
    <w:p w14:paraId="0B61AA41" w14:textId="77777777" w:rsidR="0007032B" w:rsidRDefault="009B1A1A" w:rsidP="00044FC6">
      <w:pPr>
        <w:spacing w:before="240" w:line="360" w:lineRule="auto"/>
        <w:jc w:val="both"/>
      </w:pPr>
      <w:r>
        <w:t>kcl.ac.uk, (2024), LeDeR Annual Report Learning from Lives and Deaths: People with a Learning Disability and Autistic People, [online] Available at: https://www.kcl.ac.uk/ioppn/assets/pdfs/leder/leder-annual-report-2023.pdf [Accessed 3 Aug. 2026].</w:t>
      </w:r>
    </w:p>
    <w:p w14:paraId="3CCD36D6" w14:textId="77777777" w:rsidR="0007032B" w:rsidRDefault="009B1A1A" w:rsidP="00044FC6">
      <w:pPr>
        <w:spacing w:before="240" w:line="360" w:lineRule="auto"/>
        <w:jc w:val="both"/>
      </w:pPr>
      <w:r>
        <w:t xml:space="preserve">Mencap (2025). </w:t>
      </w:r>
      <w:r>
        <w:rPr>
          <w:i/>
          <w:iCs/>
        </w:rPr>
        <w:t>Mencap</w:t>
      </w:r>
      <w:r>
        <w:t xml:space="preserve">. [online] </w:t>
      </w:r>
      <w:r>
        <w:rPr>
          <w:i/>
          <w:iCs/>
        </w:rPr>
        <w:t>Mencap</w:t>
      </w:r>
      <w:r>
        <w:t>. Available at: https://www.mencap.org.uk/get-involved/campaigns-and-activism/leder-report [Accessed 6 Aug. 2026].</w:t>
      </w:r>
    </w:p>
    <w:p w14:paraId="27BD8490" w14:textId="77777777" w:rsidR="0007032B" w:rsidRDefault="009B1A1A" w:rsidP="00044FC6">
      <w:pPr>
        <w:spacing w:before="240" w:line="360" w:lineRule="auto"/>
        <w:jc w:val="both"/>
      </w:pPr>
      <w:r>
        <w:t xml:space="preserve">England, N. (2025). </w:t>
      </w:r>
      <w:r>
        <w:rPr>
          <w:i/>
          <w:iCs/>
        </w:rPr>
        <w:t>NHS England » Performance report</w:t>
      </w:r>
      <w:r>
        <w:t xml:space="preserve">. [online] </w:t>
      </w:r>
      <w:r>
        <w:rPr>
          <w:i/>
          <w:iCs/>
        </w:rPr>
        <w:t>England.nhs.uk</w:t>
      </w:r>
      <w:r>
        <w:t>. Available at: https://www.england.nhs.uk/long-read/performance-report-24-25/ [Accessed 6 Aug. 2026].</w:t>
      </w:r>
    </w:p>
    <w:p w14:paraId="2C935378" w14:textId="77777777" w:rsidR="0007032B" w:rsidRDefault="009B1A1A" w:rsidP="00044FC6">
      <w:pPr>
        <w:spacing w:before="240" w:line="360" w:lineRule="auto"/>
        <w:jc w:val="both"/>
      </w:pPr>
      <w:r>
        <w:t xml:space="preserve">GOV.UK,  (2025). </w:t>
      </w:r>
      <w:r>
        <w:rPr>
          <w:i/>
          <w:iCs/>
        </w:rPr>
        <w:t>The employment of disabled people 2025</w:t>
      </w:r>
      <w:r>
        <w:t xml:space="preserve">. [online] </w:t>
      </w:r>
      <w:r>
        <w:rPr>
          <w:i/>
          <w:iCs/>
        </w:rPr>
        <w:t>GOV.UK</w:t>
      </w:r>
      <w:r>
        <w:t>. Available at: https://www.gov.uk/government/statistics/the-employment-of-disabled-people-2025/the-employment-of-disabled-people-2025 [Accessed 4 Aug. 2026].</w:t>
      </w:r>
    </w:p>
    <w:p w14:paraId="2AF5DD30" w14:textId="77777777" w:rsidR="0007032B" w:rsidRDefault="009B1A1A" w:rsidP="00044FC6">
      <w:pPr>
        <w:spacing w:before="240" w:line="360" w:lineRule="auto"/>
        <w:jc w:val="both"/>
      </w:pPr>
      <w:r>
        <w:t xml:space="preserve">Tanner, L., Kenny, R.P.W., Still, M., Ling, J., Pearson, F., Thompson, K. and Bhardwaj-Gosling, R., (2022). NHS Health Check programme: a rapid review update. </w:t>
      </w:r>
      <w:r>
        <w:rPr>
          <w:i/>
          <w:iCs/>
        </w:rPr>
        <w:t>BMJ open</w:t>
      </w:r>
      <w:r>
        <w:t xml:space="preserve">, </w:t>
      </w:r>
      <w:r>
        <w:rPr>
          <w:i/>
          <w:iCs/>
        </w:rPr>
        <w:t>12</w:t>
      </w:r>
      <w:r>
        <w:t>(2), p.e052832.</w:t>
      </w:r>
    </w:p>
    <w:p w14:paraId="353355ED" w14:textId="77777777" w:rsidR="0007032B" w:rsidRDefault="009B1A1A" w:rsidP="00044FC6">
      <w:pPr>
        <w:spacing w:before="240" w:line="360" w:lineRule="auto"/>
        <w:jc w:val="both"/>
      </w:pPr>
      <w:r>
        <w:t xml:space="preserve">Scope. (2025). </w:t>
      </w:r>
      <w:r>
        <w:rPr>
          <w:i/>
          <w:iCs/>
        </w:rPr>
        <w:t>Disability Price Tag 2025 | Disability charity Scope UK</w:t>
      </w:r>
      <w:r>
        <w:t>. [online] Available at: https://www.scope.org.uk/campaigns/disability-price-tag [Accessed 3 Aug. 2026].</w:t>
      </w:r>
    </w:p>
    <w:p w14:paraId="0D7436A0" w14:textId="77777777" w:rsidR="0007032B" w:rsidRDefault="009B1A1A" w:rsidP="00044FC6">
      <w:pPr>
        <w:spacing w:before="240" w:line="360" w:lineRule="auto"/>
        <w:jc w:val="both"/>
      </w:pPr>
      <w:r>
        <w:t xml:space="preserve">Evans, E., (2022). Political intersectionality and disability activism: Approaching and understanding difference and unity. </w:t>
      </w:r>
      <w:r>
        <w:rPr>
          <w:i/>
          <w:iCs/>
        </w:rPr>
        <w:t>The Sociological Review</w:t>
      </w:r>
      <w:r>
        <w:t xml:space="preserve">, </w:t>
      </w:r>
      <w:r>
        <w:rPr>
          <w:i/>
          <w:iCs/>
        </w:rPr>
        <w:t>70</w:t>
      </w:r>
      <w:r>
        <w:t>(5), pp.986-1004.</w:t>
      </w:r>
    </w:p>
    <w:p w14:paraId="3E603D37" w14:textId="77777777" w:rsidR="0007032B" w:rsidRDefault="009B1A1A" w:rsidP="00044FC6">
      <w:pPr>
        <w:spacing w:before="240" w:line="360" w:lineRule="auto"/>
        <w:jc w:val="both"/>
      </w:pPr>
      <w:r>
        <w:t xml:space="preserve">Swalehe, H.M. and Obeagu, E.I., (2024). Tuberculosis: Current diagnosis and management. </w:t>
      </w:r>
      <w:r>
        <w:rPr>
          <w:i/>
          <w:iCs/>
        </w:rPr>
        <w:t>Elite Journal of Public Health</w:t>
      </w:r>
      <w:r>
        <w:t xml:space="preserve">, </w:t>
      </w:r>
      <w:r>
        <w:rPr>
          <w:i/>
          <w:iCs/>
        </w:rPr>
        <w:t>2</w:t>
      </w:r>
      <w:r>
        <w:t>(1), pp.23-33.</w:t>
      </w:r>
    </w:p>
    <w:p w14:paraId="0D193D73" w14:textId="77777777" w:rsidR="0007032B" w:rsidRDefault="009B1A1A" w:rsidP="00044FC6">
      <w:pPr>
        <w:pStyle w:val="Heading2"/>
        <w:spacing w:before="240"/>
      </w:pPr>
      <w:bookmarkStart w:id="30" w:name="_Toc236949422"/>
      <w:r>
        <w:lastRenderedPageBreak/>
        <w:t>Task B</w:t>
      </w:r>
      <w:bookmarkEnd w:id="30"/>
    </w:p>
    <w:p w14:paraId="1C572FC8" w14:textId="77777777" w:rsidR="0007032B" w:rsidRDefault="009B1A1A" w:rsidP="00044FC6">
      <w:pPr>
        <w:spacing w:before="240" w:line="360" w:lineRule="auto"/>
        <w:jc w:val="both"/>
      </w:pPr>
      <w:r>
        <w:t xml:space="preserve">WHO, (2025). </w:t>
      </w:r>
      <w:r>
        <w:rPr>
          <w:i/>
          <w:iCs/>
        </w:rPr>
        <w:t>Tuberculosis</w:t>
      </w:r>
      <w:r>
        <w:t xml:space="preserve">. [online] </w:t>
      </w:r>
      <w:r>
        <w:rPr>
          <w:i/>
          <w:iCs/>
        </w:rPr>
        <w:t>World Health Organization</w:t>
      </w:r>
      <w:r>
        <w:t>. Available at: https://www.who.int/news-room/fact-sheets/detail/tuberculosis [Accessed 6 Aug. 2026].</w:t>
      </w:r>
    </w:p>
    <w:p w14:paraId="57D0DEAD" w14:textId="77777777" w:rsidR="0007032B" w:rsidRDefault="009B1A1A" w:rsidP="00044FC6">
      <w:pPr>
        <w:spacing w:before="240" w:line="360" w:lineRule="auto"/>
        <w:jc w:val="both"/>
      </w:pPr>
      <w:r>
        <w:t xml:space="preserve">UKHSA (2025). </w:t>
      </w:r>
      <w:r>
        <w:rPr>
          <w:i/>
          <w:iCs/>
        </w:rPr>
        <w:t>National quarterly report of tuberculosis in England: quarter 4, 2024, provisional data</w:t>
      </w:r>
      <w:r>
        <w:t xml:space="preserve">. [online] </w:t>
      </w:r>
      <w:r>
        <w:rPr>
          <w:i/>
          <w:iCs/>
        </w:rPr>
        <w:t>GOV.UK</w:t>
      </w:r>
      <w:r>
        <w:t>. Available at: https://www.gov.uk/government/statistics/tuberculosis-in-england-national-quarterly-reports/national-quarterly-report-of-tuberculosis-in-england-quarter-4-2024-provisional-data [Accessed 5 Aug. 2026].</w:t>
      </w:r>
    </w:p>
    <w:p w14:paraId="02FB7695" w14:textId="77777777" w:rsidR="0007032B" w:rsidRDefault="009B1A1A" w:rsidP="00044FC6">
      <w:pPr>
        <w:spacing w:before="240" w:line="360" w:lineRule="auto"/>
        <w:jc w:val="both"/>
      </w:pPr>
      <w:r>
        <w:t xml:space="preserve">Burman, M., Zenner, D., Copas, A.J., Goscé, L., </w:t>
      </w:r>
      <w:proofErr w:type="spellStart"/>
      <w:r>
        <w:t>Haghparast</w:t>
      </w:r>
      <w:proofErr w:type="spellEnd"/>
      <w:r>
        <w:t xml:space="preserve">-Bidgoli, H., White, P.J., Hickson, V., Greyson, O., Trathen, D., Ashcroft, R. and Martineau, A.R., (2024). Treatment of latent tuberculosis infection in migrants in primary care versus secondary care. </w:t>
      </w:r>
      <w:r>
        <w:rPr>
          <w:i/>
          <w:iCs/>
        </w:rPr>
        <w:t>European Respiratory Journal</w:t>
      </w:r>
      <w:r>
        <w:t xml:space="preserve">, </w:t>
      </w:r>
      <w:r>
        <w:rPr>
          <w:i/>
          <w:iCs/>
        </w:rPr>
        <w:t>64</w:t>
      </w:r>
      <w:r>
        <w:t>(5), p.2301733.</w:t>
      </w:r>
    </w:p>
    <w:p w14:paraId="0400DC8B" w14:textId="77777777" w:rsidR="0007032B" w:rsidRDefault="009B1A1A" w:rsidP="00044FC6">
      <w:pPr>
        <w:spacing w:before="240" w:line="360" w:lineRule="auto"/>
        <w:jc w:val="both"/>
      </w:pPr>
      <w:r>
        <w:t>UK (2026). London: tuberculosis in 2024. [online] GOV.UK. Available at: https://www.gov.uk/government/publications/tuberculosis-tb-regional-reports-2024/london-tuberculosis-in-2024 [Accessed 4 Aug. 2026].</w:t>
      </w:r>
    </w:p>
    <w:p w14:paraId="30196CA2" w14:textId="77777777" w:rsidR="0007032B" w:rsidRDefault="009B1A1A" w:rsidP="00044FC6">
      <w:pPr>
        <w:spacing w:before="240" w:line="360" w:lineRule="auto"/>
        <w:jc w:val="both"/>
      </w:pPr>
      <w:r>
        <w:t xml:space="preserve">Berrocal-Almanza, L.C., Lima, M., Piotrowski, H., Botticello, J., Badhan, A., Karnani, N., Kaur, H., Pareek, M., Haldar, P., </w:t>
      </w:r>
      <w:proofErr w:type="spellStart"/>
      <w:r>
        <w:t>Dedicoat</w:t>
      </w:r>
      <w:proofErr w:type="spellEnd"/>
      <w:r>
        <w:t xml:space="preserve">, M. and Kon, O.M., (2023). Vulnerability and tuberculosis treatment outcomes in urban settings in England: A mixed-methods study. </w:t>
      </w:r>
      <w:r>
        <w:rPr>
          <w:i/>
          <w:iCs/>
        </w:rPr>
        <w:t>Plos one</w:t>
      </w:r>
      <w:r>
        <w:t xml:space="preserve">, </w:t>
      </w:r>
      <w:r>
        <w:rPr>
          <w:i/>
          <w:iCs/>
        </w:rPr>
        <w:t>18</w:t>
      </w:r>
      <w:r>
        <w:t>(8), p.e0281918.</w:t>
      </w:r>
    </w:p>
    <w:p w14:paraId="5A694CCC" w14:textId="77777777" w:rsidR="0007032B" w:rsidRDefault="009B1A1A" w:rsidP="00044FC6">
      <w:pPr>
        <w:spacing w:before="240" w:line="360" w:lineRule="auto"/>
        <w:jc w:val="both"/>
      </w:pPr>
      <w:proofErr w:type="spellStart"/>
      <w:r>
        <w:t>Loutet</w:t>
      </w:r>
      <w:proofErr w:type="spellEnd"/>
      <w:r>
        <w:t xml:space="preserve">, M.G., Burman, M., Jayasekera, N., Trathen, D., Dart, S., Kunst, H. and Zenner, D. (2018). National roll-out of latent tuberculosis testing and treatment for new migrants in England: a retrospective evaluation in a high-incidence area. </w:t>
      </w:r>
      <w:r>
        <w:rPr>
          <w:i/>
          <w:iCs/>
        </w:rPr>
        <w:t>European Respiratory Journal</w:t>
      </w:r>
      <w:r>
        <w:t>, 51(1), p.1701226.</w:t>
      </w:r>
    </w:p>
    <w:p w14:paraId="14B4036B" w14:textId="77777777" w:rsidR="0007032B" w:rsidRDefault="009B1A1A" w:rsidP="00044FC6">
      <w:pPr>
        <w:spacing w:before="240" w:line="360" w:lineRule="auto"/>
        <w:jc w:val="both"/>
      </w:pPr>
      <w:r>
        <w:t xml:space="preserve">Morgan, E., Cleary, P. and Wingfield, T., (2026). Social and health factors associated with postmortem diagnosis of tuberculosis in England: a national, retrospective cohort study. </w:t>
      </w:r>
      <w:r>
        <w:rPr>
          <w:i/>
          <w:iCs/>
        </w:rPr>
        <w:t>thorax</w:t>
      </w:r>
      <w:r>
        <w:t>.</w:t>
      </w:r>
    </w:p>
    <w:p w14:paraId="58F3DECF" w14:textId="77777777" w:rsidR="0007032B" w:rsidRDefault="009B1A1A" w:rsidP="00044FC6">
      <w:pPr>
        <w:spacing w:before="240" w:line="360" w:lineRule="auto"/>
        <w:jc w:val="both"/>
      </w:pPr>
      <w:r>
        <w:t xml:space="preserve">O’Brien, K., Ikram, S., Burman, M., Rahman, A., Patel, P., Dart, S., Trathen, D., Zenner, D., Malhotra, A.M. and Kunst, H., (2026). Barriers and enablers of TB infection screening and treatment programme for recent migrants in East London. </w:t>
      </w:r>
      <w:r>
        <w:rPr>
          <w:i/>
          <w:iCs/>
        </w:rPr>
        <w:t>Public Health Action</w:t>
      </w:r>
      <w:r>
        <w:t xml:space="preserve">, </w:t>
      </w:r>
      <w:r>
        <w:rPr>
          <w:i/>
          <w:iCs/>
        </w:rPr>
        <w:t>16</w:t>
      </w:r>
      <w:r>
        <w:t>(1), pp.8-14.</w:t>
      </w:r>
    </w:p>
    <w:p w14:paraId="1EB79B38" w14:textId="77777777" w:rsidR="0007032B" w:rsidRDefault="009B1A1A" w:rsidP="00044FC6">
      <w:pPr>
        <w:spacing w:before="240" w:line="360" w:lineRule="auto"/>
        <w:jc w:val="both"/>
      </w:pPr>
      <w:r>
        <w:lastRenderedPageBreak/>
        <w:t xml:space="preserve">UK (2025b). </w:t>
      </w:r>
      <w:r>
        <w:rPr>
          <w:i/>
          <w:iCs/>
        </w:rPr>
        <w:t>2. Tuberculosis prevention, England, 2024</w:t>
      </w:r>
      <w:r>
        <w:t xml:space="preserve">. [online] </w:t>
      </w:r>
      <w:r>
        <w:rPr>
          <w:i/>
          <w:iCs/>
        </w:rPr>
        <w:t>GOV.UK</w:t>
      </w:r>
      <w:r>
        <w:t xml:space="preserve">. Available at: https://www.gov.uk/government/publications/tuberculosis-in-england-2025-report/2-tuberculosis-prevention-england-2024 [Accessed 5 Aug. 2026]. </w:t>
      </w:r>
    </w:p>
    <w:sectPr w:rsidR="0007032B" w:rsidSect="00044FC6">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EC2038" w14:textId="77777777" w:rsidR="00DC0470" w:rsidRDefault="00DC0470" w:rsidP="00044FC6">
      <w:pPr>
        <w:spacing w:line="240" w:lineRule="auto"/>
      </w:pPr>
      <w:r>
        <w:separator/>
      </w:r>
    </w:p>
  </w:endnote>
  <w:endnote w:type="continuationSeparator" w:id="0">
    <w:p w14:paraId="47729762" w14:textId="77777777" w:rsidR="00DC0470" w:rsidRDefault="00DC0470" w:rsidP="00044F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embedRegular r:id="rId1" w:fontKey="{A6EEDD95-8682-46D6-A0B2-149E52716E0B}"/>
  </w:font>
  <w:font w:name="Shruti">
    <w:panose1 w:val="02000500000000000000"/>
    <w:charset w:val="00"/>
    <w:family w:val="swiss"/>
    <w:pitch w:val="variable"/>
    <w:sig w:usb0="00040003" w:usb1="00000000" w:usb2="00000000" w:usb3="00000000" w:csb0="00000001" w:csb1="00000000"/>
    <w:embedRegular r:id="rId2" w:fontKey="{46F3638B-D29A-4AD9-B033-0DD1DC9CD36A}"/>
  </w:font>
  <w:font w:name="Cambria">
    <w:panose1 w:val="02040503050406030204"/>
    <w:charset w:val="00"/>
    <w:family w:val="roman"/>
    <w:pitch w:val="variable"/>
    <w:sig w:usb0="E00006FF" w:usb1="420024FF" w:usb2="02000000" w:usb3="00000000" w:csb0="0000019F" w:csb1="00000000"/>
    <w:embedRegular r:id="rId3" w:fontKey="{E9E23258-F07F-4532-A31C-20F7EEA238E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2277169"/>
      <w:docPartObj>
        <w:docPartGallery w:val="Page Numbers (Bottom of Page)"/>
        <w:docPartUnique/>
      </w:docPartObj>
    </w:sdtPr>
    <w:sdtEndPr>
      <w:rPr>
        <w:noProof/>
        <w:sz w:val="20"/>
        <w:szCs w:val="20"/>
      </w:rPr>
    </w:sdtEndPr>
    <w:sdtContent>
      <w:p w14:paraId="257DBEFD" w14:textId="0C72BD97" w:rsidR="00044FC6" w:rsidRPr="00044FC6" w:rsidRDefault="00044FC6">
        <w:pPr>
          <w:pStyle w:val="Footer"/>
          <w:jc w:val="right"/>
          <w:rPr>
            <w:sz w:val="20"/>
            <w:szCs w:val="20"/>
          </w:rPr>
        </w:pPr>
        <w:r w:rsidRPr="00044FC6">
          <w:rPr>
            <w:sz w:val="20"/>
            <w:szCs w:val="20"/>
          </w:rPr>
          <w:fldChar w:fldCharType="begin"/>
        </w:r>
        <w:r w:rsidRPr="00044FC6">
          <w:rPr>
            <w:sz w:val="20"/>
            <w:szCs w:val="20"/>
          </w:rPr>
          <w:instrText xml:space="preserve"> PAGE   \* MERGEFORMAT </w:instrText>
        </w:r>
        <w:r w:rsidRPr="00044FC6">
          <w:rPr>
            <w:sz w:val="20"/>
            <w:szCs w:val="20"/>
          </w:rPr>
          <w:fldChar w:fldCharType="separate"/>
        </w:r>
        <w:r w:rsidR="00586EFE">
          <w:rPr>
            <w:noProof/>
            <w:sz w:val="20"/>
            <w:szCs w:val="20"/>
          </w:rPr>
          <w:t>17</w:t>
        </w:r>
        <w:r w:rsidRPr="00044FC6">
          <w:rPr>
            <w:noProof/>
            <w:sz w:val="20"/>
            <w:szCs w:val="20"/>
          </w:rPr>
          <w:fldChar w:fldCharType="end"/>
        </w:r>
      </w:p>
    </w:sdtContent>
  </w:sdt>
  <w:p w14:paraId="674E94BD" w14:textId="77777777" w:rsidR="00044FC6" w:rsidRDefault="00044F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4ECE51" w14:textId="77777777" w:rsidR="00DC0470" w:rsidRDefault="00DC0470" w:rsidP="00044FC6">
      <w:pPr>
        <w:spacing w:line="240" w:lineRule="auto"/>
      </w:pPr>
      <w:r>
        <w:separator/>
      </w:r>
    </w:p>
  </w:footnote>
  <w:footnote w:type="continuationSeparator" w:id="0">
    <w:p w14:paraId="5CEA8434" w14:textId="77777777" w:rsidR="00DC0470" w:rsidRDefault="00DC0470" w:rsidP="00044FC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032B"/>
    <w:rsid w:val="00044FC6"/>
    <w:rsid w:val="0007032B"/>
    <w:rsid w:val="000A63C0"/>
    <w:rsid w:val="00107DAB"/>
    <w:rsid w:val="001115DE"/>
    <w:rsid w:val="00112006"/>
    <w:rsid w:val="00114C6B"/>
    <w:rsid w:val="00391B7D"/>
    <w:rsid w:val="003B34C3"/>
    <w:rsid w:val="0042144F"/>
    <w:rsid w:val="00586EFE"/>
    <w:rsid w:val="00624D3F"/>
    <w:rsid w:val="00767194"/>
    <w:rsid w:val="007F534D"/>
    <w:rsid w:val="00860AD9"/>
    <w:rsid w:val="00892058"/>
    <w:rsid w:val="009B1A1A"/>
    <w:rsid w:val="009F068D"/>
    <w:rsid w:val="00A00C0A"/>
    <w:rsid w:val="00A97F59"/>
    <w:rsid w:val="00BD4E43"/>
    <w:rsid w:val="00BF13AD"/>
    <w:rsid w:val="00CA5C7B"/>
    <w:rsid w:val="00DC0470"/>
    <w:rsid w:val="00E03F15"/>
    <w:rsid w:val="00E8029D"/>
    <w:rsid w:val="00F829C2"/>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A70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044FC6"/>
    <w:pPr>
      <w:spacing w:line="360" w:lineRule="auto"/>
      <w:jc w:val="both"/>
      <w:outlineLvl w:val="0"/>
    </w:pPr>
    <w:rPr>
      <w:b/>
      <w:bCs/>
      <w:sz w:val="28"/>
      <w:szCs w:val="28"/>
    </w:rPr>
  </w:style>
  <w:style w:type="paragraph" w:styleId="Heading2">
    <w:name w:val="heading 2"/>
    <w:basedOn w:val="Heading1"/>
    <w:next w:val="Normal"/>
    <w:uiPriority w:val="9"/>
    <w:unhideWhenUsed/>
    <w:qFormat/>
    <w:rsid w:val="00044FC6"/>
    <w:pPr>
      <w:outlineLvl w:val="1"/>
    </w:pPr>
    <w:rPr>
      <w:sz w:val="24"/>
      <w:szCs w:val="24"/>
    </w:rPr>
  </w:style>
  <w:style w:type="paragraph" w:styleId="Heading3">
    <w:name w:val="heading 3"/>
    <w:basedOn w:val="Normal"/>
    <w:next w:val="Normal"/>
    <w:uiPriority w:val="9"/>
    <w:unhideWhenUsed/>
    <w:qFormat/>
    <w:rsid w:val="00044FC6"/>
    <w:pPr>
      <w:spacing w:line="360" w:lineRule="auto"/>
      <w:jc w:val="both"/>
      <w:outlineLvl w:val="2"/>
    </w:pPr>
    <w:rPr>
      <w:b/>
      <w:bCs/>
      <w:i/>
      <w:iCs/>
    </w:rPr>
  </w:style>
  <w:style w:type="paragraph" w:styleId="Heading4">
    <w:name w:val="heading 4"/>
    <w:basedOn w:val="Normal"/>
    <w:next w:val="Normal"/>
    <w:uiPriority w:val="9"/>
    <w:unhideWhenUsed/>
    <w:qFormat/>
    <w:rsid w:val="00044FC6"/>
    <w:pPr>
      <w:spacing w:line="360" w:lineRule="auto"/>
      <w:jc w:val="both"/>
      <w:outlineLvl w:val="3"/>
    </w:pPr>
    <w:rPr>
      <w:b/>
      <w:bCs/>
      <w:i/>
      <w:iCs/>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customStyle="1" w:styleId="TableParagraph">
    <w:name w:val="Table Paragraph"/>
    <w:basedOn w:val="Normal"/>
    <w:uiPriority w:val="1"/>
    <w:qFormat/>
    <w:rsid w:val="00044FC6"/>
    <w:pPr>
      <w:widowControl w:val="0"/>
      <w:autoSpaceDE w:val="0"/>
      <w:autoSpaceDN w:val="0"/>
      <w:spacing w:line="240" w:lineRule="auto"/>
      <w:ind w:left="107"/>
    </w:pPr>
    <w:rPr>
      <w:rFonts w:ascii="Arial MT" w:eastAsia="Arial MT" w:hAnsi="Arial MT" w:cs="Arial MT"/>
      <w:lang w:val="en-US" w:eastAsia="en-US"/>
    </w:rPr>
  </w:style>
  <w:style w:type="paragraph" w:styleId="Header">
    <w:name w:val="header"/>
    <w:basedOn w:val="Normal"/>
    <w:link w:val="HeaderChar"/>
    <w:uiPriority w:val="99"/>
    <w:unhideWhenUsed/>
    <w:rsid w:val="00044FC6"/>
    <w:pPr>
      <w:tabs>
        <w:tab w:val="center" w:pos="4513"/>
        <w:tab w:val="right" w:pos="9026"/>
      </w:tabs>
      <w:spacing w:line="240" w:lineRule="auto"/>
    </w:pPr>
  </w:style>
  <w:style w:type="character" w:customStyle="1" w:styleId="HeaderChar">
    <w:name w:val="Header Char"/>
    <w:basedOn w:val="DefaultParagraphFont"/>
    <w:link w:val="Header"/>
    <w:uiPriority w:val="99"/>
    <w:rsid w:val="00044FC6"/>
  </w:style>
  <w:style w:type="paragraph" w:styleId="Footer">
    <w:name w:val="footer"/>
    <w:basedOn w:val="Normal"/>
    <w:link w:val="FooterChar"/>
    <w:uiPriority w:val="99"/>
    <w:unhideWhenUsed/>
    <w:rsid w:val="00044FC6"/>
    <w:pPr>
      <w:tabs>
        <w:tab w:val="center" w:pos="4513"/>
        <w:tab w:val="right" w:pos="9026"/>
      </w:tabs>
      <w:spacing w:line="240" w:lineRule="auto"/>
    </w:pPr>
  </w:style>
  <w:style w:type="character" w:customStyle="1" w:styleId="FooterChar">
    <w:name w:val="Footer Char"/>
    <w:basedOn w:val="DefaultParagraphFont"/>
    <w:link w:val="Footer"/>
    <w:uiPriority w:val="99"/>
    <w:rsid w:val="00044FC6"/>
  </w:style>
  <w:style w:type="paragraph" w:styleId="TOCHeading">
    <w:name w:val="TOC Heading"/>
    <w:basedOn w:val="Heading1"/>
    <w:next w:val="Normal"/>
    <w:uiPriority w:val="39"/>
    <w:unhideWhenUsed/>
    <w:qFormat/>
    <w:rsid w:val="00044FC6"/>
    <w:pPr>
      <w:keepNext/>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044FC6"/>
    <w:pPr>
      <w:spacing w:after="100"/>
    </w:pPr>
  </w:style>
  <w:style w:type="paragraph" w:styleId="TOC2">
    <w:name w:val="toc 2"/>
    <w:basedOn w:val="Normal"/>
    <w:next w:val="Normal"/>
    <w:autoRedefine/>
    <w:uiPriority w:val="39"/>
    <w:unhideWhenUsed/>
    <w:rsid w:val="00044FC6"/>
    <w:pPr>
      <w:spacing w:after="100"/>
      <w:ind w:left="220"/>
    </w:pPr>
  </w:style>
  <w:style w:type="paragraph" w:styleId="TOC3">
    <w:name w:val="toc 3"/>
    <w:basedOn w:val="Normal"/>
    <w:next w:val="Normal"/>
    <w:autoRedefine/>
    <w:uiPriority w:val="39"/>
    <w:unhideWhenUsed/>
    <w:rsid w:val="00044FC6"/>
    <w:pPr>
      <w:spacing w:after="100"/>
      <w:ind w:left="440"/>
    </w:pPr>
  </w:style>
  <w:style w:type="character" w:styleId="Hyperlink">
    <w:name w:val="Hyperlink"/>
    <w:basedOn w:val="DefaultParagraphFont"/>
    <w:uiPriority w:val="99"/>
    <w:unhideWhenUsed/>
    <w:rsid w:val="00044FC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4095E9-BB2F-4A87-9B11-61961C8945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3693</Words>
  <Characters>21054</Characters>
  <Application>Microsoft Office Word</Application>
  <DocSecurity>0</DocSecurity>
  <Lines>175</Lines>
  <Paragraphs>49</Paragraphs>
  <ScaleCrop>false</ScaleCrop>
  <Company/>
  <LinksUpToDate>false</LinksUpToDate>
  <CharactersWithSpaces>24698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2026-08-13T09:30:00Z</dcterms:created>
  <dcterms:modified xsi:type="dcterms:W3CDTF">2026-08-13T09:30:00Z</dcterms:modified>
</cp:coreProperties>
</file>