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3138E7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22E22">
              <w:rPr>
                <w:rFonts w:ascii="Times New Roman" w:hAnsi="Times New Roman" w:cs="Times New Roman"/>
                <w:b/>
                <w:color w:val="auto"/>
                <w:sz w:val="48"/>
              </w:rPr>
              <w:t>Ceri Leah Hughes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8F4FDE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22E22">
              <w:rPr>
                <w:rFonts w:ascii="Times New Roman" w:hAnsi="Times New Roman" w:cs="Times New Roman"/>
                <w:b/>
                <w:color w:val="auto"/>
                <w:sz w:val="48"/>
              </w:rPr>
              <w:t xml:space="preserve"> cerilee1@hotmail.co.uk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0D39A17C" w14:textId="55B2B02B" w:rsidR="00E22E22" w:rsidRPr="005D3F07" w:rsidRDefault="00E22E22"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2221744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6A963F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E22E22">
              <w:rPr>
                <w:rFonts w:ascii="Times New Roman" w:hAnsi="Times New Roman" w:cs="Times New Roman"/>
                <w:b/>
                <w:color w:val="auto"/>
                <w:sz w:val="48"/>
              </w:rPr>
              <w:t>20</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Default="00D3203C" w:rsidP="00FF7EBB">
            <w:pPr>
              <w:jc w:val="both"/>
              <w:rPr>
                <w:i/>
                <w:sz w:val="24"/>
                <w:szCs w:val="24"/>
              </w:rPr>
            </w:pPr>
          </w:p>
          <w:p w14:paraId="1A272874"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sidRPr="00156C01">
              <w:rPr>
                <w:color w:val="auto"/>
                <w:kern w:val="2"/>
                <w:sz w:val="24"/>
                <w:szCs w:val="24"/>
                <w:lang w:eastAsia="en-US"/>
              </w:rPr>
              <w:t xml:space="preserve">I am going to critically reflect on my involvement with the safeguarding </w:t>
            </w:r>
            <w:r>
              <w:rPr>
                <w:color w:val="auto"/>
                <w:kern w:val="2"/>
                <w:sz w:val="24"/>
                <w:szCs w:val="24"/>
                <w:lang w:eastAsia="en-US"/>
              </w:rPr>
              <w:t xml:space="preserve">of a child; responding to a child’s wishes to move placement which then led to the child making an allegation against her foster carer who I supported within my role as a Supervising Social Worker (SSW), for an Independent Fostering Agency (IFA) in Wales. I will identify what Legislative framework and statutory safeguarding procedures in Wales informed my practice. I will reflect on social work theories and models of practice which supported my approach and enabled me to make professional judgements in a complex situation and reach informed decisions. By ensuring all persons in this case study are completely anonymised, I have not disclosed any identifying personal information detailed under the Data Protection Act 2018, and good ethical principles with regards to confidential information is followed. </w:t>
            </w:r>
          </w:p>
          <w:p w14:paraId="6B47A2B6"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3639FF47"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sidRPr="000F535D">
              <w:rPr>
                <w:color w:val="auto"/>
                <w:kern w:val="2"/>
                <w:sz w:val="24"/>
                <w:szCs w:val="24"/>
                <w:lang w:eastAsia="en-US"/>
              </w:rPr>
              <w:t>The IFA has foster families residing in both Wales and England and has children placed from L</w:t>
            </w:r>
            <w:r>
              <w:rPr>
                <w:color w:val="auto"/>
                <w:kern w:val="2"/>
                <w:sz w:val="24"/>
                <w:szCs w:val="24"/>
                <w:lang w:eastAsia="en-US"/>
              </w:rPr>
              <w:t xml:space="preserve">ocal </w:t>
            </w:r>
            <w:r w:rsidRPr="000F535D">
              <w:rPr>
                <w:color w:val="auto"/>
                <w:kern w:val="2"/>
                <w:sz w:val="24"/>
                <w:szCs w:val="24"/>
                <w:lang w:eastAsia="en-US"/>
              </w:rPr>
              <w:t>A</w:t>
            </w:r>
            <w:r>
              <w:rPr>
                <w:color w:val="auto"/>
                <w:kern w:val="2"/>
                <w:sz w:val="24"/>
                <w:szCs w:val="24"/>
                <w:lang w:eastAsia="en-US"/>
              </w:rPr>
              <w:t>uthorities (LA)</w:t>
            </w:r>
            <w:r w:rsidRPr="000F535D">
              <w:rPr>
                <w:color w:val="auto"/>
                <w:kern w:val="2"/>
                <w:sz w:val="24"/>
                <w:szCs w:val="24"/>
                <w:lang w:eastAsia="en-US"/>
              </w:rPr>
              <w:t xml:space="preserve"> in both Wales and England. However, the IFA is based in Wales and is governed by </w:t>
            </w:r>
            <w:r>
              <w:rPr>
                <w:color w:val="auto"/>
                <w:kern w:val="2"/>
                <w:sz w:val="24"/>
                <w:szCs w:val="24"/>
                <w:lang w:eastAsia="en-US"/>
              </w:rPr>
              <w:t>Welsh Legislation</w:t>
            </w:r>
            <w:r w:rsidRPr="000F535D">
              <w:rPr>
                <w:color w:val="auto"/>
                <w:kern w:val="2"/>
                <w:sz w:val="24"/>
                <w:szCs w:val="24"/>
                <w:lang w:eastAsia="en-US"/>
              </w:rPr>
              <w:t>. This often means that the IFA and the LA’s follow different legislation</w:t>
            </w:r>
            <w:r>
              <w:rPr>
                <w:color w:val="auto"/>
                <w:kern w:val="2"/>
                <w:sz w:val="24"/>
                <w:szCs w:val="24"/>
                <w:lang w:eastAsia="en-US"/>
              </w:rPr>
              <w:t>,</w:t>
            </w:r>
            <w:r w:rsidRPr="000F535D">
              <w:rPr>
                <w:color w:val="auto"/>
                <w:kern w:val="2"/>
                <w:sz w:val="24"/>
                <w:szCs w:val="24"/>
                <w:lang w:eastAsia="en-US"/>
              </w:rPr>
              <w:t xml:space="preserve"> policies and procedures.</w:t>
            </w:r>
            <w:r>
              <w:rPr>
                <w:color w:val="auto"/>
                <w:kern w:val="2"/>
                <w:sz w:val="24"/>
                <w:szCs w:val="24"/>
                <w:lang w:eastAsia="en-US"/>
              </w:rPr>
              <w:t xml:space="preserve"> For example, safeguarding procedures in Wales are clearly outlined in the Wales Safeguarding Procedures (Social Care Wales 2024). Legislation that makes provisions about safeguarding and promotes and protects the welfare of children </w:t>
            </w:r>
            <w:r>
              <w:rPr>
                <w:color w:val="auto"/>
                <w:kern w:val="2"/>
                <w:sz w:val="24"/>
                <w:szCs w:val="24"/>
                <w:lang w:eastAsia="en-US"/>
              </w:rPr>
              <w:lastRenderedPageBreak/>
              <w:t xml:space="preserve">is Part 7 of the Social Services and Wellbeing (Wales)Act (2014) (SSWBA 2014), the Children Act 1989 and section 28 of the Children Act 2004. </w:t>
            </w:r>
          </w:p>
          <w:p w14:paraId="6A0314A4"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133BCD38"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sidRPr="000F535D">
              <w:rPr>
                <w:color w:val="auto"/>
                <w:kern w:val="2"/>
                <w:sz w:val="24"/>
                <w:szCs w:val="24"/>
                <w:lang w:eastAsia="en-US"/>
              </w:rPr>
              <w:t xml:space="preserve">The young person (5) is a </w:t>
            </w:r>
            <w:r>
              <w:rPr>
                <w:color w:val="auto"/>
                <w:kern w:val="2"/>
                <w:sz w:val="24"/>
                <w:szCs w:val="24"/>
                <w:lang w:eastAsia="en-US"/>
              </w:rPr>
              <w:t xml:space="preserve">teenage white British female from an English LA, placed with a </w:t>
            </w:r>
            <w:r w:rsidRPr="000F535D">
              <w:rPr>
                <w:color w:val="auto"/>
                <w:kern w:val="2"/>
                <w:sz w:val="24"/>
                <w:szCs w:val="24"/>
                <w:lang w:eastAsia="en-US"/>
              </w:rPr>
              <w:t>single female</w:t>
            </w:r>
            <w:r>
              <w:rPr>
                <w:color w:val="auto"/>
                <w:kern w:val="2"/>
                <w:sz w:val="24"/>
                <w:szCs w:val="24"/>
                <w:lang w:eastAsia="en-US"/>
              </w:rPr>
              <w:t xml:space="preserve"> foster carer (6) who resides in England. 5 has been living with 6 for three years. I had been supporting both 6 and 5 for the past two years and had built a positive relationship with both. At the beginning of my involvement with supporting 6 and 5, due to the IFA being based in Wales, I had ascertained that their first language was English through my offer of </w:t>
            </w:r>
            <w:r w:rsidRPr="000F535D">
              <w:rPr>
                <w:color w:val="auto"/>
                <w:kern w:val="2"/>
                <w:sz w:val="24"/>
                <w:szCs w:val="24"/>
                <w:lang w:eastAsia="en-US"/>
              </w:rPr>
              <w:t xml:space="preserve">support being provided through the Welsh language in line with the Active Offer, </w:t>
            </w:r>
            <w:proofErr w:type="gramStart"/>
            <w:r w:rsidRPr="000F535D">
              <w:rPr>
                <w:color w:val="auto"/>
                <w:kern w:val="2"/>
                <w:sz w:val="24"/>
                <w:szCs w:val="24"/>
                <w:lang w:eastAsia="en-US"/>
              </w:rPr>
              <w:t>More</w:t>
            </w:r>
            <w:proofErr w:type="gramEnd"/>
            <w:r w:rsidRPr="000F535D">
              <w:rPr>
                <w:color w:val="auto"/>
                <w:kern w:val="2"/>
                <w:sz w:val="24"/>
                <w:szCs w:val="24"/>
                <w:lang w:eastAsia="en-US"/>
              </w:rPr>
              <w:t xml:space="preserve"> than just words (Welsh Government 2015) and</w:t>
            </w:r>
            <w:r w:rsidRPr="00812513">
              <w:rPr>
                <w:color w:val="auto"/>
                <w:kern w:val="2"/>
                <w:sz w:val="24"/>
                <w:szCs w:val="24"/>
                <w:lang w:eastAsia="en-US"/>
              </w:rPr>
              <w:t xml:space="preserve"> the Welsh Language </w:t>
            </w:r>
            <w:r>
              <w:rPr>
                <w:color w:val="auto"/>
                <w:kern w:val="2"/>
                <w:sz w:val="24"/>
                <w:szCs w:val="24"/>
                <w:lang w:eastAsia="en-US"/>
              </w:rPr>
              <w:t xml:space="preserve">(Wales) </w:t>
            </w:r>
            <w:r w:rsidRPr="00812513">
              <w:rPr>
                <w:color w:val="auto"/>
                <w:kern w:val="2"/>
                <w:sz w:val="24"/>
                <w:szCs w:val="24"/>
                <w:lang w:eastAsia="en-US"/>
              </w:rPr>
              <w:t>Measures</w:t>
            </w:r>
            <w:r>
              <w:rPr>
                <w:color w:val="auto"/>
                <w:kern w:val="2"/>
                <w:sz w:val="24"/>
                <w:szCs w:val="24"/>
                <w:lang w:eastAsia="en-US"/>
              </w:rPr>
              <w:t xml:space="preserve"> (</w:t>
            </w:r>
            <w:r w:rsidRPr="00812513">
              <w:rPr>
                <w:color w:val="auto"/>
                <w:kern w:val="2"/>
                <w:sz w:val="24"/>
                <w:szCs w:val="24"/>
                <w:lang w:eastAsia="en-US"/>
              </w:rPr>
              <w:t>2011</w:t>
            </w:r>
            <w:r>
              <w:rPr>
                <w:color w:val="auto"/>
                <w:kern w:val="2"/>
                <w:sz w:val="24"/>
                <w:szCs w:val="24"/>
                <w:lang w:eastAsia="en-US"/>
              </w:rPr>
              <w:t>)</w:t>
            </w:r>
            <w:r w:rsidRPr="00812513">
              <w:rPr>
                <w:color w:val="auto"/>
                <w:kern w:val="2"/>
                <w:sz w:val="24"/>
                <w:szCs w:val="24"/>
                <w:lang w:eastAsia="en-US"/>
              </w:rPr>
              <w:t>. This</w:t>
            </w:r>
            <w:r>
              <w:rPr>
                <w:color w:val="auto"/>
                <w:kern w:val="2"/>
                <w:sz w:val="24"/>
                <w:szCs w:val="24"/>
                <w:lang w:eastAsia="en-US"/>
              </w:rPr>
              <w:t xml:space="preserve"> promotes an anti-discriminatory and anti-oppressive approach which is reinforced in the SSWBA 2014. Due to 5 and 6 living in England, safeguarding legislation included both Children Act 1989 and Children Act 2004 which Wales also follow, but England are also guided by the Children and Social Work Act (2017). Nevertheless, the framework England and Wales follow have the same principles and have a duty to work together in support of preventing, protecting and responding to safeguarding concerns and consider the protection of children being paramount. The Children Act 2004 places a duty on LA’s and their partnering agencies to co-operate in response to safeguarding concerns and promoting children’s wellbeing (Children Act 2004).  </w:t>
            </w:r>
          </w:p>
          <w:p w14:paraId="783C978F"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478F4E52"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Effective practice involves service users being included and empowered from the start (Davies, 2013). The Human Rights Act (1998) asserts that all individuals have the right to the freedom of expression and reinforces the United Nations Convention on the Rights of the Child (1989) (UNCRC 1989). The UNCRC asserts that children have the right to have their views, wishes and feeling heard and be involved in all matters that impact them and have their wishes taken seriously. 5 has the right to have her feelings and wishes around this placement taken into consideration (Children Act 1989, Equality Act 2010 &amp; UNCRC). However, 5 did not feel like she was being heard and had expressed this to her Local Authority Social Worker (LASW) and continued to present with behaviours that she felt would help to break the placement down. </w:t>
            </w:r>
          </w:p>
          <w:p w14:paraId="5FBC85EA"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5E6A51F3"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5 had been expressing her wish to move from 6’s care for </w:t>
            </w:r>
            <w:proofErr w:type="gramStart"/>
            <w:r>
              <w:rPr>
                <w:color w:val="auto"/>
                <w:kern w:val="2"/>
                <w:sz w:val="24"/>
                <w:szCs w:val="24"/>
                <w:lang w:eastAsia="en-US"/>
              </w:rPr>
              <w:t>a number of</w:t>
            </w:r>
            <w:proofErr w:type="gramEnd"/>
            <w:r>
              <w:rPr>
                <w:color w:val="auto"/>
                <w:kern w:val="2"/>
                <w:sz w:val="24"/>
                <w:szCs w:val="24"/>
                <w:lang w:eastAsia="en-US"/>
              </w:rPr>
              <w:t xml:space="preserve"> months due to a breakdown in their relationship which had continued to decline, despite support being provided. 5 displayed increasing challenging behaviour and made threats of absconding and doing whatever it took to get moved. However, due to her LASW carrying out a family assessment, this took a long time and the LA’s preference was for 5 to remain in placement with 6 until a suitable alternative was found. This approach did not appear to be effective as 5’s behaviours and threats to abscond increased which 6 and I expressed concern about. Davies (2013) asserts that individuals maintain a level of emotional resilience and are usually able to deal with stress and </w:t>
            </w:r>
            <w:proofErr w:type="gramStart"/>
            <w:r>
              <w:rPr>
                <w:color w:val="auto"/>
                <w:kern w:val="2"/>
                <w:sz w:val="24"/>
                <w:szCs w:val="24"/>
                <w:lang w:eastAsia="en-US"/>
              </w:rPr>
              <w:t>have the ability to</w:t>
            </w:r>
            <w:proofErr w:type="gramEnd"/>
            <w:r>
              <w:rPr>
                <w:color w:val="auto"/>
                <w:kern w:val="2"/>
                <w:sz w:val="24"/>
                <w:szCs w:val="24"/>
                <w:lang w:eastAsia="en-US"/>
              </w:rPr>
              <w:t xml:space="preserve"> problem solve on their own. However, during </w:t>
            </w:r>
            <w:proofErr w:type="gramStart"/>
            <w:r>
              <w:rPr>
                <w:color w:val="auto"/>
                <w:kern w:val="2"/>
                <w:sz w:val="24"/>
                <w:szCs w:val="24"/>
                <w:lang w:eastAsia="en-US"/>
              </w:rPr>
              <w:t xml:space="preserve">a </w:t>
            </w:r>
            <w:r>
              <w:rPr>
                <w:color w:val="auto"/>
                <w:kern w:val="2"/>
                <w:sz w:val="24"/>
                <w:szCs w:val="24"/>
                <w:lang w:eastAsia="en-US"/>
              </w:rPr>
              <w:lastRenderedPageBreak/>
              <w:t>crisis situation</w:t>
            </w:r>
            <w:proofErr w:type="gramEnd"/>
            <w:r>
              <w:rPr>
                <w:color w:val="auto"/>
                <w:kern w:val="2"/>
                <w:sz w:val="24"/>
                <w:szCs w:val="24"/>
                <w:lang w:eastAsia="en-US"/>
              </w:rPr>
              <w:t xml:space="preserve"> an individual is unable to use their normal coping strategies. Crisis intervention theory focuses on using an individual’s strengths to enhance their capacity to manage stressful situations (Davies, 2013).</w:t>
            </w:r>
          </w:p>
          <w:p w14:paraId="2FD6BF5B"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5C77C4FF" w14:textId="77777777" w:rsidR="00E22E22" w:rsidRDefault="00E22E22" w:rsidP="00E22E22">
            <w:pPr>
              <w:shd w:val="clear" w:color="auto" w:fill="FFFFFF"/>
              <w:jc w:val="both"/>
              <w:rPr>
                <w:color w:val="auto"/>
                <w:sz w:val="24"/>
                <w:szCs w:val="24"/>
              </w:rPr>
            </w:pPr>
            <w:r>
              <w:rPr>
                <w:color w:val="auto"/>
                <w:kern w:val="2"/>
                <w:sz w:val="24"/>
                <w:szCs w:val="24"/>
                <w:lang w:eastAsia="en-US"/>
              </w:rPr>
              <w:t xml:space="preserve">I used Bronfenbrenner’s Ecological Systems Theory (Bronfenbrenner 1974), to identify gaps in care and support needs for 5 and 6 in hope to stabilise the placement and prevent </w:t>
            </w:r>
            <w:r w:rsidRPr="00297F87">
              <w:rPr>
                <w:color w:val="auto"/>
                <w:kern w:val="2"/>
                <w:sz w:val="24"/>
                <w:szCs w:val="24"/>
                <w:lang w:eastAsia="en-US"/>
              </w:rPr>
              <w:t xml:space="preserve">crisis. </w:t>
            </w:r>
            <w:r w:rsidRPr="00297F87">
              <w:rPr>
                <w:color w:val="auto"/>
                <w:sz w:val="24"/>
                <w:szCs w:val="24"/>
              </w:rPr>
              <w:t>Bronfenbrenner (1979</w:t>
            </w:r>
            <w:r>
              <w:rPr>
                <w:color w:val="auto"/>
                <w:sz w:val="24"/>
                <w:szCs w:val="24"/>
              </w:rPr>
              <w:t>,</w:t>
            </w:r>
            <w:r w:rsidRPr="00297F87">
              <w:rPr>
                <w:color w:val="auto"/>
                <w:sz w:val="24"/>
                <w:szCs w:val="24"/>
              </w:rPr>
              <w:t xml:space="preserve"> cited in Davies, 2013) </w:t>
            </w:r>
            <w:r>
              <w:rPr>
                <w:color w:val="auto"/>
                <w:sz w:val="24"/>
                <w:szCs w:val="24"/>
              </w:rPr>
              <w:t>claims</w:t>
            </w:r>
            <w:r w:rsidRPr="00297F87">
              <w:rPr>
                <w:color w:val="auto"/>
                <w:sz w:val="24"/>
                <w:szCs w:val="24"/>
              </w:rPr>
              <w:t xml:space="preserve"> that</w:t>
            </w:r>
            <w:r>
              <w:rPr>
                <w:color w:val="auto"/>
                <w:sz w:val="24"/>
                <w:szCs w:val="24"/>
              </w:rPr>
              <w:t xml:space="preserve"> a person’s development is influenced by a variety of systems which involve immediate surroundings such as family and societal structures such as culture. </w:t>
            </w:r>
            <w:r w:rsidRPr="00297F87">
              <w:rPr>
                <w:color w:val="auto"/>
                <w:sz w:val="24"/>
                <w:szCs w:val="24"/>
              </w:rPr>
              <w:t xml:space="preserve"> </w:t>
            </w:r>
            <w:r w:rsidRPr="00297F87">
              <w:rPr>
                <w:color w:val="auto"/>
                <w:sz w:val="24"/>
                <w:szCs w:val="24"/>
                <w:shd w:val="clear" w:color="auto" w:fill="F1F8FC"/>
              </w:rPr>
              <w:t xml:space="preserve">Bronfenbrenner states that a range of factors can impact negatively or positively on development </w:t>
            </w:r>
            <w:r>
              <w:rPr>
                <w:color w:val="auto"/>
                <w:sz w:val="24"/>
                <w:szCs w:val="24"/>
              </w:rPr>
              <w:t>which</w:t>
            </w:r>
            <w:r w:rsidRPr="00297F87">
              <w:rPr>
                <w:color w:val="auto"/>
                <w:sz w:val="24"/>
                <w:szCs w:val="24"/>
              </w:rPr>
              <w:t xml:space="preserve"> helped me explain to 6 that a change in one part of the system can impact on other parts of the system. 6 is a single carer with no family members who live locally. Ecological theory helped me understand and discuss with 6 the importance of identifying strengths within environments and networks. Discussing </w:t>
            </w:r>
            <w:proofErr w:type="gramStart"/>
            <w:r w:rsidRPr="00297F87">
              <w:rPr>
                <w:color w:val="auto"/>
                <w:sz w:val="24"/>
                <w:szCs w:val="24"/>
              </w:rPr>
              <w:t>families</w:t>
            </w:r>
            <w:proofErr w:type="gramEnd"/>
            <w:r w:rsidRPr="00297F87">
              <w:rPr>
                <w:color w:val="auto"/>
                <w:sz w:val="24"/>
                <w:szCs w:val="24"/>
              </w:rPr>
              <w:t xml:space="preserve"> micro-systems identified that 5 had a positive relationship with her respite carer </w:t>
            </w:r>
            <w:r>
              <w:rPr>
                <w:color w:val="auto"/>
                <w:sz w:val="24"/>
                <w:szCs w:val="24"/>
              </w:rPr>
              <w:t xml:space="preserve">(7) </w:t>
            </w:r>
            <w:r w:rsidRPr="00297F87">
              <w:rPr>
                <w:color w:val="auto"/>
                <w:sz w:val="24"/>
                <w:szCs w:val="24"/>
              </w:rPr>
              <w:t xml:space="preserve">who she had been having irregular stays with previously. It was agreed that I would explore more regular stays for 5. </w:t>
            </w:r>
          </w:p>
          <w:p w14:paraId="79CD5AA7" w14:textId="77777777" w:rsidR="00E22E22" w:rsidRDefault="00E22E22" w:rsidP="00E22E22">
            <w:pPr>
              <w:shd w:val="clear" w:color="auto" w:fill="FFFFFF"/>
              <w:jc w:val="both"/>
              <w:rPr>
                <w:color w:val="auto"/>
                <w:sz w:val="24"/>
                <w:szCs w:val="24"/>
              </w:rPr>
            </w:pPr>
          </w:p>
          <w:p w14:paraId="561BA7B6" w14:textId="77777777" w:rsidR="00E22E22" w:rsidRDefault="00E22E22" w:rsidP="00E22E22">
            <w:pPr>
              <w:shd w:val="clear" w:color="auto" w:fill="FFFFFF"/>
              <w:jc w:val="both"/>
              <w:rPr>
                <w:color w:val="auto"/>
                <w:kern w:val="2"/>
                <w:sz w:val="24"/>
                <w:szCs w:val="24"/>
                <w:lang w:eastAsia="en-US"/>
              </w:rPr>
            </w:pPr>
            <w:r w:rsidRPr="00297F87">
              <w:rPr>
                <w:color w:val="auto"/>
                <w:kern w:val="2"/>
                <w:sz w:val="24"/>
                <w:szCs w:val="24"/>
                <w:lang w:eastAsia="en-US"/>
              </w:rPr>
              <w:t xml:space="preserve">I implemented monthly respite to provide 6 a break and recoup in support of her emotional resilience, weekly therapeutic support </w:t>
            </w:r>
            <w:r>
              <w:rPr>
                <w:color w:val="auto"/>
                <w:kern w:val="2"/>
                <w:sz w:val="24"/>
                <w:szCs w:val="24"/>
                <w:lang w:eastAsia="en-US"/>
              </w:rPr>
              <w:t xml:space="preserve">for 5 with a sessional carer, and the Therapeutic Social Worker (TSW) and I also made regular home visits. The TSW took 5 out for therapeutic intervention and worked closely with the school, maintaining regular communication. We also requested the LASW make a referral to the Children and Mental Health Team (CAMHS) which despite complaining of low mood and began having self-harm behaviour, 5 did not wish to engage with them. A safe care plan was put in place in respect of 5’s wishes and to prevent her from causing any harm to herself, in line with Section 4 of the Codes of Professional Practice (CoPP) (Social Care Wales 2017). This involved daily emotional support for 5 with regular reviews of her presentation in school being communicated. I also ensured that 6 had removed all possible paraphernalia from around the house which 5 could use to self-harm and implemented strategies for 5 to use to help manage her emotions. For example, an elastic band to wear around her wrist. Thus, promoting safeguarding strategies. To promote a sense of belonging for 5, the TSW and I sourced community activities that involved some of her interests and found local </w:t>
            </w:r>
            <w:proofErr w:type="gramStart"/>
            <w:r>
              <w:rPr>
                <w:color w:val="auto"/>
                <w:kern w:val="2"/>
                <w:sz w:val="24"/>
                <w:szCs w:val="24"/>
                <w:lang w:eastAsia="en-US"/>
              </w:rPr>
              <w:t>horse riding</w:t>
            </w:r>
            <w:proofErr w:type="gramEnd"/>
            <w:r>
              <w:rPr>
                <w:color w:val="auto"/>
                <w:kern w:val="2"/>
                <w:sz w:val="24"/>
                <w:szCs w:val="24"/>
                <w:lang w:eastAsia="en-US"/>
              </w:rPr>
              <w:t xml:space="preserve"> lessons and climbing activities which 5 did engage with. </w:t>
            </w:r>
          </w:p>
          <w:p w14:paraId="7DFDD272" w14:textId="77777777" w:rsidR="00E22E22" w:rsidRDefault="00E22E22" w:rsidP="00E22E22">
            <w:pPr>
              <w:shd w:val="clear" w:color="auto" w:fill="FFFFFF"/>
              <w:jc w:val="both"/>
              <w:rPr>
                <w:color w:val="auto"/>
                <w:kern w:val="2"/>
                <w:sz w:val="24"/>
                <w:szCs w:val="24"/>
                <w:highlight w:val="yellow"/>
                <w:lang w:eastAsia="en-US"/>
              </w:rPr>
            </w:pPr>
          </w:p>
          <w:p w14:paraId="0D7F5DBF" w14:textId="77777777" w:rsidR="00E22E22" w:rsidRDefault="00E22E22" w:rsidP="00E22E22">
            <w:pPr>
              <w:spacing w:line="276" w:lineRule="auto"/>
              <w:jc w:val="both"/>
              <w:rPr>
                <w:color w:val="538135" w:themeColor="accent6" w:themeShade="BF"/>
                <w:sz w:val="24"/>
                <w:szCs w:val="24"/>
              </w:rPr>
            </w:pPr>
            <w:r w:rsidRPr="00C56227">
              <w:rPr>
                <w:color w:val="auto"/>
                <w:sz w:val="24"/>
                <w:szCs w:val="24"/>
              </w:rPr>
              <w:t>It was important that support was provided to 5, 6, and her respite carer (7) and that all were listened to and given the opportunity to express their wishes and feelings for this plan. This support plan was aimed to prevent 5 from having yet another placement move as frequent moves can impact children’s ability to build trusting relationships and effects their emotional wellbeing</w:t>
            </w:r>
            <w:bookmarkStart w:id="0" w:name="_Hlk155789159"/>
            <w:r w:rsidRPr="00C56227">
              <w:rPr>
                <w:color w:val="auto"/>
                <w:sz w:val="24"/>
                <w:szCs w:val="24"/>
              </w:rPr>
              <w:t xml:space="preserve"> (Social Care Institute for Excellence, 2004</w:t>
            </w:r>
            <w:bookmarkEnd w:id="0"/>
            <w:r w:rsidRPr="00C56227">
              <w:rPr>
                <w:color w:val="auto"/>
                <w:sz w:val="24"/>
                <w:szCs w:val="24"/>
              </w:rPr>
              <w:t>). It was important that 5 felt that her voice was being heard and was an active participant in the decisions about her life (SSW</w:t>
            </w:r>
            <w:r>
              <w:rPr>
                <w:color w:val="auto"/>
                <w:sz w:val="24"/>
                <w:szCs w:val="24"/>
              </w:rPr>
              <w:t>B</w:t>
            </w:r>
            <w:r w:rsidRPr="00C56227">
              <w:rPr>
                <w:color w:val="auto"/>
                <w:sz w:val="24"/>
                <w:szCs w:val="24"/>
              </w:rPr>
              <w:t>A 2014, UNCRC). Social Care Institute for Excellence (20</w:t>
            </w:r>
            <w:r>
              <w:rPr>
                <w:color w:val="auto"/>
                <w:sz w:val="24"/>
                <w:szCs w:val="24"/>
              </w:rPr>
              <w:t>23</w:t>
            </w:r>
            <w:r w:rsidRPr="00C56227">
              <w:rPr>
                <w:color w:val="auto"/>
                <w:sz w:val="24"/>
                <w:szCs w:val="24"/>
              </w:rPr>
              <w:t xml:space="preserve">) </w:t>
            </w:r>
            <w:r>
              <w:rPr>
                <w:color w:val="auto"/>
                <w:sz w:val="24"/>
                <w:szCs w:val="24"/>
              </w:rPr>
              <w:t>suggests</w:t>
            </w:r>
            <w:r w:rsidRPr="00C56227">
              <w:rPr>
                <w:color w:val="auto"/>
                <w:sz w:val="24"/>
                <w:szCs w:val="24"/>
              </w:rPr>
              <w:t xml:space="preserve"> that during difficult times, foster carers can often feel like giving up, so it was</w:t>
            </w:r>
            <w:r>
              <w:rPr>
                <w:color w:val="auto"/>
                <w:sz w:val="24"/>
                <w:szCs w:val="24"/>
              </w:rPr>
              <w:t xml:space="preserve"> </w:t>
            </w:r>
            <w:r w:rsidRPr="00C56227">
              <w:rPr>
                <w:color w:val="auto"/>
                <w:sz w:val="24"/>
                <w:szCs w:val="24"/>
              </w:rPr>
              <w:t>imperative that 6 was also supported during this time</w:t>
            </w:r>
            <w:r>
              <w:rPr>
                <w:color w:val="auto"/>
                <w:sz w:val="24"/>
                <w:szCs w:val="24"/>
              </w:rPr>
              <w:t>, which was also my role</w:t>
            </w:r>
            <w:r w:rsidRPr="00C56227">
              <w:rPr>
                <w:color w:val="auto"/>
                <w:sz w:val="24"/>
                <w:szCs w:val="24"/>
              </w:rPr>
              <w:t>.</w:t>
            </w:r>
            <w:r w:rsidRPr="00C56227">
              <w:rPr>
                <w:color w:val="538135" w:themeColor="accent6" w:themeShade="BF"/>
                <w:sz w:val="24"/>
                <w:szCs w:val="24"/>
              </w:rPr>
              <w:t xml:space="preserve"> </w:t>
            </w:r>
          </w:p>
          <w:p w14:paraId="6A3C2573" w14:textId="77777777" w:rsidR="00E22E22" w:rsidRPr="00C56227" w:rsidRDefault="00E22E22" w:rsidP="00E22E22">
            <w:pPr>
              <w:spacing w:line="276" w:lineRule="auto"/>
              <w:jc w:val="both"/>
              <w:rPr>
                <w:color w:val="538135" w:themeColor="accent6" w:themeShade="BF"/>
                <w:sz w:val="24"/>
                <w:szCs w:val="24"/>
              </w:rPr>
            </w:pPr>
          </w:p>
          <w:p w14:paraId="2075AE68" w14:textId="77777777" w:rsidR="00E22E22" w:rsidRDefault="00E22E22" w:rsidP="00E22E22">
            <w:pPr>
              <w:spacing w:line="276" w:lineRule="auto"/>
              <w:jc w:val="both"/>
              <w:rPr>
                <w:color w:val="538135" w:themeColor="accent6" w:themeShade="BF"/>
                <w:sz w:val="24"/>
                <w:szCs w:val="24"/>
              </w:rPr>
            </w:pPr>
          </w:p>
          <w:p w14:paraId="5DB08866"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5 made an allegation against 6 in school to a member of staff of physical abuse. This staff member had </w:t>
            </w:r>
            <w:r w:rsidRPr="00C56227">
              <w:rPr>
                <w:color w:val="auto"/>
                <w:kern w:val="2"/>
                <w:sz w:val="24"/>
                <w:szCs w:val="24"/>
                <w:lang w:eastAsia="en-US"/>
              </w:rPr>
              <w:t>a duty under Children Act (1989) to make a Section 47 referral and notify the relevant Authorities that an allegation ha</w:t>
            </w:r>
            <w:r>
              <w:rPr>
                <w:color w:val="auto"/>
                <w:kern w:val="2"/>
                <w:sz w:val="24"/>
                <w:szCs w:val="24"/>
                <w:lang w:eastAsia="en-US"/>
              </w:rPr>
              <w:t>d</w:t>
            </w:r>
            <w:r w:rsidRPr="00C56227">
              <w:rPr>
                <w:color w:val="auto"/>
                <w:kern w:val="2"/>
                <w:sz w:val="24"/>
                <w:szCs w:val="24"/>
                <w:lang w:eastAsia="en-US"/>
              </w:rPr>
              <w:t xml:space="preserve"> been made with concern about the safeguarding of a child.</w:t>
            </w:r>
            <w:r>
              <w:rPr>
                <w:color w:val="auto"/>
                <w:kern w:val="2"/>
                <w:sz w:val="24"/>
                <w:szCs w:val="24"/>
                <w:lang w:eastAsia="en-US"/>
              </w:rPr>
              <w:t xml:space="preserve"> In Wales, we are also governed under Section 128 of the SSWBA (2014).</w:t>
            </w:r>
            <w:r w:rsidRPr="00C56227">
              <w:rPr>
                <w:color w:val="auto"/>
                <w:kern w:val="2"/>
                <w:sz w:val="24"/>
                <w:szCs w:val="24"/>
                <w:lang w:eastAsia="en-US"/>
              </w:rPr>
              <w:t xml:space="preserve"> As 6’s SSW, I was informed about the allegation by a duty social worker in 5’s placing LA in England, who advised that they would be going out to speak to 5. </w:t>
            </w:r>
            <w:r>
              <w:rPr>
                <w:color w:val="auto"/>
                <w:kern w:val="2"/>
                <w:sz w:val="24"/>
                <w:szCs w:val="24"/>
                <w:lang w:eastAsia="en-US"/>
              </w:rPr>
              <w:t>I was told that t</w:t>
            </w:r>
            <w:r w:rsidRPr="00C56227">
              <w:rPr>
                <w:color w:val="auto"/>
                <w:kern w:val="2"/>
                <w:sz w:val="24"/>
                <w:szCs w:val="24"/>
                <w:lang w:eastAsia="en-US"/>
              </w:rPr>
              <w:t xml:space="preserve">he Police had also been informed and a Section 47 investigation </w:t>
            </w:r>
            <w:r>
              <w:rPr>
                <w:color w:val="auto"/>
                <w:kern w:val="2"/>
                <w:sz w:val="24"/>
                <w:szCs w:val="24"/>
                <w:lang w:eastAsia="en-US"/>
              </w:rPr>
              <w:t xml:space="preserve">would most likely take place. I was told, to safeguard 5, she would not be returning to her placement, and I was asked if the IFA had an alternative suitable emergency placement for 5 whilst an investigation took place. </w:t>
            </w:r>
          </w:p>
          <w:p w14:paraId="586D88DF"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7D28A85A"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sidRPr="00EE7D16">
              <w:rPr>
                <w:color w:val="auto"/>
                <w:kern w:val="2"/>
                <w:sz w:val="24"/>
                <w:szCs w:val="24"/>
                <w:lang w:eastAsia="en-US"/>
              </w:rPr>
              <w:t>Prior to receiving news of the allegation,</w:t>
            </w:r>
            <w:r>
              <w:rPr>
                <w:color w:val="auto"/>
                <w:kern w:val="2"/>
                <w:sz w:val="24"/>
                <w:szCs w:val="24"/>
                <w:lang w:eastAsia="en-US"/>
              </w:rPr>
              <w:t xml:space="preserve"> I was contacted by 6 who reported an altercation with 5 before she left for school. 6 did not however, disclose any physical altercation which was what 5 alleged happened. I had a responsibility to send a significant incident report to the LA which would further assist the investigation which took place. In line with The Regulated Fostering Services (Service Providers and Responsible Individuals) (Wales) Regulations 2019, the SSWBA 2014 and Children Act (1989). I followed the Wales National Safeguarding Procedures (2019) which provide practice advice with principles underpinned in the SSWBA 2014 and guidance from ‘Working Together to Safeguard People’ that asserts a code of safeguarding practice.</w:t>
            </w:r>
          </w:p>
          <w:p w14:paraId="1BCF80A1" w14:textId="77777777" w:rsidR="00E22E22" w:rsidRDefault="00E22E22" w:rsidP="00E22E22">
            <w:pPr>
              <w:spacing w:line="276" w:lineRule="auto"/>
              <w:jc w:val="both"/>
              <w:rPr>
                <w:color w:val="538135" w:themeColor="accent6" w:themeShade="BF"/>
                <w:sz w:val="24"/>
                <w:szCs w:val="24"/>
              </w:rPr>
            </w:pPr>
          </w:p>
          <w:p w14:paraId="028664C1"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My role involved sourcing support for 5 by identifying a respite carer with availability to have her on an emergency basis which played a crucial part in 5’s immediate safeguarding. Thankfully, 7 was available and already had a good relationship with 5. 5 was pleased she was placed with 7 as this was where she had voiced a preference to live previously. However, when approached about this possibility, 7 initially stated that she did not wish to have another full-time, long-term placement, which is why the IFA informed the LA that there were no placements available within their agency for 5 at the time she had requested to move. </w:t>
            </w:r>
          </w:p>
          <w:p w14:paraId="78D3DF6E"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732F7C51" w14:textId="77777777" w:rsidR="00E22E22" w:rsidRPr="00222FCF" w:rsidRDefault="00E22E22" w:rsidP="00E22E22">
            <w:pPr>
              <w:spacing w:line="276" w:lineRule="auto"/>
              <w:jc w:val="both"/>
              <w:rPr>
                <w:color w:val="538135" w:themeColor="accent6" w:themeShade="BF"/>
                <w:sz w:val="24"/>
                <w:szCs w:val="24"/>
              </w:rPr>
            </w:pPr>
            <w:r>
              <w:rPr>
                <w:color w:val="auto"/>
                <w:kern w:val="2"/>
                <w:sz w:val="24"/>
                <w:szCs w:val="24"/>
                <w:lang w:eastAsia="en-US"/>
              </w:rPr>
              <w:t xml:space="preserve">I gained 5’s wishes in terms of what belongings were immediately important to her for school and personal routine and collected a bag of items for her and took it to her respite placement. I had already built a good working relationship with 5 which is important in my line of work. It is imperative to build trusting relationships and recognising that effective social work requires individuals to be empowered and involved in the decisions which affect their lives. In addition, social workers need to acknowledge that individuals are experts of their own lives whilst working in partnership with them to find solutions from their strengths (Social Care Institute for Excellence, 2004). This promotes a person-centred and strength-based approach by keeping 5’s wishes and feelings as the focus. Communication skills were vital to ensure 5 felt listened to and felt comfortable expressing her wishes and feelings. Adopting Trevithick’s </w:t>
            </w:r>
            <w:r>
              <w:rPr>
                <w:color w:val="auto"/>
                <w:kern w:val="2"/>
                <w:sz w:val="24"/>
                <w:szCs w:val="24"/>
                <w:lang w:eastAsia="en-US"/>
              </w:rPr>
              <w:lastRenderedPageBreak/>
              <w:t xml:space="preserve">(2003) active listening skills enabled me to observe her non-verbal communication which is important to use with verbal communication skills. This reinforces the CoPP’s which highlights the need for working in person-centred ways (Social Care Wales 2017). This approach helped 5 to express her agreement to stay with her respite carer. This provided a sense of respect and feeling valued for 5, in line with Section 1 and 3 of the CoPP; stating that we must respect individuals’ views and wishes and that their well-being, voice and control should be promoted </w:t>
            </w:r>
            <w:r w:rsidRPr="003E56A1">
              <w:rPr>
                <w:color w:val="auto"/>
                <w:kern w:val="2"/>
                <w:sz w:val="24"/>
                <w:szCs w:val="24"/>
                <w:lang w:eastAsia="en-US"/>
              </w:rPr>
              <w:t>(</w:t>
            </w:r>
            <w:r w:rsidRPr="003E56A1">
              <w:rPr>
                <w:color w:val="auto"/>
                <w:sz w:val="24"/>
                <w:szCs w:val="24"/>
              </w:rPr>
              <w:t>UN</w:t>
            </w:r>
            <w:r>
              <w:rPr>
                <w:color w:val="auto"/>
                <w:sz w:val="24"/>
                <w:szCs w:val="24"/>
              </w:rPr>
              <w:t>CRC</w:t>
            </w:r>
            <w:r w:rsidRPr="003E56A1">
              <w:rPr>
                <w:color w:val="auto"/>
                <w:kern w:val="2"/>
                <w:sz w:val="24"/>
                <w:szCs w:val="24"/>
                <w:lang w:eastAsia="en-US"/>
              </w:rPr>
              <w:t>, Human Rights Act 1998,</w:t>
            </w:r>
            <w:r>
              <w:rPr>
                <w:color w:val="auto"/>
                <w:kern w:val="2"/>
                <w:sz w:val="24"/>
                <w:szCs w:val="24"/>
                <w:lang w:eastAsia="en-US"/>
              </w:rPr>
              <w:t xml:space="preserve"> &amp;</w:t>
            </w:r>
            <w:r w:rsidRPr="003E56A1">
              <w:rPr>
                <w:color w:val="auto"/>
                <w:kern w:val="2"/>
                <w:sz w:val="24"/>
                <w:szCs w:val="24"/>
                <w:lang w:eastAsia="en-US"/>
              </w:rPr>
              <w:t xml:space="preserve"> SSW</w:t>
            </w:r>
            <w:r>
              <w:rPr>
                <w:color w:val="auto"/>
                <w:kern w:val="2"/>
                <w:sz w:val="24"/>
                <w:szCs w:val="24"/>
                <w:lang w:eastAsia="en-US"/>
              </w:rPr>
              <w:t>B</w:t>
            </w:r>
            <w:r w:rsidRPr="003E56A1">
              <w:rPr>
                <w:color w:val="auto"/>
                <w:kern w:val="2"/>
                <w:sz w:val="24"/>
                <w:szCs w:val="24"/>
                <w:lang w:eastAsia="en-US"/>
              </w:rPr>
              <w:t>A</w:t>
            </w:r>
            <w:r>
              <w:rPr>
                <w:color w:val="auto"/>
                <w:kern w:val="2"/>
                <w:sz w:val="24"/>
                <w:szCs w:val="24"/>
                <w:lang w:eastAsia="en-US"/>
              </w:rPr>
              <w:t xml:space="preserve"> 2014</w:t>
            </w:r>
            <w:r w:rsidRPr="003E56A1">
              <w:rPr>
                <w:color w:val="auto"/>
                <w:kern w:val="2"/>
                <w:sz w:val="24"/>
                <w:szCs w:val="24"/>
                <w:lang w:eastAsia="en-US"/>
              </w:rPr>
              <w:t>).</w:t>
            </w:r>
            <w:r>
              <w:rPr>
                <w:color w:val="auto"/>
                <w:kern w:val="2"/>
                <w:sz w:val="24"/>
                <w:szCs w:val="24"/>
                <w:lang w:eastAsia="en-US"/>
              </w:rPr>
              <w:t xml:space="preserve"> Thus, demonstrating good social work values. </w:t>
            </w:r>
          </w:p>
          <w:p w14:paraId="7FC11BD8" w14:textId="77777777" w:rsidR="00E22E22" w:rsidRDefault="00E22E22" w:rsidP="00E22E22">
            <w:pPr>
              <w:spacing w:line="276" w:lineRule="auto"/>
              <w:jc w:val="both"/>
              <w:rPr>
                <w:color w:val="538135" w:themeColor="accent6" w:themeShade="BF"/>
                <w:sz w:val="24"/>
                <w:szCs w:val="24"/>
              </w:rPr>
            </w:pPr>
          </w:p>
          <w:p w14:paraId="2E562761" w14:textId="77777777" w:rsidR="00E22E22" w:rsidRDefault="00E22E22" w:rsidP="00E22E22">
            <w:pPr>
              <w:spacing w:line="276" w:lineRule="auto"/>
              <w:jc w:val="both"/>
              <w:rPr>
                <w:color w:val="538135" w:themeColor="accent6" w:themeShade="BF"/>
                <w:sz w:val="24"/>
                <w:szCs w:val="24"/>
              </w:rPr>
            </w:pPr>
          </w:p>
          <w:p w14:paraId="3A317C18"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Once an Allegation had been made, a Notification detailing the allegation was completed and sent to the LA. Had 5 disclosed to someone in Wales, the Wales Safeguarding </w:t>
            </w:r>
            <w:r w:rsidRPr="00B00619">
              <w:rPr>
                <w:color w:val="auto"/>
                <w:kern w:val="2"/>
                <w:sz w:val="24"/>
                <w:szCs w:val="24"/>
                <w:lang w:eastAsia="en-US"/>
              </w:rPr>
              <w:t>Procedures (</w:t>
            </w:r>
            <w:r>
              <w:rPr>
                <w:color w:val="auto"/>
                <w:kern w:val="2"/>
                <w:sz w:val="24"/>
                <w:szCs w:val="24"/>
                <w:lang w:eastAsia="en-US"/>
              </w:rPr>
              <w:t xml:space="preserve">2024) states that those notified would include the placing LA, residing LA and Care Inspectorate Wales (CIW). Then, a strategy discussion would take place between the LA, the Designated Officer for Safeguarding (DOS) which is known in England as the Local Authority Designated Officer (LADO), the IFA and other relevant professionals, including the Police if they were involved. The Police would carry out an interview with both child and carer separately and obtain further information from professionals involved if needed. The Police would then decide if it </w:t>
            </w:r>
            <w:proofErr w:type="gramStart"/>
            <w:r>
              <w:rPr>
                <w:color w:val="auto"/>
                <w:kern w:val="2"/>
                <w:sz w:val="24"/>
                <w:szCs w:val="24"/>
                <w:lang w:eastAsia="en-US"/>
              </w:rPr>
              <w:t>is</w:t>
            </w:r>
            <w:proofErr w:type="gramEnd"/>
            <w:r>
              <w:rPr>
                <w:color w:val="auto"/>
                <w:kern w:val="2"/>
                <w:sz w:val="24"/>
                <w:szCs w:val="24"/>
                <w:lang w:eastAsia="en-US"/>
              </w:rPr>
              <w:t xml:space="preserve"> no further action, or a criminal investigation is to take place. Once the Police have an outcome, a Strategy Outcome meeting, also known as a LADO Meeting in England, will take place to determine a potential outcome of whether the allegation was substantiated, unsubstantiated, unfounded, malicious or false. Once an outcome has been reached, the foster carer would be required to attend panel who would decide whether they would recommend either approval, a change in approval or a de-registration of the foster carer. Panel recommendations would then go to an Agency Decision Maker (ADM) for approval and ratification. The Wales Safeguarding Procedures (Social Care Wales 2024) states that any allegation made by a child must be taken seriously and their immediate safety must be paramount which I played a part in. The parent of the child would be informed, and the accused would be notified that an allegation has been made against them. Whilst also protecting the rights of all individuals involved in line with The Human Rights Act (1998).</w:t>
            </w:r>
          </w:p>
          <w:p w14:paraId="177285FA"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1F8A98D2"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Although the IFA is based in Wales, 5 resides with 6 in England and her placing LA is also in England therefore they are governed by the legislation in England and followed the English legislation under the Children Act 1989. The British Association of Social Workers (BASW) states that the duties governed by the Children Act (1989), more specifically under Section 17, can only be discharged with full cooperation from partnering professionals involved in the team around the child (BASW 2018). This is also supported in The Department for Education (DfE) latest version of ‘Working together to safeguard children in December 2023. These legislative frameworks promote a collaborative </w:t>
            </w:r>
            <w:proofErr w:type="gramStart"/>
            <w:r>
              <w:rPr>
                <w:color w:val="auto"/>
                <w:kern w:val="2"/>
                <w:sz w:val="24"/>
                <w:szCs w:val="24"/>
                <w:lang w:eastAsia="en-US"/>
              </w:rPr>
              <w:t>approach</w:t>
            </w:r>
            <w:proofErr w:type="gramEnd"/>
            <w:r>
              <w:rPr>
                <w:color w:val="auto"/>
                <w:kern w:val="2"/>
                <w:sz w:val="24"/>
                <w:szCs w:val="24"/>
                <w:lang w:eastAsia="en-US"/>
              </w:rPr>
              <w:t xml:space="preserve"> and it was crucial for full communication between all professionals from Wales and England. Collaborative working is essential for a person-centred approach. This is highlighted in the SSWBA 2014 by promoting </w:t>
            </w:r>
            <w:r>
              <w:rPr>
                <w:color w:val="auto"/>
                <w:kern w:val="2"/>
                <w:sz w:val="24"/>
                <w:szCs w:val="24"/>
                <w:lang w:eastAsia="en-US"/>
              </w:rPr>
              <w:lastRenderedPageBreak/>
              <w:t xml:space="preserve">co-operation and practice in multi-disciplinary ways. Collaborative working improves information sharing and helps utilise different strengths and expertise from a diverse range of professionals within the team around the child. Section 17 of Children Act (1989) informs social workers of their specific duty to provide services to children in their </w:t>
            </w:r>
            <w:r w:rsidRPr="004A1481">
              <w:rPr>
                <w:color w:val="auto"/>
                <w:kern w:val="2"/>
                <w:sz w:val="24"/>
                <w:szCs w:val="24"/>
                <w:lang w:eastAsia="en-US"/>
              </w:rPr>
              <w:t xml:space="preserve">area despite which LA they are placed by or where they originate. Section 47 of the same Act requires Local Authorities to make enquiries if a child has or is likely to suffer significant harm. Section 31 of Children Act 1989 defines harm as </w:t>
            </w:r>
            <w:r w:rsidRPr="004A1481">
              <w:rPr>
                <w:kern w:val="2"/>
                <w:sz w:val="24"/>
                <w:szCs w:val="24"/>
                <w:lang w:eastAsia="en-US"/>
              </w:rPr>
              <w:t>“</w:t>
            </w:r>
            <w:r w:rsidRPr="004A1481">
              <w:rPr>
                <w:color w:val="1E1E1E"/>
                <w:sz w:val="24"/>
                <w:szCs w:val="24"/>
              </w:rPr>
              <w:t>ill-treatment or the impairment of health or development </w:t>
            </w:r>
            <w:r w:rsidRPr="004A1481">
              <w:rPr>
                <w:rStyle w:val="legaddition"/>
                <w:rFonts w:eastAsiaTheme="majorEastAsia"/>
                <w:color w:val="1E1E1E"/>
                <w:sz w:val="24"/>
                <w:szCs w:val="24"/>
              </w:rPr>
              <w:t>including, for example, impairment suffered from seeing or hearing the ill-treatment of another</w:t>
            </w:r>
            <w:r w:rsidRPr="004A1481">
              <w:rPr>
                <w:rStyle w:val="legchangedelimiter"/>
                <w:rFonts w:eastAsiaTheme="majorEastAsia"/>
                <w:b/>
                <w:bCs/>
                <w:sz w:val="24"/>
                <w:szCs w:val="24"/>
              </w:rPr>
              <w:t>”</w:t>
            </w:r>
            <w:r>
              <w:rPr>
                <w:color w:val="1E1E1E"/>
                <w:sz w:val="24"/>
                <w:szCs w:val="24"/>
              </w:rPr>
              <w:t>. It defines</w:t>
            </w:r>
            <w:r w:rsidRPr="004A1481">
              <w:rPr>
                <w:color w:val="1E1E1E"/>
                <w:sz w:val="24"/>
                <w:szCs w:val="24"/>
              </w:rPr>
              <w:t xml:space="preserve"> “</w:t>
            </w:r>
            <w:r w:rsidRPr="004A1481">
              <w:rPr>
                <w:rStyle w:val="legterm"/>
                <w:rFonts w:eastAsiaTheme="majorEastAsia"/>
                <w:color w:val="1E1E1E"/>
                <w:szCs w:val="24"/>
              </w:rPr>
              <w:t>development</w:t>
            </w:r>
            <w:r w:rsidRPr="004A1481">
              <w:rPr>
                <w:color w:val="1E1E1E"/>
                <w:sz w:val="24"/>
                <w:szCs w:val="24"/>
              </w:rPr>
              <w:t xml:space="preserve">” </w:t>
            </w:r>
            <w:r>
              <w:rPr>
                <w:color w:val="1E1E1E"/>
                <w:sz w:val="24"/>
                <w:szCs w:val="24"/>
              </w:rPr>
              <w:t>as meaning</w:t>
            </w:r>
            <w:r w:rsidRPr="004A1481">
              <w:rPr>
                <w:color w:val="1E1E1E"/>
                <w:sz w:val="24"/>
                <w:szCs w:val="24"/>
              </w:rPr>
              <w:t xml:space="preserve"> physical, intellectual, emotional, social or behavioural; “</w:t>
            </w:r>
            <w:r w:rsidRPr="004A1481">
              <w:rPr>
                <w:rStyle w:val="legterm"/>
                <w:rFonts w:eastAsiaTheme="majorEastAsia"/>
                <w:color w:val="1E1E1E"/>
                <w:szCs w:val="24"/>
              </w:rPr>
              <w:t>health</w:t>
            </w:r>
            <w:r w:rsidRPr="004A1481">
              <w:rPr>
                <w:color w:val="1E1E1E"/>
                <w:sz w:val="24"/>
                <w:szCs w:val="24"/>
              </w:rPr>
              <w:t>”</w:t>
            </w:r>
            <w:r>
              <w:rPr>
                <w:color w:val="1E1E1E"/>
                <w:sz w:val="24"/>
                <w:szCs w:val="24"/>
              </w:rPr>
              <w:t xml:space="preserve"> as</w:t>
            </w:r>
            <w:r w:rsidRPr="004A1481">
              <w:rPr>
                <w:color w:val="1E1E1E"/>
                <w:sz w:val="24"/>
                <w:szCs w:val="24"/>
              </w:rPr>
              <w:t xml:space="preserve"> mean</w:t>
            </w:r>
            <w:r>
              <w:rPr>
                <w:color w:val="1E1E1E"/>
                <w:sz w:val="24"/>
                <w:szCs w:val="24"/>
              </w:rPr>
              <w:t>ing</w:t>
            </w:r>
            <w:r w:rsidRPr="004A1481">
              <w:rPr>
                <w:color w:val="1E1E1E"/>
                <w:sz w:val="24"/>
                <w:szCs w:val="24"/>
              </w:rPr>
              <w:t xml:space="preserve"> physical or mental health; and “</w:t>
            </w:r>
            <w:r w:rsidRPr="004A1481">
              <w:rPr>
                <w:rStyle w:val="legterm"/>
                <w:rFonts w:eastAsiaTheme="majorEastAsia"/>
                <w:color w:val="1E1E1E"/>
                <w:szCs w:val="24"/>
              </w:rPr>
              <w:t>ill-treatment</w:t>
            </w:r>
            <w:r w:rsidRPr="004A1481">
              <w:rPr>
                <w:color w:val="1E1E1E"/>
                <w:sz w:val="24"/>
                <w:szCs w:val="24"/>
              </w:rPr>
              <w:t xml:space="preserve"> includes sexual abuse and forms of ill-treatment which are not physical</w:t>
            </w:r>
            <w:r>
              <w:rPr>
                <w:color w:val="1E1E1E"/>
                <w:sz w:val="24"/>
                <w:szCs w:val="24"/>
              </w:rPr>
              <w:t>” (Children Act 1989)</w:t>
            </w:r>
            <w:r w:rsidRPr="004A1481">
              <w:rPr>
                <w:color w:val="1E1E1E"/>
                <w:sz w:val="24"/>
                <w:szCs w:val="24"/>
              </w:rPr>
              <w:t>. This is reinforced in the Wales Safeguarding Procedures (Social Care Wales, 2024)</w:t>
            </w:r>
            <w:r>
              <w:rPr>
                <w:color w:val="1E1E1E"/>
              </w:rPr>
              <w:t xml:space="preserve">. </w:t>
            </w:r>
          </w:p>
          <w:p w14:paraId="23157154"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08A97078"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Active listening skills were crucial to ensure that 5 felt heard and valued. </w:t>
            </w:r>
            <w:r>
              <w:rPr>
                <w:color w:val="auto"/>
                <w:kern w:val="2"/>
                <w:sz w:val="24"/>
                <w:szCs w:val="24"/>
                <w:lang w:val="en-US" w:eastAsia="en-US"/>
              </w:rPr>
              <w:t xml:space="preserve">Cournoyer (2011) suggests that this model of communication encourages individuals to have trust in social workers as it involves a mixture of talking and listening skills which presents a level of understanding and acknowledgement of their circumstances. This demonstrates good social work values and practice. Applying active listening involves having good eye contact, using open and closed ended questions and paraphrasing to ensure that I understand the other person’s perspective, wishes and feelings. Smith (2017) suggests that active listening helps individuals process grief and loss and supports them to have a sense of value. On reflection, truly listening to 5 during previous discussions and giving her validation to vent her frustration during heightened situations, helped us develop a </w:t>
            </w:r>
            <w:r w:rsidRPr="00F2307C">
              <w:rPr>
                <w:color w:val="auto"/>
                <w:kern w:val="2"/>
                <w:sz w:val="24"/>
                <w:szCs w:val="24"/>
                <w:lang w:val="en-US" w:eastAsia="en-US"/>
              </w:rPr>
              <w:t xml:space="preserve">trusting </w:t>
            </w:r>
            <w:r>
              <w:rPr>
                <w:color w:val="auto"/>
                <w:kern w:val="2"/>
                <w:sz w:val="24"/>
                <w:szCs w:val="24"/>
                <w:lang w:val="en-US" w:eastAsia="en-US"/>
              </w:rPr>
              <w:t xml:space="preserve">relationship and enabled me to empathise with her (Smith 2017). Following this, 5’s version of events was documented word for word and reported to relevant professionals whilst maintaining confidentiality. Paraphrasing back to 5 enables the listener to ensure the information is accurate and enables 5 to feel heard. </w:t>
            </w:r>
          </w:p>
          <w:p w14:paraId="674C73F9"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7B0A0320"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Due to 6 having had several previous unfounded and unsubstantiated allegations made against her of similar nature, it was crucial for me as her SSW to support her to reflect on her approach during supervisions and identify what she could do differently for better outcomes in the future. In acknowledging 5’s unhappiness in placement prior to the allegation, I supported 6 to improve her self-awareness as she could sometimes be perceived as blunt and didn’t present a therapeutic approach during heightened situations. I did this using Motivational Interviewing (Kognito 2021)</w:t>
            </w:r>
            <w:r w:rsidRPr="006663E7">
              <w:rPr>
                <w:color w:val="538135" w:themeColor="accent6" w:themeShade="BF"/>
                <w:kern w:val="2"/>
                <w:sz w:val="24"/>
                <w:szCs w:val="24"/>
                <w:lang w:eastAsia="en-US"/>
              </w:rPr>
              <w:t xml:space="preserve"> </w:t>
            </w:r>
            <w:r>
              <w:rPr>
                <w:color w:val="auto"/>
                <w:kern w:val="2"/>
                <w:sz w:val="24"/>
                <w:szCs w:val="24"/>
                <w:lang w:eastAsia="en-US"/>
              </w:rPr>
              <w:t xml:space="preserve">which is an evidence-based communication approach. I did this by expressing empathy, using affirmations and open-ended questions to engage 6 with exploring ways in which she could make positive changes. Thus, promoting an empowering approach. I used Bowlby’s Attachment Theory (Bowlby 1969) to help 6 understand that trauma can impact on someone’s ability to build trusting attachments. I implemented training and discussions around Bowlby’s attachment theory during supervision to help 6 understand why 5 has difficulty understanding the world around her, has problems </w:t>
            </w:r>
            <w:r>
              <w:rPr>
                <w:color w:val="auto"/>
                <w:kern w:val="2"/>
                <w:sz w:val="24"/>
                <w:szCs w:val="24"/>
                <w:lang w:eastAsia="en-US"/>
              </w:rPr>
              <w:lastRenderedPageBreak/>
              <w:t xml:space="preserve">socialising appropriately and has issues with her self-worth; due to her early childhood experiences and relationship with her primary caregiver (Bowlby 1969). This was aimed at helping 6 to empathise and recognise that 5’s behaviour wasn’t a personal target, but rather a difficulty comprehending the aims and objectives of others, lack of trust and inability to regulate. </w:t>
            </w:r>
          </w:p>
          <w:p w14:paraId="4A26E380"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50F28F86"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In addition, 6 also had early childhood experiences which had the potential to impact on her ability to build trusting attachments and respond therapeutically during crisis intervention. During supervision’s I would try to implement discussions around Dan Hughes’s (2024), Dyadic Developmental Practice approach in the form of ‘Playfulness, Acceptance, Curiosity and Empathy’, also known as the PACE Model. This approach helps foster carers break through the barriers in developmental trauma and is aimed at supporting them to build trusting rapports and in time, develop secure attachments (Hughes, D. 2024).  However, 6 did not always present empathy for 5. On reflection, 6’s past traumas may have been the cause of </w:t>
            </w:r>
            <w:proofErr w:type="gramStart"/>
            <w:r>
              <w:rPr>
                <w:color w:val="auto"/>
                <w:kern w:val="2"/>
                <w:sz w:val="24"/>
                <w:szCs w:val="24"/>
                <w:lang w:eastAsia="en-US"/>
              </w:rPr>
              <w:t>this</w:t>
            </w:r>
            <w:proofErr w:type="gramEnd"/>
            <w:r>
              <w:rPr>
                <w:color w:val="auto"/>
                <w:kern w:val="2"/>
                <w:sz w:val="24"/>
                <w:szCs w:val="24"/>
                <w:lang w:eastAsia="en-US"/>
              </w:rPr>
              <w:t xml:space="preserve"> and she may have been experiencing triggers during heightened and challenging situations. Ferguson (2018) refers to this as an individual’s defended nature of self. This may explain why despite 6 having had all the relevant training and demonstrating a coherent understanding of trauma-informed parenting, she was unable to put theory to practice, in-action (Schon 1983). </w:t>
            </w:r>
          </w:p>
          <w:p w14:paraId="0478E259"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2C901B91"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Pr>
                <w:color w:val="auto"/>
                <w:kern w:val="2"/>
                <w:sz w:val="24"/>
                <w:szCs w:val="24"/>
                <w:lang w:eastAsia="en-US"/>
              </w:rPr>
              <w:t xml:space="preserve">Following the allegation, 5 was asked to make a statement and was interviewed by the Police. 5 was asked who she wanted present with her and sit in as her Appropriate Adult, in line with the </w:t>
            </w:r>
            <w:r w:rsidRPr="00E461AC">
              <w:rPr>
                <w:color w:val="auto"/>
                <w:kern w:val="2"/>
                <w:sz w:val="24"/>
                <w:szCs w:val="24"/>
                <w:lang w:eastAsia="en-US"/>
              </w:rPr>
              <w:t>Crime and Disorder Act 1998, The Children Act 1989 and section 4 of the CoPP. 5 chose</w:t>
            </w:r>
            <w:r>
              <w:rPr>
                <w:color w:val="auto"/>
                <w:kern w:val="2"/>
                <w:sz w:val="24"/>
                <w:szCs w:val="24"/>
                <w:lang w:eastAsia="en-US"/>
              </w:rPr>
              <w:t xml:space="preserve"> 7 and requested support from her TSW. A meeting chaired by the LADO was convened and it was confirmed that the LA would be carrying out the investigation. The IFA would assist the Police with their enquiries and collaborate with the LA in support of their investigation. </w:t>
            </w:r>
          </w:p>
          <w:p w14:paraId="2F7E5C19"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1D9FFD6E"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r w:rsidRPr="00FE0DF5">
              <w:rPr>
                <w:color w:val="auto"/>
                <w:kern w:val="2"/>
                <w:sz w:val="24"/>
                <w:szCs w:val="24"/>
                <w:lang w:eastAsia="en-US"/>
              </w:rPr>
              <w:t xml:space="preserve">Working in partnership with other agencies and applying a collaborative approach with the LA is a crucial part in safeguarding. The principles of working in partnership include trust, shared goals, effective communication and cooperation. Sheehy (2017) explains how </w:t>
            </w:r>
            <w:bookmarkStart w:id="1" w:name="_Hlk173084450"/>
            <w:r w:rsidRPr="00FE0DF5">
              <w:rPr>
                <w:color w:val="auto"/>
                <w:kern w:val="2"/>
                <w:sz w:val="24"/>
                <w:szCs w:val="24"/>
                <w:lang w:eastAsia="en-US"/>
              </w:rPr>
              <w:t>partnership working enables professionals to combine their expertise, resources and power which, furthermore, improves the quality and effectiveness of social care provisions</w:t>
            </w:r>
            <w:bookmarkEnd w:id="1"/>
            <w:r>
              <w:rPr>
                <w:color w:val="auto"/>
                <w:kern w:val="2"/>
                <w:sz w:val="24"/>
                <w:szCs w:val="24"/>
                <w:lang w:eastAsia="en-US"/>
              </w:rPr>
              <w:t>, in line with National Occupational Standards (NOS) (Social Care Wales 2023)</w:t>
            </w:r>
            <w:r w:rsidRPr="00FE0DF5">
              <w:rPr>
                <w:color w:val="auto"/>
                <w:kern w:val="2"/>
                <w:sz w:val="24"/>
                <w:szCs w:val="24"/>
                <w:lang w:eastAsia="en-US"/>
              </w:rPr>
              <w:t xml:space="preserve">. </w:t>
            </w:r>
            <w:r>
              <w:rPr>
                <w:color w:val="auto"/>
                <w:kern w:val="2"/>
                <w:sz w:val="24"/>
                <w:szCs w:val="24"/>
                <w:lang w:eastAsia="en-US"/>
              </w:rPr>
              <w:t>A</w:t>
            </w:r>
            <w:r w:rsidRPr="00FE0DF5">
              <w:rPr>
                <w:color w:val="auto"/>
                <w:kern w:val="2"/>
                <w:sz w:val="24"/>
                <w:szCs w:val="24"/>
                <w:lang w:eastAsia="en-US"/>
              </w:rPr>
              <w:t xml:space="preserve"> multi-agency working model enables all professionals to contribute and promotes a holistic viewpoint. It also provides the opportunity for everyone to share crucial information and accountability (Sheehy 2017). These principles are promoted within Welsh Legislation such as Part 9 of the SSWBA</w:t>
            </w:r>
            <w:r>
              <w:rPr>
                <w:color w:val="auto"/>
                <w:kern w:val="2"/>
                <w:sz w:val="24"/>
                <w:szCs w:val="24"/>
                <w:lang w:eastAsia="en-US"/>
              </w:rPr>
              <w:t xml:space="preserve"> (2014)</w:t>
            </w:r>
            <w:r w:rsidRPr="00FE0DF5">
              <w:rPr>
                <w:color w:val="auto"/>
                <w:kern w:val="2"/>
                <w:sz w:val="24"/>
                <w:szCs w:val="24"/>
                <w:lang w:eastAsia="en-US"/>
              </w:rPr>
              <w:t xml:space="preserve"> which states that there is a requirement for </w:t>
            </w:r>
            <w:proofErr w:type="gramStart"/>
            <w:r w:rsidRPr="00FE0DF5">
              <w:rPr>
                <w:color w:val="auto"/>
                <w:kern w:val="2"/>
                <w:sz w:val="24"/>
                <w:szCs w:val="24"/>
                <w:lang w:eastAsia="en-US"/>
              </w:rPr>
              <w:t>LA’s</w:t>
            </w:r>
            <w:proofErr w:type="gramEnd"/>
            <w:r w:rsidRPr="00FE0DF5">
              <w:rPr>
                <w:color w:val="auto"/>
                <w:kern w:val="2"/>
                <w:sz w:val="24"/>
                <w:szCs w:val="24"/>
                <w:lang w:eastAsia="en-US"/>
              </w:rPr>
              <w:t xml:space="preserve"> to work together and promotes cooperation in support of meeting the needs of children and carers.</w:t>
            </w:r>
            <w:r>
              <w:rPr>
                <w:color w:val="auto"/>
                <w:kern w:val="2"/>
                <w:sz w:val="24"/>
                <w:szCs w:val="24"/>
                <w:lang w:eastAsia="en-US"/>
              </w:rPr>
              <w:t xml:space="preserve"> </w:t>
            </w:r>
          </w:p>
          <w:p w14:paraId="1DCA3057" w14:textId="77777777" w:rsidR="00E22E22" w:rsidRDefault="00E22E22" w:rsidP="00E22E22">
            <w:pPr>
              <w:overflowPunct/>
              <w:autoSpaceDE/>
              <w:autoSpaceDN/>
              <w:adjustRightInd/>
              <w:spacing w:after="160" w:line="259" w:lineRule="auto"/>
              <w:jc w:val="both"/>
              <w:textAlignment w:val="auto"/>
              <w:rPr>
                <w:color w:val="auto"/>
                <w:kern w:val="2"/>
                <w:sz w:val="24"/>
                <w:szCs w:val="24"/>
                <w:lang w:eastAsia="en-US"/>
              </w:rPr>
            </w:pPr>
          </w:p>
          <w:p w14:paraId="70AD491A" w14:textId="77777777" w:rsidR="00E22E22" w:rsidRDefault="00E22E22" w:rsidP="00E22E22">
            <w:pPr>
              <w:overflowPunct/>
              <w:autoSpaceDE/>
              <w:autoSpaceDN/>
              <w:adjustRightInd/>
              <w:spacing w:after="160" w:line="259" w:lineRule="auto"/>
              <w:jc w:val="both"/>
              <w:textAlignment w:val="auto"/>
              <w:rPr>
                <w:color w:val="auto"/>
                <w:sz w:val="24"/>
                <w:szCs w:val="24"/>
              </w:rPr>
            </w:pPr>
            <w:r>
              <w:rPr>
                <w:color w:val="auto"/>
                <w:kern w:val="2"/>
                <w:sz w:val="24"/>
                <w:szCs w:val="24"/>
                <w:lang w:eastAsia="en-US"/>
              </w:rPr>
              <w:lastRenderedPageBreak/>
              <w:t>It was requested that I complete an internal investigation report. I had already compiled a chronology of events, detailing 5’s recent significant incident reports leading up to the allegation, emails advising the LA social worker that I had concerns for 5’s emotional wellbeing and her demands to be moved. It also involved minutes of a stability meeting, care planning meeting and Recent Reviews of 5, sent by the Independent Reviewing Officer (IRO). All of which, evidenced my growing concerns which could have led to safeguarding issues. On reflection I can identify how power imbalances can occur in multi-disciplinary working as there can often be competing perspectives. As a newly qualified social worker, working for an IFA, I can identify how powerless I felt in terms of authority, as the LA were the corporate parent who had the power to make final decisions. Despite the advocacy demonstrated here it was apparent that the LA held more authority on the decisions made for 5 as the LA’s objective was to wait until the family assessments were completed before they would agree to a placement move. Within my running record, I also included conversations documented about the allegation between 5 and varied professionals within the IFA and raised points of interests from the daily diary records that 6 sent in leading up to the allegation. The internal investigation report included discussions with other professionals via email which were dated.  My chronology of events included a</w:t>
            </w:r>
            <w:r w:rsidRPr="002753FA">
              <w:rPr>
                <w:color w:val="538135" w:themeColor="accent6" w:themeShade="BF"/>
                <w:sz w:val="24"/>
                <w:szCs w:val="24"/>
              </w:rPr>
              <w:t xml:space="preserve"> </w:t>
            </w:r>
            <w:r w:rsidRPr="006E7C53">
              <w:rPr>
                <w:color w:val="auto"/>
                <w:sz w:val="24"/>
                <w:szCs w:val="24"/>
              </w:rPr>
              <w:t>running record which was created by staff in the agency who I kept in close communication with to ensure that all information was recorded in one place. Despite the school having sent the notification in line with section 47 of Children Act (1989), my chronology and the IFA’s running record contributed to the investigation that took place. Had the allegation been made in Wales, C</w:t>
            </w:r>
            <w:r>
              <w:rPr>
                <w:color w:val="auto"/>
                <w:sz w:val="24"/>
                <w:szCs w:val="24"/>
              </w:rPr>
              <w:t>IW</w:t>
            </w:r>
            <w:r w:rsidRPr="006E7C53">
              <w:rPr>
                <w:color w:val="auto"/>
                <w:sz w:val="24"/>
                <w:szCs w:val="24"/>
              </w:rPr>
              <w:t xml:space="preserve"> will have been informed. </w:t>
            </w:r>
            <w:r w:rsidRPr="006E7C53">
              <w:rPr>
                <w:rFonts w:eastAsia="Calibri"/>
                <w:color w:val="auto"/>
                <w:sz w:val="24"/>
                <w:szCs w:val="24"/>
              </w:rPr>
              <w:t xml:space="preserve">The role of </w:t>
            </w:r>
            <w:r w:rsidRPr="006E7C53">
              <w:rPr>
                <w:color w:val="auto"/>
                <w:sz w:val="24"/>
                <w:szCs w:val="24"/>
              </w:rPr>
              <w:t>C</w:t>
            </w:r>
            <w:r>
              <w:rPr>
                <w:color w:val="auto"/>
                <w:sz w:val="24"/>
                <w:szCs w:val="24"/>
              </w:rPr>
              <w:t>IW</w:t>
            </w:r>
            <w:r w:rsidRPr="006E7C53">
              <w:rPr>
                <w:rFonts w:eastAsia="Calibri"/>
                <w:color w:val="auto"/>
                <w:sz w:val="24"/>
                <w:szCs w:val="24"/>
              </w:rPr>
              <w:t xml:space="preserve"> is to “</w:t>
            </w:r>
            <w:r w:rsidRPr="006E7C53">
              <w:rPr>
                <w:color w:val="auto"/>
                <w:spacing w:val="-8"/>
                <w:sz w:val="24"/>
                <w:szCs w:val="24"/>
                <w:shd w:val="clear" w:color="auto" w:fill="FFFFFF"/>
              </w:rPr>
              <w:t xml:space="preserve">register, inspect and take action to improve the quality and safety of services for the well-being of the people of Wales” (Care Inspectorate Wales 2024). </w:t>
            </w:r>
            <w:r w:rsidRPr="006E7C53">
              <w:rPr>
                <w:color w:val="auto"/>
                <w:sz w:val="24"/>
                <w:szCs w:val="24"/>
              </w:rPr>
              <w:t>The Regulation also states that verbal notifications to C</w:t>
            </w:r>
            <w:r>
              <w:rPr>
                <w:color w:val="auto"/>
                <w:sz w:val="24"/>
                <w:szCs w:val="24"/>
              </w:rPr>
              <w:t>IW</w:t>
            </w:r>
            <w:r w:rsidRPr="006E7C53">
              <w:rPr>
                <w:color w:val="auto"/>
                <w:sz w:val="24"/>
                <w:szCs w:val="24"/>
              </w:rPr>
              <w:t xml:space="preserve"> must be confirmed in writing without delay a</w:t>
            </w:r>
            <w:r>
              <w:rPr>
                <w:color w:val="auto"/>
                <w:sz w:val="24"/>
                <w:szCs w:val="24"/>
              </w:rPr>
              <w:t>s</w:t>
            </w:r>
            <w:r w:rsidRPr="006E7C53">
              <w:rPr>
                <w:color w:val="auto"/>
                <w:sz w:val="24"/>
                <w:szCs w:val="24"/>
              </w:rPr>
              <w:t xml:space="preserve"> </w:t>
            </w:r>
            <w:r>
              <w:rPr>
                <w:color w:val="auto"/>
                <w:sz w:val="24"/>
                <w:szCs w:val="24"/>
              </w:rPr>
              <w:t>CIW</w:t>
            </w:r>
            <w:r w:rsidRPr="006E7C53">
              <w:rPr>
                <w:color w:val="auto"/>
                <w:sz w:val="24"/>
                <w:szCs w:val="24"/>
              </w:rPr>
              <w:t xml:space="preserve"> expects </w:t>
            </w:r>
            <w:r>
              <w:rPr>
                <w:color w:val="auto"/>
                <w:sz w:val="24"/>
                <w:szCs w:val="24"/>
              </w:rPr>
              <w:t xml:space="preserve">notifiable incidents to be reported </w:t>
            </w:r>
            <w:r w:rsidRPr="006E7C53">
              <w:rPr>
                <w:color w:val="auto"/>
                <w:sz w:val="24"/>
                <w:szCs w:val="24"/>
              </w:rPr>
              <w:t xml:space="preserve">within 24 hours of its occurrence. </w:t>
            </w:r>
          </w:p>
          <w:p w14:paraId="42DA5FEF" w14:textId="77777777" w:rsidR="00E22E22" w:rsidRDefault="00E22E22" w:rsidP="00E22E22">
            <w:pPr>
              <w:overflowPunct/>
              <w:autoSpaceDE/>
              <w:autoSpaceDN/>
              <w:adjustRightInd/>
              <w:spacing w:after="160" w:line="259" w:lineRule="auto"/>
              <w:jc w:val="both"/>
              <w:textAlignment w:val="auto"/>
              <w:rPr>
                <w:color w:val="auto"/>
                <w:sz w:val="24"/>
                <w:szCs w:val="24"/>
              </w:rPr>
            </w:pPr>
          </w:p>
          <w:p w14:paraId="4E9F2678" w14:textId="77777777" w:rsidR="00E22E22" w:rsidRDefault="00E22E22" w:rsidP="00E22E22">
            <w:pPr>
              <w:overflowPunct/>
              <w:autoSpaceDE/>
              <w:autoSpaceDN/>
              <w:adjustRightInd/>
              <w:spacing w:after="160" w:line="259" w:lineRule="auto"/>
              <w:jc w:val="both"/>
              <w:textAlignment w:val="auto"/>
              <w:rPr>
                <w:color w:val="auto"/>
                <w:sz w:val="24"/>
                <w:szCs w:val="24"/>
              </w:rPr>
            </w:pPr>
            <w:r>
              <w:rPr>
                <w:color w:val="auto"/>
                <w:sz w:val="24"/>
                <w:szCs w:val="24"/>
              </w:rPr>
              <w:t xml:space="preserve">The Police took a very long time to conclude their enquiries which meant that a LADO meeting could not effectively take place and reach an outcome. Therefore, the IFA, LA and IRO regularly followed this up with the police, advocating how waiting for such an outcome had the potential to cause further emotional harm to a child as she already felt unheard. The police ended their enquiries and stated that there would be no further action. I spoke with my manager during Supervision, to seek guidance about how 5 would be informed and how best to approach this. It was decided that due to 5’s trusting relationship with her TSW and her establishing a good attachment with 7, they would be the ones to tell her. In addition, they chose this time to tell 5, that 7 would like to offer 5 a long-term placement which is what 5 had always wanted. In line with Section 1 of the CoPP 2017. </w:t>
            </w:r>
          </w:p>
          <w:p w14:paraId="4A93B0D8" w14:textId="77777777" w:rsidR="00E22E22" w:rsidRDefault="00E22E22" w:rsidP="00E22E22">
            <w:pPr>
              <w:overflowPunct/>
              <w:autoSpaceDE/>
              <w:autoSpaceDN/>
              <w:adjustRightInd/>
              <w:spacing w:after="160" w:line="259" w:lineRule="auto"/>
              <w:jc w:val="both"/>
              <w:textAlignment w:val="auto"/>
              <w:rPr>
                <w:color w:val="auto"/>
                <w:sz w:val="24"/>
                <w:szCs w:val="24"/>
              </w:rPr>
            </w:pPr>
          </w:p>
          <w:p w14:paraId="1EF433D9" w14:textId="77777777" w:rsidR="00E22E22" w:rsidRDefault="00E22E22" w:rsidP="00E22E22">
            <w:pPr>
              <w:overflowPunct/>
              <w:autoSpaceDE/>
              <w:autoSpaceDN/>
              <w:adjustRightInd/>
              <w:spacing w:after="160" w:line="259" w:lineRule="auto"/>
              <w:jc w:val="both"/>
              <w:textAlignment w:val="auto"/>
              <w:rPr>
                <w:color w:val="auto"/>
                <w:sz w:val="24"/>
                <w:szCs w:val="24"/>
              </w:rPr>
            </w:pPr>
            <w:r>
              <w:rPr>
                <w:color w:val="auto"/>
                <w:sz w:val="24"/>
                <w:szCs w:val="24"/>
              </w:rPr>
              <w:t xml:space="preserve">I was able to conclude my internal investigation report which I submitted to the LADO and LA which they stated was very helpful in contributing to the integration of analysis in their assessment. I attended the LADO meeting where a unanimous decision on what would be recommended for 6 was reached. Whereby, we collaboratively concluded that 6 would be </w:t>
            </w:r>
            <w:r>
              <w:rPr>
                <w:color w:val="auto"/>
                <w:sz w:val="24"/>
                <w:szCs w:val="24"/>
              </w:rPr>
              <w:lastRenderedPageBreak/>
              <w:t xml:space="preserve">better focusing on providing respite only, due to her inability to sustain a therapeutic approach for long periods of time which is possibly due to her unresolved childhood trauma and identify further training available to 6 to help her with her self-awareness, empathy and understanding of trauma. This was to safeguard any future long-term placement, risking further breakdown and ensure that we as an IFA could remain accountable for our recommendation; consistent with Section 6 &amp; 7 of the CoPP 2017. As 6’s SSW, it was my responsibility to complete a review and take 6 back to panel for a change in her approval, in line with </w:t>
            </w:r>
            <w:r>
              <w:rPr>
                <w:color w:val="auto"/>
                <w:kern w:val="2"/>
                <w:sz w:val="24"/>
                <w:szCs w:val="24"/>
                <w:lang w:eastAsia="en-US"/>
              </w:rPr>
              <w:t>The Regulated Fostering Services (Service Providers and Responsible Individuals) (Wales) Regulations 2019</w:t>
            </w:r>
            <w:r>
              <w:rPr>
                <w:color w:val="auto"/>
                <w:sz w:val="24"/>
                <w:szCs w:val="24"/>
              </w:rPr>
              <w:t xml:space="preserve">. Despite 6 being disappointed with this outcome, I used Motivational Interviewing skills (Kognito 2021) to help her understand that this decision was to safeguard the emotional wellbeing of children who have experienced severe trauma </w:t>
            </w:r>
            <w:proofErr w:type="gramStart"/>
            <w:r>
              <w:rPr>
                <w:color w:val="auto"/>
                <w:sz w:val="24"/>
                <w:szCs w:val="24"/>
              </w:rPr>
              <w:t>and also</w:t>
            </w:r>
            <w:proofErr w:type="gramEnd"/>
            <w:r>
              <w:rPr>
                <w:color w:val="auto"/>
                <w:sz w:val="24"/>
                <w:szCs w:val="24"/>
              </w:rPr>
              <w:t xml:space="preserve"> safeguard her from any future allegations. </w:t>
            </w:r>
          </w:p>
          <w:p w14:paraId="1975DC75" w14:textId="77777777" w:rsidR="00E22E22" w:rsidRDefault="00E22E22" w:rsidP="00E22E22">
            <w:pPr>
              <w:overflowPunct/>
              <w:autoSpaceDE/>
              <w:autoSpaceDN/>
              <w:adjustRightInd/>
              <w:spacing w:after="160" w:line="259" w:lineRule="auto"/>
              <w:jc w:val="both"/>
              <w:textAlignment w:val="auto"/>
              <w:rPr>
                <w:color w:val="auto"/>
                <w:sz w:val="24"/>
                <w:szCs w:val="24"/>
              </w:rPr>
            </w:pPr>
          </w:p>
          <w:p w14:paraId="59973910" w14:textId="77777777" w:rsidR="00E22E22" w:rsidRDefault="00E22E22" w:rsidP="00E22E22">
            <w:pPr>
              <w:overflowPunct/>
              <w:autoSpaceDE/>
              <w:autoSpaceDN/>
              <w:adjustRightInd/>
              <w:spacing w:after="160" w:line="259" w:lineRule="auto"/>
              <w:jc w:val="both"/>
              <w:textAlignment w:val="auto"/>
              <w:rPr>
                <w:color w:val="auto"/>
                <w:sz w:val="24"/>
                <w:szCs w:val="24"/>
              </w:rPr>
            </w:pPr>
            <w:r>
              <w:rPr>
                <w:color w:val="auto"/>
                <w:sz w:val="24"/>
                <w:szCs w:val="24"/>
              </w:rPr>
              <w:t xml:space="preserve">In conclusion, the safeguarding of 5 involved a multi-agency, collaborative approach which was person-centred and child focused. Active listening enabled effective communication, a sense of feeling valued and demonstrated respect and empathy within my approach. I have acknowledged the interface between social services provisions in Wales with the UK and inside and outside of the EU. In addition, I have identified the complexities of working with English Authorities when based in Wales and despite the differences in policies and procedures, we have a duty to work in partnership to safeguard a child. This necessitated having respect for other people’s expertise and understanding the limits of my authority and the power of other people’s role. I have demonstrated good social work values within my approach, supporting 5 with her emotional stability and used theory to inform my practice. I have demonstrated an understanding of the integration of analysis in assessment when reflecting on how my internal investigation report contributed to the achieved outcome and how my record keeping helped to identify a pattern in 6’s resilience and her inability to respond in a therapeutic manner long-term during crisis. Thus, being able to make professional judgements and reach informed decisions to safeguard others. </w:t>
            </w:r>
            <w:proofErr w:type="gramStart"/>
            <w:r>
              <w:rPr>
                <w:color w:val="auto"/>
                <w:sz w:val="24"/>
                <w:szCs w:val="24"/>
              </w:rPr>
              <w:t>In order to</w:t>
            </w:r>
            <w:proofErr w:type="gramEnd"/>
            <w:r>
              <w:rPr>
                <w:color w:val="auto"/>
                <w:sz w:val="24"/>
                <w:szCs w:val="24"/>
              </w:rPr>
              <w:t xml:space="preserve"> safeguard 5, I discussed how a safe care plan was used during crisis intervention and in addition, how this would prevent further crisis. I have discussed how I advocated on behalf of 5 and how she was supported to voice her wishes and feelings. Safeguarding is paramount above all else. However, where possible, we must uphold the trust and confidence of individuals as stated in CoPP (Social Care Wales 2017) and NOS (Social Care Wales 2023) and practice good social work values.   </w:t>
            </w:r>
          </w:p>
          <w:p w14:paraId="1974FC5F" w14:textId="77777777" w:rsidR="00E22E22" w:rsidRDefault="00E22E22" w:rsidP="00E22E22">
            <w:pPr>
              <w:overflowPunct/>
              <w:autoSpaceDE/>
              <w:autoSpaceDN/>
              <w:adjustRightInd/>
              <w:spacing w:after="160" w:line="259" w:lineRule="auto"/>
              <w:jc w:val="both"/>
              <w:textAlignment w:val="auto"/>
              <w:rPr>
                <w:color w:val="auto"/>
                <w:sz w:val="24"/>
                <w:szCs w:val="24"/>
              </w:rPr>
            </w:pPr>
          </w:p>
          <w:p w14:paraId="0E7BBCC9" w14:textId="3275C83A" w:rsidR="00D3203C" w:rsidRDefault="00E22E22" w:rsidP="00E22E22">
            <w:pPr>
              <w:overflowPunct/>
              <w:autoSpaceDE/>
              <w:autoSpaceDN/>
              <w:adjustRightInd/>
              <w:spacing w:after="160" w:line="259" w:lineRule="auto"/>
              <w:jc w:val="both"/>
              <w:textAlignment w:val="auto"/>
              <w:rPr>
                <w:i/>
                <w:sz w:val="24"/>
                <w:szCs w:val="24"/>
              </w:rPr>
            </w:pPr>
            <w:r>
              <w:rPr>
                <w:color w:val="auto"/>
                <w:sz w:val="24"/>
                <w:szCs w:val="24"/>
              </w:rPr>
              <w:t>Word Count: 4374</w:t>
            </w: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53128E" w14:textId="12E42F44" w:rsidR="00A5656A" w:rsidRDefault="00A5656A">
    <w:pPr>
      <w:pStyle w:val="Header"/>
    </w:pPr>
    <w:r>
      <w:t xml:space="preserve">Version </w:t>
    </w:r>
    <w:r w:rsidR="00DC2924">
      <w:t xml:space="preserve">1_Cohort </w:t>
    </w:r>
    <w:r w:rsidR="00E22E22">
      <w:t>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07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634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9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294"/>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15DB"/>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337"/>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2E22"/>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21"/>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legterm">
    <w:name w:val="legterm"/>
    <w:basedOn w:val="DefaultParagraphFont"/>
    <w:rsid w:val="00E22E22"/>
  </w:style>
  <w:style w:type="character" w:customStyle="1" w:styleId="legchangedelimiter">
    <w:name w:val="legchangedelimiter"/>
    <w:basedOn w:val="DefaultParagraphFont"/>
    <w:rsid w:val="00E22E22"/>
  </w:style>
  <w:style w:type="character" w:customStyle="1" w:styleId="legaddition">
    <w:name w:val="legaddition"/>
    <w:basedOn w:val="DefaultParagraphFont"/>
    <w:rsid w:val="00E22E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4584</Words>
  <Characters>24137</Characters>
  <Application>Microsoft Office Word</Application>
  <DocSecurity>0</DocSecurity>
  <Lines>201</Lines>
  <Paragraphs>57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28664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Ceri Hughes</cp:lastModifiedBy>
  <cp:revision>2</cp:revision>
  <cp:lastPrinted>2020-02-11T19:20:00Z</cp:lastPrinted>
  <dcterms:created xsi:type="dcterms:W3CDTF">2024-08-06T10:06:00Z</dcterms:created>
  <dcterms:modified xsi:type="dcterms:W3CDTF">2024-08-06T10:06:00Z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