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68F4" w:rsidRDefault="008D5D33" w:rsidP="008D5D33">
      <w:pPr>
        <w:spacing w:line="360" w:lineRule="auto"/>
        <w:rPr>
          <w:rFonts w:ascii="Arial" w:hAnsi="Arial" w:cs="Arial"/>
          <w:sz w:val="24"/>
          <w:szCs w:val="24"/>
        </w:rPr>
      </w:pPr>
      <w:r w:rsidRPr="004E1374">
        <w:rPr>
          <w:rFonts w:ascii="Arial" w:hAnsi="Arial" w:cs="Arial"/>
          <w:b/>
          <w:noProof/>
          <w:sz w:val="24"/>
          <w:szCs w:val="24"/>
          <w:lang w:val="en-IN" w:eastAsia="en-IN"/>
        </w:rPr>
        <w:drawing>
          <wp:anchor distT="0" distB="0" distL="114300" distR="114300" simplePos="0" relativeHeight="251659264" behindDoc="1" locked="0" layoutInCell="1" allowOverlap="1" wp14:anchorId="6B126237" wp14:editId="3B4EB651">
            <wp:simplePos x="0" y="0"/>
            <wp:positionH relativeFrom="margin">
              <wp:posOffset>-506095</wp:posOffset>
            </wp:positionH>
            <wp:positionV relativeFrom="paragraph">
              <wp:posOffset>0</wp:posOffset>
            </wp:positionV>
            <wp:extent cx="2922905" cy="124650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5-10-15 11310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22905" cy="1246505"/>
                    </a:xfrm>
                    <a:prstGeom prst="rect">
                      <a:avLst/>
                    </a:prstGeom>
                  </pic:spPr>
                </pic:pic>
              </a:graphicData>
            </a:graphic>
            <wp14:sizeRelH relativeFrom="margin">
              <wp14:pctWidth>0</wp14:pctWidth>
            </wp14:sizeRelH>
            <wp14:sizeRelV relativeFrom="margin">
              <wp14:pctHeight>0</wp14:pctHeight>
            </wp14:sizeRelV>
          </wp:anchor>
        </w:drawing>
      </w:r>
    </w:p>
    <w:p w:rsidR="008D5D33" w:rsidRDefault="008D5D33" w:rsidP="008D5D33">
      <w:pPr>
        <w:spacing w:line="360" w:lineRule="auto"/>
        <w:rPr>
          <w:rFonts w:ascii="Arial" w:hAnsi="Arial" w:cs="Arial"/>
          <w:sz w:val="24"/>
          <w:szCs w:val="24"/>
        </w:rPr>
      </w:pPr>
    </w:p>
    <w:p w:rsidR="008D5D33" w:rsidRDefault="008D5D33" w:rsidP="008D5D33">
      <w:pPr>
        <w:spacing w:line="360" w:lineRule="auto"/>
        <w:rPr>
          <w:rFonts w:ascii="Arial" w:hAnsi="Arial" w:cs="Arial"/>
          <w:sz w:val="24"/>
          <w:szCs w:val="24"/>
        </w:rPr>
      </w:pPr>
    </w:p>
    <w:p w:rsidR="008D5D33" w:rsidRDefault="008D5D33" w:rsidP="008D5D33">
      <w:pPr>
        <w:spacing w:line="360" w:lineRule="auto"/>
        <w:rPr>
          <w:rFonts w:ascii="Arial" w:hAnsi="Arial" w:cs="Arial"/>
          <w:sz w:val="24"/>
          <w:szCs w:val="24"/>
        </w:rPr>
      </w:pPr>
    </w:p>
    <w:p w:rsidR="008D5D33" w:rsidRDefault="008D5D33" w:rsidP="008D5D33">
      <w:pPr>
        <w:spacing w:line="360" w:lineRule="auto"/>
        <w:rPr>
          <w:rFonts w:ascii="Arial" w:hAnsi="Arial" w:cs="Arial"/>
          <w:sz w:val="24"/>
          <w:szCs w:val="24"/>
        </w:rPr>
      </w:pPr>
    </w:p>
    <w:p w:rsidR="008D5D33" w:rsidRPr="004E1374" w:rsidRDefault="008D5D33" w:rsidP="008D5D33">
      <w:pPr>
        <w:spacing w:before="240" w:after="240" w:line="360" w:lineRule="auto"/>
        <w:rPr>
          <w:rFonts w:ascii="Arial" w:eastAsia="Times New Roman" w:hAnsi="Arial" w:cs="Arial"/>
          <w:sz w:val="24"/>
          <w:szCs w:val="24"/>
          <w:lang w:eastAsia="en-IN"/>
        </w:rPr>
      </w:pPr>
      <w:r>
        <w:rPr>
          <w:rFonts w:ascii="Arial" w:eastAsia="Times New Roman" w:hAnsi="Arial" w:cs="Arial"/>
          <w:b/>
          <w:bCs/>
          <w:color w:val="000000"/>
          <w:sz w:val="24"/>
          <w:szCs w:val="24"/>
          <w:lang w:eastAsia="en-IN"/>
        </w:rPr>
        <w:t xml:space="preserve">                                               </w:t>
      </w:r>
      <w:r w:rsidRPr="004E1374">
        <w:rPr>
          <w:rFonts w:ascii="Arial" w:eastAsia="Times New Roman" w:hAnsi="Arial" w:cs="Arial"/>
          <w:b/>
          <w:bCs/>
          <w:color w:val="000000"/>
          <w:sz w:val="24"/>
          <w:szCs w:val="24"/>
          <w:lang w:eastAsia="en-IN"/>
        </w:rPr>
        <w:t>Module Code</w:t>
      </w:r>
      <w:r>
        <w:rPr>
          <w:rFonts w:ascii="Arial" w:eastAsia="Times New Roman" w:hAnsi="Arial" w:cs="Arial"/>
          <w:color w:val="000000"/>
          <w:sz w:val="24"/>
          <w:szCs w:val="24"/>
          <w:lang w:eastAsia="en-IN"/>
        </w:rPr>
        <w:t xml:space="preserve"> : LCMB7002</w:t>
      </w:r>
    </w:p>
    <w:p w:rsidR="008D5D33" w:rsidRPr="004E1374" w:rsidRDefault="008D5D33" w:rsidP="008D5D33">
      <w:pPr>
        <w:spacing w:before="240" w:after="240" w:line="360" w:lineRule="auto"/>
        <w:rPr>
          <w:rFonts w:ascii="Arial" w:eastAsia="Times New Roman" w:hAnsi="Arial" w:cs="Arial"/>
          <w:sz w:val="24"/>
          <w:szCs w:val="24"/>
          <w:lang w:eastAsia="en-IN"/>
        </w:rPr>
      </w:pPr>
      <w:r>
        <w:rPr>
          <w:rFonts w:ascii="Arial" w:eastAsia="Times New Roman" w:hAnsi="Arial" w:cs="Arial"/>
          <w:b/>
          <w:bCs/>
          <w:color w:val="000000"/>
          <w:sz w:val="24"/>
          <w:szCs w:val="24"/>
          <w:lang w:eastAsia="en-IN"/>
        </w:rPr>
        <w:t xml:space="preserve">                                    </w:t>
      </w:r>
      <w:r w:rsidRPr="004E1374">
        <w:rPr>
          <w:rFonts w:ascii="Arial" w:eastAsia="Times New Roman" w:hAnsi="Arial" w:cs="Arial"/>
          <w:b/>
          <w:bCs/>
          <w:color w:val="000000"/>
          <w:sz w:val="24"/>
          <w:szCs w:val="24"/>
          <w:lang w:eastAsia="en-IN"/>
        </w:rPr>
        <w:t>Module Name</w:t>
      </w:r>
      <w:r>
        <w:rPr>
          <w:rFonts w:ascii="Arial" w:eastAsia="Times New Roman" w:hAnsi="Arial" w:cs="Arial"/>
          <w:color w:val="000000"/>
          <w:sz w:val="24"/>
          <w:szCs w:val="24"/>
          <w:lang w:eastAsia="en-IN"/>
        </w:rPr>
        <w:t xml:space="preserve"> : Financial </w:t>
      </w:r>
      <w:r w:rsidRPr="004E1374">
        <w:rPr>
          <w:rFonts w:ascii="Arial" w:eastAsia="Times New Roman" w:hAnsi="Arial" w:cs="Arial"/>
          <w:color w:val="000000"/>
          <w:sz w:val="24"/>
          <w:szCs w:val="24"/>
          <w:lang w:eastAsia="en-IN"/>
        </w:rPr>
        <w:t>Management</w:t>
      </w:r>
    </w:p>
    <w:p w:rsidR="008D5D33" w:rsidRPr="004E1374" w:rsidRDefault="008D5D33" w:rsidP="008D5D33">
      <w:pPr>
        <w:spacing w:before="240" w:after="240" w:line="360" w:lineRule="auto"/>
        <w:rPr>
          <w:rFonts w:ascii="Arial" w:eastAsia="Times New Roman" w:hAnsi="Arial" w:cs="Arial"/>
          <w:sz w:val="24"/>
          <w:szCs w:val="24"/>
          <w:lang w:eastAsia="en-IN"/>
        </w:rPr>
      </w:pPr>
      <w:r>
        <w:rPr>
          <w:rFonts w:ascii="Arial" w:eastAsia="Times New Roman" w:hAnsi="Arial" w:cs="Arial"/>
          <w:b/>
          <w:bCs/>
          <w:color w:val="000000"/>
          <w:sz w:val="24"/>
          <w:szCs w:val="24"/>
          <w:lang w:eastAsia="en-IN"/>
        </w:rPr>
        <w:t xml:space="preserve">                                                </w:t>
      </w:r>
      <w:r w:rsidR="00E02B51" w:rsidRPr="004E1374">
        <w:rPr>
          <w:rFonts w:ascii="Arial" w:eastAsia="Times New Roman" w:hAnsi="Arial" w:cs="Arial"/>
          <w:b/>
          <w:bCs/>
          <w:color w:val="000000"/>
          <w:sz w:val="24"/>
          <w:szCs w:val="24"/>
          <w:lang w:eastAsia="en-IN"/>
        </w:rPr>
        <w:t>Lecturer</w:t>
      </w:r>
      <w:r w:rsidR="00E02B51">
        <w:rPr>
          <w:rFonts w:ascii="Arial" w:eastAsia="Times New Roman" w:hAnsi="Arial" w:cs="Arial"/>
          <w:color w:val="000000"/>
          <w:sz w:val="24"/>
          <w:szCs w:val="24"/>
          <w:lang w:eastAsia="en-IN"/>
        </w:rPr>
        <w:t>:</w:t>
      </w:r>
      <w:r>
        <w:rPr>
          <w:rFonts w:ascii="Arial" w:eastAsia="Times New Roman" w:hAnsi="Arial" w:cs="Arial"/>
          <w:color w:val="000000"/>
          <w:sz w:val="24"/>
          <w:szCs w:val="24"/>
          <w:lang w:eastAsia="en-IN"/>
        </w:rPr>
        <w:t xml:space="preserve"> Patrick Yeboah</w:t>
      </w:r>
    </w:p>
    <w:p w:rsidR="00CA70BB" w:rsidRDefault="008D5D33" w:rsidP="008D5D33">
      <w:pPr>
        <w:spacing w:before="240" w:after="240" w:line="360" w:lineRule="auto"/>
        <w:jc w:val="center"/>
        <w:rPr>
          <w:rFonts w:ascii="Arial" w:eastAsia="Times New Roman" w:hAnsi="Arial" w:cs="Arial"/>
          <w:color w:val="000000"/>
          <w:sz w:val="24"/>
          <w:szCs w:val="24"/>
          <w:lang w:eastAsia="en-IN"/>
        </w:rPr>
      </w:pPr>
      <w:r w:rsidRPr="004E1374">
        <w:rPr>
          <w:rFonts w:ascii="Arial" w:eastAsia="Times New Roman" w:hAnsi="Arial" w:cs="Arial"/>
          <w:b/>
          <w:bCs/>
          <w:color w:val="000000"/>
          <w:sz w:val="24"/>
          <w:szCs w:val="24"/>
          <w:lang w:eastAsia="en-IN"/>
        </w:rPr>
        <w:t>Word Count</w:t>
      </w:r>
      <w:r>
        <w:rPr>
          <w:rFonts w:ascii="Arial" w:eastAsia="Times New Roman" w:hAnsi="Arial" w:cs="Arial"/>
          <w:color w:val="000000"/>
          <w:sz w:val="24"/>
          <w:szCs w:val="24"/>
          <w:lang w:eastAsia="en-IN"/>
        </w:rPr>
        <w:t xml:space="preserve"> : </w:t>
      </w:r>
      <w:r w:rsidR="00E02B51">
        <w:rPr>
          <w:rFonts w:ascii="Arial" w:eastAsia="Times New Roman" w:hAnsi="Arial" w:cs="Arial"/>
          <w:color w:val="000000"/>
          <w:sz w:val="24"/>
          <w:szCs w:val="24"/>
          <w:lang w:eastAsia="en-IN"/>
        </w:rPr>
        <w:t>5065</w:t>
      </w:r>
      <w:bookmarkStart w:id="0" w:name="_GoBack"/>
      <w:bookmarkEnd w:id="0"/>
    </w:p>
    <w:p w:rsidR="00CA70BB" w:rsidRPr="004E1374" w:rsidRDefault="00CA70BB" w:rsidP="00CA70BB">
      <w:pPr>
        <w:spacing w:before="240" w:after="240" w:line="360" w:lineRule="auto"/>
        <w:jc w:val="center"/>
        <w:rPr>
          <w:rFonts w:ascii="Arial" w:eastAsia="Times New Roman" w:hAnsi="Arial" w:cs="Arial"/>
          <w:sz w:val="24"/>
          <w:szCs w:val="24"/>
          <w:lang w:eastAsia="en-IN"/>
        </w:rPr>
      </w:pPr>
      <w:r w:rsidRPr="004E1374">
        <w:rPr>
          <w:rFonts w:ascii="Arial" w:eastAsia="Times New Roman" w:hAnsi="Arial" w:cs="Arial"/>
          <w:b/>
          <w:bCs/>
          <w:color w:val="000000"/>
          <w:sz w:val="24"/>
          <w:szCs w:val="24"/>
          <w:lang w:eastAsia="en-IN"/>
        </w:rPr>
        <w:t xml:space="preserve">Student Name </w:t>
      </w:r>
      <w:r w:rsidRPr="004E1374">
        <w:rPr>
          <w:rFonts w:ascii="Arial" w:eastAsia="Times New Roman" w:hAnsi="Arial" w:cs="Arial"/>
          <w:color w:val="000000"/>
          <w:sz w:val="24"/>
          <w:szCs w:val="24"/>
          <w:lang w:eastAsia="en-IN"/>
        </w:rPr>
        <w:t>: Merlin Lawrence</w:t>
      </w:r>
    </w:p>
    <w:p w:rsidR="00CA70BB" w:rsidRPr="004E1374" w:rsidRDefault="00CA70BB" w:rsidP="00CA70BB">
      <w:pPr>
        <w:spacing w:line="360" w:lineRule="auto"/>
        <w:jc w:val="center"/>
        <w:rPr>
          <w:rFonts w:ascii="Arial" w:hAnsi="Arial" w:cs="Arial"/>
          <w:b/>
          <w:sz w:val="24"/>
          <w:szCs w:val="24"/>
        </w:rPr>
      </w:pPr>
      <w:r w:rsidRPr="004E1374">
        <w:rPr>
          <w:rFonts w:ascii="Arial" w:eastAsia="Times New Roman" w:hAnsi="Arial" w:cs="Arial"/>
          <w:b/>
          <w:bCs/>
          <w:color w:val="000000"/>
          <w:sz w:val="24"/>
          <w:szCs w:val="24"/>
          <w:lang w:eastAsia="en-IN"/>
        </w:rPr>
        <w:t>Student ID</w:t>
      </w:r>
      <w:r w:rsidRPr="004E1374">
        <w:rPr>
          <w:rFonts w:ascii="Arial" w:eastAsia="Times New Roman" w:hAnsi="Arial" w:cs="Arial"/>
          <w:color w:val="000000"/>
          <w:sz w:val="24"/>
          <w:szCs w:val="24"/>
          <w:lang w:eastAsia="en-IN"/>
        </w:rPr>
        <w:t xml:space="preserve"> : 2437597</w:t>
      </w:r>
    </w:p>
    <w:p w:rsidR="00CA70BB" w:rsidRDefault="00CA70BB" w:rsidP="008D5D33">
      <w:pPr>
        <w:spacing w:before="240" w:after="240" w:line="360" w:lineRule="auto"/>
        <w:jc w:val="center"/>
        <w:rPr>
          <w:rFonts w:ascii="Arial" w:eastAsia="Times New Roman" w:hAnsi="Arial" w:cs="Arial"/>
          <w:color w:val="000000"/>
          <w:sz w:val="24"/>
          <w:szCs w:val="24"/>
          <w:lang w:eastAsia="en-IN"/>
        </w:rPr>
      </w:pPr>
    </w:p>
    <w:p w:rsidR="00CA70BB" w:rsidRDefault="00CA70BB">
      <w:pPr>
        <w:rPr>
          <w:rFonts w:ascii="Arial" w:eastAsia="Times New Roman" w:hAnsi="Arial" w:cs="Arial"/>
          <w:color w:val="000000"/>
          <w:sz w:val="24"/>
          <w:szCs w:val="24"/>
          <w:lang w:eastAsia="en-IN"/>
        </w:rPr>
      </w:pPr>
      <w:r>
        <w:rPr>
          <w:rFonts w:ascii="Arial" w:eastAsia="Times New Roman" w:hAnsi="Arial" w:cs="Arial"/>
          <w:color w:val="000000"/>
          <w:sz w:val="24"/>
          <w:szCs w:val="24"/>
          <w:lang w:eastAsia="en-IN"/>
        </w:rPr>
        <w:br w:type="page"/>
      </w:r>
    </w:p>
    <w:p w:rsidR="00CA70BB" w:rsidRDefault="00CA70BB" w:rsidP="008D5D33">
      <w:pPr>
        <w:spacing w:before="240" w:after="240" w:line="360" w:lineRule="auto"/>
        <w:jc w:val="center"/>
        <w:rPr>
          <w:rFonts w:ascii="Arial" w:eastAsia="Times New Roman" w:hAnsi="Arial" w:cs="Arial"/>
          <w:sz w:val="24"/>
          <w:szCs w:val="24"/>
          <w:lang w:eastAsia="en-IN"/>
        </w:rPr>
      </w:pPr>
    </w:p>
    <w:p w:rsidR="00EF6880" w:rsidRDefault="00EF6880" w:rsidP="00EF6880">
      <w:pPr>
        <w:spacing w:line="360" w:lineRule="auto"/>
        <w:jc w:val="center"/>
        <w:rPr>
          <w:rFonts w:ascii="Arial" w:hAnsi="Arial" w:cs="Arial"/>
          <w:b/>
          <w:bCs/>
          <w:i/>
          <w:iCs/>
          <w:sz w:val="32"/>
        </w:rPr>
      </w:pPr>
    </w:p>
    <w:p w:rsidR="00EF6880" w:rsidRDefault="00EF6880" w:rsidP="00EF6880">
      <w:pPr>
        <w:spacing w:line="360" w:lineRule="auto"/>
        <w:jc w:val="center"/>
        <w:rPr>
          <w:rFonts w:ascii="Arial" w:hAnsi="Arial" w:cs="Arial"/>
          <w:b/>
          <w:bCs/>
          <w:i/>
          <w:iCs/>
          <w:sz w:val="32"/>
        </w:rPr>
      </w:pPr>
    </w:p>
    <w:p w:rsidR="00EF6880" w:rsidRDefault="00EF6880" w:rsidP="00EF6880">
      <w:pPr>
        <w:spacing w:line="360" w:lineRule="auto"/>
        <w:jc w:val="center"/>
        <w:rPr>
          <w:rFonts w:ascii="Arial" w:hAnsi="Arial" w:cs="Arial"/>
          <w:b/>
          <w:bCs/>
          <w:i/>
          <w:iCs/>
          <w:sz w:val="32"/>
        </w:rPr>
      </w:pPr>
    </w:p>
    <w:p w:rsidR="00EF6880" w:rsidRDefault="00EF6880" w:rsidP="00EF6880">
      <w:pPr>
        <w:spacing w:line="360" w:lineRule="auto"/>
        <w:jc w:val="center"/>
        <w:rPr>
          <w:rFonts w:ascii="Arial" w:hAnsi="Arial" w:cs="Arial"/>
          <w:b/>
          <w:bCs/>
          <w:i/>
          <w:iCs/>
          <w:sz w:val="32"/>
        </w:rPr>
      </w:pPr>
    </w:p>
    <w:p w:rsidR="00EF6880" w:rsidRDefault="00EF6880" w:rsidP="00EF6880">
      <w:pPr>
        <w:spacing w:line="360" w:lineRule="auto"/>
        <w:jc w:val="center"/>
        <w:rPr>
          <w:rFonts w:ascii="Arial" w:hAnsi="Arial" w:cs="Arial"/>
          <w:b/>
          <w:bCs/>
          <w:i/>
          <w:iCs/>
          <w:sz w:val="32"/>
        </w:rPr>
      </w:pPr>
    </w:p>
    <w:p w:rsidR="00EF6880" w:rsidRDefault="00EF6880" w:rsidP="00EF6880">
      <w:pPr>
        <w:spacing w:line="360" w:lineRule="auto"/>
        <w:jc w:val="center"/>
        <w:rPr>
          <w:rFonts w:ascii="Arial" w:hAnsi="Arial" w:cs="Arial"/>
          <w:b/>
          <w:bCs/>
          <w:i/>
          <w:iCs/>
          <w:sz w:val="32"/>
        </w:rPr>
      </w:pPr>
    </w:p>
    <w:p w:rsidR="00EF6880" w:rsidRDefault="00EF6880" w:rsidP="00EF6880">
      <w:pPr>
        <w:spacing w:line="360" w:lineRule="auto"/>
        <w:jc w:val="center"/>
        <w:rPr>
          <w:rFonts w:ascii="Arial" w:hAnsi="Arial" w:cs="Arial"/>
          <w:b/>
          <w:bCs/>
          <w:i/>
          <w:iCs/>
          <w:sz w:val="32"/>
        </w:rPr>
      </w:pPr>
    </w:p>
    <w:p w:rsidR="00EF6880" w:rsidRDefault="00EF6880" w:rsidP="00EF6880">
      <w:pPr>
        <w:spacing w:line="360" w:lineRule="auto"/>
        <w:jc w:val="center"/>
        <w:rPr>
          <w:rFonts w:ascii="Arial" w:hAnsi="Arial" w:cs="Arial"/>
          <w:b/>
          <w:bCs/>
          <w:i/>
          <w:iCs/>
          <w:sz w:val="32"/>
        </w:rPr>
      </w:pPr>
    </w:p>
    <w:p w:rsidR="00EF6880" w:rsidRPr="007F185D" w:rsidRDefault="00EF6880" w:rsidP="00EF6880">
      <w:pPr>
        <w:spacing w:line="360" w:lineRule="auto"/>
        <w:jc w:val="center"/>
        <w:rPr>
          <w:rFonts w:ascii="Arial" w:hAnsi="Arial" w:cs="Arial"/>
          <w:b/>
          <w:bCs/>
          <w:iCs/>
          <w:sz w:val="48"/>
        </w:rPr>
      </w:pPr>
      <w:r w:rsidRPr="007F185D">
        <w:rPr>
          <w:rFonts w:ascii="Arial" w:hAnsi="Arial" w:cs="Arial"/>
          <w:b/>
          <w:bCs/>
          <w:iCs/>
          <w:sz w:val="48"/>
        </w:rPr>
        <w:t>Strategic CFO Challenge: Saving a Failing Global Firm</w:t>
      </w:r>
    </w:p>
    <w:p w:rsidR="00EF6880" w:rsidRDefault="00EF6880">
      <w:pPr>
        <w:rPr>
          <w:rFonts w:ascii="Arial" w:hAnsi="Arial" w:cs="Arial"/>
          <w:b/>
          <w:bCs/>
          <w:i/>
          <w:iCs/>
          <w:sz w:val="32"/>
        </w:rPr>
      </w:pPr>
      <w:r>
        <w:rPr>
          <w:rFonts w:ascii="Arial" w:hAnsi="Arial" w:cs="Arial"/>
          <w:b/>
          <w:bCs/>
          <w:i/>
          <w:iCs/>
          <w:sz w:val="32"/>
        </w:rPr>
        <w:br w:type="page"/>
      </w:r>
    </w:p>
    <w:p w:rsidR="00EF6880" w:rsidRPr="00056FA2" w:rsidRDefault="00EF6880" w:rsidP="00EF6880">
      <w:pPr>
        <w:spacing w:line="360" w:lineRule="auto"/>
        <w:jc w:val="both"/>
        <w:rPr>
          <w:rFonts w:ascii="Arial" w:hAnsi="Arial" w:cs="Arial"/>
          <w:iCs/>
          <w:sz w:val="28"/>
          <w:u w:val="single"/>
        </w:rPr>
      </w:pPr>
      <w:r w:rsidRPr="00056FA2">
        <w:rPr>
          <w:rFonts w:ascii="Arial" w:hAnsi="Arial" w:cs="Arial"/>
          <w:iCs/>
          <w:sz w:val="28"/>
          <w:u w:val="single"/>
        </w:rPr>
        <w:lastRenderedPageBreak/>
        <w:t>Table of contents</w:t>
      </w:r>
    </w:p>
    <w:tbl>
      <w:tblPr>
        <w:tblStyle w:val="TableGrid"/>
        <w:tblW w:w="0" w:type="auto"/>
        <w:tblLook w:val="04A0" w:firstRow="1" w:lastRow="0" w:firstColumn="1" w:lastColumn="0" w:noHBand="0" w:noVBand="1"/>
      </w:tblPr>
      <w:tblGrid>
        <w:gridCol w:w="4315"/>
        <w:gridCol w:w="4315"/>
      </w:tblGrid>
      <w:tr w:rsidR="00EF6880" w:rsidTr="00EF6880">
        <w:tc>
          <w:tcPr>
            <w:tcW w:w="4315" w:type="dxa"/>
          </w:tcPr>
          <w:p w:rsidR="00EF6880" w:rsidRPr="00C65B22" w:rsidRDefault="00056FA2" w:rsidP="00EF6880">
            <w:pPr>
              <w:spacing w:line="360" w:lineRule="auto"/>
              <w:jc w:val="both"/>
              <w:rPr>
                <w:rFonts w:ascii="Arial" w:hAnsi="Arial" w:cs="Arial"/>
                <w:b/>
                <w:iCs/>
                <w:sz w:val="24"/>
                <w:szCs w:val="24"/>
              </w:rPr>
            </w:pPr>
            <w:r w:rsidRPr="00C65B22">
              <w:rPr>
                <w:rFonts w:ascii="Arial" w:hAnsi="Arial" w:cs="Arial"/>
                <w:b/>
                <w:iCs/>
                <w:sz w:val="24"/>
                <w:szCs w:val="24"/>
              </w:rPr>
              <w:t>Sn. No</w:t>
            </w:r>
          </w:p>
        </w:tc>
        <w:tc>
          <w:tcPr>
            <w:tcW w:w="4315" w:type="dxa"/>
          </w:tcPr>
          <w:p w:rsidR="00EF6880" w:rsidRPr="00C65B22" w:rsidRDefault="00056FA2" w:rsidP="00EF6880">
            <w:pPr>
              <w:spacing w:line="360" w:lineRule="auto"/>
              <w:jc w:val="both"/>
              <w:rPr>
                <w:rFonts w:ascii="Arial" w:hAnsi="Arial" w:cs="Arial"/>
                <w:b/>
                <w:iCs/>
                <w:sz w:val="24"/>
                <w:szCs w:val="24"/>
              </w:rPr>
            </w:pPr>
            <w:r w:rsidRPr="00C65B22">
              <w:rPr>
                <w:rFonts w:ascii="Arial" w:hAnsi="Arial" w:cs="Arial"/>
                <w:b/>
                <w:iCs/>
                <w:sz w:val="24"/>
                <w:szCs w:val="24"/>
              </w:rPr>
              <w:t>Contents</w:t>
            </w:r>
          </w:p>
        </w:tc>
      </w:tr>
      <w:tr w:rsidR="00EF6880" w:rsidTr="00EF6880">
        <w:tc>
          <w:tcPr>
            <w:tcW w:w="4315" w:type="dxa"/>
          </w:tcPr>
          <w:p w:rsidR="00EF6880" w:rsidRPr="00C65B22" w:rsidRDefault="0079670D" w:rsidP="00EF6880">
            <w:pPr>
              <w:spacing w:line="360" w:lineRule="auto"/>
              <w:jc w:val="both"/>
              <w:rPr>
                <w:rFonts w:ascii="Arial" w:hAnsi="Arial" w:cs="Arial"/>
                <w:b/>
                <w:iCs/>
                <w:sz w:val="24"/>
                <w:szCs w:val="24"/>
              </w:rPr>
            </w:pPr>
            <w:r w:rsidRPr="00C65B22">
              <w:rPr>
                <w:rFonts w:ascii="Arial" w:hAnsi="Arial" w:cs="Arial"/>
                <w:b/>
                <w:iCs/>
                <w:sz w:val="24"/>
                <w:szCs w:val="24"/>
              </w:rPr>
              <w:t>1</w:t>
            </w:r>
          </w:p>
        </w:tc>
        <w:tc>
          <w:tcPr>
            <w:tcW w:w="4315" w:type="dxa"/>
          </w:tcPr>
          <w:p w:rsidR="00EF6880" w:rsidRPr="00C65B22" w:rsidRDefault="0079670D" w:rsidP="00EF6880">
            <w:pPr>
              <w:spacing w:line="360" w:lineRule="auto"/>
              <w:jc w:val="both"/>
              <w:rPr>
                <w:rFonts w:ascii="Arial" w:hAnsi="Arial" w:cs="Arial"/>
                <w:i/>
                <w:iCs/>
                <w:sz w:val="24"/>
                <w:szCs w:val="24"/>
                <w:u w:val="single"/>
              </w:rPr>
            </w:pPr>
            <w:r w:rsidRPr="00C65B22">
              <w:rPr>
                <w:rFonts w:ascii="Arial" w:hAnsi="Arial" w:cs="Arial"/>
                <w:b/>
                <w:bCs/>
                <w:sz w:val="24"/>
                <w:szCs w:val="24"/>
              </w:rPr>
              <w:t>Financial Health Check</w:t>
            </w:r>
          </w:p>
        </w:tc>
      </w:tr>
      <w:tr w:rsidR="00EF6880" w:rsidTr="00EF6880">
        <w:tc>
          <w:tcPr>
            <w:tcW w:w="4315" w:type="dxa"/>
          </w:tcPr>
          <w:p w:rsidR="00EF6880" w:rsidRPr="00C65B22" w:rsidRDefault="0079670D" w:rsidP="00EF6880">
            <w:pPr>
              <w:spacing w:line="360" w:lineRule="auto"/>
              <w:jc w:val="both"/>
              <w:rPr>
                <w:rFonts w:ascii="Arial" w:hAnsi="Arial" w:cs="Arial"/>
                <w:b/>
                <w:iCs/>
                <w:sz w:val="24"/>
                <w:szCs w:val="24"/>
              </w:rPr>
            </w:pPr>
            <w:r w:rsidRPr="00C65B22">
              <w:rPr>
                <w:rFonts w:ascii="Arial" w:hAnsi="Arial" w:cs="Arial"/>
                <w:b/>
                <w:iCs/>
                <w:sz w:val="24"/>
                <w:szCs w:val="24"/>
              </w:rPr>
              <w:t>2</w:t>
            </w:r>
          </w:p>
        </w:tc>
        <w:tc>
          <w:tcPr>
            <w:tcW w:w="4315" w:type="dxa"/>
          </w:tcPr>
          <w:p w:rsidR="00EF6880" w:rsidRPr="00C65B22" w:rsidRDefault="00C65B22" w:rsidP="00EF6880">
            <w:pPr>
              <w:spacing w:line="360" w:lineRule="auto"/>
              <w:jc w:val="both"/>
              <w:rPr>
                <w:rFonts w:ascii="Arial" w:hAnsi="Arial" w:cs="Arial"/>
                <w:i/>
                <w:iCs/>
                <w:sz w:val="24"/>
                <w:szCs w:val="24"/>
                <w:u w:val="single"/>
              </w:rPr>
            </w:pPr>
            <w:r w:rsidRPr="00C65B22">
              <w:rPr>
                <w:rFonts w:ascii="Arial" w:hAnsi="Arial" w:cs="Arial"/>
                <w:b/>
                <w:bCs/>
                <w:sz w:val="24"/>
                <w:szCs w:val="24"/>
              </w:rPr>
              <w:t xml:space="preserve">Working Capital Management Analysis </w:t>
            </w:r>
          </w:p>
        </w:tc>
      </w:tr>
      <w:tr w:rsidR="00EF6880" w:rsidTr="00EF6880">
        <w:tc>
          <w:tcPr>
            <w:tcW w:w="4315" w:type="dxa"/>
          </w:tcPr>
          <w:p w:rsidR="00EF6880" w:rsidRPr="00C65B22" w:rsidRDefault="00C65B22" w:rsidP="00EF6880">
            <w:pPr>
              <w:spacing w:line="360" w:lineRule="auto"/>
              <w:jc w:val="both"/>
              <w:rPr>
                <w:rFonts w:ascii="Arial" w:hAnsi="Arial" w:cs="Arial"/>
                <w:b/>
                <w:iCs/>
                <w:sz w:val="24"/>
                <w:szCs w:val="24"/>
              </w:rPr>
            </w:pPr>
            <w:r w:rsidRPr="00C65B22">
              <w:rPr>
                <w:rFonts w:ascii="Arial" w:hAnsi="Arial" w:cs="Arial"/>
                <w:b/>
                <w:iCs/>
                <w:sz w:val="24"/>
                <w:szCs w:val="24"/>
              </w:rPr>
              <w:t>3</w:t>
            </w:r>
          </w:p>
        </w:tc>
        <w:tc>
          <w:tcPr>
            <w:tcW w:w="4315" w:type="dxa"/>
          </w:tcPr>
          <w:p w:rsidR="00EF6880" w:rsidRPr="00C65B22" w:rsidRDefault="00C65B22" w:rsidP="00EF6880">
            <w:pPr>
              <w:spacing w:line="360" w:lineRule="auto"/>
              <w:jc w:val="both"/>
              <w:rPr>
                <w:rFonts w:ascii="Arial" w:hAnsi="Arial" w:cs="Arial"/>
                <w:i/>
                <w:iCs/>
                <w:sz w:val="24"/>
                <w:szCs w:val="24"/>
                <w:u w:val="single"/>
              </w:rPr>
            </w:pPr>
            <w:r w:rsidRPr="00C65B22">
              <w:rPr>
                <w:rFonts w:ascii="Arial" w:hAnsi="Arial" w:cs="Arial"/>
                <w:b/>
                <w:bCs/>
                <w:sz w:val="24"/>
                <w:szCs w:val="24"/>
              </w:rPr>
              <w:t xml:space="preserve">Strategic Financial Restructuring Plan </w:t>
            </w:r>
          </w:p>
        </w:tc>
      </w:tr>
      <w:tr w:rsidR="00EF6880" w:rsidTr="00EF6880">
        <w:tc>
          <w:tcPr>
            <w:tcW w:w="4315" w:type="dxa"/>
          </w:tcPr>
          <w:p w:rsidR="00EF6880" w:rsidRPr="00C65B22" w:rsidRDefault="00C65B22" w:rsidP="00EF6880">
            <w:pPr>
              <w:spacing w:line="360" w:lineRule="auto"/>
              <w:jc w:val="both"/>
              <w:rPr>
                <w:rFonts w:ascii="Arial" w:hAnsi="Arial" w:cs="Arial"/>
                <w:b/>
                <w:iCs/>
                <w:sz w:val="24"/>
                <w:szCs w:val="24"/>
              </w:rPr>
            </w:pPr>
            <w:r w:rsidRPr="00C65B22">
              <w:rPr>
                <w:rFonts w:ascii="Arial" w:hAnsi="Arial" w:cs="Arial"/>
                <w:b/>
                <w:iCs/>
                <w:sz w:val="24"/>
                <w:szCs w:val="24"/>
              </w:rPr>
              <w:t>4</w:t>
            </w:r>
          </w:p>
        </w:tc>
        <w:tc>
          <w:tcPr>
            <w:tcW w:w="4315" w:type="dxa"/>
          </w:tcPr>
          <w:p w:rsidR="00EF6880" w:rsidRPr="00C65B22" w:rsidRDefault="00C65B22" w:rsidP="00EF6880">
            <w:pPr>
              <w:spacing w:line="360" w:lineRule="auto"/>
              <w:jc w:val="both"/>
              <w:rPr>
                <w:rFonts w:ascii="Arial" w:hAnsi="Arial" w:cs="Arial"/>
                <w:i/>
                <w:iCs/>
                <w:sz w:val="24"/>
                <w:szCs w:val="24"/>
                <w:u w:val="single"/>
              </w:rPr>
            </w:pPr>
            <w:r w:rsidRPr="00C65B22">
              <w:rPr>
                <w:rFonts w:ascii="Arial" w:hAnsi="Arial" w:cs="Arial"/>
                <w:b/>
                <w:bCs/>
                <w:sz w:val="24"/>
                <w:szCs w:val="24"/>
              </w:rPr>
              <w:t xml:space="preserve">Investment Appraisal and Capital Budgeting </w:t>
            </w:r>
          </w:p>
        </w:tc>
      </w:tr>
      <w:tr w:rsidR="00EF6880" w:rsidTr="00EF6880">
        <w:tc>
          <w:tcPr>
            <w:tcW w:w="4315" w:type="dxa"/>
          </w:tcPr>
          <w:p w:rsidR="00EF6880" w:rsidRPr="00C65B22" w:rsidRDefault="00C65B22" w:rsidP="00EF6880">
            <w:pPr>
              <w:spacing w:line="360" w:lineRule="auto"/>
              <w:jc w:val="both"/>
              <w:rPr>
                <w:rFonts w:ascii="Arial" w:hAnsi="Arial" w:cs="Arial"/>
                <w:b/>
                <w:iCs/>
                <w:sz w:val="24"/>
                <w:szCs w:val="24"/>
              </w:rPr>
            </w:pPr>
            <w:r w:rsidRPr="00C65B22">
              <w:rPr>
                <w:rFonts w:ascii="Arial" w:hAnsi="Arial" w:cs="Arial"/>
                <w:b/>
                <w:iCs/>
                <w:sz w:val="24"/>
                <w:szCs w:val="24"/>
              </w:rPr>
              <w:t>5</w:t>
            </w:r>
          </w:p>
        </w:tc>
        <w:tc>
          <w:tcPr>
            <w:tcW w:w="4315" w:type="dxa"/>
          </w:tcPr>
          <w:p w:rsidR="00EF6880" w:rsidRPr="00C65B22" w:rsidRDefault="006420F5" w:rsidP="00EF6880">
            <w:pPr>
              <w:spacing w:line="360" w:lineRule="auto"/>
              <w:jc w:val="both"/>
              <w:rPr>
                <w:rFonts w:ascii="Arial" w:hAnsi="Arial" w:cs="Arial"/>
                <w:b/>
                <w:iCs/>
                <w:sz w:val="24"/>
                <w:szCs w:val="24"/>
              </w:rPr>
            </w:pPr>
            <w:r>
              <w:rPr>
                <w:rFonts w:ascii="Arial" w:hAnsi="Arial" w:cs="Arial"/>
                <w:b/>
                <w:iCs/>
                <w:sz w:val="24"/>
                <w:szCs w:val="24"/>
              </w:rPr>
              <w:t>Conclusion</w:t>
            </w:r>
          </w:p>
        </w:tc>
      </w:tr>
      <w:tr w:rsidR="00C65B22" w:rsidTr="00EF6880">
        <w:tc>
          <w:tcPr>
            <w:tcW w:w="4315" w:type="dxa"/>
          </w:tcPr>
          <w:p w:rsidR="00C65B22" w:rsidRPr="00C65B22" w:rsidRDefault="00C65B22" w:rsidP="00C65B22">
            <w:pPr>
              <w:spacing w:line="360" w:lineRule="auto"/>
              <w:jc w:val="both"/>
              <w:rPr>
                <w:rFonts w:ascii="Arial" w:hAnsi="Arial" w:cs="Arial"/>
                <w:b/>
                <w:iCs/>
                <w:sz w:val="24"/>
                <w:szCs w:val="24"/>
              </w:rPr>
            </w:pPr>
            <w:r w:rsidRPr="00C65B22">
              <w:rPr>
                <w:rFonts w:ascii="Arial" w:hAnsi="Arial" w:cs="Arial"/>
                <w:b/>
                <w:iCs/>
                <w:sz w:val="24"/>
                <w:szCs w:val="24"/>
              </w:rPr>
              <w:t>6</w:t>
            </w:r>
          </w:p>
        </w:tc>
        <w:tc>
          <w:tcPr>
            <w:tcW w:w="4315" w:type="dxa"/>
          </w:tcPr>
          <w:p w:rsidR="00C65B22" w:rsidRPr="00C65B22" w:rsidRDefault="00C65B22" w:rsidP="00C65B22">
            <w:pPr>
              <w:spacing w:line="360" w:lineRule="auto"/>
              <w:jc w:val="both"/>
              <w:rPr>
                <w:rFonts w:ascii="Arial" w:hAnsi="Arial" w:cs="Arial"/>
                <w:i/>
                <w:iCs/>
                <w:sz w:val="24"/>
                <w:szCs w:val="24"/>
                <w:u w:val="single"/>
              </w:rPr>
            </w:pPr>
            <w:r w:rsidRPr="00C65B22">
              <w:rPr>
                <w:rFonts w:ascii="Arial" w:hAnsi="Arial" w:cs="Arial"/>
                <w:b/>
                <w:bCs/>
                <w:sz w:val="24"/>
                <w:szCs w:val="24"/>
              </w:rPr>
              <w:t>Appendices</w:t>
            </w:r>
          </w:p>
        </w:tc>
      </w:tr>
      <w:tr w:rsidR="00C65B22" w:rsidTr="00EF6880">
        <w:tc>
          <w:tcPr>
            <w:tcW w:w="4315" w:type="dxa"/>
          </w:tcPr>
          <w:p w:rsidR="00C65B22" w:rsidRPr="00C65B22" w:rsidRDefault="00C65B22" w:rsidP="00C65B22">
            <w:pPr>
              <w:spacing w:line="360" w:lineRule="auto"/>
              <w:jc w:val="both"/>
              <w:rPr>
                <w:rFonts w:ascii="Arial" w:hAnsi="Arial" w:cs="Arial"/>
                <w:b/>
                <w:iCs/>
                <w:sz w:val="24"/>
              </w:rPr>
            </w:pPr>
            <w:r w:rsidRPr="00C65B22">
              <w:rPr>
                <w:rFonts w:ascii="Arial" w:hAnsi="Arial" w:cs="Arial"/>
                <w:b/>
                <w:iCs/>
                <w:sz w:val="24"/>
              </w:rPr>
              <w:t>7</w:t>
            </w:r>
          </w:p>
        </w:tc>
        <w:tc>
          <w:tcPr>
            <w:tcW w:w="4315" w:type="dxa"/>
          </w:tcPr>
          <w:p w:rsidR="00C65B22" w:rsidRPr="00C65B22" w:rsidRDefault="00C65B22" w:rsidP="00C65B22">
            <w:pPr>
              <w:spacing w:line="360" w:lineRule="auto"/>
              <w:jc w:val="both"/>
              <w:rPr>
                <w:rFonts w:ascii="Arial" w:hAnsi="Arial" w:cs="Arial"/>
                <w:b/>
                <w:iCs/>
                <w:sz w:val="28"/>
              </w:rPr>
            </w:pPr>
            <w:r w:rsidRPr="00C65B22">
              <w:rPr>
                <w:rFonts w:ascii="Arial" w:hAnsi="Arial" w:cs="Arial"/>
                <w:b/>
                <w:iCs/>
                <w:sz w:val="24"/>
              </w:rPr>
              <w:t>References</w:t>
            </w:r>
          </w:p>
        </w:tc>
      </w:tr>
    </w:tbl>
    <w:p w:rsidR="00EF6880" w:rsidRPr="00EF6880" w:rsidRDefault="00EF6880" w:rsidP="00EF6880">
      <w:pPr>
        <w:spacing w:line="360" w:lineRule="auto"/>
        <w:jc w:val="both"/>
        <w:rPr>
          <w:rFonts w:ascii="Arial" w:hAnsi="Arial" w:cs="Arial"/>
          <w:i/>
          <w:iCs/>
          <w:sz w:val="28"/>
          <w:u w:val="single"/>
        </w:rPr>
      </w:pPr>
    </w:p>
    <w:p w:rsidR="00CA70BB" w:rsidRDefault="00CA70BB">
      <w:pPr>
        <w:rPr>
          <w:rFonts w:ascii="Arial" w:eastAsia="Times New Roman" w:hAnsi="Arial" w:cs="Arial"/>
          <w:sz w:val="24"/>
          <w:szCs w:val="24"/>
          <w:lang w:eastAsia="en-IN"/>
        </w:rPr>
      </w:pPr>
    </w:p>
    <w:p w:rsidR="008D5D33" w:rsidRDefault="008D5D33" w:rsidP="008D5D33">
      <w:pPr>
        <w:spacing w:line="360" w:lineRule="auto"/>
        <w:rPr>
          <w:rFonts w:ascii="Arial" w:hAnsi="Arial" w:cs="Arial"/>
          <w:sz w:val="24"/>
          <w:szCs w:val="24"/>
        </w:rPr>
      </w:pPr>
    </w:p>
    <w:p w:rsidR="008D5D33" w:rsidRDefault="008D5D33" w:rsidP="008D5D33">
      <w:pPr>
        <w:rPr>
          <w:rFonts w:ascii="Arial" w:hAnsi="Arial" w:cs="Arial"/>
          <w:sz w:val="24"/>
          <w:szCs w:val="24"/>
        </w:rPr>
      </w:pPr>
    </w:p>
    <w:p w:rsidR="00D40589" w:rsidRPr="0079670D" w:rsidRDefault="006168F4" w:rsidP="008D5D33">
      <w:pPr>
        <w:rPr>
          <w:rFonts w:ascii="Arial" w:hAnsi="Arial" w:cs="Arial"/>
          <w:b/>
          <w:sz w:val="24"/>
          <w:szCs w:val="24"/>
        </w:rPr>
      </w:pPr>
      <w:r w:rsidRPr="0079670D">
        <w:rPr>
          <w:rFonts w:ascii="Arial" w:hAnsi="Arial" w:cs="Arial"/>
          <w:b/>
          <w:sz w:val="24"/>
          <w:szCs w:val="24"/>
        </w:rPr>
        <w:br w:type="page"/>
      </w:r>
      <w:r w:rsidR="008D5D33" w:rsidRPr="0079670D">
        <w:rPr>
          <w:rFonts w:ascii="Arial" w:hAnsi="Arial" w:cs="Arial"/>
          <w:b/>
          <w:sz w:val="24"/>
          <w:szCs w:val="24"/>
        </w:rPr>
        <w:lastRenderedPageBreak/>
        <w:t xml:space="preserve">Strategic </w:t>
      </w:r>
      <w:r w:rsidR="00AB5A64" w:rsidRPr="0079670D">
        <w:rPr>
          <w:rFonts w:ascii="Arial" w:hAnsi="Arial" w:cs="Arial"/>
          <w:b/>
          <w:sz w:val="24"/>
          <w:szCs w:val="24"/>
        </w:rPr>
        <w:t>CFO Challenge: Saving a Failing Global Firm</w:t>
      </w:r>
    </w:p>
    <w:p w:rsidR="00D40589" w:rsidRPr="0079670D" w:rsidRDefault="00AB5A64" w:rsidP="008802E4">
      <w:pPr>
        <w:spacing w:line="360" w:lineRule="auto"/>
        <w:rPr>
          <w:rFonts w:ascii="Arial" w:hAnsi="Arial" w:cs="Arial"/>
          <w:b/>
          <w:sz w:val="24"/>
          <w:szCs w:val="24"/>
        </w:rPr>
      </w:pPr>
      <w:r w:rsidRPr="0079670D">
        <w:rPr>
          <w:rFonts w:ascii="Arial" w:hAnsi="Arial" w:cs="Arial"/>
          <w:b/>
          <w:sz w:val="24"/>
          <w:szCs w:val="24"/>
        </w:rPr>
        <w:t>1. Financial Health Check</w:t>
      </w:r>
    </w:p>
    <w:p w:rsidR="00D82B15" w:rsidRPr="006168F4" w:rsidRDefault="00D82B15" w:rsidP="008802E4">
      <w:pPr>
        <w:spacing w:line="360" w:lineRule="auto"/>
        <w:rPr>
          <w:rFonts w:ascii="Arial" w:hAnsi="Arial" w:cs="Arial"/>
          <w:sz w:val="24"/>
          <w:szCs w:val="24"/>
        </w:rPr>
      </w:pPr>
      <w:r w:rsidRPr="006168F4">
        <w:rPr>
          <w:rStyle w:val="Strong"/>
          <w:rFonts w:ascii="Arial" w:hAnsi="Arial" w:cs="Arial"/>
          <w:sz w:val="24"/>
          <w:szCs w:val="24"/>
        </w:rPr>
        <w:t>1.0 Introduction</w:t>
      </w:r>
    </w:p>
    <w:p w:rsidR="009709DF" w:rsidRPr="006168F4" w:rsidRDefault="00EA3A72" w:rsidP="008802E4">
      <w:pPr>
        <w:spacing w:line="360" w:lineRule="auto"/>
        <w:rPr>
          <w:rStyle w:val="Strong"/>
          <w:rFonts w:ascii="Arial" w:hAnsi="Arial" w:cs="Arial"/>
          <w:sz w:val="24"/>
          <w:szCs w:val="24"/>
        </w:rPr>
      </w:pPr>
      <w:r w:rsidRPr="00EA3A72">
        <w:rPr>
          <w:rFonts w:ascii="Arial" w:hAnsi="Arial" w:cs="Arial"/>
          <w:sz w:val="24"/>
          <w:szCs w:val="24"/>
        </w:rPr>
        <w:t>This section provides an in-depth analysis of the financial health of General Electronics for the past five financial years. Using the consolidated income statement, financial position, and cash flow statements, supported by interpretation of ratios, trends, and modeling of corporate failure prediction, this analysis follows expectations for financial strategic leadership as set out by Nguyen Thi et al. (2025). Consequently, there is a focus on critical interpretation rather than mechanical reporting of ratios. The quantitative calculations can be found in the appendices, while this discussion focuses on the identification of underlying performance drivers and diagnosing patterns consistent with financial distress.</w:t>
      </w:r>
    </w:p>
    <w:p w:rsidR="009709DF" w:rsidRPr="006168F4" w:rsidRDefault="009709DF" w:rsidP="008802E4">
      <w:pPr>
        <w:spacing w:line="360" w:lineRule="auto"/>
        <w:rPr>
          <w:rStyle w:val="Strong"/>
          <w:rFonts w:ascii="Arial" w:hAnsi="Arial" w:cs="Arial"/>
          <w:sz w:val="24"/>
          <w:szCs w:val="24"/>
        </w:rPr>
      </w:pPr>
      <w:r w:rsidRPr="006168F4">
        <w:rPr>
          <w:rStyle w:val="Strong"/>
          <w:rFonts w:ascii="Arial" w:hAnsi="Arial" w:cs="Arial"/>
          <w:sz w:val="24"/>
          <w:szCs w:val="24"/>
        </w:rPr>
        <w:t>1.1 Profitability Analysis</w:t>
      </w:r>
    </w:p>
    <w:p w:rsidR="009709DF" w:rsidRPr="006168F4" w:rsidRDefault="00774E3C" w:rsidP="008802E4">
      <w:pPr>
        <w:spacing w:line="360" w:lineRule="auto"/>
        <w:rPr>
          <w:rStyle w:val="Strong"/>
          <w:rFonts w:ascii="Arial" w:hAnsi="Arial" w:cs="Arial"/>
          <w:b w:val="0"/>
          <w:sz w:val="24"/>
          <w:szCs w:val="24"/>
        </w:rPr>
      </w:pPr>
      <w:r w:rsidRPr="00774E3C">
        <w:rPr>
          <w:rStyle w:val="Strong"/>
          <w:rFonts w:ascii="Arial" w:hAnsi="Arial" w:cs="Arial"/>
          <w:b w:val="0"/>
          <w:sz w:val="24"/>
          <w:szCs w:val="24"/>
        </w:rPr>
        <w:t>During the five-year period, profitability has sharply deteriorated, with General Electronics moving from a net profit of £38.6m in 2020 to a substantial net loss of £24.0m in 2024. The pattern is neither cyclical nor attributable to a single shock but suggests structural decline.</w:t>
      </w:r>
    </w:p>
    <w:tbl>
      <w:tblPr>
        <w:tblStyle w:val="PlainTable1"/>
        <w:tblW w:w="8654" w:type="dxa"/>
        <w:tblLook w:val="04A0" w:firstRow="1" w:lastRow="0" w:firstColumn="1" w:lastColumn="0" w:noHBand="0" w:noVBand="1"/>
      </w:tblPr>
      <w:tblGrid>
        <w:gridCol w:w="1498"/>
        <w:gridCol w:w="3201"/>
        <w:gridCol w:w="2164"/>
        <w:gridCol w:w="1791"/>
      </w:tblGrid>
      <w:tr w:rsidR="00AC313B" w:rsidRPr="006168F4" w:rsidTr="00AC313B">
        <w:trPr>
          <w:cnfStyle w:val="100000000000" w:firstRow="1" w:lastRow="0" w:firstColumn="0" w:lastColumn="0" w:oddVBand="0" w:evenVBand="0" w:oddHBand="0"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0" w:type="auto"/>
            <w:hideMark/>
          </w:tcPr>
          <w:p w:rsidR="00AC313B" w:rsidRPr="006168F4" w:rsidRDefault="00AC313B" w:rsidP="008802E4">
            <w:pPr>
              <w:spacing w:after="200" w:line="360" w:lineRule="auto"/>
              <w:rPr>
                <w:rFonts w:ascii="Arial" w:hAnsi="Arial" w:cs="Arial"/>
                <w:sz w:val="24"/>
                <w:szCs w:val="24"/>
                <w:lang w:val="en-IN"/>
              </w:rPr>
            </w:pPr>
            <w:r w:rsidRPr="006168F4">
              <w:rPr>
                <w:rFonts w:ascii="Arial" w:hAnsi="Arial" w:cs="Arial"/>
                <w:sz w:val="24"/>
                <w:szCs w:val="24"/>
                <w:lang w:val="en-IN"/>
              </w:rPr>
              <w:t>Year</w:t>
            </w:r>
          </w:p>
        </w:tc>
        <w:tc>
          <w:tcPr>
            <w:tcW w:w="0" w:type="auto"/>
            <w:hideMark/>
          </w:tcPr>
          <w:p w:rsidR="00AC313B" w:rsidRPr="006168F4" w:rsidRDefault="00AC313B" w:rsidP="008802E4">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Gross Profit</w:t>
            </w:r>
          </w:p>
        </w:tc>
        <w:tc>
          <w:tcPr>
            <w:tcW w:w="0" w:type="auto"/>
            <w:hideMark/>
          </w:tcPr>
          <w:p w:rsidR="00AC313B" w:rsidRPr="006168F4" w:rsidRDefault="00AC313B" w:rsidP="008802E4">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Sales</w:t>
            </w:r>
          </w:p>
        </w:tc>
        <w:tc>
          <w:tcPr>
            <w:tcW w:w="0" w:type="auto"/>
            <w:hideMark/>
          </w:tcPr>
          <w:p w:rsidR="00AC313B" w:rsidRPr="006168F4" w:rsidRDefault="00AC313B" w:rsidP="008802E4">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GPM</w:t>
            </w:r>
          </w:p>
        </w:tc>
      </w:tr>
      <w:tr w:rsidR="00AC313B" w:rsidRPr="006168F4" w:rsidTr="00AC313B">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0" w:type="auto"/>
            <w:hideMark/>
          </w:tcPr>
          <w:p w:rsidR="00AC313B" w:rsidRPr="006168F4" w:rsidRDefault="00AC313B" w:rsidP="008802E4">
            <w:pPr>
              <w:spacing w:after="200" w:line="360" w:lineRule="auto"/>
              <w:rPr>
                <w:rFonts w:ascii="Arial" w:hAnsi="Arial" w:cs="Arial"/>
                <w:sz w:val="24"/>
                <w:szCs w:val="24"/>
                <w:lang w:val="en-IN"/>
              </w:rPr>
            </w:pPr>
            <w:r w:rsidRPr="006168F4">
              <w:rPr>
                <w:rFonts w:ascii="Arial" w:hAnsi="Arial" w:cs="Arial"/>
                <w:sz w:val="24"/>
                <w:szCs w:val="24"/>
                <w:lang w:val="en-IN"/>
              </w:rPr>
              <w:t>2024</w:t>
            </w:r>
          </w:p>
        </w:tc>
        <w:tc>
          <w:tcPr>
            <w:tcW w:w="0" w:type="auto"/>
            <w:hideMark/>
          </w:tcPr>
          <w:p w:rsidR="00AC313B" w:rsidRPr="006168F4" w:rsidRDefault="00AC313B"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113,994</w:t>
            </w:r>
          </w:p>
        </w:tc>
        <w:tc>
          <w:tcPr>
            <w:tcW w:w="0" w:type="auto"/>
            <w:hideMark/>
          </w:tcPr>
          <w:p w:rsidR="00AC313B" w:rsidRPr="006168F4" w:rsidRDefault="00AC313B"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394,879</w:t>
            </w:r>
          </w:p>
        </w:tc>
        <w:tc>
          <w:tcPr>
            <w:tcW w:w="0" w:type="auto"/>
            <w:hideMark/>
          </w:tcPr>
          <w:p w:rsidR="00AC313B" w:rsidRPr="006168F4" w:rsidRDefault="00AC313B"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
                <w:bCs/>
                <w:sz w:val="24"/>
                <w:szCs w:val="24"/>
                <w:lang w:val="en-IN"/>
              </w:rPr>
              <w:t>28.9%</w:t>
            </w:r>
          </w:p>
        </w:tc>
      </w:tr>
      <w:tr w:rsidR="00AC313B" w:rsidRPr="006168F4" w:rsidTr="00AC313B">
        <w:trPr>
          <w:trHeight w:val="371"/>
        </w:trPr>
        <w:tc>
          <w:tcPr>
            <w:cnfStyle w:val="001000000000" w:firstRow="0" w:lastRow="0" w:firstColumn="1" w:lastColumn="0" w:oddVBand="0" w:evenVBand="0" w:oddHBand="0" w:evenHBand="0" w:firstRowFirstColumn="0" w:firstRowLastColumn="0" w:lastRowFirstColumn="0" w:lastRowLastColumn="0"/>
            <w:tcW w:w="0" w:type="auto"/>
            <w:hideMark/>
          </w:tcPr>
          <w:p w:rsidR="00AC313B" w:rsidRPr="006168F4" w:rsidRDefault="00AC313B" w:rsidP="008802E4">
            <w:pPr>
              <w:spacing w:after="200" w:line="360" w:lineRule="auto"/>
              <w:rPr>
                <w:rFonts w:ascii="Arial" w:hAnsi="Arial" w:cs="Arial"/>
                <w:sz w:val="24"/>
                <w:szCs w:val="24"/>
                <w:lang w:val="en-IN"/>
              </w:rPr>
            </w:pPr>
            <w:r w:rsidRPr="006168F4">
              <w:rPr>
                <w:rFonts w:ascii="Arial" w:hAnsi="Arial" w:cs="Arial"/>
                <w:sz w:val="24"/>
                <w:szCs w:val="24"/>
                <w:lang w:val="en-IN"/>
              </w:rPr>
              <w:t>2023</w:t>
            </w:r>
          </w:p>
        </w:tc>
        <w:tc>
          <w:tcPr>
            <w:tcW w:w="0" w:type="auto"/>
            <w:hideMark/>
          </w:tcPr>
          <w:p w:rsidR="00AC313B" w:rsidRPr="006168F4" w:rsidRDefault="00AC313B"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97,560</w:t>
            </w:r>
          </w:p>
        </w:tc>
        <w:tc>
          <w:tcPr>
            <w:tcW w:w="0" w:type="auto"/>
            <w:hideMark/>
          </w:tcPr>
          <w:p w:rsidR="00AC313B" w:rsidRPr="006168F4" w:rsidRDefault="00AC313B"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420,457</w:t>
            </w:r>
          </w:p>
        </w:tc>
        <w:tc>
          <w:tcPr>
            <w:tcW w:w="0" w:type="auto"/>
            <w:hideMark/>
          </w:tcPr>
          <w:p w:rsidR="00AC313B" w:rsidRPr="006168F4" w:rsidRDefault="00AC313B"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
                <w:bCs/>
                <w:sz w:val="24"/>
                <w:szCs w:val="24"/>
                <w:lang w:val="en-IN"/>
              </w:rPr>
              <w:t>23.2%</w:t>
            </w:r>
          </w:p>
        </w:tc>
      </w:tr>
      <w:tr w:rsidR="00AC313B" w:rsidRPr="006168F4" w:rsidTr="00AC313B">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0" w:type="auto"/>
            <w:hideMark/>
          </w:tcPr>
          <w:p w:rsidR="00AC313B" w:rsidRPr="006168F4" w:rsidRDefault="00AC313B" w:rsidP="008802E4">
            <w:pPr>
              <w:spacing w:after="200" w:line="360" w:lineRule="auto"/>
              <w:rPr>
                <w:rFonts w:ascii="Arial" w:hAnsi="Arial" w:cs="Arial"/>
                <w:sz w:val="24"/>
                <w:szCs w:val="24"/>
                <w:lang w:val="en-IN"/>
              </w:rPr>
            </w:pPr>
            <w:r w:rsidRPr="006168F4">
              <w:rPr>
                <w:rFonts w:ascii="Arial" w:hAnsi="Arial" w:cs="Arial"/>
                <w:sz w:val="24"/>
                <w:szCs w:val="24"/>
                <w:lang w:val="en-IN"/>
              </w:rPr>
              <w:t>2022</w:t>
            </w:r>
          </w:p>
        </w:tc>
        <w:tc>
          <w:tcPr>
            <w:tcW w:w="0" w:type="auto"/>
            <w:hideMark/>
          </w:tcPr>
          <w:p w:rsidR="00AC313B" w:rsidRPr="006168F4" w:rsidRDefault="00AC313B"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152,292</w:t>
            </w:r>
          </w:p>
        </w:tc>
        <w:tc>
          <w:tcPr>
            <w:tcW w:w="0" w:type="auto"/>
            <w:hideMark/>
          </w:tcPr>
          <w:p w:rsidR="00AC313B" w:rsidRPr="006168F4" w:rsidRDefault="00AC313B"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542,751</w:t>
            </w:r>
          </w:p>
        </w:tc>
        <w:tc>
          <w:tcPr>
            <w:tcW w:w="0" w:type="auto"/>
            <w:hideMark/>
          </w:tcPr>
          <w:p w:rsidR="00AC313B" w:rsidRPr="006168F4" w:rsidRDefault="00AC313B"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
                <w:bCs/>
                <w:sz w:val="24"/>
                <w:szCs w:val="24"/>
                <w:lang w:val="en-IN"/>
              </w:rPr>
              <w:t>28.1%</w:t>
            </w:r>
          </w:p>
        </w:tc>
      </w:tr>
      <w:tr w:rsidR="00AC313B" w:rsidRPr="006168F4" w:rsidTr="00AC313B">
        <w:trPr>
          <w:trHeight w:val="371"/>
        </w:trPr>
        <w:tc>
          <w:tcPr>
            <w:cnfStyle w:val="001000000000" w:firstRow="0" w:lastRow="0" w:firstColumn="1" w:lastColumn="0" w:oddVBand="0" w:evenVBand="0" w:oddHBand="0" w:evenHBand="0" w:firstRowFirstColumn="0" w:firstRowLastColumn="0" w:lastRowFirstColumn="0" w:lastRowLastColumn="0"/>
            <w:tcW w:w="0" w:type="auto"/>
            <w:hideMark/>
          </w:tcPr>
          <w:p w:rsidR="00AC313B" w:rsidRPr="006168F4" w:rsidRDefault="00AC313B" w:rsidP="008802E4">
            <w:pPr>
              <w:spacing w:after="200" w:line="360" w:lineRule="auto"/>
              <w:rPr>
                <w:rFonts w:ascii="Arial" w:hAnsi="Arial" w:cs="Arial"/>
                <w:sz w:val="24"/>
                <w:szCs w:val="24"/>
                <w:lang w:val="en-IN"/>
              </w:rPr>
            </w:pPr>
            <w:r w:rsidRPr="006168F4">
              <w:rPr>
                <w:rFonts w:ascii="Arial" w:hAnsi="Arial" w:cs="Arial"/>
                <w:sz w:val="24"/>
                <w:szCs w:val="24"/>
                <w:lang w:val="en-IN"/>
              </w:rPr>
              <w:t>2021</w:t>
            </w:r>
          </w:p>
        </w:tc>
        <w:tc>
          <w:tcPr>
            <w:tcW w:w="0" w:type="auto"/>
            <w:hideMark/>
          </w:tcPr>
          <w:p w:rsidR="00AC313B" w:rsidRPr="006168F4" w:rsidRDefault="00AC313B"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173,016</w:t>
            </w:r>
          </w:p>
        </w:tc>
        <w:tc>
          <w:tcPr>
            <w:tcW w:w="0" w:type="auto"/>
            <w:hideMark/>
          </w:tcPr>
          <w:p w:rsidR="00AC313B" w:rsidRPr="006168F4" w:rsidRDefault="00AC313B"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601,602</w:t>
            </w:r>
          </w:p>
        </w:tc>
        <w:tc>
          <w:tcPr>
            <w:tcW w:w="0" w:type="auto"/>
            <w:hideMark/>
          </w:tcPr>
          <w:p w:rsidR="00AC313B" w:rsidRPr="006168F4" w:rsidRDefault="00AC313B"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
                <w:bCs/>
                <w:sz w:val="24"/>
                <w:szCs w:val="24"/>
                <w:lang w:val="en-IN"/>
              </w:rPr>
              <w:t>28.8%</w:t>
            </w:r>
          </w:p>
        </w:tc>
      </w:tr>
      <w:tr w:rsidR="00AC313B" w:rsidRPr="006168F4" w:rsidTr="00AC313B">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0" w:type="auto"/>
            <w:hideMark/>
          </w:tcPr>
          <w:p w:rsidR="00AC313B" w:rsidRPr="006168F4" w:rsidRDefault="00AC313B" w:rsidP="008802E4">
            <w:pPr>
              <w:spacing w:after="200" w:line="360" w:lineRule="auto"/>
              <w:rPr>
                <w:rFonts w:ascii="Arial" w:hAnsi="Arial" w:cs="Arial"/>
                <w:sz w:val="24"/>
                <w:szCs w:val="24"/>
                <w:lang w:val="en-IN"/>
              </w:rPr>
            </w:pPr>
            <w:r w:rsidRPr="006168F4">
              <w:rPr>
                <w:rFonts w:ascii="Arial" w:hAnsi="Arial" w:cs="Arial"/>
                <w:sz w:val="24"/>
                <w:szCs w:val="24"/>
                <w:lang w:val="en-IN"/>
              </w:rPr>
              <w:t>2020</w:t>
            </w:r>
          </w:p>
        </w:tc>
        <w:tc>
          <w:tcPr>
            <w:tcW w:w="0" w:type="auto"/>
            <w:hideMark/>
          </w:tcPr>
          <w:p w:rsidR="00AC313B" w:rsidRPr="006168F4" w:rsidRDefault="00AC313B"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176,256</w:t>
            </w:r>
          </w:p>
        </w:tc>
        <w:tc>
          <w:tcPr>
            <w:tcW w:w="0" w:type="auto"/>
            <w:hideMark/>
          </w:tcPr>
          <w:p w:rsidR="00AC313B" w:rsidRPr="006168F4" w:rsidRDefault="00AC313B"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614,680</w:t>
            </w:r>
          </w:p>
        </w:tc>
        <w:tc>
          <w:tcPr>
            <w:tcW w:w="0" w:type="auto"/>
            <w:hideMark/>
          </w:tcPr>
          <w:p w:rsidR="00AC313B" w:rsidRPr="006168F4" w:rsidRDefault="00AC313B"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
                <w:bCs/>
                <w:sz w:val="24"/>
                <w:szCs w:val="24"/>
                <w:lang w:val="en-IN"/>
              </w:rPr>
              <w:t>28.7%</w:t>
            </w:r>
          </w:p>
        </w:tc>
      </w:tr>
    </w:tbl>
    <w:p w:rsidR="00AC313B" w:rsidRPr="006168F4" w:rsidRDefault="00AC313B" w:rsidP="008802E4">
      <w:pPr>
        <w:spacing w:line="360" w:lineRule="auto"/>
        <w:rPr>
          <w:rStyle w:val="Strong"/>
          <w:rFonts w:ascii="Arial" w:hAnsi="Arial" w:cs="Arial"/>
          <w:b w:val="0"/>
          <w:sz w:val="24"/>
          <w:szCs w:val="24"/>
        </w:rPr>
      </w:pPr>
    </w:p>
    <w:p w:rsidR="00EA3A72" w:rsidRDefault="00946F76" w:rsidP="008802E4">
      <w:pPr>
        <w:spacing w:line="360" w:lineRule="auto"/>
        <w:rPr>
          <w:rFonts w:ascii="Arial" w:hAnsi="Arial" w:cs="Arial"/>
          <w:bCs/>
          <w:sz w:val="24"/>
          <w:szCs w:val="24"/>
        </w:rPr>
      </w:pPr>
      <w:r w:rsidRPr="006168F4">
        <w:rPr>
          <w:rFonts w:ascii="Arial" w:hAnsi="Arial" w:cs="Arial"/>
          <w:bCs/>
          <w:sz w:val="24"/>
          <w:szCs w:val="24"/>
        </w:rPr>
        <w:lastRenderedPageBreak/>
        <w:t xml:space="preserve">Margins narrowed sharply in 2023, recovering somewhat in 2024. </w:t>
      </w:r>
    </w:p>
    <w:p w:rsidR="00F66E81" w:rsidRPr="006168F4" w:rsidRDefault="00F66E81" w:rsidP="008802E4">
      <w:pPr>
        <w:spacing w:line="360" w:lineRule="auto"/>
        <w:rPr>
          <w:rFonts w:ascii="Arial" w:hAnsi="Arial" w:cs="Arial"/>
          <w:b/>
          <w:sz w:val="24"/>
          <w:szCs w:val="24"/>
        </w:rPr>
      </w:pPr>
      <w:r w:rsidRPr="006168F4">
        <w:rPr>
          <w:rFonts w:ascii="Arial" w:hAnsi="Arial" w:cs="Arial"/>
          <w:b/>
          <w:sz w:val="24"/>
          <w:szCs w:val="24"/>
        </w:rPr>
        <w:t>1.1.1 Revenue and Gross Margin Trends</w:t>
      </w:r>
    </w:p>
    <w:p w:rsidR="00F66E81" w:rsidRPr="006168F4" w:rsidRDefault="00774E3C" w:rsidP="008802E4">
      <w:pPr>
        <w:spacing w:line="360" w:lineRule="auto"/>
        <w:rPr>
          <w:rFonts w:ascii="Arial" w:hAnsi="Arial" w:cs="Arial"/>
          <w:sz w:val="24"/>
          <w:szCs w:val="24"/>
        </w:rPr>
      </w:pPr>
      <w:r w:rsidRPr="00774E3C">
        <w:rPr>
          <w:rFonts w:ascii="Arial" w:hAnsi="Arial" w:cs="Arial"/>
          <w:sz w:val="24"/>
          <w:szCs w:val="24"/>
        </w:rPr>
        <w:t>Revenue shrunk from £614.7bn in 2020 to £394.9bn in 2024, meaning a contraction by 36%. A contraction of this size is indicative of weaknesses in strategy and competitiveness driving forces such as loss of market share, product obsolescence, or poor innovation strategy that normally precede decline in electronics firms.</w:t>
      </w:r>
      <w:r w:rsidR="00F05522" w:rsidRPr="006168F4">
        <w:rPr>
          <w:rFonts w:ascii="Arial" w:hAnsi="Arial" w:cs="Arial"/>
          <w:sz w:val="24"/>
          <w:szCs w:val="24"/>
        </w:rPr>
        <w:t xml:space="preserve">(Magri et al., </w:t>
      </w:r>
      <w:r w:rsidR="00F66E81" w:rsidRPr="006168F4">
        <w:rPr>
          <w:rFonts w:ascii="Arial" w:hAnsi="Arial" w:cs="Arial"/>
          <w:sz w:val="24"/>
          <w:szCs w:val="24"/>
        </w:rPr>
        <w:t>2025).</w:t>
      </w:r>
    </w:p>
    <w:p w:rsidR="00774E3C" w:rsidRDefault="00774E3C" w:rsidP="008802E4">
      <w:pPr>
        <w:spacing w:line="360" w:lineRule="auto"/>
        <w:rPr>
          <w:rFonts w:ascii="Arial" w:hAnsi="Arial" w:cs="Arial"/>
          <w:sz w:val="24"/>
          <w:szCs w:val="24"/>
        </w:rPr>
      </w:pPr>
      <w:r w:rsidRPr="00774E3C">
        <w:rPr>
          <w:rFonts w:ascii="Arial" w:hAnsi="Arial" w:cs="Arial"/>
          <w:sz w:val="24"/>
          <w:szCs w:val="24"/>
        </w:rPr>
        <w:t>Despite this decline in sales, the gross profit did not shrink accordingly but in fact grew from £97.6m in 2023 to £114.0m in 2024. This growth is misleading, however. It simply represents aggressive cost-cutting at the cost of sales rather than any form of process optimization. Furthermore, the volatility of the gross profit reveals inconsistent supply chain management, particularly while inventory levels fluctuated drastically within the period.</w:t>
      </w:r>
    </w:p>
    <w:p w:rsidR="00F66E81" w:rsidRPr="006168F4" w:rsidRDefault="00F66E81" w:rsidP="008802E4">
      <w:pPr>
        <w:spacing w:line="360" w:lineRule="auto"/>
        <w:rPr>
          <w:rFonts w:ascii="Arial" w:hAnsi="Arial" w:cs="Arial"/>
          <w:b/>
          <w:sz w:val="24"/>
          <w:szCs w:val="24"/>
        </w:rPr>
      </w:pPr>
      <w:r w:rsidRPr="006168F4">
        <w:rPr>
          <w:rFonts w:ascii="Arial" w:hAnsi="Arial" w:cs="Arial"/>
          <w:b/>
          <w:sz w:val="24"/>
          <w:szCs w:val="24"/>
        </w:rPr>
        <w:t>1.1.2 Decline in Operating Profit and Margin</w:t>
      </w:r>
    </w:p>
    <w:p w:rsidR="00F66E81" w:rsidRPr="006168F4" w:rsidRDefault="00774E3C" w:rsidP="008802E4">
      <w:pPr>
        <w:spacing w:line="360" w:lineRule="auto"/>
        <w:rPr>
          <w:rFonts w:ascii="Arial" w:hAnsi="Arial" w:cs="Arial"/>
          <w:sz w:val="24"/>
          <w:szCs w:val="24"/>
        </w:rPr>
      </w:pPr>
      <w:r w:rsidRPr="00774E3C">
        <w:rPr>
          <w:rFonts w:ascii="Arial" w:hAnsi="Arial" w:cs="Arial"/>
          <w:sz w:val="24"/>
          <w:szCs w:val="24"/>
        </w:rPr>
        <w:t>Operating income, therefore, swung from positive £37.3m in 2020 to such acute losses of -£85.3m in 2023 and -£15.3m in 2024. The operating margin has stayed negative for the last two years, reflecting cost rigidity. Operating expenses peaked at £182.9m in 2023, much higher than their five-year average, probably due to impairment charges, restructuring costs, and inefficiencies in SG&amp;A. This behavior is predictable for firms in active decline, per</w:t>
      </w:r>
      <w:r>
        <w:rPr>
          <w:rFonts w:ascii="Arial" w:hAnsi="Arial" w:cs="Arial"/>
          <w:sz w:val="24"/>
          <w:szCs w:val="24"/>
        </w:rPr>
        <w:t xml:space="preserve"> </w:t>
      </w:r>
      <w:r w:rsidR="00F05522" w:rsidRPr="006168F4">
        <w:rPr>
          <w:rFonts w:ascii="Arial" w:hAnsi="Arial" w:cs="Arial"/>
          <w:sz w:val="24"/>
          <w:szCs w:val="24"/>
        </w:rPr>
        <w:t xml:space="preserve">(Brigham &amp; Ehrhardt , </w:t>
      </w:r>
      <w:r w:rsidR="00F66E81" w:rsidRPr="006168F4">
        <w:rPr>
          <w:rFonts w:ascii="Arial" w:hAnsi="Arial" w:cs="Arial"/>
          <w:sz w:val="24"/>
          <w:szCs w:val="24"/>
        </w:rPr>
        <w:t>2022).</w:t>
      </w:r>
    </w:p>
    <w:p w:rsidR="00F66E81" w:rsidRPr="006168F4" w:rsidRDefault="00F66E81" w:rsidP="008802E4">
      <w:pPr>
        <w:spacing w:line="360" w:lineRule="auto"/>
        <w:rPr>
          <w:rFonts w:ascii="Arial" w:hAnsi="Arial" w:cs="Arial"/>
          <w:b/>
          <w:sz w:val="24"/>
          <w:szCs w:val="24"/>
        </w:rPr>
      </w:pPr>
      <w:r w:rsidRPr="006168F4">
        <w:rPr>
          <w:rFonts w:ascii="Arial" w:hAnsi="Arial" w:cs="Arial"/>
          <w:b/>
          <w:sz w:val="24"/>
          <w:szCs w:val="24"/>
        </w:rPr>
        <w:t>1.2 Liquidity Analysis</w:t>
      </w:r>
    </w:p>
    <w:p w:rsidR="00F66E81" w:rsidRPr="006168F4" w:rsidRDefault="00F66E81" w:rsidP="008802E4">
      <w:pPr>
        <w:spacing w:line="360" w:lineRule="auto"/>
        <w:rPr>
          <w:rFonts w:ascii="Arial" w:hAnsi="Arial" w:cs="Arial"/>
          <w:sz w:val="24"/>
          <w:szCs w:val="24"/>
        </w:rPr>
      </w:pPr>
      <w:r w:rsidRPr="006168F4">
        <w:rPr>
          <w:rFonts w:ascii="Arial" w:hAnsi="Arial" w:cs="Arial"/>
          <w:sz w:val="24"/>
          <w:szCs w:val="24"/>
        </w:rPr>
        <w:t>Liquidity weakened materially over the period. While the current ratio fell steadily, the quick ratio was less than 1 for the last three years and indicated chronic dependence on short-term financing.</w:t>
      </w:r>
    </w:p>
    <w:p w:rsidR="007D573A" w:rsidRPr="006168F4" w:rsidRDefault="007D573A" w:rsidP="008802E4">
      <w:pPr>
        <w:spacing w:line="360" w:lineRule="auto"/>
        <w:rPr>
          <w:rFonts w:ascii="Arial" w:hAnsi="Arial" w:cs="Arial"/>
          <w:sz w:val="24"/>
          <w:szCs w:val="24"/>
        </w:rPr>
      </w:pPr>
      <w:r w:rsidRPr="006168F4">
        <w:rPr>
          <w:rFonts w:ascii="Arial" w:hAnsi="Arial" w:cs="Arial"/>
          <w:b/>
          <w:sz w:val="24"/>
          <w:szCs w:val="24"/>
        </w:rPr>
        <w:t>Current Ratio:</w:t>
      </w:r>
      <w:r w:rsidRPr="006168F4">
        <w:rPr>
          <w:rFonts w:ascii="Arial" w:hAnsi="Arial" w:cs="Arial"/>
          <w:sz w:val="24"/>
          <w:szCs w:val="24"/>
        </w:rPr>
        <w:t xml:space="preserve"> </w:t>
      </w:r>
      <w:r w:rsidRPr="006168F4">
        <w:rPr>
          <w:rFonts w:ascii="Arial" w:hAnsi="Arial" w:cs="Arial"/>
          <w:bCs/>
          <w:sz w:val="24"/>
          <w:szCs w:val="24"/>
        </w:rPr>
        <w:t>Current Assets / Current Liabilities</w:t>
      </w:r>
    </w:p>
    <w:tbl>
      <w:tblPr>
        <w:tblStyle w:val="PlainTable1"/>
        <w:tblW w:w="8206" w:type="dxa"/>
        <w:tblLook w:val="04A0" w:firstRow="1" w:lastRow="0" w:firstColumn="1" w:lastColumn="0" w:noHBand="0" w:noVBand="1"/>
      </w:tblPr>
      <w:tblGrid>
        <w:gridCol w:w="1134"/>
        <w:gridCol w:w="2728"/>
        <w:gridCol w:w="3110"/>
        <w:gridCol w:w="1234"/>
      </w:tblGrid>
      <w:tr w:rsidR="007D573A" w:rsidRPr="006168F4" w:rsidTr="00946F76">
        <w:trPr>
          <w:cnfStyle w:val="100000000000" w:firstRow="1" w:lastRow="0" w:firstColumn="0" w:lastColumn="0" w:oddVBand="0" w:evenVBand="0" w:oddHBand="0"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hideMark/>
          </w:tcPr>
          <w:p w:rsidR="00AC313B" w:rsidRPr="006168F4" w:rsidRDefault="00AC313B" w:rsidP="008802E4">
            <w:pPr>
              <w:spacing w:after="200" w:line="360" w:lineRule="auto"/>
              <w:rPr>
                <w:rFonts w:ascii="Arial" w:hAnsi="Arial" w:cs="Arial"/>
                <w:sz w:val="24"/>
                <w:szCs w:val="24"/>
                <w:lang w:val="en-IN"/>
              </w:rPr>
            </w:pPr>
            <w:r w:rsidRPr="006168F4">
              <w:rPr>
                <w:rFonts w:ascii="Arial" w:hAnsi="Arial" w:cs="Arial"/>
                <w:sz w:val="24"/>
                <w:szCs w:val="24"/>
                <w:lang w:val="en-IN"/>
              </w:rPr>
              <w:lastRenderedPageBreak/>
              <w:t>Year</w:t>
            </w:r>
          </w:p>
        </w:tc>
        <w:tc>
          <w:tcPr>
            <w:tcW w:w="0" w:type="auto"/>
            <w:hideMark/>
          </w:tcPr>
          <w:p w:rsidR="00AC313B" w:rsidRPr="006168F4" w:rsidRDefault="007D573A" w:rsidP="008802E4">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Current Asset</w:t>
            </w:r>
          </w:p>
        </w:tc>
        <w:tc>
          <w:tcPr>
            <w:tcW w:w="0" w:type="auto"/>
            <w:hideMark/>
          </w:tcPr>
          <w:p w:rsidR="00AC313B" w:rsidRPr="006168F4" w:rsidRDefault="007D573A" w:rsidP="008802E4">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Current Liability</w:t>
            </w:r>
          </w:p>
        </w:tc>
        <w:tc>
          <w:tcPr>
            <w:tcW w:w="0" w:type="auto"/>
            <w:hideMark/>
          </w:tcPr>
          <w:p w:rsidR="00AC313B" w:rsidRPr="006168F4" w:rsidRDefault="00AC313B" w:rsidP="008802E4">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Ratio</w:t>
            </w:r>
          </w:p>
        </w:tc>
      </w:tr>
      <w:tr w:rsidR="007D573A" w:rsidRPr="006168F4" w:rsidTr="00946F76">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hideMark/>
          </w:tcPr>
          <w:p w:rsidR="00AC313B" w:rsidRPr="006168F4" w:rsidRDefault="00AC313B" w:rsidP="008802E4">
            <w:pPr>
              <w:spacing w:after="200" w:line="360" w:lineRule="auto"/>
              <w:rPr>
                <w:rFonts w:ascii="Arial" w:hAnsi="Arial" w:cs="Arial"/>
                <w:sz w:val="24"/>
                <w:szCs w:val="24"/>
                <w:lang w:val="en-IN"/>
              </w:rPr>
            </w:pPr>
            <w:r w:rsidRPr="006168F4">
              <w:rPr>
                <w:rFonts w:ascii="Arial" w:hAnsi="Arial" w:cs="Arial"/>
                <w:sz w:val="24"/>
                <w:szCs w:val="24"/>
                <w:lang w:val="en-IN"/>
              </w:rPr>
              <w:t>2024</w:t>
            </w:r>
          </w:p>
        </w:tc>
        <w:tc>
          <w:tcPr>
            <w:tcW w:w="0" w:type="auto"/>
            <w:hideMark/>
          </w:tcPr>
          <w:p w:rsidR="00AC313B" w:rsidRPr="006168F4" w:rsidRDefault="00AC313B"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242,494</w:t>
            </w:r>
          </w:p>
        </w:tc>
        <w:tc>
          <w:tcPr>
            <w:tcW w:w="0" w:type="auto"/>
            <w:hideMark/>
          </w:tcPr>
          <w:p w:rsidR="00AC313B" w:rsidRPr="006168F4" w:rsidRDefault="00AC313B"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158,291</w:t>
            </w:r>
          </w:p>
        </w:tc>
        <w:tc>
          <w:tcPr>
            <w:tcW w:w="0" w:type="auto"/>
            <w:hideMark/>
          </w:tcPr>
          <w:p w:rsidR="00AC313B" w:rsidRPr="006168F4" w:rsidRDefault="00AC313B"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N"/>
              </w:rPr>
            </w:pPr>
            <w:r w:rsidRPr="006168F4">
              <w:rPr>
                <w:rFonts w:ascii="Arial" w:hAnsi="Arial" w:cs="Arial"/>
                <w:b/>
                <w:bCs/>
                <w:sz w:val="24"/>
                <w:szCs w:val="24"/>
                <w:lang w:val="en-IN"/>
              </w:rPr>
              <w:t>1.53</w:t>
            </w:r>
          </w:p>
        </w:tc>
      </w:tr>
      <w:tr w:rsidR="007D573A" w:rsidRPr="006168F4" w:rsidTr="00946F76">
        <w:trPr>
          <w:trHeight w:val="481"/>
        </w:trPr>
        <w:tc>
          <w:tcPr>
            <w:cnfStyle w:val="001000000000" w:firstRow="0" w:lastRow="0" w:firstColumn="1" w:lastColumn="0" w:oddVBand="0" w:evenVBand="0" w:oddHBand="0" w:evenHBand="0" w:firstRowFirstColumn="0" w:firstRowLastColumn="0" w:lastRowFirstColumn="0" w:lastRowLastColumn="0"/>
            <w:tcW w:w="0" w:type="auto"/>
            <w:hideMark/>
          </w:tcPr>
          <w:p w:rsidR="00AC313B" w:rsidRPr="006168F4" w:rsidRDefault="00AC313B" w:rsidP="008802E4">
            <w:pPr>
              <w:spacing w:after="200" w:line="360" w:lineRule="auto"/>
              <w:rPr>
                <w:rFonts w:ascii="Arial" w:hAnsi="Arial" w:cs="Arial"/>
                <w:sz w:val="24"/>
                <w:szCs w:val="24"/>
                <w:lang w:val="en-IN"/>
              </w:rPr>
            </w:pPr>
            <w:r w:rsidRPr="006168F4">
              <w:rPr>
                <w:rFonts w:ascii="Arial" w:hAnsi="Arial" w:cs="Arial"/>
                <w:sz w:val="24"/>
                <w:szCs w:val="24"/>
                <w:lang w:val="en-IN"/>
              </w:rPr>
              <w:t>2023</w:t>
            </w:r>
          </w:p>
        </w:tc>
        <w:tc>
          <w:tcPr>
            <w:tcW w:w="0" w:type="auto"/>
            <w:hideMark/>
          </w:tcPr>
          <w:p w:rsidR="00AC313B" w:rsidRPr="006168F4" w:rsidRDefault="00AC313B"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258,851</w:t>
            </w:r>
          </w:p>
        </w:tc>
        <w:tc>
          <w:tcPr>
            <w:tcW w:w="0" w:type="auto"/>
            <w:hideMark/>
          </w:tcPr>
          <w:p w:rsidR="00AC313B" w:rsidRPr="006168F4" w:rsidRDefault="00AC313B"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161,148</w:t>
            </w:r>
          </w:p>
        </w:tc>
        <w:tc>
          <w:tcPr>
            <w:tcW w:w="0" w:type="auto"/>
            <w:hideMark/>
          </w:tcPr>
          <w:p w:rsidR="00AC313B" w:rsidRPr="006168F4" w:rsidRDefault="00AC313B"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b/>
                <w:bCs/>
                <w:sz w:val="24"/>
                <w:szCs w:val="24"/>
                <w:lang w:val="en-IN"/>
              </w:rPr>
              <w:t>1.61</w:t>
            </w:r>
          </w:p>
        </w:tc>
      </w:tr>
      <w:tr w:rsidR="00946F76" w:rsidRPr="006168F4" w:rsidTr="00946F76">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tcPr>
          <w:p w:rsidR="00946F76" w:rsidRPr="006168F4" w:rsidRDefault="00946F76" w:rsidP="008802E4">
            <w:pPr>
              <w:spacing w:line="360" w:lineRule="auto"/>
              <w:rPr>
                <w:rFonts w:ascii="Arial" w:hAnsi="Arial" w:cs="Arial"/>
                <w:sz w:val="24"/>
                <w:szCs w:val="24"/>
                <w:lang w:val="en-IN"/>
              </w:rPr>
            </w:pPr>
          </w:p>
        </w:tc>
        <w:tc>
          <w:tcPr>
            <w:tcW w:w="0" w:type="auto"/>
          </w:tcPr>
          <w:p w:rsidR="00946F76" w:rsidRPr="006168F4" w:rsidRDefault="00946F76" w:rsidP="008802E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N"/>
              </w:rPr>
            </w:pPr>
          </w:p>
        </w:tc>
        <w:tc>
          <w:tcPr>
            <w:tcW w:w="0" w:type="auto"/>
          </w:tcPr>
          <w:p w:rsidR="00946F76" w:rsidRPr="006168F4" w:rsidRDefault="00946F76" w:rsidP="008802E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N"/>
              </w:rPr>
            </w:pPr>
          </w:p>
        </w:tc>
        <w:tc>
          <w:tcPr>
            <w:tcW w:w="0" w:type="auto"/>
          </w:tcPr>
          <w:p w:rsidR="00946F76" w:rsidRPr="006168F4" w:rsidRDefault="00946F76" w:rsidP="008802E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N"/>
              </w:rPr>
            </w:pPr>
          </w:p>
        </w:tc>
      </w:tr>
      <w:tr w:rsidR="007D573A" w:rsidRPr="006168F4" w:rsidTr="00946F76">
        <w:trPr>
          <w:trHeight w:val="481"/>
        </w:trPr>
        <w:tc>
          <w:tcPr>
            <w:cnfStyle w:val="001000000000" w:firstRow="0" w:lastRow="0" w:firstColumn="1" w:lastColumn="0" w:oddVBand="0" w:evenVBand="0" w:oddHBand="0" w:evenHBand="0" w:firstRowFirstColumn="0" w:firstRowLastColumn="0" w:lastRowFirstColumn="0" w:lastRowLastColumn="0"/>
            <w:tcW w:w="0" w:type="auto"/>
            <w:hideMark/>
          </w:tcPr>
          <w:p w:rsidR="00AC313B" w:rsidRPr="006168F4" w:rsidRDefault="00AC313B" w:rsidP="008802E4">
            <w:pPr>
              <w:spacing w:after="200" w:line="360" w:lineRule="auto"/>
              <w:rPr>
                <w:rFonts w:ascii="Arial" w:hAnsi="Arial" w:cs="Arial"/>
                <w:sz w:val="24"/>
                <w:szCs w:val="24"/>
                <w:lang w:val="en-IN"/>
              </w:rPr>
            </w:pPr>
            <w:r w:rsidRPr="006168F4">
              <w:rPr>
                <w:rFonts w:ascii="Arial" w:hAnsi="Arial" w:cs="Arial"/>
                <w:sz w:val="24"/>
                <w:szCs w:val="24"/>
                <w:lang w:val="en-IN"/>
              </w:rPr>
              <w:t>2022</w:t>
            </w:r>
          </w:p>
        </w:tc>
        <w:tc>
          <w:tcPr>
            <w:tcW w:w="0" w:type="auto"/>
            <w:hideMark/>
          </w:tcPr>
          <w:p w:rsidR="00AC313B" w:rsidRPr="006168F4" w:rsidRDefault="00AC313B"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338,040</w:t>
            </w:r>
          </w:p>
        </w:tc>
        <w:tc>
          <w:tcPr>
            <w:tcW w:w="0" w:type="auto"/>
            <w:hideMark/>
          </w:tcPr>
          <w:p w:rsidR="00AC313B" w:rsidRPr="006168F4" w:rsidRDefault="00AC313B"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216,473</w:t>
            </w:r>
          </w:p>
        </w:tc>
        <w:tc>
          <w:tcPr>
            <w:tcW w:w="0" w:type="auto"/>
            <w:hideMark/>
          </w:tcPr>
          <w:p w:rsidR="00AC313B" w:rsidRPr="006168F4" w:rsidRDefault="00AC313B"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1.56</w:t>
            </w:r>
          </w:p>
        </w:tc>
      </w:tr>
      <w:tr w:rsidR="007D573A" w:rsidRPr="006168F4" w:rsidTr="00946F76">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hideMark/>
          </w:tcPr>
          <w:p w:rsidR="00AC313B" w:rsidRPr="006168F4" w:rsidRDefault="00AC313B" w:rsidP="008802E4">
            <w:pPr>
              <w:spacing w:after="200" w:line="360" w:lineRule="auto"/>
              <w:rPr>
                <w:rFonts w:ascii="Arial" w:hAnsi="Arial" w:cs="Arial"/>
                <w:sz w:val="24"/>
                <w:szCs w:val="24"/>
                <w:lang w:val="en-IN"/>
              </w:rPr>
            </w:pPr>
            <w:r w:rsidRPr="006168F4">
              <w:rPr>
                <w:rFonts w:ascii="Arial" w:hAnsi="Arial" w:cs="Arial"/>
                <w:sz w:val="24"/>
                <w:szCs w:val="24"/>
                <w:lang w:val="en-IN"/>
              </w:rPr>
              <w:t>2021</w:t>
            </w:r>
          </w:p>
        </w:tc>
        <w:tc>
          <w:tcPr>
            <w:tcW w:w="0" w:type="auto"/>
            <w:hideMark/>
          </w:tcPr>
          <w:p w:rsidR="00AC313B" w:rsidRPr="006168F4" w:rsidRDefault="00AC313B"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337,146</w:t>
            </w:r>
          </w:p>
        </w:tc>
        <w:tc>
          <w:tcPr>
            <w:tcW w:w="0" w:type="auto"/>
            <w:hideMark/>
          </w:tcPr>
          <w:p w:rsidR="00AC313B" w:rsidRPr="006168F4" w:rsidRDefault="00AC313B"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216,787</w:t>
            </w:r>
          </w:p>
        </w:tc>
        <w:tc>
          <w:tcPr>
            <w:tcW w:w="0" w:type="auto"/>
            <w:hideMark/>
          </w:tcPr>
          <w:p w:rsidR="00AC313B" w:rsidRPr="006168F4" w:rsidRDefault="00AC313B"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1.56</w:t>
            </w:r>
          </w:p>
        </w:tc>
      </w:tr>
      <w:tr w:rsidR="007D573A" w:rsidRPr="006168F4" w:rsidTr="00946F76">
        <w:trPr>
          <w:trHeight w:val="470"/>
        </w:trPr>
        <w:tc>
          <w:tcPr>
            <w:cnfStyle w:val="001000000000" w:firstRow="0" w:lastRow="0" w:firstColumn="1" w:lastColumn="0" w:oddVBand="0" w:evenVBand="0" w:oddHBand="0" w:evenHBand="0" w:firstRowFirstColumn="0" w:firstRowLastColumn="0" w:lastRowFirstColumn="0" w:lastRowLastColumn="0"/>
            <w:tcW w:w="0" w:type="auto"/>
            <w:hideMark/>
          </w:tcPr>
          <w:p w:rsidR="00AC313B" w:rsidRPr="006168F4" w:rsidRDefault="00AC313B" w:rsidP="008802E4">
            <w:pPr>
              <w:spacing w:after="200" w:line="360" w:lineRule="auto"/>
              <w:rPr>
                <w:rFonts w:ascii="Arial" w:hAnsi="Arial" w:cs="Arial"/>
                <w:sz w:val="24"/>
                <w:szCs w:val="24"/>
                <w:lang w:val="en-IN"/>
              </w:rPr>
            </w:pPr>
            <w:r w:rsidRPr="006168F4">
              <w:rPr>
                <w:rFonts w:ascii="Arial" w:hAnsi="Arial" w:cs="Arial"/>
                <w:sz w:val="24"/>
                <w:szCs w:val="24"/>
                <w:lang w:val="en-IN"/>
              </w:rPr>
              <w:t>2020</w:t>
            </w:r>
          </w:p>
        </w:tc>
        <w:tc>
          <w:tcPr>
            <w:tcW w:w="0" w:type="auto"/>
            <w:hideMark/>
          </w:tcPr>
          <w:p w:rsidR="00AC313B" w:rsidRPr="006168F4" w:rsidRDefault="00AC313B"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326,843</w:t>
            </w:r>
          </w:p>
        </w:tc>
        <w:tc>
          <w:tcPr>
            <w:tcW w:w="0" w:type="auto"/>
            <w:hideMark/>
          </w:tcPr>
          <w:p w:rsidR="00AC313B" w:rsidRPr="006168F4" w:rsidRDefault="00AC313B"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179,510</w:t>
            </w:r>
          </w:p>
        </w:tc>
        <w:tc>
          <w:tcPr>
            <w:tcW w:w="0" w:type="auto"/>
            <w:hideMark/>
          </w:tcPr>
          <w:p w:rsidR="00AC313B" w:rsidRPr="006168F4" w:rsidRDefault="00AC313B"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1.82</w:t>
            </w:r>
          </w:p>
        </w:tc>
      </w:tr>
    </w:tbl>
    <w:p w:rsidR="00946F76" w:rsidRPr="006168F4" w:rsidRDefault="00946F76" w:rsidP="008802E4">
      <w:pPr>
        <w:spacing w:line="360" w:lineRule="auto"/>
        <w:rPr>
          <w:rFonts w:ascii="Arial" w:hAnsi="Arial" w:cs="Arial"/>
          <w:b/>
          <w:sz w:val="24"/>
          <w:szCs w:val="24"/>
        </w:rPr>
      </w:pPr>
    </w:p>
    <w:p w:rsidR="00D043A6" w:rsidRDefault="00D043A6" w:rsidP="008802E4">
      <w:pPr>
        <w:spacing w:line="360" w:lineRule="auto"/>
        <w:rPr>
          <w:rFonts w:ascii="Arial" w:hAnsi="Arial" w:cs="Arial"/>
          <w:sz w:val="24"/>
          <w:szCs w:val="24"/>
        </w:rPr>
      </w:pPr>
      <w:r w:rsidRPr="00D043A6">
        <w:rPr>
          <w:rFonts w:ascii="Arial" w:hAnsi="Arial" w:cs="Arial"/>
          <w:sz w:val="24"/>
          <w:szCs w:val="24"/>
        </w:rPr>
        <w:t>Liquidity is stable and above 1.5, although trending downward. The 2020–2024 decline may indicate a reduced cash cushion and lower inventory/receivable quality.</w:t>
      </w:r>
    </w:p>
    <w:p w:rsidR="00AC313B" w:rsidRDefault="007D573A" w:rsidP="008802E4">
      <w:pPr>
        <w:spacing w:line="360" w:lineRule="auto"/>
        <w:rPr>
          <w:rStyle w:val="Strong"/>
          <w:rFonts w:ascii="Arial" w:hAnsi="Arial" w:cs="Arial"/>
          <w:b w:val="0"/>
          <w:sz w:val="24"/>
          <w:szCs w:val="24"/>
        </w:rPr>
      </w:pPr>
      <w:r w:rsidRPr="006168F4">
        <w:rPr>
          <w:rFonts w:ascii="Arial" w:hAnsi="Arial" w:cs="Arial"/>
          <w:b/>
          <w:sz w:val="24"/>
          <w:szCs w:val="24"/>
        </w:rPr>
        <w:t>Quick Ratio:</w:t>
      </w:r>
      <w:r w:rsidRPr="006168F4">
        <w:rPr>
          <w:rFonts w:ascii="Arial" w:hAnsi="Arial" w:cs="Arial"/>
          <w:sz w:val="24"/>
          <w:szCs w:val="24"/>
        </w:rPr>
        <w:t xml:space="preserve"> </w:t>
      </w:r>
      <w:r w:rsidRPr="006168F4">
        <w:rPr>
          <w:rStyle w:val="Strong"/>
          <w:rFonts w:ascii="Arial" w:hAnsi="Arial" w:cs="Arial"/>
          <w:b w:val="0"/>
          <w:sz w:val="24"/>
          <w:szCs w:val="24"/>
        </w:rPr>
        <w:t>(CA − Inventory) / CL</w:t>
      </w:r>
    </w:p>
    <w:tbl>
      <w:tblPr>
        <w:tblStyle w:val="PlainTable1"/>
        <w:tblpPr w:leftFromText="180" w:rightFromText="180" w:vertAnchor="page" w:horzAnchor="margin" w:tblpY="9536"/>
        <w:tblW w:w="8375" w:type="dxa"/>
        <w:tblLook w:val="04A0" w:firstRow="1" w:lastRow="0" w:firstColumn="1" w:lastColumn="0" w:noHBand="0" w:noVBand="1"/>
      </w:tblPr>
      <w:tblGrid>
        <w:gridCol w:w="1998"/>
        <w:gridCol w:w="4307"/>
        <w:gridCol w:w="2070"/>
      </w:tblGrid>
      <w:tr w:rsidR="00D043A6" w:rsidRPr="006168F4" w:rsidTr="00D043A6">
        <w:trPr>
          <w:cnfStyle w:val="100000000000" w:firstRow="1" w:lastRow="0" w:firstColumn="0" w:lastColumn="0" w:oddVBand="0" w:evenVBand="0" w:oddHBand="0" w:evenHBand="0" w:firstRowFirstColumn="0" w:firstRowLastColumn="0" w:lastRowFirstColumn="0" w:lastRowLastColumn="0"/>
          <w:trHeight w:val="613"/>
        </w:trPr>
        <w:tc>
          <w:tcPr>
            <w:cnfStyle w:val="001000000000" w:firstRow="0" w:lastRow="0" w:firstColumn="1" w:lastColumn="0" w:oddVBand="0" w:evenVBand="0" w:oddHBand="0" w:evenHBand="0" w:firstRowFirstColumn="0" w:firstRowLastColumn="0" w:lastRowFirstColumn="0" w:lastRowLastColumn="0"/>
            <w:tcW w:w="0" w:type="auto"/>
            <w:hideMark/>
          </w:tcPr>
          <w:p w:rsidR="00D043A6" w:rsidRPr="006168F4" w:rsidRDefault="00D043A6" w:rsidP="00D043A6">
            <w:pPr>
              <w:spacing w:line="360" w:lineRule="auto"/>
              <w:jc w:val="center"/>
              <w:rPr>
                <w:rFonts w:ascii="Arial" w:hAnsi="Arial" w:cs="Arial"/>
                <w:sz w:val="24"/>
                <w:szCs w:val="24"/>
              </w:rPr>
            </w:pPr>
            <w:r w:rsidRPr="006168F4">
              <w:rPr>
                <w:rFonts w:ascii="Arial" w:hAnsi="Arial" w:cs="Arial"/>
                <w:b w:val="0"/>
                <w:bCs w:val="0"/>
                <w:sz w:val="24"/>
                <w:szCs w:val="24"/>
              </w:rPr>
              <w:t>Year</w:t>
            </w:r>
          </w:p>
        </w:tc>
        <w:tc>
          <w:tcPr>
            <w:tcW w:w="0" w:type="auto"/>
            <w:hideMark/>
          </w:tcPr>
          <w:p w:rsidR="00D043A6" w:rsidRPr="006168F4" w:rsidRDefault="00D043A6" w:rsidP="00D043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6168F4">
              <w:rPr>
                <w:rFonts w:ascii="Arial" w:hAnsi="Arial" w:cs="Arial"/>
                <w:b w:val="0"/>
                <w:bCs w:val="0"/>
                <w:sz w:val="24"/>
                <w:szCs w:val="24"/>
              </w:rPr>
              <w:t>Quick Assets</w:t>
            </w:r>
          </w:p>
        </w:tc>
        <w:tc>
          <w:tcPr>
            <w:tcW w:w="0" w:type="auto"/>
            <w:hideMark/>
          </w:tcPr>
          <w:p w:rsidR="00D043A6" w:rsidRPr="006168F4" w:rsidRDefault="00D043A6" w:rsidP="00D043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6168F4">
              <w:rPr>
                <w:rFonts w:ascii="Arial" w:hAnsi="Arial" w:cs="Arial"/>
                <w:b w:val="0"/>
                <w:bCs w:val="0"/>
                <w:sz w:val="24"/>
                <w:szCs w:val="24"/>
              </w:rPr>
              <w:t>Ratio</w:t>
            </w:r>
          </w:p>
        </w:tc>
      </w:tr>
      <w:tr w:rsidR="00D043A6" w:rsidRPr="006168F4" w:rsidTr="00D043A6">
        <w:trPr>
          <w:cnfStyle w:val="000000100000" w:firstRow="0" w:lastRow="0" w:firstColumn="0" w:lastColumn="0" w:oddVBand="0" w:evenVBand="0" w:oddHBand="1" w:evenHBand="0" w:firstRowFirstColumn="0" w:firstRowLastColumn="0" w:lastRowFirstColumn="0" w:lastRowLastColumn="0"/>
          <w:trHeight w:val="613"/>
        </w:trPr>
        <w:tc>
          <w:tcPr>
            <w:cnfStyle w:val="001000000000" w:firstRow="0" w:lastRow="0" w:firstColumn="1" w:lastColumn="0" w:oddVBand="0" w:evenVBand="0" w:oddHBand="0" w:evenHBand="0" w:firstRowFirstColumn="0" w:firstRowLastColumn="0" w:lastRowFirstColumn="0" w:lastRowLastColumn="0"/>
            <w:tcW w:w="0" w:type="auto"/>
            <w:hideMark/>
          </w:tcPr>
          <w:p w:rsidR="00D043A6" w:rsidRPr="006168F4" w:rsidRDefault="00D043A6" w:rsidP="00D043A6">
            <w:pPr>
              <w:spacing w:line="360" w:lineRule="auto"/>
              <w:rPr>
                <w:rFonts w:ascii="Arial" w:hAnsi="Arial" w:cs="Arial"/>
                <w:b w:val="0"/>
                <w:bCs w:val="0"/>
                <w:sz w:val="24"/>
                <w:szCs w:val="24"/>
              </w:rPr>
            </w:pPr>
            <w:r w:rsidRPr="006168F4">
              <w:rPr>
                <w:rFonts w:ascii="Arial" w:hAnsi="Arial" w:cs="Arial"/>
                <w:sz w:val="24"/>
                <w:szCs w:val="24"/>
              </w:rPr>
              <w:t>2024</w:t>
            </w:r>
          </w:p>
        </w:tc>
        <w:tc>
          <w:tcPr>
            <w:tcW w:w="0" w:type="auto"/>
            <w:hideMark/>
          </w:tcPr>
          <w:p w:rsidR="00D043A6" w:rsidRPr="006168F4" w:rsidRDefault="00D043A6" w:rsidP="00D043A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68F4">
              <w:rPr>
                <w:rFonts w:ascii="Arial" w:hAnsi="Arial" w:cs="Arial"/>
                <w:sz w:val="24"/>
                <w:szCs w:val="24"/>
              </w:rPr>
              <w:t>163,139</w:t>
            </w:r>
          </w:p>
        </w:tc>
        <w:tc>
          <w:tcPr>
            <w:tcW w:w="0" w:type="auto"/>
            <w:hideMark/>
          </w:tcPr>
          <w:p w:rsidR="00D043A6" w:rsidRPr="006168F4" w:rsidRDefault="00D043A6" w:rsidP="00D043A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68F4">
              <w:rPr>
                <w:rStyle w:val="Strong"/>
                <w:rFonts w:ascii="Arial" w:hAnsi="Arial" w:cs="Arial"/>
                <w:sz w:val="24"/>
                <w:szCs w:val="24"/>
              </w:rPr>
              <w:t>1.03</w:t>
            </w:r>
          </w:p>
        </w:tc>
      </w:tr>
      <w:tr w:rsidR="00D043A6" w:rsidRPr="006168F4" w:rsidTr="00D043A6">
        <w:trPr>
          <w:trHeight w:val="613"/>
        </w:trPr>
        <w:tc>
          <w:tcPr>
            <w:cnfStyle w:val="001000000000" w:firstRow="0" w:lastRow="0" w:firstColumn="1" w:lastColumn="0" w:oddVBand="0" w:evenVBand="0" w:oddHBand="0" w:evenHBand="0" w:firstRowFirstColumn="0" w:firstRowLastColumn="0" w:lastRowFirstColumn="0" w:lastRowLastColumn="0"/>
            <w:tcW w:w="0" w:type="auto"/>
            <w:hideMark/>
          </w:tcPr>
          <w:p w:rsidR="00D043A6" w:rsidRPr="006168F4" w:rsidRDefault="00D043A6" w:rsidP="00D043A6">
            <w:pPr>
              <w:spacing w:line="360" w:lineRule="auto"/>
              <w:rPr>
                <w:rFonts w:ascii="Arial" w:hAnsi="Arial" w:cs="Arial"/>
                <w:sz w:val="24"/>
                <w:szCs w:val="24"/>
              </w:rPr>
            </w:pPr>
            <w:r w:rsidRPr="006168F4">
              <w:rPr>
                <w:rFonts w:ascii="Arial" w:hAnsi="Arial" w:cs="Arial"/>
                <w:sz w:val="24"/>
                <w:szCs w:val="24"/>
              </w:rPr>
              <w:t>2023</w:t>
            </w:r>
          </w:p>
        </w:tc>
        <w:tc>
          <w:tcPr>
            <w:tcW w:w="0" w:type="auto"/>
            <w:hideMark/>
          </w:tcPr>
          <w:p w:rsidR="00D043A6" w:rsidRPr="006168F4" w:rsidRDefault="00D043A6" w:rsidP="00D043A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68F4">
              <w:rPr>
                <w:rFonts w:ascii="Arial" w:hAnsi="Arial" w:cs="Arial"/>
                <w:sz w:val="24"/>
                <w:szCs w:val="24"/>
              </w:rPr>
              <w:t>170,578</w:t>
            </w:r>
          </w:p>
        </w:tc>
        <w:tc>
          <w:tcPr>
            <w:tcW w:w="0" w:type="auto"/>
            <w:hideMark/>
          </w:tcPr>
          <w:p w:rsidR="00D043A6" w:rsidRPr="006168F4" w:rsidRDefault="00D043A6" w:rsidP="00D043A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68F4">
              <w:rPr>
                <w:rStyle w:val="Strong"/>
                <w:rFonts w:ascii="Arial" w:hAnsi="Arial" w:cs="Arial"/>
                <w:sz w:val="24"/>
                <w:szCs w:val="24"/>
              </w:rPr>
              <w:t>1.06</w:t>
            </w:r>
          </w:p>
        </w:tc>
      </w:tr>
      <w:tr w:rsidR="00D043A6" w:rsidRPr="006168F4" w:rsidTr="00D043A6">
        <w:trPr>
          <w:cnfStyle w:val="000000100000" w:firstRow="0" w:lastRow="0" w:firstColumn="0" w:lastColumn="0" w:oddVBand="0" w:evenVBand="0" w:oddHBand="1" w:evenHBand="0" w:firstRowFirstColumn="0" w:firstRowLastColumn="0" w:lastRowFirstColumn="0" w:lastRowLastColumn="0"/>
          <w:trHeight w:val="613"/>
        </w:trPr>
        <w:tc>
          <w:tcPr>
            <w:cnfStyle w:val="001000000000" w:firstRow="0" w:lastRow="0" w:firstColumn="1" w:lastColumn="0" w:oddVBand="0" w:evenVBand="0" w:oddHBand="0" w:evenHBand="0" w:firstRowFirstColumn="0" w:firstRowLastColumn="0" w:lastRowFirstColumn="0" w:lastRowLastColumn="0"/>
            <w:tcW w:w="0" w:type="auto"/>
            <w:hideMark/>
          </w:tcPr>
          <w:p w:rsidR="00D043A6" w:rsidRPr="006168F4" w:rsidRDefault="00D043A6" w:rsidP="00D043A6">
            <w:pPr>
              <w:spacing w:line="360" w:lineRule="auto"/>
              <w:rPr>
                <w:rFonts w:ascii="Arial" w:hAnsi="Arial" w:cs="Arial"/>
                <w:sz w:val="24"/>
                <w:szCs w:val="24"/>
              </w:rPr>
            </w:pPr>
            <w:r w:rsidRPr="006168F4">
              <w:rPr>
                <w:rFonts w:ascii="Arial" w:hAnsi="Arial" w:cs="Arial"/>
                <w:sz w:val="24"/>
                <w:szCs w:val="24"/>
              </w:rPr>
              <w:t>2022</w:t>
            </w:r>
          </w:p>
        </w:tc>
        <w:tc>
          <w:tcPr>
            <w:tcW w:w="0" w:type="auto"/>
            <w:hideMark/>
          </w:tcPr>
          <w:p w:rsidR="00D043A6" w:rsidRPr="006168F4" w:rsidRDefault="00D043A6" w:rsidP="00D043A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68F4">
              <w:rPr>
                <w:rFonts w:ascii="Arial" w:hAnsi="Arial" w:cs="Arial"/>
                <w:sz w:val="24"/>
                <w:szCs w:val="24"/>
              </w:rPr>
              <w:t>197,859</w:t>
            </w:r>
          </w:p>
        </w:tc>
        <w:tc>
          <w:tcPr>
            <w:tcW w:w="0" w:type="auto"/>
            <w:hideMark/>
          </w:tcPr>
          <w:p w:rsidR="00D043A6" w:rsidRPr="006168F4" w:rsidRDefault="00D043A6" w:rsidP="00D043A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68F4">
              <w:rPr>
                <w:rFonts w:ascii="Arial" w:hAnsi="Arial" w:cs="Arial"/>
                <w:sz w:val="24"/>
                <w:szCs w:val="24"/>
              </w:rPr>
              <w:t>0.91</w:t>
            </w:r>
          </w:p>
        </w:tc>
      </w:tr>
      <w:tr w:rsidR="00D043A6" w:rsidRPr="006168F4" w:rsidTr="00D043A6">
        <w:trPr>
          <w:trHeight w:val="613"/>
        </w:trPr>
        <w:tc>
          <w:tcPr>
            <w:cnfStyle w:val="001000000000" w:firstRow="0" w:lastRow="0" w:firstColumn="1" w:lastColumn="0" w:oddVBand="0" w:evenVBand="0" w:oddHBand="0" w:evenHBand="0" w:firstRowFirstColumn="0" w:firstRowLastColumn="0" w:lastRowFirstColumn="0" w:lastRowLastColumn="0"/>
            <w:tcW w:w="0" w:type="auto"/>
            <w:hideMark/>
          </w:tcPr>
          <w:p w:rsidR="00D043A6" w:rsidRPr="006168F4" w:rsidRDefault="00D043A6" w:rsidP="00D043A6">
            <w:pPr>
              <w:spacing w:line="360" w:lineRule="auto"/>
              <w:rPr>
                <w:rFonts w:ascii="Arial" w:hAnsi="Arial" w:cs="Arial"/>
                <w:sz w:val="24"/>
                <w:szCs w:val="24"/>
              </w:rPr>
            </w:pPr>
            <w:r w:rsidRPr="006168F4">
              <w:rPr>
                <w:rFonts w:ascii="Arial" w:hAnsi="Arial" w:cs="Arial"/>
                <w:sz w:val="24"/>
                <w:szCs w:val="24"/>
              </w:rPr>
              <w:t>2021</w:t>
            </w:r>
          </w:p>
        </w:tc>
        <w:tc>
          <w:tcPr>
            <w:tcW w:w="0" w:type="auto"/>
            <w:hideMark/>
          </w:tcPr>
          <w:p w:rsidR="00D043A6" w:rsidRPr="006168F4" w:rsidRDefault="00D043A6" w:rsidP="00D043A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68F4">
              <w:rPr>
                <w:rFonts w:ascii="Arial" w:hAnsi="Arial" w:cs="Arial"/>
                <w:sz w:val="24"/>
                <w:szCs w:val="24"/>
              </w:rPr>
              <w:t>202,677</w:t>
            </w:r>
          </w:p>
        </w:tc>
        <w:tc>
          <w:tcPr>
            <w:tcW w:w="0" w:type="auto"/>
            <w:hideMark/>
          </w:tcPr>
          <w:p w:rsidR="00D043A6" w:rsidRPr="006168F4" w:rsidRDefault="00D043A6" w:rsidP="00D043A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68F4">
              <w:rPr>
                <w:rFonts w:ascii="Arial" w:hAnsi="Arial" w:cs="Arial"/>
                <w:sz w:val="24"/>
                <w:szCs w:val="24"/>
              </w:rPr>
              <w:t>0.94</w:t>
            </w:r>
          </w:p>
        </w:tc>
      </w:tr>
      <w:tr w:rsidR="00D043A6" w:rsidRPr="006168F4" w:rsidTr="00D043A6">
        <w:trPr>
          <w:cnfStyle w:val="000000100000" w:firstRow="0" w:lastRow="0" w:firstColumn="0" w:lastColumn="0" w:oddVBand="0" w:evenVBand="0" w:oddHBand="1" w:evenHBand="0" w:firstRowFirstColumn="0" w:firstRowLastColumn="0" w:lastRowFirstColumn="0" w:lastRowLastColumn="0"/>
          <w:trHeight w:val="613"/>
        </w:trPr>
        <w:tc>
          <w:tcPr>
            <w:cnfStyle w:val="001000000000" w:firstRow="0" w:lastRow="0" w:firstColumn="1" w:lastColumn="0" w:oddVBand="0" w:evenVBand="0" w:oddHBand="0" w:evenHBand="0" w:firstRowFirstColumn="0" w:firstRowLastColumn="0" w:lastRowFirstColumn="0" w:lastRowLastColumn="0"/>
            <w:tcW w:w="0" w:type="auto"/>
            <w:hideMark/>
          </w:tcPr>
          <w:p w:rsidR="00D043A6" w:rsidRPr="006168F4" w:rsidRDefault="00D043A6" w:rsidP="00D043A6">
            <w:pPr>
              <w:spacing w:line="360" w:lineRule="auto"/>
              <w:rPr>
                <w:rFonts w:ascii="Arial" w:hAnsi="Arial" w:cs="Arial"/>
                <w:sz w:val="24"/>
                <w:szCs w:val="24"/>
              </w:rPr>
            </w:pPr>
            <w:r w:rsidRPr="006168F4">
              <w:rPr>
                <w:rFonts w:ascii="Arial" w:hAnsi="Arial" w:cs="Arial"/>
                <w:sz w:val="24"/>
                <w:szCs w:val="24"/>
              </w:rPr>
              <w:t>2020</w:t>
            </w:r>
          </w:p>
        </w:tc>
        <w:tc>
          <w:tcPr>
            <w:tcW w:w="0" w:type="auto"/>
            <w:hideMark/>
          </w:tcPr>
          <w:p w:rsidR="00D043A6" w:rsidRPr="006168F4" w:rsidRDefault="00D043A6" w:rsidP="00D043A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68F4">
              <w:rPr>
                <w:rFonts w:ascii="Arial" w:hAnsi="Arial" w:cs="Arial"/>
                <w:sz w:val="24"/>
                <w:szCs w:val="24"/>
              </w:rPr>
              <w:t>206,413</w:t>
            </w:r>
          </w:p>
        </w:tc>
        <w:tc>
          <w:tcPr>
            <w:tcW w:w="0" w:type="auto"/>
            <w:hideMark/>
          </w:tcPr>
          <w:p w:rsidR="00D043A6" w:rsidRPr="006168F4" w:rsidRDefault="00D043A6" w:rsidP="00D043A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68F4">
              <w:rPr>
                <w:rFonts w:ascii="Arial" w:hAnsi="Arial" w:cs="Arial"/>
                <w:sz w:val="24"/>
                <w:szCs w:val="24"/>
              </w:rPr>
              <w:t>1.15</w:t>
            </w:r>
          </w:p>
        </w:tc>
      </w:tr>
    </w:tbl>
    <w:p w:rsidR="00774E3C" w:rsidRDefault="00774E3C" w:rsidP="00774E3C">
      <w:pPr>
        <w:spacing w:line="360" w:lineRule="auto"/>
        <w:rPr>
          <w:rFonts w:ascii="Arial" w:hAnsi="Arial" w:cs="Arial"/>
          <w:sz w:val="24"/>
          <w:szCs w:val="24"/>
        </w:rPr>
      </w:pPr>
      <w:r w:rsidRPr="006168F4">
        <w:rPr>
          <w:rFonts w:ascii="Arial" w:hAnsi="Arial" w:cs="Arial"/>
          <w:sz w:val="24"/>
          <w:szCs w:val="24"/>
        </w:rPr>
        <w:t>Quick ratio hovers near 1.0 — indicating borderline liquidity. Stronge</w:t>
      </w:r>
      <w:r>
        <w:rPr>
          <w:rFonts w:ascii="Arial" w:hAnsi="Arial" w:cs="Arial"/>
          <w:sz w:val="24"/>
          <w:szCs w:val="24"/>
        </w:rPr>
        <w:t>r than 2021–22 but still tight.</w:t>
      </w:r>
    </w:p>
    <w:p w:rsidR="00774E3C" w:rsidRPr="006168F4" w:rsidRDefault="00774E3C" w:rsidP="008802E4">
      <w:pPr>
        <w:spacing w:line="360" w:lineRule="auto"/>
        <w:rPr>
          <w:rFonts w:ascii="Arial" w:hAnsi="Arial" w:cs="Arial"/>
          <w:sz w:val="24"/>
          <w:szCs w:val="24"/>
        </w:rPr>
      </w:pPr>
    </w:p>
    <w:p w:rsidR="00D043A6" w:rsidRDefault="00D043A6" w:rsidP="008802E4">
      <w:pPr>
        <w:spacing w:line="360" w:lineRule="auto"/>
        <w:rPr>
          <w:rFonts w:ascii="Arial" w:hAnsi="Arial" w:cs="Arial"/>
          <w:b/>
          <w:sz w:val="24"/>
          <w:szCs w:val="24"/>
        </w:rPr>
      </w:pPr>
    </w:p>
    <w:p w:rsidR="00D043A6" w:rsidRDefault="00D043A6" w:rsidP="008802E4">
      <w:pPr>
        <w:spacing w:line="360" w:lineRule="auto"/>
        <w:rPr>
          <w:rFonts w:ascii="Arial" w:hAnsi="Arial" w:cs="Arial"/>
          <w:b/>
          <w:sz w:val="24"/>
          <w:szCs w:val="24"/>
        </w:rPr>
      </w:pPr>
    </w:p>
    <w:p w:rsidR="00F66E81" w:rsidRPr="006168F4" w:rsidRDefault="00D043A6" w:rsidP="008802E4">
      <w:pPr>
        <w:spacing w:line="360" w:lineRule="auto"/>
        <w:rPr>
          <w:rFonts w:ascii="Arial" w:hAnsi="Arial" w:cs="Arial"/>
          <w:b/>
          <w:sz w:val="24"/>
          <w:szCs w:val="24"/>
        </w:rPr>
      </w:pPr>
      <w:r>
        <w:rPr>
          <w:rFonts w:ascii="Arial" w:hAnsi="Arial" w:cs="Arial"/>
          <w:b/>
          <w:sz w:val="24"/>
          <w:szCs w:val="24"/>
        </w:rPr>
        <w:t>1.2.1</w:t>
      </w:r>
      <w:r w:rsidR="00F66E81" w:rsidRPr="006168F4">
        <w:rPr>
          <w:rFonts w:ascii="Arial" w:hAnsi="Arial" w:cs="Arial"/>
          <w:b/>
          <w:sz w:val="24"/>
          <w:szCs w:val="24"/>
        </w:rPr>
        <w:t xml:space="preserve"> Current Liabilities Behaviour</w:t>
      </w:r>
    </w:p>
    <w:p w:rsidR="00D043A6" w:rsidRPr="00D043A6" w:rsidRDefault="00D043A6" w:rsidP="00D043A6">
      <w:pPr>
        <w:spacing w:line="360" w:lineRule="auto"/>
        <w:rPr>
          <w:rFonts w:ascii="Arial" w:hAnsi="Arial" w:cs="Arial"/>
          <w:sz w:val="24"/>
          <w:szCs w:val="24"/>
        </w:rPr>
      </w:pPr>
      <w:r w:rsidRPr="00D043A6">
        <w:rPr>
          <w:rFonts w:ascii="Arial" w:hAnsi="Arial" w:cs="Arial"/>
          <w:sz w:val="24"/>
          <w:szCs w:val="24"/>
        </w:rPr>
        <w:t>Current liabilities remained high, with regular use of the short-term credit lines to plug liquidity gaps. Lines of credit have peaked at £88bn in 2022, reduced to £36.9bn by 2024, which showed deleveraging under duress rather than strategic intent.</w:t>
      </w:r>
    </w:p>
    <w:p w:rsidR="00D043A6" w:rsidRDefault="00D043A6" w:rsidP="00D043A6">
      <w:pPr>
        <w:spacing w:line="360" w:lineRule="auto"/>
        <w:rPr>
          <w:rFonts w:ascii="Arial" w:hAnsi="Arial" w:cs="Arial"/>
          <w:sz w:val="24"/>
          <w:szCs w:val="24"/>
        </w:rPr>
      </w:pPr>
      <w:r w:rsidRPr="00D043A6">
        <w:rPr>
          <w:rFonts w:ascii="Arial" w:hAnsi="Arial" w:cs="Arial"/>
          <w:sz w:val="24"/>
          <w:szCs w:val="24"/>
        </w:rPr>
        <w:t>The liquidity ratios c</w:t>
      </w:r>
      <w:r>
        <w:rPr>
          <w:rFonts w:ascii="Arial" w:hAnsi="Arial" w:cs="Arial"/>
          <w:sz w:val="24"/>
          <w:szCs w:val="24"/>
        </w:rPr>
        <w:t>alculated in the appendix show:</w:t>
      </w:r>
    </w:p>
    <w:p w:rsidR="00D043A6" w:rsidRPr="00D043A6" w:rsidRDefault="00D043A6" w:rsidP="00D043A6">
      <w:pPr>
        <w:spacing w:line="360" w:lineRule="auto"/>
        <w:rPr>
          <w:rFonts w:ascii="Arial" w:hAnsi="Arial" w:cs="Arial"/>
          <w:sz w:val="24"/>
          <w:szCs w:val="24"/>
        </w:rPr>
      </w:pPr>
      <w:r w:rsidRPr="00D043A6">
        <w:rPr>
          <w:rFonts w:ascii="Arial" w:hAnsi="Arial" w:cs="Arial"/>
          <w:sz w:val="24"/>
          <w:szCs w:val="24"/>
        </w:rPr>
        <w:t>The current ratio is below the recommended threshold of 2:1.</w:t>
      </w:r>
    </w:p>
    <w:p w:rsidR="00D043A6" w:rsidRPr="00D043A6" w:rsidRDefault="00D043A6" w:rsidP="00D043A6">
      <w:pPr>
        <w:spacing w:line="360" w:lineRule="auto"/>
        <w:rPr>
          <w:rFonts w:ascii="Arial" w:hAnsi="Arial" w:cs="Arial"/>
          <w:sz w:val="24"/>
          <w:szCs w:val="24"/>
        </w:rPr>
      </w:pPr>
      <w:r w:rsidRPr="00D043A6">
        <w:rPr>
          <w:rFonts w:ascii="Arial" w:hAnsi="Arial" w:cs="Arial"/>
          <w:sz w:val="24"/>
          <w:szCs w:val="24"/>
        </w:rPr>
        <w:t>Quick Ratio indicates the inability to meet short-term obligations without relying on inventory conversion.</w:t>
      </w:r>
    </w:p>
    <w:p w:rsidR="00D043A6" w:rsidRDefault="00D043A6" w:rsidP="00D043A6">
      <w:pPr>
        <w:spacing w:line="360" w:lineRule="auto"/>
        <w:rPr>
          <w:rFonts w:ascii="Arial" w:hAnsi="Arial" w:cs="Arial"/>
          <w:sz w:val="24"/>
          <w:szCs w:val="24"/>
        </w:rPr>
      </w:pPr>
      <w:r w:rsidRPr="00D043A6">
        <w:rPr>
          <w:rFonts w:ascii="Arial" w:hAnsi="Arial" w:cs="Arial"/>
          <w:sz w:val="24"/>
          <w:szCs w:val="24"/>
        </w:rPr>
        <w:t>This shows a working capital structure that is essentially unstable.</w:t>
      </w:r>
    </w:p>
    <w:p w:rsidR="00BA00F2" w:rsidRPr="006168F4" w:rsidRDefault="00D043A6" w:rsidP="00D043A6">
      <w:pPr>
        <w:spacing w:line="360" w:lineRule="auto"/>
        <w:rPr>
          <w:rStyle w:val="Strong"/>
          <w:rFonts w:ascii="Arial" w:hAnsi="Arial" w:cs="Arial"/>
          <w:sz w:val="24"/>
          <w:szCs w:val="24"/>
        </w:rPr>
      </w:pPr>
      <w:r>
        <w:rPr>
          <w:rStyle w:val="Strong"/>
          <w:rFonts w:ascii="Arial" w:hAnsi="Arial" w:cs="Arial"/>
          <w:sz w:val="24"/>
          <w:szCs w:val="24"/>
        </w:rPr>
        <w:t>1.3 Efficiency</w:t>
      </w:r>
      <w:r w:rsidR="00BA00F2" w:rsidRPr="006168F4">
        <w:rPr>
          <w:rStyle w:val="Strong"/>
          <w:rFonts w:ascii="Arial" w:hAnsi="Arial" w:cs="Arial"/>
          <w:sz w:val="24"/>
          <w:szCs w:val="24"/>
        </w:rPr>
        <w:t xml:space="preserve"> Analysis</w:t>
      </w:r>
    </w:p>
    <w:p w:rsidR="00C8549F" w:rsidRPr="006168F4" w:rsidRDefault="00BA00F2" w:rsidP="008802E4">
      <w:pPr>
        <w:spacing w:line="360" w:lineRule="auto"/>
        <w:rPr>
          <w:rStyle w:val="Strong"/>
          <w:rFonts w:ascii="Arial" w:hAnsi="Arial" w:cs="Arial"/>
          <w:b w:val="0"/>
          <w:sz w:val="24"/>
          <w:szCs w:val="24"/>
        </w:rPr>
      </w:pPr>
      <w:r w:rsidRPr="006168F4">
        <w:rPr>
          <w:rStyle w:val="Strong"/>
          <w:rFonts w:ascii="Arial" w:hAnsi="Arial" w:cs="Arial"/>
          <w:b w:val="0"/>
          <w:sz w:val="24"/>
          <w:szCs w:val="24"/>
        </w:rPr>
        <w:t>Efficiency ratios reflect clear operational deterioration</w:t>
      </w:r>
    </w:p>
    <w:p w:rsidR="007D573A" w:rsidRPr="006168F4" w:rsidRDefault="00C8549F" w:rsidP="008802E4">
      <w:pPr>
        <w:spacing w:line="360" w:lineRule="auto"/>
        <w:rPr>
          <w:rFonts w:ascii="Arial" w:hAnsi="Arial" w:cs="Arial"/>
          <w:bCs/>
          <w:sz w:val="24"/>
          <w:szCs w:val="24"/>
        </w:rPr>
      </w:pPr>
      <w:r w:rsidRPr="006168F4">
        <w:rPr>
          <w:rFonts w:ascii="Arial" w:hAnsi="Arial" w:cs="Arial"/>
          <w:b/>
          <w:bCs/>
          <w:sz w:val="24"/>
          <w:szCs w:val="24"/>
        </w:rPr>
        <w:t>Inventory Turnover</w:t>
      </w:r>
      <w:r w:rsidRPr="006168F4">
        <w:rPr>
          <w:rStyle w:val="Strong"/>
          <w:rFonts w:ascii="Arial" w:hAnsi="Arial" w:cs="Arial"/>
          <w:b w:val="0"/>
          <w:sz w:val="24"/>
          <w:szCs w:val="24"/>
        </w:rPr>
        <w:t xml:space="preserve">: </w:t>
      </w:r>
      <w:r w:rsidR="007D573A" w:rsidRPr="00D043A6">
        <w:rPr>
          <w:rFonts w:ascii="Arial" w:hAnsi="Arial" w:cs="Arial"/>
          <w:bCs/>
          <w:sz w:val="24"/>
          <w:szCs w:val="24"/>
          <w:lang w:val="en-IN"/>
        </w:rPr>
        <w:t>Cost of Sales / Average Inventory</w:t>
      </w:r>
    </w:p>
    <w:p w:rsidR="007D573A" w:rsidRPr="006168F4" w:rsidRDefault="007D573A" w:rsidP="008802E4">
      <w:pPr>
        <w:spacing w:line="360" w:lineRule="auto"/>
        <w:rPr>
          <w:rFonts w:ascii="Arial" w:hAnsi="Arial" w:cs="Arial"/>
          <w:bCs/>
          <w:sz w:val="24"/>
          <w:szCs w:val="24"/>
          <w:lang w:val="en-IN"/>
        </w:rPr>
      </w:pPr>
      <w:r w:rsidRPr="006168F4">
        <w:rPr>
          <w:rFonts w:ascii="Arial" w:hAnsi="Arial" w:cs="Arial"/>
          <w:bCs/>
          <w:sz w:val="24"/>
          <w:szCs w:val="24"/>
          <w:lang w:val="en-IN"/>
        </w:rPr>
        <w:t xml:space="preserve">2024 Inventory turnover = 280,885 / ((79,355 + 88,273) / 2) ≈ </w:t>
      </w:r>
      <w:r w:rsidRPr="006168F4">
        <w:rPr>
          <w:rFonts w:ascii="Arial" w:hAnsi="Arial" w:cs="Arial"/>
          <w:b/>
          <w:bCs/>
          <w:sz w:val="24"/>
          <w:szCs w:val="24"/>
          <w:lang w:val="en-IN"/>
        </w:rPr>
        <w:t>3.38x</w:t>
      </w:r>
    </w:p>
    <w:p w:rsidR="00BA00F2" w:rsidRPr="006168F4" w:rsidRDefault="00946F76" w:rsidP="008802E4">
      <w:pPr>
        <w:spacing w:line="360" w:lineRule="auto"/>
        <w:rPr>
          <w:rStyle w:val="Strong"/>
          <w:rFonts w:ascii="Arial" w:hAnsi="Arial" w:cs="Arial"/>
          <w:b w:val="0"/>
          <w:sz w:val="24"/>
          <w:szCs w:val="24"/>
        </w:rPr>
      </w:pPr>
      <w:r w:rsidRPr="006168F4">
        <w:rPr>
          <w:rStyle w:val="Strong"/>
          <w:rFonts w:ascii="Arial" w:hAnsi="Arial" w:cs="Arial"/>
          <w:b w:val="0"/>
          <w:sz w:val="24"/>
          <w:szCs w:val="24"/>
        </w:rPr>
        <w:t>Trend:</w:t>
      </w:r>
    </w:p>
    <w:tbl>
      <w:tblPr>
        <w:tblStyle w:val="PlainTable1"/>
        <w:tblW w:w="8207" w:type="dxa"/>
        <w:tblLook w:val="04A0" w:firstRow="1" w:lastRow="0" w:firstColumn="1" w:lastColumn="0" w:noHBand="0" w:noVBand="1"/>
      </w:tblPr>
      <w:tblGrid>
        <w:gridCol w:w="1986"/>
        <w:gridCol w:w="6221"/>
      </w:tblGrid>
      <w:tr w:rsidR="007D573A" w:rsidRPr="006168F4" w:rsidTr="007D573A">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0" w:type="auto"/>
            <w:hideMark/>
          </w:tcPr>
          <w:p w:rsidR="007D573A" w:rsidRPr="006168F4" w:rsidRDefault="007D573A" w:rsidP="008802E4">
            <w:pPr>
              <w:spacing w:after="200" w:line="360" w:lineRule="auto"/>
              <w:rPr>
                <w:rFonts w:ascii="Arial" w:hAnsi="Arial" w:cs="Arial"/>
                <w:sz w:val="24"/>
                <w:szCs w:val="24"/>
                <w:lang w:val="en-IN"/>
              </w:rPr>
            </w:pPr>
            <w:r w:rsidRPr="006168F4">
              <w:rPr>
                <w:rFonts w:ascii="Arial" w:hAnsi="Arial" w:cs="Arial"/>
                <w:sz w:val="24"/>
                <w:szCs w:val="24"/>
                <w:lang w:val="en-IN"/>
              </w:rPr>
              <w:t>Year</w:t>
            </w:r>
          </w:p>
        </w:tc>
        <w:tc>
          <w:tcPr>
            <w:tcW w:w="0" w:type="auto"/>
            <w:hideMark/>
          </w:tcPr>
          <w:p w:rsidR="007D573A" w:rsidRPr="006168F4" w:rsidRDefault="007D573A" w:rsidP="008802E4">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Turnover (approx.)</w:t>
            </w:r>
          </w:p>
        </w:tc>
      </w:tr>
      <w:tr w:rsidR="007D573A" w:rsidRPr="006168F4" w:rsidTr="007D573A">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0" w:type="auto"/>
            <w:hideMark/>
          </w:tcPr>
          <w:p w:rsidR="007D573A" w:rsidRPr="006168F4" w:rsidRDefault="007D573A" w:rsidP="008802E4">
            <w:pPr>
              <w:spacing w:after="200" w:line="360" w:lineRule="auto"/>
              <w:rPr>
                <w:rFonts w:ascii="Arial" w:hAnsi="Arial" w:cs="Arial"/>
                <w:sz w:val="24"/>
                <w:szCs w:val="24"/>
                <w:lang w:val="en-IN"/>
              </w:rPr>
            </w:pPr>
            <w:r w:rsidRPr="006168F4">
              <w:rPr>
                <w:rFonts w:ascii="Arial" w:hAnsi="Arial" w:cs="Arial"/>
                <w:sz w:val="24"/>
                <w:szCs w:val="24"/>
                <w:lang w:val="en-IN"/>
              </w:rPr>
              <w:t>2024</w:t>
            </w:r>
          </w:p>
        </w:tc>
        <w:tc>
          <w:tcPr>
            <w:tcW w:w="0" w:type="auto"/>
            <w:hideMark/>
          </w:tcPr>
          <w:p w:rsidR="007D573A" w:rsidRPr="006168F4" w:rsidRDefault="007D573A"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
                <w:bCs/>
                <w:sz w:val="24"/>
                <w:szCs w:val="24"/>
                <w:lang w:val="en-IN"/>
              </w:rPr>
              <w:t>3.4x</w:t>
            </w:r>
          </w:p>
        </w:tc>
      </w:tr>
      <w:tr w:rsidR="007D573A" w:rsidRPr="006168F4" w:rsidTr="007D573A">
        <w:trPr>
          <w:trHeight w:val="432"/>
        </w:trPr>
        <w:tc>
          <w:tcPr>
            <w:cnfStyle w:val="001000000000" w:firstRow="0" w:lastRow="0" w:firstColumn="1" w:lastColumn="0" w:oddVBand="0" w:evenVBand="0" w:oddHBand="0" w:evenHBand="0" w:firstRowFirstColumn="0" w:firstRowLastColumn="0" w:lastRowFirstColumn="0" w:lastRowLastColumn="0"/>
            <w:tcW w:w="0" w:type="auto"/>
            <w:hideMark/>
          </w:tcPr>
          <w:p w:rsidR="007D573A" w:rsidRPr="006168F4" w:rsidRDefault="007D573A" w:rsidP="008802E4">
            <w:pPr>
              <w:spacing w:after="200" w:line="360" w:lineRule="auto"/>
              <w:rPr>
                <w:rFonts w:ascii="Arial" w:hAnsi="Arial" w:cs="Arial"/>
                <w:sz w:val="24"/>
                <w:szCs w:val="24"/>
                <w:lang w:val="en-IN"/>
              </w:rPr>
            </w:pPr>
            <w:r w:rsidRPr="006168F4">
              <w:rPr>
                <w:rFonts w:ascii="Arial" w:hAnsi="Arial" w:cs="Arial"/>
                <w:sz w:val="24"/>
                <w:szCs w:val="24"/>
                <w:lang w:val="en-IN"/>
              </w:rPr>
              <w:t>2023</w:t>
            </w:r>
          </w:p>
        </w:tc>
        <w:tc>
          <w:tcPr>
            <w:tcW w:w="0" w:type="auto"/>
            <w:hideMark/>
          </w:tcPr>
          <w:p w:rsidR="007D573A" w:rsidRPr="006168F4" w:rsidRDefault="007D573A"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2.8x</w:t>
            </w:r>
          </w:p>
        </w:tc>
      </w:tr>
      <w:tr w:rsidR="007D573A" w:rsidRPr="006168F4" w:rsidTr="007D573A">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0" w:type="auto"/>
            <w:hideMark/>
          </w:tcPr>
          <w:p w:rsidR="007D573A" w:rsidRPr="006168F4" w:rsidRDefault="007D573A" w:rsidP="008802E4">
            <w:pPr>
              <w:spacing w:after="200" w:line="360" w:lineRule="auto"/>
              <w:rPr>
                <w:rFonts w:ascii="Arial" w:hAnsi="Arial" w:cs="Arial"/>
                <w:sz w:val="24"/>
                <w:szCs w:val="24"/>
                <w:lang w:val="en-IN"/>
              </w:rPr>
            </w:pPr>
            <w:r w:rsidRPr="006168F4">
              <w:rPr>
                <w:rFonts w:ascii="Arial" w:hAnsi="Arial" w:cs="Arial"/>
                <w:sz w:val="24"/>
                <w:szCs w:val="24"/>
                <w:lang w:val="en-IN"/>
              </w:rPr>
              <w:t>2022</w:t>
            </w:r>
          </w:p>
        </w:tc>
        <w:tc>
          <w:tcPr>
            <w:tcW w:w="0" w:type="auto"/>
            <w:hideMark/>
          </w:tcPr>
          <w:p w:rsidR="007D573A" w:rsidRPr="006168F4" w:rsidRDefault="007D573A"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3.2x</w:t>
            </w:r>
          </w:p>
        </w:tc>
      </w:tr>
      <w:tr w:rsidR="007D573A" w:rsidRPr="006168F4" w:rsidTr="007D573A">
        <w:trPr>
          <w:trHeight w:val="432"/>
        </w:trPr>
        <w:tc>
          <w:tcPr>
            <w:cnfStyle w:val="001000000000" w:firstRow="0" w:lastRow="0" w:firstColumn="1" w:lastColumn="0" w:oddVBand="0" w:evenVBand="0" w:oddHBand="0" w:evenHBand="0" w:firstRowFirstColumn="0" w:firstRowLastColumn="0" w:lastRowFirstColumn="0" w:lastRowLastColumn="0"/>
            <w:tcW w:w="0" w:type="auto"/>
            <w:hideMark/>
          </w:tcPr>
          <w:p w:rsidR="007D573A" w:rsidRPr="006168F4" w:rsidRDefault="007D573A" w:rsidP="008802E4">
            <w:pPr>
              <w:spacing w:after="200" w:line="360" w:lineRule="auto"/>
              <w:rPr>
                <w:rFonts w:ascii="Arial" w:hAnsi="Arial" w:cs="Arial"/>
                <w:sz w:val="24"/>
                <w:szCs w:val="24"/>
                <w:lang w:val="en-IN"/>
              </w:rPr>
            </w:pPr>
            <w:r w:rsidRPr="006168F4">
              <w:rPr>
                <w:rFonts w:ascii="Arial" w:hAnsi="Arial" w:cs="Arial"/>
                <w:sz w:val="24"/>
                <w:szCs w:val="24"/>
                <w:lang w:val="en-IN"/>
              </w:rPr>
              <w:t>2021</w:t>
            </w:r>
          </w:p>
        </w:tc>
        <w:tc>
          <w:tcPr>
            <w:tcW w:w="0" w:type="auto"/>
            <w:hideMark/>
          </w:tcPr>
          <w:p w:rsidR="007D573A" w:rsidRPr="006168F4" w:rsidRDefault="007D573A"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3.3x</w:t>
            </w:r>
          </w:p>
        </w:tc>
      </w:tr>
      <w:tr w:rsidR="007D573A" w:rsidRPr="006168F4" w:rsidTr="007D573A">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0" w:type="auto"/>
            <w:hideMark/>
          </w:tcPr>
          <w:p w:rsidR="007D573A" w:rsidRPr="006168F4" w:rsidRDefault="007D573A" w:rsidP="008802E4">
            <w:pPr>
              <w:spacing w:after="200" w:line="360" w:lineRule="auto"/>
              <w:rPr>
                <w:rFonts w:ascii="Arial" w:hAnsi="Arial" w:cs="Arial"/>
                <w:sz w:val="24"/>
                <w:szCs w:val="24"/>
                <w:lang w:val="en-IN"/>
              </w:rPr>
            </w:pPr>
            <w:r w:rsidRPr="006168F4">
              <w:rPr>
                <w:rFonts w:ascii="Arial" w:hAnsi="Arial" w:cs="Arial"/>
                <w:sz w:val="24"/>
                <w:szCs w:val="24"/>
                <w:lang w:val="en-IN"/>
              </w:rPr>
              <w:t>2020</w:t>
            </w:r>
          </w:p>
        </w:tc>
        <w:tc>
          <w:tcPr>
            <w:tcW w:w="0" w:type="auto"/>
            <w:hideMark/>
          </w:tcPr>
          <w:p w:rsidR="007D573A" w:rsidRPr="006168F4" w:rsidRDefault="007D573A"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3.6x</w:t>
            </w:r>
          </w:p>
        </w:tc>
      </w:tr>
    </w:tbl>
    <w:p w:rsidR="007D573A" w:rsidRPr="006168F4" w:rsidRDefault="007D573A" w:rsidP="008802E4">
      <w:pPr>
        <w:spacing w:line="360" w:lineRule="auto"/>
        <w:rPr>
          <w:rStyle w:val="Strong"/>
          <w:rFonts w:ascii="Arial" w:hAnsi="Arial" w:cs="Arial"/>
          <w:b w:val="0"/>
          <w:sz w:val="24"/>
          <w:szCs w:val="24"/>
        </w:rPr>
      </w:pPr>
    </w:p>
    <w:p w:rsidR="00C8549F" w:rsidRPr="006168F4" w:rsidRDefault="00C8549F" w:rsidP="008802E4">
      <w:pPr>
        <w:spacing w:line="360" w:lineRule="auto"/>
        <w:rPr>
          <w:rFonts w:ascii="Arial" w:hAnsi="Arial" w:cs="Arial"/>
          <w:bCs/>
          <w:sz w:val="24"/>
          <w:szCs w:val="24"/>
        </w:rPr>
      </w:pPr>
      <w:r w:rsidRPr="006168F4">
        <w:rPr>
          <w:rFonts w:ascii="Arial" w:hAnsi="Arial" w:cs="Arial"/>
          <w:bCs/>
          <w:sz w:val="24"/>
          <w:szCs w:val="24"/>
        </w:rPr>
        <w:t>Efficiency improved in 2024 after weak 2023, but long-term trend is slightly downward.</w:t>
      </w:r>
    </w:p>
    <w:p w:rsidR="00C8549F" w:rsidRPr="00542ED1" w:rsidRDefault="00C8549F" w:rsidP="008802E4">
      <w:pPr>
        <w:spacing w:line="360" w:lineRule="auto"/>
        <w:rPr>
          <w:rFonts w:ascii="Arial" w:hAnsi="Arial" w:cs="Arial"/>
          <w:bCs/>
          <w:sz w:val="24"/>
          <w:szCs w:val="24"/>
        </w:rPr>
      </w:pPr>
      <w:r w:rsidRPr="006168F4">
        <w:rPr>
          <w:rFonts w:ascii="Arial" w:hAnsi="Arial" w:cs="Arial"/>
          <w:b/>
          <w:bCs/>
          <w:sz w:val="24"/>
          <w:szCs w:val="24"/>
        </w:rPr>
        <w:t>Receivable Turnover</w:t>
      </w:r>
      <w:r w:rsidR="00542ED1">
        <w:rPr>
          <w:rStyle w:val="Strong"/>
          <w:rFonts w:ascii="Arial" w:hAnsi="Arial" w:cs="Arial"/>
          <w:sz w:val="24"/>
          <w:szCs w:val="24"/>
        </w:rPr>
        <w:t xml:space="preserve">: </w:t>
      </w:r>
      <w:r w:rsidRPr="00542ED1">
        <w:rPr>
          <w:rFonts w:ascii="Arial" w:hAnsi="Arial" w:cs="Arial"/>
          <w:bCs/>
          <w:sz w:val="24"/>
          <w:szCs w:val="24"/>
          <w:lang w:val="en-IN"/>
        </w:rPr>
        <w:t>Sales / Accounts Receivable</w:t>
      </w:r>
    </w:p>
    <w:p w:rsidR="00C8549F" w:rsidRPr="006168F4" w:rsidRDefault="00C8549F" w:rsidP="008802E4">
      <w:pPr>
        <w:spacing w:line="360" w:lineRule="auto"/>
        <w:rPr>
          <w:rFonts w:ascii="Arial" w:hAnsi="Arial" w:cs="Arial"/>
          <w:bCs/>
          <w:sz w:val="24"/>
          <w:szCs w:val="24"/>
          <w:lang w:val="en-IN"/>
        </w:rPr>
      </w:pPr>
      <w:r w:rsidRPr="006168F4">
        <w:rPr>
          <w:rFonts w:ascii="Arial" w:hAnsi="Arial" w:cs="Arial"/>
          <w:bCs/>
          <w:sz w:val="24"/>
          <w:szCs w:val="24"/>
          <w:lang w:val="en-IN"/>
        </w:rPr>
        <w:t xml:space="preserve">2024 turnover = 394,879 / 114,182 ≈ </w:t>
      </w:r>
      <w:r w:rsidRPr="006168F4">
        <w:rPr>
          <w:rFonts w:ascii="Arial" w:hAnsi="Arial" w:cs="Arial"/>
          <w:b/>
          <w:bCs/>
          <w:sz w:val="24"/>
          <w:szCs w:val="24"/>
          <w:lang w:val="en-IN"/>
        </w:rPr>
        <w:t>3.46x</w:t>
      </w:r>
    </w:p>
    <w:p w:rsidR="00C8549F" w:rsidRPr="006168F4" w:rsidRDefault="00C8549F" w:rsidP="008802E4">
      <w:pPr>
        <w:spacing w:line="360" w:lineRule="auto"/>
        <w:rPr>
          <w:rFonts w:ascii="Arial" w:hAnsi="Arial" w:cs="Arial"/>
          <w:bCs/>
          <w:sz w:val="24"/>
          <w:szCs w:val="24"/>
          <w:lang w:val="en-IN"/>
        </w:rPr>
      </w:pPr>
      <w:r w:rsidRPr="006168F4">
        <w:rPr>
          <w:rFonts w:ascii="Arial" w:hAnsi="Arial" w:cs="Arial"/>
          <w:bCs/>
          <w:sz w:val="24"/>
          <w:szCs w:val="24"/>
          <w:lang w:val="en-IN"/>
        </w:rPr>
        <w:t>Trend:</w:t>
      </w:r>
    </w:p>
    <w:tbl>
      <w:tblPr>
        <w:tblStyle w:val="PlainTable1"/>
        <w:tblpPr w:leftFromText="180" w:rightFromText="180" w:vertAnchor="text" w:tblpY="1"/>
        <w:tblW w:w="8461" w:type="dxa"/>
        <w:tblLook w:val="04A0" w:firstRow="1" w:lastRow="0" w:firstColumn="1" w:lastColumn="0" w:noHBand="0" w:noVBand="1"/>
      </w:tblPr>
      <w:tblGrid>
        <w:gridCol w:w="3162"/>
        <w:gridCol w:w="5299"/>
      </w:tblGrid>
      <w:tr w:rsidR="00C8549F" w:rsidRPr="006168F4" w:rsidTr="00C8549F">
        <w:trPr>
          <w:cnfStyle w:val="100000000000" w:firstRow="1" w:lastRow="0" w:firstColumn="0" w:lastColumn="0" w:oddVBand="0" w:evenVBand="0" w:oddHBand="0"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spacing w:after="200" w:line="360" w:lineRule="auto"/>
              <w:rPr>
                <w:rFonts w:ascii="Arial" w:hAnsi="Arial" w:cs="Arial"/>
                <w:sz w:val="24"/>
                <w:szCs w:val="24"/>
                <w:lang w:val="en-IN"/>
              </w:rPr>
            </w:pPr>
            <w:r w:rsidRPr="006168F4">
              <w:rPr>
                <w:rFonts w:ascii="Arial" w:hAnsi="Arial" w:cs="Arial"/>
                <w:sz w:val="24"/>
                <w:szCs w:val="24"/>
                <w:lang w:val="en-IN"/>
              </w:rPr>
              <w:t>Year</w:t>
            </w:r>
          </w:p>
        </w:tc>
        <w:tc>
          <w:tcPr>
            <w:tcW w:w="0" w:type="auto"/>
            <w:hideMark/>
          </w:tcPr>
          <w:p w:rsidR="00C8549F" w:rsidRPr="006168F4" w:rsidRDefault="00C8549F" w:rsidP="008802E4">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Turnover</w:t>
            </w:r>
          </w:p>
        </w:tc>
      </w:tr>
      <w:tr w:rsidR="00C8549F" w:rsidRPr="006168F4" w:rsidTr="00C8549F">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spacing w:after="200" w:line="360" w:lineRule="auto"/>
              <w:rPr>
                <w:rFonts w:ascii="Arial" w:hAnsi="Arial" w:cs="Arial"/>
                <w:sz w:val="24"/>
                <w:szCs w:val="24"/>
                <w:lang w:val="en-IN"/>
              </w:rPr>
            </w:pPr>
            <w:r w:rsidRPr="006168F4">
              <w:rPr>
                <w:rFonts w:ascii="Arial" w:hAnsi="Arial" w:cs="Arial"/>
                <w:sz w:val="24"/>
                <w:szCs w:val="24"/>
                <w:lang w:val="en-IN"/>
              </w:rPr>
              <w:t>2024</w:t>
            </w:r>
          </w:p>
        </w:tc>
        <w:tc>
          <w:tcPr>
            <w:tcW w:w="0" w:type="auto"/>
            <w:hideMark/>
          </w:tcPr>
          <w:p w:rsidR="00C8549F" w:rsidRPr="006168F4" w:rsidRDefault="00C8549F"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
                <w:bCs/>
                <w:sz w:val="24"/>
                <w:szCs w:val="24"/>
                <w:lang w:val="en-IN"/>
              </w:rPr>
              <w:t>3.46x</w:t>
            </w:r>
          </w:p>
        </w:tc>
      </w:tr>
      <w:tr w:rsidR="00C8549F" w:rsidRPr="006168F4" w:rsidTr="00C8549F">
        <w:trPr>
          <w:trHeight w:val="344"/>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spacing w:after="200" w:line="360" w:lineRule="auto"/>
              <w:rPr>
                <w:rFonts w:ascii="Arial" w:hAnsi="Arial" w:cs="Arial"/>
                <w:sz w:val="24"/>
                <w:szCs w:val="24"/>
                <w:lang w:val="en-IN"/>
              </w:rPr>
            </w:pPr>
            <w:r w:rsidRPr="006168F4">
              <w:rPr>
                <w:rFonts w:ascii="Arial" w:hAnsi="Arial" w:cs="Arial"/>
                <w:sz w:val="24"/>
                <w:szCs w:val="24"/>
                <w:lang w:val="en-IN"/>
              </w:rPr>
              <w:t>2023</w:t>
            </w:r>
          </w:p>
        </w:tc>
        <w:tc>
          <w:tcPr>
            <w:tcW w:w="0" w:type="auto"/>
            <w:hideMark/>
          </w:tcPr>
          <w:p w:rsidR="00C8549F" w:rsidRPr="006168F4" w:rsidRDefault="00C8549F"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3.73x</w:t>
            </w:r>
          </w:p>
        </w:tc>
      </w:tr>
      <w:tr w:rsidR="00C8549F" w:rsidRPr="006168F4" w:rsidTr="00C8549F">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spacing w:after="200" w:line="360" w:lineRule="auto"/>
              <w:rPr>
                <w:rFonts w:ascii="Arial" w:hAnsi="Arial" w:cs="Arial"/>
                <w:sz w:val="24"/>
                <w:szCs w:val="24"/>
                <w:lang w:val="en-IN"/>
              </w:rPr>
            </w:pPr>
            <w:r w:rsidRPr="006168F4">
              <w:rPr>
                <w:rFonts w:ascii="Arial" w:hAnsi="Arial" w:cs="Arial"/>
                <w:sz w:val="24"/>
                <w:szCs w:val="24"/>
                <w:lang w:val="en-IN"/>
              </w:rPr>
              <w:t>2022</w:t>
            </w:r>
          </w:p>
        </w:tc>
        <w:tc>
          <w:tcPr>
            <w:tcW w:w="0" w:type="auto"/>
            <w:hideMark/>
          </w:tcPr>
          <w:p w:rsidR="00C8549F" w:rsidRPr="006168F4" w:rsidRDefault="00C8549F"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4.83x</w:t>
            </w:r>
          </w:p>
        </w:tc>
      </w:tr>
      <w:tr w:rsidR="00C8549F" w:rsidRPr="006168F4" w:rsidTr="00C8549F">
        <w:trPr>
          <w:trHeight w:val="344"/>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spacing w:after="200" w:line="360" w:lineRule="auto"/>
              <w:rPr>
                <w:rFonts w:ascii="Arial" w:hAnsi="Arial" w:cs="Arial"/>
                <w:sz w:val="24"/>
                <w:szCs w:val="24"/>
                <w:lang w:val="en-IN"/>
              </w:rPr>
            </w:pPr>
            <w:r w:rsidRPr="006168F4">
              <w:rPr>
                <w:rFonts w:ascii="Arial" w:hAnsi="Arial" w:cs="Arial"/>
                <w:sz w:val="24"/>
                <w:szCs w:val="24"/>
                <w:lang w:val="en-IN"/>
              </w:rPr>
              <w:t>2021</w:t>
            </w:r>
          </w:p>
        </w:tc>
        <w:tc>
          <w:tcPr>
            <w:tcW w:w="0" w:type="auto"/>
            <w:hideMark/>
          </w:tcPr>
          <w:p w:rsidR="00C8549F" w:rsidRPr="006168F4" w:rsidRDefault="00C8549F"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4.66x</w:t>
            </w:r>
          </w:p>
        </w:tc>
      </w:tr>
      <w:tr w:rsidR="00C8549F" w:rsidRPr="006168F4" w:rsidTr="00C8549F">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spacing w:after="200" w:line="360" w:lineRule="auto"/>
              <w:rPr>
                <w:rFonts w:ascii="Arial" w:hAnsi="Arial" w:cs="Arial"/>
                <w:sz w:val="24"/>
                <w:szCs w:val="24"/>
                <w:lang w:val="en-IN"/>
              </w:rPr>
            </w:pPr>
            <w:r w:rsidRPr="006168F4">
              <w:rPr>
                <w:rFonts w:ascii="Arial" w:hAnsi="Arial" w:cs="Arial"/>
                <w:sz w:val="24"/>
                <w:szCs w:val="24"/>
                <w:lang w:val="en-IN"/>
              </w:rPr>
              <w:t>2020</w:t>
            </w:r>
          </w:p>
        </w:tc>
        <w:tc>
          <w:tcPr>
            <w:tcW w:w="0" w:type="auto"/>
            <w:hideMark/>
          </w:tcPr>
          <w:p w:rsidR="00C8549F" w:rsidRPr="006168F4" w:rsidRDefault="00C8549F"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4.75x</w:t>
            </w:r>
          </w:p>
        </w:tc>
      </w:tr>
    </w:tbl>
    <w:p w:rsidR="00C8549F" w:rsidRPr="006168F4" w:rsidRDefault="00C8549F" w:rsidP="008802E4">
      <w:pPr>
        <w:spacing w:line="360" w:lineRule="auto"/>
        <w:rPr>
          <w:rFonts w:ascii="Arial" w:hAnsi="Arial" w:cs="Arial"/>
          <w:bCs/>
          <w:sz w:val="24"/>
          <w:szCs w:val="24"/>
          <w:lang w:val="en-IN"/>
        </w:rPr>
      </w:pPr>
      <w:r w:rsidRPr="006168F4">
        <w:rPr>
          <w:rFonts w:ascii="Arial" w:hAnsi="Arial" w:cs="Arial"/>
          <w:bCs/>
          <w:sz w:val="24"/>
          <w:szCs w:val="24"/>
        </w:rPr>
        <w:t>Receivable collection has weakened. Lower turnover suggests slower customer payments or relaxed credit terms.</w:t>
      </w:r>
      <w:r w:rsidRPr="006168F4">
        <w:rPr>
          <w:rFonts w:ascii="Arial" w:hAnsi="Arial" w:cs="Arial"/>
          <w:bCs/>
          <w:sz w:val="24"/>
          <w:szCs w:val="24"/>
          <w:lang w:val="en-IN"/>
        </w:rPr>
        <w:br w:type="textWrapping" w:clear="all"/>
      </w:r>
    </w:p>
    <w:p w:rsidR="00BA00F2" w:rsidRPr="006168F4" w:rsidRDefault="00BA00F2" w:rsidP="008802E4">
      <w:pPr>
        <w:spacing w:line="360" w:lineRule="auto"/>
        <w:rPr>
          <w:rStyle w:val="Strong"/>
          <w:rFonts w:ascii="Arial" w:hAnsi="Arial" w:cs="Arial"/>
          <w:b w:val="0"/>
          <w:sz w:val="24"/>
          <w:szCs w:val="24"/>
        </w:rPr>
      </w:pPr>
    </w:p>
    <w:p w:rsidR="00BA00F2" w:rsidRPr="006168F4" w:rsidRDefault="00000A9D" w:rsidP="008802E4">
      <w:pPr>
        <w:spacing w:line="360" w:lineRule="auto"/>
        <w:rPr>
          <w:rStyle w:val="Strong"/>
          <w:rFonts w:ascii="Arial" w:hAnsi="Arial" w:cs="Arial"/>
          <w:sz w:val="24"/>
          <w:szCs w:val="24"/>
        </w:rPr>
      </w:pPr>
      <w:r>
        <w:rPr>
          <w:rStyle w:val="Strong"/>
          <w:rFonts w:ascii="Arial" w:hAnsi="Arial" w:cs="Arial"/>
          <w:sz w:val="24"/>
          <w:szCs w:val="24"/>
        </w:rPr>
        <w:t xml:space="preserve">1.3.1 </w:t>
      </w:r>
      <w:r w:rsidR="00BA00F2" w:rsidRPr="006168F4">
        <w:rPr>
          <w:rStyle w:val="Strong"/>
          <w:rFonts w:ascii="Arial" w:hAnsi="Arial" w:cs="Arial"/>
          <w:sz w:val="24"/>
          <w:szCs w:val="24"/>
        </w:rPr>
        <w:t>Receivables and Payables Efficiency</w:t>
      </w:r>
    </w:p>
    <w:p w:rsidR="00000A9D" w:rsidRDefault="00000A9D" w:rsidP="008802E4">
      <w:pPr>
        <w:spacing w:line="360" w:lineRule="auto"/>
        <w:rPr>
          <w:rStyle w:val="Strong"/>
          <w:rFonts w:ascii="Arial" w:hAnsi="Arial" w:cs="Arial"/>
          <w:sz w:val="24"/>
          <w:szCs w:val="24"/>
        </w:rPr>
      </w:pPr>
      <w:r w:rsidRPr="00000A9D">
        <w:rPr>
          <w:rStyle w:val="Strong"/>
          <w:rFonts w:ascii="Arial" w:hAnsi="Arial" w:cs="Arial"/>
          <w:b w:val="0"/>
          <w:sz w:val="24"/>
          <w:szCs w:val="24"/>
        </w:rPr>
        <w:t>Receivables remained stable in absolute terms, although deteriorated relatively against falling sales, extending the days sales outstanding. Payables showed significant variation; inconsistent strategies from suppliers may be related to short-term cash pressures. As a consequence, the overall cash operating cycle lengthened, increasing liquidity pressures and dependence on external financing.</w:t>
      </w:r>
    </w:p>
    <w:p w:rsidR="00000A9D" w:rsidRDefault="00000A9D" w:rsidP="008802E4">
      <w:pPr>
        <w:spacing w:line="360" w:lineRule="auto"/>
        <w:rPr>
          <w:rStyle w:val="Strong"/>
          <w:rFonts w:ascii="Arial" w:hAnsi="Arial" w:cs="Arial"/>
          <w:sz w:val="24"/>
          <w:szCs w:val="24"/>
        </w:rPr>
      </w:pPr>
    </w:p>
    <w:p w:rsidR="00C8549F" w:rsidRPr="006168F4" w:rsidRDefault="00D82B15" w:rsidP="008802E4">
      <w:pPr>
        <w:spacing w:line="360" w:lineRule="auto"/>
        <w:rPr>
          <w:rStyle w:val="Strong"/>
          <w:rFonts w:ascii="Arial" w:hAnsi="Arial" w:cs="Arial"/>
          <w:sz w:val="24"/>
          <w:szCs w:val="24"/>
        </w:rPr>
      </w:pPr>
      <w:r w:rsidRPr="006168F4">
        <w:rPr>
          <w:rStyle w:val="Strong"/>
          <w:rFonts w:ascii="Arial" w:hAnsi="Arial" w:cs="Arial"/>
          <w:sz w:val="24"/>
          <w:szCs w:val="24"/>
        </w:rPr>
        <w:lastRenderedPageBreak/>
        <w:t>1.4 Gearing and Solvency Analysis</w:t>
      </w:r>
    </w:p>
    <w:p w:rsidR="00C8549F" w:rsidRPr="00000A9D" w:rsidRDefault="00C8549F" w:rsidP="00000A9D">
      <w:pPr>
        <w:spacing w:line="360" w:lineRule="auto"/>
        <w:rPr>
          <w:rFonts w:ascii="Arial" w:hAnsi="Arial" w:cs="Arial"/>
          <w:bCs/>
          <w:sz w:val="24"/>
          <w:szCs w:val="24"/>
        </w:rPr>
      </w:pPr>
      <w:r w:rsidRPr="006168F4">
        <w:rPr>
          <w:rStyle w:val="Strong"/>
          <w:rFonts w:ascii="Arial" w:hAnsi="Arial" w:cs="Arial"/>
          <w:bCs w:val="0"/>
          <w:sz w:val="24"/>
          <w:szCs w:val="24"/>
        </w:rPr>
        <w:t>Debt-to-Equity Ratio</w:t>
      </w:r>
      <w:r w:rsidR="00000A9D" w:rsidRPr="00000A9D">
        <w:rPr>
          <w:rStyle w:val="Strong"/>
          <w:rFonts w:ascii="Arial" w:hAnsi="Arial" w:cs="Arial"/>
          <w:b w:val="0"/>
          <w:bCs w:val="0"/>
          <w:sz w:val="24"/>
          <w:szCs w:val="24"/>
        </w:rPr>
        <w:t xml:space="preserve">: </w:t>
      </w:r>
      <w:r w:rsidRPr="00000A9D">
        <w:rPr>
          <w:rStyle w:val="Strong"/>
          <w:rFonts w:ascii="Arial" w:hAnsi="Arial" w:cs="Arial"/>
          <w:b w:val="0"/>
        </w:rPr>
        <w:t>Total Liabilities / Total Equity</w:t>
      </w:r>
    </w:p>
    <w:p w:rsidR="00C8549F" w:rsidRPr="006168F4" w:rsidRDefault="00C8549F" w:rsidP="008802E4">
      <w:pPr>
        <w:spacing w:line="360" w:lineRule="auto"/>
        <w:rPr>
          <w:rStyle w:val="Strong"/>
          <w:rFonts w:ascii="Arial" w:hAnsi="Arial" w:cs="Arial"/>
          <w:b w:val="0"/>
          <w:sz w:val="24"/>
          <w:szCs w:val="24"/>
        </w:rPr>
      </w:pPr>
    </w:p>
    <w:tbl>
      <w:tblPr>
        <w:tblStyle w:val="PlainTable1"/>
        <w:tblpPr w:leftFromText="180" w:rightFromText="180" w:vertAnchor="text" w:tblpY="1"/>
        <w:tblW w:w="8688" w:type="dxa"/>
        <w:tblLook w:val="04A0" w:firstRow="1" w:lastRow="0" w:firstColumn="1" w:lastColumn="0" w:noHBand="0" w:noVBand="1"/>
      </w:tblPr>
      <w:tblGrid>
        <w:gridCol w:w="1696"/>
        <w:gridCol w:w="2993"/>
        <w:gridCol w:w="2452"/>
        <w:gridCol w:w="1547"/>
      </w:tblGrid>
      <w:tr w:rsidR="00C8549F" w:rsidRPr="006168F4" w:rsidTr="00C8549F">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spacing w:after="200" w:line="360" w:lineRule="auto"/>
              <w:rPr>
                <w:rFonts w:ascii="Arial" w:hAnsi="Arial" w:cs="Arial"/>
                <w:sz w:val="24"/>
                <w:szCs w:val="24"/>
                <w:lang w:val="en-IN"/>
              </w:rPr>
            </w:pPr>
            <w:r w:rsidRPr="006168F4">
              <w:rPr>
                <w:rFonts w:ascii="Arial" w:hAnsi="Arial" w:cs="Arial"/>
                <w:sz w:val="24"/>
                <w:szCs w:val="24"/>
                <w:lang w:val="en-IN"/>
              </w:rPr>
              <w:t>Year</w:t>
            </w:r>
          </w:p>
        </w:tc>
        <w:tc>
          <w:tcPr>
            <w:tcW w:w="0" w:type="auto"/>
            <w:hideMark/>
          </w:tcPr>
          <w:p w:rsidR="00C8549F" w:rsidRPr="006168F4" w:rsidRDefault="00C8549F" w:rsidP="008802E4">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Liabilities</w:t>
            </w:r>
          </w:p>
        </w:tc>
        <w:tc>
          <w:tcPr>
            <w:tcW w:w="0" w:type="auto"/>
            <w:hideMark/>
          </w:tcPr>
          <w:p w:rsidR="00C8549F" w:rsidRPr="006168F4" w:rsidRDefault="00C8549F" w:rsidP="008802E4">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Equity</w:t>
            </w:r>
          </w:p>
        </w:tc>
        <w:tc>
          <w:tcPr>
            <w:tcW w:w="0" w:type="auto"/>
            <w:hideMark/>
          </w:tcPr>
          <w:p w:rsidR="00C8549F" w:rsidRPr="006168F4" w:rsidRDefault="00C8549F" w:rsidP="008802E4">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D/E</w:t>
            </w:r>
          </w:p>
        </w:tc>
      </w:tr>
      <w:tr w:rsidR="00C8549F" w:rsidRPr="006168F4" w:rsidTr="00C8549F">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spacing w:after="200" w:line="360" w:lineRule="auto"/>
              <w:rPr>
                <w:rFonts w:ascii="Arial" w:hAnsi="Arial" w:cs="Arial"/>
                <w:sz w:val="24"/>
                <w:szCs w:val="24"/>
                <w:lang w:val="en-IN"/>
              </w:rPr>
            </w:pPr>
            <w:r w:rsidRPr="006168F4">
              <w:rPr>
                <w:rFonts w:ascii="Arial" w:hAnsi="Arial" w:cs="Arial"/>
                <w:sz w:val="24"/>
                <w:szCs w:val="24"/>
                <w:lang w:val="en-IN"/>
              </w:rPr>
              <w:t>2024</w:t>
            </w:r>
          </w:p>
        </w:tc>
        <w:tc>
          <w:tcPr>
            <w:tcW w:w="0" w:type="auto"/>
            <w:hideMark/>
          </w:tcPr>
          <w:p w:rsidR="00C8549F" w:rsidRPr="006168F4" w:rsidRDefault="00C8549F"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170,249</w:t>
            </w:r>
          </w:p>
        </w:tc>
        <w:tc>
          <w:tcPr>
            <w:tcW w:w="0" w:type="auto"/>
            <w:hideMark/>
          </w:tcPr>
          <w:p w:rsidR="00C8549F" w:rsidRPr="006168F4" w:rsidRDefault="00C8549F"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153,105</w:t>
            </w:r>
          </w:p>
        </w:tc>
        <w:tc>
          <w:tcPr>
            <w:tcW w:w="0" w:type="auto"/>
            <w:hideMark/>
          </w:tcPr>
          <w:p w:rsidR="00C8549F" w:rsidRPr="006168F4" w:rsidRDefault="00C8549F"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
                <w:bCs/>
                <w:sz w:val="24"/>
                <w:szCs w:val="24"/>
                <w:lang w:val="en-IN"/>
              </w:rPr>
              <w:t>1.11</w:t>
            </w:r>
          </w:p>
        </w:tc>
      </w:tr>
      <w:tr w:rsidR="00C8549F" w:rsidRPr="006168F4" w:rsidTr="00C8549F">
        <w:trPr>
          <w:trHeight w:val="428"/>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spacing w:after="200" w:line="360" w:lineRule="auto"/>
              <w:rPr>
                <w:rFonts w:ascii="Arial" w:hAnsi="Arial" w:cs="Arial"/>
                <w:sz w:val="24"/>
                <w:szCs w:val="24"/>
                <w:lang w:val="en-IN"/>
              </w:rPr>
            </w:pPr>
            <w:r w:rsidRPr="006168F4">
              <w:rPr>
                <w:rFonts w:ascii="Arial" w:hAnsi="Arial" w:cs="Arial"/>
                <w:sz w:val="24"/>
                <w:szCs w:val="24"/>
                <w:lang w:val="en-IN"/>
              </w:rPr>
              <w:t>2023</w:t>
            </w:r>
          </w:p>
        </w:tc>
        <w:tc>
          <w:tcPr>
            <w:tcW w:w="0" w:type="auto"/>
            <w:hideMark/>
          </w:tcPr>
          <w:p w:rsidR="00C8549F" w:rsidRPr="006168F4" w:rsidRDefault="00C8549F"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176,952</w:t>
            </w:r>
          </w:p>
        </w:tc>
        <w:tc>
          <w:tcPr>
            <w:tcW w:w="0" w:type="auto"/>
            <w:hideMark/>
          </w:tcPr>
          <w:p w:rsidR="00C8549F" w:rsidRPr="006168F4" w:rsidRDefault="00C8549F"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178,920</w:t>
            </w:r>
          </w:p>
        </w:tc>
        <w:tc>
          <w:tcPr>
            <w:tcW w:w="0" w:type="auto"/>
            <w:hideMark/>
          </w:tcPr>
          <w:p w:rsidR="00C8549F" w:rsidRPr="006168F4" w:rsidRDefault="00C8549F"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
                <w:bCs/>
                <w:sz w:val="24"/>
                <w:szCs w:val="24"/>
                <w:lang w:val="en-IN"/>
              </w:rPr>
              <w:t>0.99</w:t>
            </w:r>
          </w:p>
        </w:tc>
      </w:tr>
      <w:tr w:rsidR="00C8549F" w:rsidRPr="006168F4" w:rsidTr="00C8549F">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spacing w:after="200" w:line="360" w:lineRule="auto"/>
              <w:rPr>
                <w:rFonts w:ascii="Arial" w:hAnsi="Arial" w:cs="Arial"/>
                <w:sz w:val="24"/>
                <w:szCs w:val="24"/>
                <w:lang w:val="en-IN"/>
              </w:rPr>
            </w:pPr>
            <w:r w:rsidRPr="006168F4">
              <w:rPr>
                <w:rFonts w:ascii="Arial" w:hAnsi="Arial" w:cs="Arial"/>
                <w:sz w:val="24"/>
                <w:szCs w:val="24"/>
                <w:lang w:val="en-IN"/>
              </w:rPr>
              <w:t>2022</w:t>
            </w:r>
          </w:p>
        </w:tc>
        <w:tc>
          <w:tcPr>
            <w:tcW w:w="0" w:type="auto"/>
            <w:hideMark/>
          </w:tcPr>
          <w:p w:rsidR="00C8549F" w:rsidRPr="006168F4" w:rsidRDefault="00C8549F"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235,757</w:t>
            </w:r>
          </w:p>
        </w:tc>
        <w:tc>
          <w:tcPr>
            <w:tcW w:w="0" w:type="auto"/>
            <w:hideMark/>
          </w:tcPr>
          <w:p w:rsidR="00C8549F" w:rsidRPr="006168F4" w:rsidRDefault="00C8549F"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268,406</w:t>
            </w:r>
          </w:p>
        </w:tc>
        <w:tc>
          <w:tcPr>
            <w:tcW w:w="0" w:type="auto"/>
            <w:hideMark/>
          </w:tcPr>
          <w:p w:rsidR="00C8549F" w:rsidRPr="006168F4" w:rsidRDefault="00C8549F"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0.88</w:t>
            </w:r>
          </w:p>
        </w:tc>
      </w:tr>
      <w:tr w:rsidR="00C8549F" w:rsidRPr="006168F4" w:rsidTr="00C8549F">
        <w:trPr>
          <w:trHeight w:val="428"/>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spacing w:after="200" w:line="360" w:lineRule="auto"/>
              <w:rPr>
                <w:rFonts w:ascii="Arial" w:hAnsi="Arial" w:cs="Arial"/>
                <w:sz w:val="24"/>
                <w:szCs w:val="24"/>
                <w:lang w:val="en-IN"/>
              </w:rPr>
            </w:pPr>
            <w:r w:rsidRPr="006168F4">
              <w:rPr>
                <w:rFonts w:ascii="Arial" w:hAnsi="Arial" w:cs="Arial"/>
                <w:sz w:val="24"/>
                <w:szCs w:val="24"/>
                <w:lang w:val="en-IN"/>
              </w:rPr>
              <w:t>2021</w:t>
            </w:r>
          </w:p>
        </w:tc>
        <w:tc>
          <w:tcPr>
            <w:tcW w:w="0" w:type="auto"/>
            <w:hideMark/>
          </w:tcPr>
          <w:p w:rsidR="00C8549F" w:rsidRPr="006168F4" w:rsidRDefault="00C8549F"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234,399</w:t>
            </w:r>
          </w:p>
        </w:tc>
        <w:tc>
          <w:tcPr>
            <w:tcW w:w="0" w:type="auto"/>
            <w:hideMark/>
          </w:tcPr>
          <w:p w:rsidR="00C8549F" w:rsidRPr="006168F4" w:rsidRDefault="00C8549F"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275,949</w:t>
            </w:r>
          </w:p>
        </w:tc>
        <w:tc>
          <w:tcPr>
            <w:tcW w:w="0" w:type="auto"/>
            <w:hideMark/>
          </w:tcPr>
          <w:p w:rsidR="00C8549F" w:rsidRPr="006168F4" w:rsidRDefault="00C8549F"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0.85</w:t>
            </w:r>
          </w:p>
        </w:tc>
      </w:tr>
      <w:tr w:rsidR="00C8549F" w:rsidRPr="006168F4" w:rsidTr="00C8549F">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spacing w:after="200" w:line="360" w:lineRule="auto"/>
              <w:rPr>
                <w:rFonts w:ascii="Arial" w:hAnsi="Arial" w:cs="Arial"/>
                <w:sz w:val="24"/>
                <w:szCs w:val="24"/>
                <w:lang w:val="en-IN"/>
              </w:rPr>
            </w:pPr>
            <w:r w:rsidRPr="006168F4">
              <w:rPr>
                <w:rFonts w:ascii="Arial" w:hAnsi="Arial" w:cs="Arial"/>
                <w:sz w:val="24"/>
                <w:szCs w:val="24"/>
                <w:lang w:val="en-IN"/>
              </w:rPr>
              <w:t>2020</w:t>
            </w:r>
          </w:p>
        </w:tc>
        <w:tc>
          <w:tcPr>
            <w:tcW w:w="0" w:type="auto"/>
            <w:hideMark/>
          </w:tcPr>
          <w:p w:rsidR="00C8549F" w:rsidRPr="006168F4" w:rsidRDefault="00C8549F"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196,989</w:t>
            </w:r>
          </w:p>
        </w:tc>
        <w:tc>
          <w:tcPr>
            <w:tcW w:w="0" w:type="auto"/>
            <w:hideMark/>
          </w:tcPr>
          <w:p w:rsidR="00C8549F" w:rsidRPr="006168F4" w:rsidRDefault="00C8549F"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313,301</w:t>
            </w:r>
          </w:p>
        </w:tc>
        <w:tc>
          <w:tcPr>
            <w:tcW w:w="0" w:type="auto"/>
            <w:hideMark/>
          </w:tcPr>
          <w:p w:rsidR="00C8549F" w:rsidRPr="006168F4" w:rsidRDefault="00C8549F"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0.63</w:t>
            </w:r>
          </w:p>
        </w:tc>
      </w:tr>
    </w:tbl>
    <w:p w:rsidR="000C3AF4" w:rsidRPr="006168F4" w:rsidRDefault="00C8549F" w:rsidP="008802E4">
      <w:pPr>
        <w:spacing w:line="360" w:lineRule="auto"/>
        <w:rPr>
          <w:rStyle w:val="Strong"/>
          <w:rFonts w:ascii="Arial" w:hAnsi="Arial" w:cs="Arial"/>
          <w:bCs w:val="0"/>
          <w:sz w:val="24"/>
          <w:szCs w:val="24"/>
        </w:rPr>
      </w:pPr>
      <w:r w:rsidRPr="006168F4">
        <w:rPr>
          <w:rStyle w:val="Strong"/>
          <w:rFonts w:ascii="Arial" w:hAnsi="Arial" w:cs="Arial"/>
          <w:b w:val="0"/>
          <w:sz w:val="24"/>
          <w:szCs w:val="24"/>
        </w:rPr>
        <w:br w:type="textWrapping" w:clear="all"/>
      </w:r>
    </w:p>
    <w:p w:rsidR="00000A9D" w:rsidRDefault="00C8549F" w:rsidP="00000A9D">
      <w:pPr>
        <w:spacing w:line="360" w:lineRule="auto"/>
        <w:rPr>
          <w:rStyle w:val="Strong"/>
          <w:rFonts w:ascii="Arial" w:hAnsi="Arial" w:cs="Arial"/>
          <w:bCs w:val="0"/>
          <w:sz w:val="24"/>
          <w:szCs w:val="24"/>
        </w:rPr>
      </w:pPr>
      <w:r w:rsidRPr="006168F4">
        <w:rPr>
          <w:rStyle w:val="Strong"/>
          <w:rFonts w:ascii="Arial" w:hAnsi="Arial" w:cs="Arial"/>
          <w:bCs w:val="0"/>
          <w:sz w:val="24"/>
          <w:szCs w:val="24"/>
        </w:rPr>
        <w:t>Interest Coverage Ratio</w:t>
      </w:r>
      <w:r w:rsidR="00000A9D">
        <w:rPr>
          <w:rStyle w:val="Strong"/>
          <w:rFonts w:ascii="Arial" w:hAnsi="Arial" w:cs="Arial"/>
          <w:bCs w:val="0"/>
          <w:sz w:val="24"/>
          <w:szCs w:val="24"/>
        </w:rPr>
        <w:t>:</w:t>
      </w:r>
    </w:p>
    <w:p w:rsidR="00C8549F" w:rsidRPr="00000A9D" w:rsidRDefault="00C8549F" w:rsidP="00000A9D">
      <w:pPr>
        <w:spacing w:line="360" w:lineRule="auto"/>
        <w:rPr>
          <w:rStyle w:val="Strong"/>
          <w:rFonts w:ascii="Arial" w:hAnsi="Arial" w:cs="Arial"/>
          <w:b w:val="0"/>
          <w:sz w:val="24"/>
          <w:szCs w:val="24"/>
        </w:rPr>
      </w:pPr>
      <w:r w:rsidRPr="00000A9D">
        <w:rPr>
          <w:rStyle w:val="Strong"/>
          <w:rFonts w:ascii="Arial" w:hAnsi="Arial" w:cs="Arial"/>
          <w:b w:val="0"/>
        </w:rPr>
        <w:t>Operating Income / Interest Expense</w:t>
      </w:r>
    </w:p>
    <w:tbl>
      <w:tblPr>
        <w:tblStyle w:val="PlainTable1"/>
        <w:tblW w:w="8665" w:type="dxa"/>
        <w:tblLook w:val="04A0" w:firstRow="1" w:lastRow="0" w:firstColumn="1" w:lastColumn="0" w:noHBand="0" w:noVBand="1"/>
      </w:tblPr>
      <w:tblGrid>
        <w:gridCol w:w="1838"/>
        <w:gridCol w:w="6827"/>
      </w:tblGrid>
      <w:tr w:rsidR="00C8549F" w:rsidRPr="006168F4" w:rsidTr="00C8549F">
        <w:trPr>
          <w:cnfStyle w:val="100000000000" w:firstRow="1" w:lastRow="0"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pStyle w:val="NormalWeb"/>
              <w:spacing w:line="360" w:lineRule="auto"/>
              <w:rPr>
                <w:rFonts w:ascii="Arial" w:hAnsi="Arial" w:cs="Arial"/>
              </w:rPr>
            </w:pPr>
            <w:r w:rsidRPr="006168F4">
              <w:rPr>
                <w:rFonts w:ascii="Arial" w:hAnsi="Arial" w:cs="Arial"/>
              </w:rPr>
              <w:t>Year</w:t>
            </w:r>
          </w:p>
        </w:tc>
        <w:tc>
          <w:tcPr>
            <w:tcW w:w="0" w:type="auto"/>
            <w:hideMark/>
          </w:tcPr>
          <w:p w:rsidR="00C8549F" w:rsidRPr="006168F4" w:rsidRDefault="00C8549F" w:rsidP="008802E4">
            <w:pPr>
              <w:pStyle w:val="NormalWeb"/>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6168F4">
              <w:rPr>
                <w:rFonts w:ascii="Arial" w:hAnsi="Arial" w:cs="Arial"/>
              </w:rPr>
              <w:t>Coverage</w:t>
            </w:r>
          </w:p>
        </w:tc>
      </w:tr>
      <w:tr w:rsidR="00C8549F" w:rsidRPr="006168F4" w:rsidTr="00C8549F">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pStyle w:val="NormalWeb"/>
              <w:spacing w:line="360" w:lineRule="auto"/>
              <w:rPr>
                <w:rFonts w:ascii="Arial" w:hAnsi="Arial" w:cs="Arial"/>
              </w:rPr>
            </w:pPr>
            <w:r w:rsidRPr="006168F4">
              <w:rPr>
                <w:rFonts w:ascii="Arial" w:hAnsi="Arial" w:cs="Arial"/>
              </w:rPr>
              <w:t>2024</w:t>
            </w:r>
          </w:p>
        </w:tc>
        <w:tc>
          <w:tcPr>
            <w:tcW w:w="0" w:type="auto"/>
            <w:hideMark/>
          </w:tcPr>
          <w:p w:rsidR="00C8549F" w:rsidRPr="006168F4" w:rsidRDefault="00C8549F" w:rsidP="008802E4">
            <w:pPr>
              <w:pStyle w:val="NormalWeb"/>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68F4">
              <w:rPr>
                <w:rFonts w:ascii="Arial" w:hAnsi="Arial" w:cs="Arial"/>
              </w:rPr>
              <w:t xml:space="preserve">-15,297 / 3,361 = </w:t>
            </w:r>
            <w:r w:rsidRPr="006168F4">
              <w:rPr>
                <w:rFonts w:ascii="Arial" w:hAnsi="Arial" w:cs="Arial"/>
                <w:b/>
                <w:bCs/>
              </w:rPr>
              <w:t>-4.6x</w:t>
            </w:r>
          </w:p>
        </w:tc>
      </w:tr>
      <w:tr w:rsidR="00C8549F" w:rsidRPr="006168F4" w:rsidTr="00C8549F">
        <w:trPr>
          <w:trHeight w:val="359"/>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pStyle w:val="NormalWeb"/>
              <w:spacing w:line="360" w:lineRule="auto"/>
              <w:rPr>
                <w:rFonts w:ascii="Arial" w:hAnsi="Arial" w:cs="Arial"/>
              </w:rPr>
            </w:pPr>
            <w:r w:rsidRPr="006168F4">
              <w:rPr>
                <w:rFonts w:ascii="Arial" w:hAnsi="Arial" w:cs="Arial"/>
              </w:rPr>
              <w:t>2023</w:t>
            </w:r>
          </w:p>
        </w:tc>
        <w:tc>
          <w:tcPr>
            <w:tcW w:w="0" w:type="auto"/>
            <w:hideMark/>
          </w:tcPr>
          <w:p w:rsidR="00C8549F" w:rsidRPr="006168F4" w:rsidRDefault="00C8549F" w:rsidP="008802E4">
            <w:pPr>
              <w:pStyle w:val="NormalWeb"/>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68F4">
              <w:rPr>
                <w:rFonts w:ascii="Arial" w:hAnsi="Arial" w:cs="Arial"/>
              </w:rPr>
              <w:t xml:space="preserve">-85,301 / 4,332 = </w:t>
            </w:r>
            <w:r w:rsidRPr="006168F4">
              <w:rPr>
                <w:rFonts w:ascii="Arial" w:hAnsi="Arial" w:cs="Arial"/>
                <w:b/>
                <w:bCs/>
              </w:rPr>
              <w:t>-19.7x</w:t>
            </w:r>
          </w:p>
        </w:tc>
      </w:tr>
      <w:tr w:rsidR="00C8549F" w:rsidRPr="006168F4" w:rsidTr="00C8549F">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pStyle w:val="NormalWeb"/>
              <w:spacing w:line="360" w:lineRule="auto"/>
              <w:rPr>
                <w:rFonts w:ascii="Arial" w:hAnsi="Arial" w:cs="Arial"/>
              </w:rPr>
            </w:pPr>
            <w:r w:rsidRPr="006168F4">
              <w:rPr>
                <w:rFonts w:ascii="Arial" w:hAnsi="Arial" w:cs="Arial"/>
              </w:rPr>
              <w:t>2022</w:t>
            </w:r>
          </w:p>
        </w:tc>
        <w:tc>
          <w:tcPr>
            <w:tcW w:w="0" w:type="auto"/>
            <w:hideMark/>
          </w:tcPr>
          <w:p w:rsidR="00C8549F" w:rsidRPr="006168F4" w:rsidRDefault="00C8549F" w:rsidP="008802E4">
            <w:pPr>
              <w:pStyle w:val="NormalWeb"/>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68F4">
              <w:rPr>
                <w:rFonts w:ascii="Arial" w:hAnsi="Arial" w:cs="Arial"/>
              </w:rPr>
              <w:t>14,548 / 2,200 = 6.6x</w:t>
            </w:r>
          </w:p>
        </w:tc>
      </w:tr>
      <w:tr w:rsidR="00C8549F" w:rsidRPr="006168F4" w:rsidTr="00C8549F">
        <w:trPr>
          <w:trHeight w:val="345"/>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pStyle w:val="NormalWeb"/>
              <w:spacing w:line="360" w:lineRule="auto"/>
              <w:rPr>
                <w:rFonts w:ascii="Arial" w:hAnsi="Arial" w:cs="Arial"/>
              </w:rPr>
            </w:pPr>
            <w:r w:rsidRPr="006168F4">
              <w:rPr>
                <w:rFonts w:ascii="Arial" w:hAnsi="Arial" w:cs="Arial"/>
              </w:rPr>
              <w:t>2021</w:t>
            </w:r>
          </w:p>
        </w:tc>
        <w:tc>
          <w:tcPr>
            <w:tcW w:w="0" w:type="auto"/>
            <w:hideMark/>
          </w:tcPr>
          <w:p w:rsidR="00C8549F" w:rsidRPr="006168F4" w:rsidRDefault="00C8549F" w:rsidP="008802E4">
            <w:pPr>
              <w:pStyle w:val="NormalWeb"/>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68F4">
              <w:rPr>
                <w:rFonts w:ascii="Arial" w:hAnsi="Arial" w:cs="Arial"/>
              </w:rPr>
              <w:t>23,253 / 566 = 41x</w:t>
            </w:r>
          </w:p>
        </w:tc>
      </w:tr>
      <w:tr w:rsidR="00C8549F" w:rsidRPr="006168F4" w:rsidTr="00C8549F">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0" w:type="auto"/>
            <w:hideMark/>
          </w:tcPr>
          <w:p w:rsidR="00C8549F" w:rsidRPr="006168F4" w:rsidRDefault="00C8549F" w:rsidP="008802E4">
            <w:pPr>
              <w:pStyle w:val="NormalWeb"/>
              <w:spacing w:line="360" w:lineRule="auto"/>
              <w:rPr>
                <w:rFonts w:ascii="Arial" w:hAnsi="Arial" w:cs="Arial"/>
              </w:rPr>
            </w:pPr>
            <w:r w:rsidRPr="006168F4">
              <w:rPr>
                <w:rFonts w:ascii="Arial" w:hAnsi="Arial" w:cs="Arial"/>
              </w:rPr>
              <w:t>2020</w:t>
            </w:r>
          </w:p>
        </w:tc>
        <w:tc>
          <w:tcPr>
            <w:tcW w:w="0" w:type="auto"/>
            <w:hideMark/>
          </w:tcPr>
          <w:p w:rsidR="00C8549F" w:rsidRPr="006168F4" w:rsidRDefault="00C8549F" w:rsidP="008802E4">
            <w:pPr>
              <w:pStyle w:val="NormalWeb"/>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68F4">
              <w:rPr>
                <w:rFonts w:ascii="Arial" w:hAnsi="Arial" w:cs="Arial"/>
              </w:rPr>
              <w:t>37,267 / 1,422 = 26x</w:t>
            </w:r>
          </w:p>
        </w:tc>
      </w:tr>
    </w:tbl>
    <w:p w:rsidR="00C8549F" w:rsidRPr="006168F4" w:rsidRDefault="00C8549F" w:rsidP="008802E4">
      <w:pPr>
        <w:spacing w:line="360" w:lineRule="auto"/>
        <w:rPr>
          <w:rStyle w:val="Strong"/>
          <w:rFonts w:ascii="Arial" w:hAnsi="Arial" w:cs="Arial"/>
          <w:b w:val="0"/>
          <w:sz w:val="24"/>
          <w:szCs w:val="24"/>
        </w:rPr>
      </w:pPr>
    </w:p>
    <w:p w:rsidR="00D82B15" w:rsidRPr="006168F4" w:rsidRDefault="00D82B15" w:rsidP="008802E4">
      <w:pPr>
        <w:spacing w:line="360" w:lineRule="auto"/>
        <w:rPr>
          <w:rFonts w:ascii="Arial" w:hAnsi="Arial" w:cs="Arial"/>
          <w:sz w:val="24"/>
          <w:szCs w:val="24"/>
        </w:rPr>
      </w:pPr>
      <w:r w:rsidRPr="006168F4">
        <w:rPr>
          <w:rStyle w:val="Strong"/>
          <w:rFonts w:ascii="Arial" w:hAnsi="Arial" w:cs="Arial"/>
          <w:sz w:val="24"/>
          <w:szCs w:val="24"/>
        </w:rPr>
        <w:t>1.4.1 Debt Structure</w:t>
      </w:r>
    </w:p>
    <w:p w:rsidR="00000A9D" w:rsidRPr="00000A9D" w:rsidRDefault="00000A9D" w:rsidP="00000A9D">
      <w:pPr>
        <w:spacing w:line="360" w:lineRule="auto"/>
        <w:rPr>
          <w:rStyle w:val="Strong"/>
          <w:rFonts w:ascii="Arial" w:hAnsi="Arial" w:cs="Arial"/>
          <w:b w:val="0"/>
          <w:sz w:val="24"/>
          <w:szCs w:val="24"/>
        </w:rPr>
      </w:pPr>
      <w:r w:rsidRPr="00000A9D">
        <w:rPr>
          <w:rStyle w:val="Strong"/>
          <w:rFonts w:ascii="Arial" w:hAnsi="Arial" w:cs="Arial"/>
          <w:b w:val="0"/>
          <w:sz w:val="24"/>
          <w:szCs w:val="24"/>
        </w:rPr>
        <w:t>Despite the fact that total liabilities decreased from £235.8bn in 2022 to £170.2bn in 2024, this decrease reflects divestments and forced deleveraging rather than healthy internal cash generation.</w:t>
      </w:r>
    </w:p>
    <w:p w:rsidR="00200BD7" w:rsidRPr="006168F4" w:rsidRDefault="00000A9D" w:rsidP="00000A9D">
      <w:pPr>
        <w:spacing w:line="360" w:lineRule="auto"/>
        <w:rPr>
          <w:rStyle w:val="Strong"/>
          <w:rFonts w:ascii="Arial" w:hAnsi="Arial" w:cs="Arial"/>
          <w:b w:val="0"/>
          <w:sz w:val="24"/>
          <w:szCs w:val="24"/>
        </w:rPr>
      </w:pPr>
      <w:r w:rsidRPr="00000A9D">
        <w:rPr>
          <w:rStyle w:val="Strong"/>
          <w:rFonts w:ascii="Arial" w:hAnsi="Arial" w:cs="Arial"/>
          <w:b w:val="0"/>
          <w:sz w:val="24"/>
          <w:szCs w:val="24"/>
        </w:rPr>
        <w:lastRenderedPageBreak/>
        <w:t>Interest expenses remained high relative to earnings, with negative interest coverage ratios recorded in 2023 and 2024. This acts as a textbook warning indicator of financial distress per</w:t>
      </w:r>
      <w:r>
        <w:rPr>
          <w:rStyle w:val="Strong"/>
          <w:rFonts w:ascii="Arial" w:hAnsi="Arial" w:cs="Arial"/>
          <w:b w:val="0"/>
          <w:sz w:val="24"/>
          <w:szCs w:val="24"/>
        </w:rPr>
        <w:t xml:space="preserve"> </w:t>
      </w:r>
      <w:r w:rsidR="000C3AF4" w:rsidRPr="006168F4">
        <w:rPr>
          <w:rStyle w:val="Strong"/>
          <w:rFonts w:ascii="Arial" w:hAnsi="Arial" w:cs="Arial"/>
          <w:b w:val="0"/>
          <w:sz w:val="24"/>
          <w:szCs w:val="24"/>
        </w:rPr>
        <w:t xml:space="preserve">Altman </w:t>
      </w:r>
      <w:r>
        <w:rPr>
          <w:rStyle w:val="Strong"/>
          <w:rFonts w:ascii="Arial" w:hAnsi="Arial" w:cs="Arial"/>
          <w:b w:val="0"/>
          <w:sz w:val="24"/>
          <w:szCs w:val="24"/>
        </w:rPr>
        <w:t xml:space="preserve">et al., </w:t>
      </w:r>
      <w:r w:rsidR="000C3AF4" w:rsidRPr="006168F4">
        <w:rPr>
          <w:rStyle w:val="Strong"/>
          <w:rFonts w:ascii="Arial" w:hAnsi="Arial" w:cs="Arial"/>
          <w:b w:val="0"/>
          <w:sz w:val="24"/>
          <w:szCs w:val="24"/>
        </w:rPr>
        <w:t>(2014).</w:t>
      </w:r>
    </w:p>
    <w:p w:rsidR="00BA00F2" w:rsidRPr="006168F4" w:rsidRDefault="00BA00F2" w:rsidP="008802E4">
      <w:pPr>
        <w:spacing w:line="360" w:lineRule="auto"/>
        <w:rPr>
          <w:rStyle w:val="Strong"/>
          <w:rFonts w:ascii="Arial" w:hAnsi="Arial" w:cs="Arial"/>
          <w:b w:val="0"/>
          <w:sz w:val="24"/>
          <w:szCs w:val="24"/>
        </w:rPr>
      </w:pPr>
      <w:r w:rsidRPr="006168F4">
        <w:rPr>
          <w:rStyle w:val="Strong"/>
          <w:rFonts w:ascii="Arial" w:hAnsi="Arial" w:cs="Arial"/>
          <w:sz w:val="24"/>
          <w:szCs w:val="24"/>
        </w:rPr>
        <w:t>1.5 Investment Ratios</w:t>
      </w:r>
    </w:p>
    <w:p w:rsidR="00000A9D" w:rsidRDefault="00000A9D" w:rsidP="008802E4">
      <w:pPr>
        <w:spacing w:line="360" w:lineRule="auto"/>
        <w:rPr>
          <w:rStyle w:val="Strong"/>
          <w:rFonts w:ascii="Arial" w:hAnsi="Arial" w:cs="Arial"/>
          <w:b w:val="0"/>
          <w:sz w:val="24"/>
          <w:szCs w:val="24"/>
        </w:rPr>
      </w:pPr>
      <w:r w:rsidRPr="00000A9D">
        <w:rPr>
          <w:rStyle w:val="Strong"/>
          <w:rFonts w:ascii="Arial" w:hAnsi="Arial" w:cs="Arial"/>
          <w:b w:val="0"/>
          <w:sz w:val="24"/>
          <w:szCs w:val="24"/>
        </w:rPr>
        <w:t>The investment ratios also support this story of decline. For instance, the earnings per share nosedived from £2.78 in 2020 to -£1.85 in 2024. At the same time, this trend is likely to depress investor confidence and increase the firm's cost of capital, which constrains strategic options.</w:t>
      </w:r>
    </w:p>
    <w:p w:rsidR="00200BD7" w:rsidRPr="006168F4" w:rsidRDefault="00200BD7" w:rsidP="008802E4">
      <w:pPr>
        <w:spacing w:line="360" w:lineRule="auto"/>
        <w:rPr>
          <w:rStyle w:val="Strong"/>
          <w:rFonts w:ascii="Arial" w:hAnsi="Arial" w:cs="Arial"/>
          <w:b w:val="0"/>
          <w:sz w:val="24"/>
          <w:szCs w:val="24"/>
        </w:rPr>
      </w:pPr>
      <w:r w:rsidRPr="006168F4">
        <w:rPr>
          <w:rFonts w:ascii="Arial" w:hAnsi="Arial" w:cs="Arial"/>
          <w:b/>
          <w:sz w:val="24"/>
          <w:szCs w:val="24"/>
        </w:rPr>
        <w:t>Earnings per Share (EPS)</w:t>
      </w:r>
    </w:p>
    <w:tbl>
      <w:tblPr>
        <w:tblStyle w:val="PlainTable1"/>
        <w:tblW w:w="8928" w:type="dxa"/>
        <w:tblLook w:val="04A0" w:firstRow="1" w:lastRow="0" w:firstColumn="1" w:lastColumn="0" w:noHBand="0" w:noVBand="1"/>
      </w:tblPr>
      <w:tblGrid>
        <w:gridCol w:w="2894"/>
        <w:gridCol w:w="6034"/>
      </w:tblGrid>
      <w:tr w:rsidR="00200BD7" w:rsidRPr="006168F4" w:rsidTr="00200BD7">
        <w:trPr>
          <w:cnfStyle w:val="100000000000" w:firstRow="1" w:lastRow="0"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0" w:type="auto"/>
            <w:hideMark/>
          </w:tcPr>
          <w:p w:rsidR="00200BD7" w:rsidRPr="006168F4" w:rsidRDefault="00200BD7" w:rsidP="008802E4">
            <w:pPr>
              <w:spacing w:after="200" w:line="360" w:lineRule="auto"/>
              <w:rPr>
                <w:rFonts w:ascii="Arial" w:hAnsi="Arial" w:cs="Arial"/>
                <w:sz w:val="24"/>
                <w:szCs w:val="24"/>
                <w:lang w:val="en-IN"/>
              </w:rPr>
            </w:pPr>
            <w:r w:rsidRPr="006168F4">
              <w:rPr>
                <w:rFonts w:ascii="Arial" w:hAnsi="Arial" w:cs="Arial"/>
                <w:sz w:val="24"/>
                <w:szCs w:val="24"/>
                <w:lang w:val="en-IN"/>
              </w:rPr>
              <w:t>Year</w:t>
            </w:r>
          </w:p>
        </w:tc>
        <w:tc>
          <w:tcPr>
            <w:tcW w:w="0" w:type="auto"/>
            <w:hideMark/>
          </w:tcPr>
          <w:p w:rsidR="00200BD7" w:rsidRPr="006168F4" w:rsidRDefault="00200BD7" w:rsidP="008802E4">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EPS (Basic)</w:t>
            </w:r>
          </w:p>
        </w:tc>
      </w:tr>
      <w:tr w:rsidR="00200BD7" w:rsidRPr="006168F4" w:rsidTr="00200BD7">
        <w:trPr>
          <w:cnfStyle w:val="000000100000" w:firstRow="0" w:lastRow="0" w:firstColumn="0" w:lastColumn="0" w:oddVBand="0" w:evenVBand="0" w:oddHBand="1"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0" w:type="auto"/>
            <w:hideMark/>
          </w:tcPr>
          <w:p w:rsidR="00200BD7" w:rsidRPr="006168F4" w:rsidRDefault="00200BD7" w:rsidP="008802E4">
            <w:pPr>
              <w:spacing w:after="200" w:line="360" w:lineRule="auto"/>
              <w:rPr>
                <w:rFonts w:ascii="Arial" w:hAnsi="Arial" w:cs="Arial"/>
                <w:sz w:val="24"/>
                <w:szCs w:val="24"/>
                <w:lang w:val="en-IN"/>
              </w:rPr>
            </w:pPr>
            <w:r w:rsidRPr="006168F4">
              <w:rPr>
                <w:rFonts w:ascii="Arial" w:hAnsi="Arial" w:cs="Arial"/>
                <w:sz w:val="24"/>
                <w:szCs w:val="24"/>
                <w:lang w:val="en-IN"/>
              </w:rPr>
              <w:t>2024</w:t>
            </w:r>
          </w:p>
        </w:tc>
        <w:tc>
          <w:tcPr>
            <w:tcW w:w="0" w:type="auto"/>
            <w:hideMark/>
          </w:tcPr>
          <w:p w:rsidR="00200BD7" w:rsidRPr="006168F4" w:rsidRDefault="00200BD7"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-1.85</w:t>
            </w:r>
          </w:p>
        </w:tc>
      </w:tr>
      <w:tr w:rsidR="00200BD7" w:rsidRPr="006168F4" w:rsidTr="00200BD7">
        <w:trPr>
          <w:trHeight w:val="382"/>
        </w:trPr>
        <w:tc>
          <w:tcPr>
            <w:cnfStyle w:val="001000000000" w:firstRow="0" w:lastRow="0" w:firstColumn="1" w:lastColumn="0" w:oddVBand="0" w:evenVBand="0" w:oddHBand="0" w:evenHBand="0" w:firstRowFirstColumn="0" w:firstRowLastColumn="0" w:lastRowFirstColumn="0" w:lastRowLastColumn="0"/>
            <w:tcW w:w="0" w:type="auto"/>
            <w:hideMark/>
          </w:tcPr>
          <w:p w:rsidR="00200BD7" w:rsidRPr="006168F4" w:rsidRDefault="00200BD7" w:rsidP="008802E4">
            <w:pPr>
              <w:spacing w:after="200" w:line="360" w:lineRule="auto"/>
              <w:rPr>
                <w:rFonts w:ascii="Arial" w:hAnsi="Arial" w:cs="Arial"/>
                <w:sz w:val="24"/>
                <w:szCs w:val="24"/>
                <w:lang w:val="en-IN"/>
              </w:rPr>
            </w:pPr>
            <w:r w:rsidRPr="006168F4">
              <w:rPr>
                <w:rFonts w:ascii="Arial" w:hAnsi="Arial" w:cs="Arial"/>
                <w:sz w:val="24"/>
                <w:szCs w:val="24"/>
                <w:lang w:val="en-IN"/>
              </w:rPr>
              <w:t>2023</w:t>
            </w:r>
          </w:p>
        </w:tc>
        <w:tc>
          <w:tcPr>
            <w:tcW w:w="0" w:type="auto"/>
            <w:hideMark/>
          </w:tcPr>
          <w:p w:rsidR="00200BD7" w:rsidRPr="006168F4" w:rsidRDefault="00200BD7"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-7.64</w:t>
            </w:r>
          </w:p>
        </w:tc>
      </w:tr>
      <w:tr w:rsidR="00200BD7" w:rsidRPr="006168F4" w:rsidTr="00200BD7">
        <w:trPr>
          <w:cnfStyle w:val="000000100000" w:firstRow="0" w:lastRow="0" w:firstColumn="0" w:lastColumn="0" w:oddVBand="0" w:evenVBand="0" w:oddHBand="1"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0" w:type="auto"/>
            <w:hideMark/>
          </w:tcPr>
          <w:p w:rsidR="00200BD7" w:rsidRPr="006168F4" w:rsidRDefault="00200BD7" w:rsidP="008802E4">
            <w:pPr>
              <w:spacing w:after="200" w:line="360" w:lineRule="auto"/>
              <w:rPr>
                <w:rFonts w:ascii="Arial" w:hAnsi="Arial" w:cs="Arial"/>
                <w:sz w:val="24"/>
                <w:szCs w:val="24"/>
                <w:lang w:val="en-IN"/>
              </w:rPr>
            </w:pPr>
            <w:r w:rsidRPr="006168F4">
              <w:rPr>
                <w:rFonts w:ascii="Arial" w:hAnsi="Arial" w:cs="Arial"/>
                <w:sz w:val="24"/>
                <w:szCs w:val="24"/>
                <w:lang w:val="en-IN"/>
              </w:rPr>
              <w:t>2022</w:t>
            </w:r>
          </w:p>
        </w:tc>
        <w:tc>
          <w:tcPr>
            <w:tcW w:w="0" w:type="auto"/>
            <w:hideMark/>
          </w:tcPr>
          <w:p w:rsidR="00200BD7" w:rsidRPr="006168F4" w:rsidRDefault="00200BD7"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0.03</w:t>
            </w:r>
          </w:p>
        </w:tc>
      </w:tr>
      <w:tr w:rsidR="00200BD7" w:rsidRPr="006168F4" w:rsidTr="00200BD7">
        <w:trPr>
          <w:trHeight w:val="382"/>
        </w:trPr>
        <w:tc>
          <w:tcPr>
            <w:cnfStyle w:val="001000000000" w:firstRow="0" w:lastRow="0" w:firstColumn="1" w:lastColumn="0" w:oddVBand="0" w:evenVBand="0" w:oddHBand="0" w:evenHBand="0" w:firstRowFirstColumn="0" w:firstRowLastColumn="0" w:lastRowFirstColumn="0" w:lastRowLastColumn="0"/>
            <w:tcW w:w="0" w:type="auto"/>
            <w:hideMark/>
          </w:tcPr>
          <w:p w:rsidR="00200BD7" w:rsidRPr="006168F4" w:rsidRDefault="00200BD7" w:rsidP="008802E4">
            <w:pPr>
              <w:spacing w:after="200" w:line="360" w:lineRule="auto"/>
              <w:rPr>
                <w:rFonts w:ascii="Arial" w:hAnsi="Arial" w:cs="Arial"/>
                <w:sz w:val="24"/>
                <w:szCs w:val="24"/>
                <w:lang w:val="en-IN"/>
              </w:rPr>
            </w:pPr>
            <w:r w:rsidRPr="006168F4">
              <w:rPr>
                <w:rFonts w:ascii="Arial" w:hAnsi="Arial" w:cs="Arial"/>
                <w:sz w:val="24"/>
                <w:szCs w:val="24"/>
                <w:lang w:val="en-IN"/>
              </w:rPr>
              <w:t>2021</w:t>
            </w:r>
          </w:p>
        </w:tc>
        <w:tc>
          <w:tcPr>
            <w:tcW w:w="0" w:type="auto"/>
            <w:hideMark/>
          </w:tcPr>
          <w:p w:rsidR="00200BD7" w:rsidRPr="006168F4" w:rsidRDefault="00200BD7"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0.39</w:t>
            </w:r>
          </w:p>
        </w:tc>
      </w:tr>
      <w:tr w:rsidR="00200BD7" w:rsidRPr="006168F4" w:rsidTr="00200BD7">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0" w:type="auto"/>
            <w:hideMark/>
          </w:tcPr>
          <w:p w:rsidR="00200BD7" w:rsidRPr="006168F4" w:rsidRDefault="00200BD7" w:rsidP="008802E4">
            <w:pPr>
              <w:spacing w:after="200" w:line="360" w:lineRule="auto"/>
              <w:rPr>
                <w:rFonts w:ascii="Arial" w:hAnsi="Arial" w:cs="Arial"/>
                <w:sz w:val="24"/>
                <w:szCs w:val="24"/>
                <w:lang w:val="en-IN"/>
              </w:rPr>
            </w:pPr>
            <w:r w:rsidRPr="006168F4">
              <w:rPr>
                <w:rFonts w:ascii="Arial" w:hAnsi="Arial" w:cs="Arial"/>
                <w:sz w:val="24"/>
                <w:szCs w:val="24"/>
                <w:lang w:val="en-IN"/>
              </w:rPr>
              <w:t>2020</w:t>
            </w:r>
          </w:p>
        </w:tc>
        <w:tc>
          <w:tcPr>
            <w:tcW w:w="0" w:type="auto"/>
            <w:hideMark/>
          </w:tcPr>
          <w:p w:rsidR="00200BD7" w:rsidRPr="006168F4" w:rsidRDefault="00200BD7"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2.78</w:t>
            </w:r>
          </w:p>
        </w:tc>
      </w:tr>
    </w:tbl>
    <w:p w:rsidR="00200BD7" w:rsidRPr="006168F4" w:rsidRDefault="00200BD7" w:rsidP="008802E4">
      <w:pPr>
        <w:spacing w:line="360" w:lineRule="auto"/>
        <w:rPr>
          <w:rStyle w:val="Strong"/>
          <w:rFonts w:ascii="Arial" w:hAnsi="Arial" w:cs="Arial"/>
          <w:b w:val="0"/>
          <w:bCs w:val="0"/>
          <w:sz w:val="24"/>
          <w:szCs w:val="24"/>
        </w:rPr>
      </w:pPr>
    </w:p>
    <w:p w:rsidR="00200BD7" w:rsidRPr="006168F4" w:rsidRDefault="00200BD7" w:rsidP="008802E4">
      <w:pPr>
        <w:spacing w:line="360" w:lineRule="auto"/>
        <w:rPr>
          <w:rFonts w:ascii="Arial" w:hAnsi="Arial" w:cs="Arial"/>
          <w:sz w:val="24"/>
          <w:szCs w:val="24"/>
        </w:rPr>
      </w:pPr>
      <w:r w:rsidRPr="006168F4">
        <w:rPr>
          <w:rStyle w:val="Strong"/>
          <w:rFonts w:ascii="Arial" w:hAnsi="Arial" w:cs="Arial"/>
          <w:bCs w:val="0"/>
          <w:sz w:val="24"/>
          <w:szCs w:val="24"/>
        </w:rPr>
        <w:t xml:space="preserve">Return on Equity (ROE):  </w:t>
      </w:r>
      <w:r w:rsidRPr="006168F4">
        <w:rPr>
          <w:rStyle w:val="Strong"/>
          <w:rFonts w:ascii="Arial" w:hAnsi="Arial" w:cs="Arial"/>
          <w:sz w:val="24"/>
          <w:szCs w:val="24"/>
        </w:rPr>
        <w:t>Net Income / Equity</w:t>
      </w:r>
    </w:p>
    <w:p w:rsidR="00200BD7" w:rsidRPr="006168F4" w:rsidRDefault="00200BD7" w:rsidP="008802E4">
      <w:pPr>
        <w:pStyle w:val="NormalWeb"/>
        <w:spacing w:line="360" w:lineRule="auto"/>
        <w:rPr>
          <w:rFonts w:ascii="Arial" w:hAnsi="Arial" w:cs="Arial"/>
        </w:rPr>
      </w:pPr>
      <w:r w:rsidRPr="006168F4">
        <w:rPr>
          <w:rFonts w:ascii="Arial" w:hAnsi="Arial" w:cs="Arial"/>
        </w:rPr>
        <w:t xml:space="preserve">2024: -24,029 / 153,105 = </w:t>
      </w:r>
      <w:r w:rsidRPr="006168F4">
        <w:rPr>
          <w:rStyle w:val="Strong"/>
          <w:rFonts w:ascii="Arial" w:hAnsi="Arial" w:cs="Arial"/>
        </w:rPr>
        <w:t>-15.7%</w:t>
      </w:r>
      <w:r w:rsidRPr="006168F4">
        <w:rPr>
          <w:rFonts w:ascii="Arial" w:hAnsi="Arial" w:cs="Arial"/>
        </w:rPr>
        <w:br/>
        <w:t xml:space="preserve">2023: -98,238 / 178,920 = </w:t>
      </w:r>
      <w:r w:rsidRPr="006168F4">
        <w:rPr>
          <w:rStyle w:val="Strong"/>
          <w:rFonts w:ascii="Arial" w:hAnsi="Arial" w:cs="Arial"/>
        </w:rPr>
        <w:t>-54.9%</w:t>
      </w:r>
      <w:r w:rsidRPr="006168F4">
        <w:rPr>
          <w:rFonts w:ascii="Arial" w:hAnsi="Arial" w:cs="Arial"/>
        </w:rPr>
        <w:br/>
        <w:t>2022: 407 / 268,406 = 0.15%</w:t>
      </w:r>
      <w:r w:rsidRPr="006168F4">
        <w:rPr>
          <w:rFonts w:ascii="Arial" w:hAnsi="Arial" w:cs="Arial"/>
        </w:rPr>
        <w:br/>
        <w:t>2021: 1.9%</w:t>
      </w:r>
      <w:r w:rsidRPr="006168F4">
        <w:rPr>
          <w:rFonts w:ascii="Arial" w:hAnsi="Arial" w:cs="Arial"/>
        </w:rPr>
        <w:br/>
        <w:t>2020: 12.3%</w:t>
      </w:r>
      <w:r w:rsidRPr="006168F4">
        <w:rPr>
          <w:rFonts w:ascii="Arial" w:hAnsi="Arial" w:cs="Arial"/>
        </w:rPr>
        <w:br/>
      </w:r>
    </w:p>
    <w:p w:rsidR="00000A9D" w:rsidRDefault="00000A9D" w:rsidP="008802E4">
      <w:pPr>
        <w:spacing w:line="360" w:lineRule="auto"/>
        <w:rPr>
          <w:rStyle w:val="Strong"/>
          <w:rFonts w:ascii="Arial" w:hAnsi="Arial" w:cs="Arial"/>
          <w:sz w:val="24"/>
          <w:szCs w:val="24"/>
        </w:rPr>
      </w:pPr>
    </w:p>
    <w:p w:rsidR="00BA00F2" w:rsidRPr="006168F4" w:rsidRDefault="00BA00F2" w:rsidP="008802E4">
      <w:pPr>
        <w:spacing w:line="360" w:lineRule="auto"/>
        <w:rPr>
          <w:rStyle w:val="Strong"/>
          <w:rFonts w:ascii="Arial" w:hAnsi="Arial" w:cs="Arial"/>
          <w:sz w:val="24"/>
          <w:szCs w:val="24"/>
        </w:rPr>
      </w:pPr>
      <w:r w:rsidRPr="006168F4">
        <w:rPr>
          <w:rStyle w:val="Strong"/>
          <w:rFonts w:ascii="Arial" w:hAnsi="Arial" w:cs="Arial"/>
          <w:sz w:val="24"/>
          <w:szCs w:val="24"/>
        </w:rPr>
        <w:lastRenderedPageBreak/>
        <w:t>1.6 Cash Flow Analysis</w:t>
      </w:r>
    </w:p>
    <w:p w:rsidR="00796D04" w:rsidRPr="00796D04" w:rsidRDefault="00796D04" w:rsidP="00796D04">
      <w:pPr>
        <w:spacing w:line="360" w:lineRule="auto"/>
        <w:rPr>
          <w:rStyle w:val="Strong"/>
          <w:rFonts w:ascii="Arial" w:hAnsi="Arial" w:cs="Arial"/>
          <w:b w:val="0"/>
          <w:sz w:val="24"/>
          <w:szCs w:val="24"/>
        </w:rPr>
      </w:pPr>
      <w:r w:rsidRPr="00796D04">
        <w:rPr>
          <w:rStyle w:val="Strong"/>
          <w:rFonts w:ascii="Arial" w:hAnsi="Arial" w:cs="Arial"/>
          <w:b w:val="0"/>
          <w:sz w:val="24"/>
          <w:szCs w:val="24"/>
        </w:rPr>
        <w:t>Cash flow analysis indicates that the firm survives principally through:</w:t>
      </w:r>
    </w:p>
    <w:p w:rsidR="00796D04" w:rsidRPr="00796D04" w:rsidRDefault="00796D04" w:rsidP="00796D04">
      <w:pPr>
        <w:spacing w:line="360" w:lineRule="auto"/>
        <w:rPr>
          <w:rStyle w:val="Strong"/>
          <w:rFonts w:ascii="Arial" w:hAnsi="Arial" w:cs="Arial"/>
          <w:b w:val="0"/>
          <w:sz w:val="24"/>
          <w:szCs w:val="24"/>
        </w:rPr>
      </w:pPr>
      <w:r w:rsidRPr="00796D04">
        <w:rPr>
          <w:rStyle w:val="Strong"/>
          <w:rFonts w:ascii="Arial" w:hAnsi="Arial" w:cs="Arial"/>
          <w:b w:val="0"/>
          <w:sz w:val="24"/>
          <w:szCs w:val="24"/>
        </w:rPr>
        <w:t>Working capital reductions (e.g., inventory drawdowns)</w:t>
      </w:r>
    </w:p>
    <w:p w:rsidR="00796D04" w:rsidRPr="00796D04" w:rsidRDefault="00796D04" w:rsidP="00796D04">
      <w:pPr>
        <w:spacing w:line="360" w:lineRule="auto"/>
        <w:rPr>
          <w:rStyle w:val="Strong"/>
          <w:rFonts w:ascii="Arial" w:hAnsi="Arial" w:cs="Arial"/>
          <w:b w:val="0"/>
          <w:sz w:val="24"/>
          <w:szCs w:val="24"/>
        </w:rPr>
      </w:pPr>
      <w:r w:rsidRPr="00796D04">
        <w:rPr>
          <w:rStyle w:val="Strong"/>
          <w:rFonts w:ascii="Arial" w:hAnsi="Arial" w:cs="Arial"/>
          <w:b w:val="0"/>
          <w:sz w:val="24"/>
          <w:szCs w:val="24"/>
        </w:rPr>
        <w:t>Revolving credit lines</w:t>
      </w:r>
    </w:p>
    <w:p w:rsidR="00B24063" w:rsidRPr="006168F4" w:rsidRDefault="00796D04" w:rsidP="00796D04">
      <w:pPr>
        <w:spacing w:line="360" w:lineRule="auto"/>
        <w:rPr>
          <w:rFonts w:ascii="Arial" w:hAnsi="Arial" w:cs="Arial"/>
          <w:sz w:val="24"/>
          <w:szCs w:val="24"/>
        </w:rPr>
      </w:pPr>
      <w:r w:rsidRPr="00796D04">
        <w:rPr>
          <w:rStyle w:val="Strong"/>
          <w:rFonts w:ascii="Arial" w:hAnsi="Arial" w:cs="Arial"/>
          <w:b w:val="0"/>
          <w:sz w:val="24"/>
          <w:szCs w:val="24"/>
        </w:rPr>
        <w:t>Reductions in capital expenditure Operating cash flow has fallen significantly from earlier years, and capital investment has been cut aggressively. If one refers to the literature, it looks as if the firm is in a "spiral of decline" operating weakness attendant on cash constraints and further reduces investment in innovation and competitiveness.</w:t>
      </w:r>
      <w:r w:rsidR="00BA00F2" w:rsidRPr="006168F4">
        <w:rPr>
          <w:rFonts w:ascii="Arial" w:hAnsi="Arial" w:cs="Arial"/>
          <w:sz w:val="24"/>
          <w:szCs w:val="24"/>
        </w:rPr>
        <w:t xml:space="preserve"> (Forstner et al., 2025)</w:t>
      </w:r>
    </w:p>
    <w:p w:rsidR="00200BD7" w:rsidRPr="006168F4" w:rsidRDefault="00200BD7" w:rsidP="008802E4">
      <w:pPr>
        <w:spacing w:line="360" w:lineRule="auto"/>
        <w:rPr>
          <w:rFonts w:ascii="Arial" w:hAnsi="Arial" w:cs="Arial"/>
          <w:b/>
          <w:sz w:val="24"/>
          <w:szCs w:val="24"/>
        </w:rPr>
      </w:pPr>
    </w:p>
    <w:p w:rsidR="00200BD7" w:rsidRPr="006168F4" w:rsidRDefault="00200BD7" w:rsidP="008802E4">
      <w:pPr>
        <w:spacing w:line="360" w:lineRule="auto"/>
        <w:rPr>
          <w:rFonts w:ascii="Arial" w:hAnsi="Arial" w:cs="Arial"/>
          <w:b/>
          <w:sz w:val="24"/>
          <w:szCs w:val="24"/>
        </w:rPr>
      </w:pPr>
      <w:r w:rsidRPr="006168F4">
        <w:rPr>
          <w:rFonts w:ascii="Arial" w:hAnsi="Arial" w:cs="Arial"/>
          <w:b/>
          <w:sz w:val="24"/>
          <w:szCs w:val="24"/>
        </w:rPr>
        <w:t>Operating Cash Flow (OCF)</w:t>
      </w:r>
    </w:p>
    <w:tbl>
      <w:tblPr>
        <w:tblStyle w:val="PlainTable1"/>
        <w:tblpPr w:leftFromText="180" w:rightFromText="180" w:vertAnchor="text" w:tblpY="1"/>
        <w:tblW w:w="8659" w:type="dxa"/>
        <w:tblLook w:val="04A0" w:firstRow="1" w:lastRow="0" w:firstColumn="1" w:lastColumn="0" w:noHBand="0" w:noVBand="1"/>
      </w:tblPr>
      <w:tblGrid>
        <w:gridCol w:w="3818"/>
        <w:gridCol w:w="4841"/>
      </w:tblGrid>
      <w:tr w:rsidR="00200BD7" w:rsidRPr="006168F4" w:rsidTr="00200BD7">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0" w:type="auto"/>
            <w:hideMark/>
          </w:tcPr>
          <w:p w:rsidR="00200BD7" w:rsidRPr="006168F4" w:rsidRDefault="00200BD7" w:rsidP="008802E4">
            <w:pPr>
              <w:spacing w:after="200" w:line="360" w:lineRule="auto"/>
              <w:rPr>
                <w:rFonts w:ascii="Arial" w:hAnsi="Arial" w:cs="Arial"/>
                <w:sz w:val="24"/>
                <w:szCs w:val="24"/>
                <w:lang w:val="en-IN"/>
              </w:rPr>
            </w:pPr>
            <w:r w:rsidRPr="006168F4">
              <w:rPr>
                <w:rFonts w:ascii="Arial" w:hAnsi="Arial" w:cs="Arial"/>
                <w:sz w:val="24"/>
                <w:szCs w:val="24"/>
                <w:lang w:val="en-IN"/>
              </w:rPr>
              <w:t>Year</w:t>
            </w:r>
          </w:p>
        </w:tc>
        <w:tc>
          <w:tcPr>
            <w:tcW w:w="0" w:type="auto"/>
            <w:hideMark/>
          </w:tcPr>
          <w:p w:rsidR="00200BD7" w:rsidRPr="006168F4" w:rsidRDefault="00200BD7" w:rsidP="008802E4">
            <w:pPr>
              <w:spacing w:after="20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IN"/>
              </w:rPr>
            </w:pPr>
            <w:r w:rsidRPr="006168F4">
              <w:rPr>
                <w:rFonts w:ascii="Arial" w:hAnsi="Arial" w:cs="Arial"/>
                <w:sz w:val="24"/>
                <w:szCs w:val="24"/>
                <w:lang w:val="en-IN"/>
              </w:rPr>
              <w:t>OCF</w:t>
            </w:r>
          </w:p>
        </w:tc>
      </w:tr>
      <w:tr w:rsidR="00200BD7" w:rsidRPr="006168F4" w:rsidTr="00200BD7">
        <w:trPr>
          <w:cnfStyle w:val="000000100000" w:firstRow="0" w:lastRow="0" w:firstColumn="0" w:lastColumn="0" w:oddVBand="0" w:evenVBand="0" w:oddHBand="1"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0" w:type="auto"/>
            <w:hideMark/>
          </w:tcPr>
          <w:p w:rsidR="00200BD7" w:rsidRPr="006168F4" w:rsidRDefault="00200BD7" w:rsidP="008802E4">
            <w:pPr>
              <w:spacing w:after="200" w:line="360" w:lineRule="auto"/>
              <w:rPr>
                <w:rFonts w:ascii="Arial" w:hAnsi="Arial" w:cs="Arial"/>
                <w:sz w:val="24"/>
                <w:szCs w:val="24"/>
                <w:lang w:val="en-IN"/>
              </w:rPr>
            </w:pPr>
            <w:r w:rsidRPr="006168F4">
              <w:rPr>
                <w:rFonts w:ascii="Arial" w:hAnsi="Arial" w:cs="Arial"/>
                <w:sz w:val="24"/>
                <w:szCs w:val="24"/>
                <w:lang w:val="en-IN"/>
              </w:rPr>
              <w:t>2024</w:t>
            </w:r>
          </w:p>
        </w:tc>
        <w:tc>
          <w:tcPr>
            <w:tcW w:w="0" w:type="auto"/>
            <w:hideMark/>
          </w:tcPr>
          <w:p w:rsidR="00200BD7" w:rsidRPr="006168F4" w:rsidRDefault="00200BD7"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14,822</w:t>
            </w:r>
          </w:p>
        </w:tc>
      </w:tr>
      <w:tr w:rsidR="00200BD7" w:rsidRPr="006168F4" w:rsidTr="00200BD7">
        <w:trPr>
          <w:trHeight w:val="386"/>
        </w:trPr>
        <w:tc>
          <w:tcPr>
            <w:cnfStyle w:val="001000000000" w:firstRow="0" w:lastRow="0" w:firstColumn="1" w:lastColumn="0" w:oddVBand="0" w:evenVBand="0" w:oddHBand="0" w:evenHBand="0" w:firstRowFirstColumn="0" w:firstRowLastColumn="0" w:lastRowFirstColumn="0" w:lastRowLastColumn="0"/>
            <w:tcW w:w="0" w:type="auto"/>
            <w:hideMark/>
          </w:tcPr>
          <w:p w:rsidR="00200BD7" w:rsidRPr="006168F4" w:rsidRDefault="00200BD7" w:rsidP="008802E4">
            <w:pPr>
              <w:spacing w:after="200" w:line="360" w:lineRule="auto"/>
              <w:rPr>
                <w:rFonts w:ascii="Arial" w:hAnsi="Arial" w:cs="Arial"/>
                <w:sz w:val="24"/>
                <w:szCs w:val="24"/>
                <w:lang w:val="en-IN"/>
              </w:rPr>
            </w:pPr>
            <w:r w:rsidRPr="006168F4">
              <w:rPr>
                <w:rFonts w:ascii="Arial" w:hAnsi="Arial" w:cs="Arial"/>
                <w:sz w:val="24"/>
                <w:szCs w:val="24"/>
                <w:lang w:val="en-IN"/>
              </w:rPr>
              <w:t>2023</w:t>
            </w:r>
          </w:p>
        </w:tc>
        <w:tc>
          <w:tcPr>
            <w:tcW w:w="0" w:type="auto"/>
            <w:hideMark/>
          </w:tcPr>
          <w:p w:rsidR="00200BD7" w:rsidRPr="006168F4" w:rsidRDefault="00200BD7"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25,190</w:t>
            </w:r>
          </w:p>
        </w:tc>
      </w:tr>
      <w:tr w:rsidR="00200BD7" w:rsidRPr="006168F4" w:rsidTr="00200BD7">
        <w:trPr>
          <w:cnfStyle w:val="000000100000" w:firstRow="0" w:lastRow="0" w:firstColumn="0" w:lastColumn="0" w:oddVBand="0" w:evenVBand="0" w:oddHBand="1"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0" w:type="auto"/>
            <w:hideMark/>
          </w:tcPr>
          <w:p w:rsidR="00200BD7" w:rsidRPr="006168F4" w:rsidRDefault="00200BD7" w:rsidP="008802E4">
            <w:pPr>
              <w:spacing w:after="200" w:line="360" w:lineRule="auto"/>
              <w:rPr>
                <w:rFonts w:ascii="Arial" w:hAnsi="Arial" w:cs="Arial"/>
                <w:sz w:val="24"/>
                <w:szCs w:val="24"/>
                <w:lang w:val="en-IN"/>
              </w:rPr>
            </w:pPr>
            <w:r w:rsidRPr="006168F4">
              <w:rPr>
                <w:rFonts w:ascii="Arial" w:hAnsi="Arial" w:cs="Arial"/>
                <w:sz w:val="24"/>
                <w:szCs w:val="24"/>
                <w:lang w:val="en-IN"/>
              </w:rPr>
              <w:t>2022</w:t>
            </w:r>
          </w:p>
        </w:tc>
        <w:tc>
          <w:tcPr>
            <w:tcW w:w="0" w:type="auto"/>
            <w:hideMark/>
          </w:tcPr>
          <w:p w:rsidR="00200BD7" w:rsidRPr="006168F4" w:rsidRDefault="00200BD7"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10,926</w:t>
            </w:r>
          </w:p>
        </w:tc>
      </w:tr>
      <w:tr w:rsidR="00200BD7" w:rsidRPr="006168F4" w:rsidTr="00200BD7">
        <w:trPr>
          <w:trHeight w:val="386"/>
        </w:trPr>
        <w:tc>
          <w:tcPr>
            <w:cnfStyle w:val="001000000000" w:firstRow="0" w:lastRow="0" w:firstColumn="1" w:lastColumn="0" w:oddVBand="0" w:evenVBand="0" w:oddHBand="0" w:evenHBand="0" w:firstRowFirstColumn="0" w:firstRowLastColumn="0" w:lastRowFirstColumn="0" w:lastRowLastColumn="0"/>
            <w:tcW w:w="0" w:type="auto"/>
            <w:hideMark/>
          </w:tcPr>
          <w:p w:rsidR="00200BD7" w:rsidRPr="006168F4" w:rsidRDefault="00200BD7" w:rsidP="008802E4">
            <w:pPr>
              <w:spacing w:after="200" w:line="360" w:lineRule="auto"/>
              <w:rPr>
                <w:rFonts w:ascii="Arial" w:hAnsi="Arial" w:cs="Arial"/>
                <w:sz w:val="24"/>
                <w:szCs w:val="24"/>
                <w:lang w:val="en-IN"/>
              </w:rPr>
            </w:pPr>
            <w:r w:rsidRPr="006168F4">
              <w:rPr>
                <w:rFonts w:ascii="Arial" w:hAnsi="Arial" w:cs="Arial"/>
                <w:sz w:val="24"/>
                <w:szCs w:val="24"/>
                <w:lang w:val="en-IN"/>
              </w:rPr>
              <w:t>2021</w:t>
            </w:r>
          </w:p>
        </w:tc>
        <w:tc>
          <w:tcPr>
            <w:tcW w:w="0" w:type="auto"/>
            <w:hideMark/>
          </w:tcPr>
          <w:p w:rsidR="00200BD7" w:rsidRPr="006168F4" w:rsidRDefault="00200BD7" w:rsidP="008802E4">
            <w:pPr>
              <w:spacing w:after="200"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40,283</w:t>
            </w:r>
          </w:p>
        </w:tc>
      </w:tr>
      <w:tr w:rsidR="00200BD7" w:rsidRPr="006168F4" w:rsidTr="00200BD7">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0" w:type="auto"/>
            <w:hideMark/>
          </w:tcPr>
          <w:p w:rsidR="00200BD7" w:rsidRPr="006168F4" w:rsidRDefault="00200BD7" w:rsidP="008802E4">
            <w:pPr>
              <w:spacing w:after="200" w:line="360" w:lineRule="auto"/>
              <w:rPr>
                <w:rFonts w:ascii="Arial" w:hAnsi="Arial" w:cs="Arial"/>
                <w:sz w:val="24"/>
                <w:szCs w:val="24"/>
                <w:lang w:val="en-IN"/>
              </w:rPr>
            </w:pPr>
            <w:r w:rsidRPr="006168F4">
              <w:rPr>
                <w:rFonts w:ascii="Arial" w:hAnsi="Arial" w:cs="Arial"/>
                <w:sz w:val="24"/>
                <w:szCs w:val="24"/>
                <w:lang w:val="en-IN"/>
              </w:rPr>
              <w:t>2020</w:t>
            </w:r>
          </w:p>
        </w:tc>
        <w:tc>
          <w:tcPr>
            <w:tcW w:w="0" w:type="auto"/>
            <w:hideMark/>
          </w:tcPr>
          <w:p w:rsidR="00200BD7" w:rsidRPr="006168F4" w:rsidRDefault="00200BD7" w:rsidP="008802E4">
            <w:pPr>
              <w:spacing w:after="200"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n-IN"/>
              </w:rPr>
            </w:pPr>
            <w:r w:rsidRPr="006168F4">
              <w:rPr>
                <w:rFonts w:ascii="Arial" w:hAnsi="Arial" w:cs="Arial"/>
                <w:bCs/>
                <w:sz w:val="24"/>
                <w:szCs w:val="24"/>
                <w:lang w:val="en-IN"/>
              </w:rPr>
              <w:t>73,392</w:t>
            </w:r>
          </w:p>
        </w:tc>
      </w:tr>
    </w:tbl>
    <w:p w:rsidR="00200BD7" w:rsidRPr="006168F4" w:rsidRDefault="00200BD7" w:rsidP="008802E4">
      <w:pPr>
        <w:spacing w:line="360" w:lineRule="auto"/>
        <w:rPr>
          <w:rFonts w:ascii="Arial" w:hAnsi="Arial" w:cs="Arial"/>
          <w:sz w:val="24"/>
          <w:szCs w:val="24"/>
        </w:rPr>
      </w:pPr>
      <w:r w:rsidRPr="006168F4">
        <w:rPr>
          <w:rStyle w:val="Strong"/>
          <w:rFonts w:ascii="Arial" w:hAnsi="Arial" w:cs="Arial"/>
          <w:b w:val="0"/>
          <w:sz w:val="24"/>
          <w:szCs w:val="24"/>
        </w:rPr>
        <w:br w:type="textWrapping" w:clear="all"/>
      </w:r>
      <w:r w:rsidRPr="006168F4">
        <w:rPr>
          <w:rStyle w:val="Strong"/>
          <w:rFonts w:ascii="Arial" w:hAnsi="Arial" w:cs="Arial"/>
          <w:bCs w:val="0"/>
          <w:sz w:val="24"/>
          <w:szCs w:val="24"/>
        </w:rPr>
        <w:t xml:space="preserve">Free Cash Flow (FCF): </w:t>
      </w:r>
      <w:r w:rsidRPr="006168F4">
        <w:rPr>
          <w:rStyle w:val="Strong"/>
          <w:rFonts w:ascii="Arial" w:hAnsi="Arial" w:cs="Arial"/>
          <w:sz w:val="24"/>
          <w:szCs w:val="24"/>
        </w:rPr>
        <w:t>OCF – Capex</w:t>
      </w:r>
    </w:p>
    <w:p w:rsidR="00200BD7" w:rsidRPr="006168F4" w:rsidRDefault="00200BD7" w:rsidP="008802E4">
      <w:pPr>
        <w:pStyle w:val="NormalWeb"/>
        <w:spacing w:line="360" w:lineRule="auto"/>
        <w:rPr>
          <w:rStyle w:val="Strong"/>
          <w:rFonts w:ascii="Arial" w:hAnsi="Arial" w:cs="Arial"/>
        </w:rPr>
      </w:pPr>
      <w:r w:rsidRPr="006168F4">
        <w:rPr>
          <w:rFonts w:ascii="Arial" w:hAnsi="Arial" w:cs="Arial"/>
        </w:rPr>
        <w:t xml:space="preserve">2024: 14,822 – 4,572 = </w:t>
      </w:r>
      <w:r w:rsidRPr="006168F4">
        <w:rPr>
          <w:rStyle w:val="Strong"/>
          <w:rFonts w:ascii="Arial" w:hAnsi="Arial" w:cs="Arial"/>
        </w:rPr>
        <w:t>10,250</w:t>
      </w:r>
      <w:r w:rsidRPr="006168F4">
        <w:rPr>
          <w:rFonts w:ascii="Arial" w:hAnsi="Arial" w:cs="Arial"/>
        </w:rPr>
        <w:br/>
        <w:t xml:space="preserve">2023: 25,190 – 8,116 = </w:t>
      </w:r>
      <w:r w:rsidRPr="006168F4">
        <w:rPr>
          <w:rStyle w:val="Strong"/>
          <w:rFonts w:ascii="Arial" w:hAnsi="Arial" w:cs="Arial"/>
        </w:rPr>
        <w:t>17,074</w:t>
      </w:r>
      <w:r w:rsidRPr="006168F4">
        <w:rPr>
          <w:rFonts w:ascii="Arial" w:hAnsi="Arial" w:cs="Arial"/>
        </w:rPr>
        <w:br/>
        <w:t xml:space="preserve">2022: 10,926 – 14,006 = </w:t>
      </w:r>
      <w:r w:rsidRPr="006168F4">
        <w:rPr>
          <w:rStyle w:val="Strong"/>
          <w:rFonts w:ascii="Arial" w:hAnsi="Arial" w:cs="Arial"/>
        </w:rPr>
        <w:t>-3,080</w:t>
      </w:r>
    </w:p>
    <w:p w:rsidR="00796D04" w:rsidRDefault="00796D04" w:rsidP="008802E4">
      <w:pPr>
        <w:spacing w:line="360" w:lineRule="auto"/>
        <w:rPr>
          <w:rStyle w:val="Strong"/>
          <w:rFonts w:ascii="Arial" w:hAnsi="Arial" w:cs="Arial"/>
          <w:bCs w:val="0"/>
          <w:sz w:val="24"/>
          <w:szCs w:val="24"/>
        </w:rPr>
      </w:pPr>
    </w:p>
    <w:p w:rsidR="00024E4F" w:rsidRPr="006168F4" w:rsidRDefault="00024E4F" w:rsidP="008802E4">
      <w:pPr>
        <w:spacing w:line="360" w:lineRule="auto"/>
        <w:rPr>
          <w:rFonts w:ascii="Arial" w:hAnsi="Arial" w:cs="Arial"/>
          <w:sz w:val="24"/>
          <w:szCs w:val="24"/>
        </w:rPr>
      </w:pPr>
      <w:r w:rsidRPr="006168F4">
        <w:rPr>
          <w:rStyle w:val="Strong"/>
          <w:rFonts w:ascii="Arial" w:hAnsi="Arial" w:cs="Arial"/>
          <w:bCs w:val="0"/>
          <w:sz w:val="24"/>
          <w:szCs w:val="24"/>
        </w:rPr>
        <w:lastRenderedPageBreak/>
        <w:t>Trend Analysis: Strengths &amp; Threats</w:t>
      </w:r>
    </w:p>
    <w:p w:rsidR="00024E4F" w:rsidRPr="006168F4" w:rsidRDefault="00024E4F" w:rsidP="008802E4">
      <w:pPr>
        <w:spacing w:line="360" w:lineRule="auto"/>
        <w:rPr>
          <w:rFonts w:ascii="Arial" w:hAnsi="Arial" w:cs="Arial"/>
          <w:sz w:val="24"/>
          <w:szCs w:val="24"/>
        </w:rPr>
      </w:pPr>
      <w:r w:rsidRPr="006168F4">
        <w:rPr>
          <w:rStyle w:val="Strong"/>
          <w:rFonts w:ascii="Arial" w:hAnsi="Arial" w:cs="Arial"/>
          <w:bCs w:val="0"/>
          <w:sz w:val="24"/>
          <w:szCs w:val="24"/>
        </w:rPr>
        <w:t>Strengths</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1. Inventory Management Improving</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Inventory turnover recovered in 2024 after major weakening in 2023.</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2. Liquidity Still Adequate</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Current and quick ratios are above 1.0, thus avoiding immediate liquidity crises.</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3. Positive Operating Cash Flow</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Despite profit losses, OCF remains positive each year.</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4. Performance in 2024: Recovery</w:t>
      </w:r>
    </w:p>
    <w:p w:rsidR="00024E4F" w:rsidRPr="006168F4" w:rsidRDefault="00796D04" w:rsidP="00796D04">
      <w:pPr>
        <w:spacing w:line="360" w:lineRule="auto"/>
        <w:rPr>
          <w:rFonts w:ascii="Arial" w:hAnsi="Arial" w:cs="Arial"/>
          <w:sz w:val="24"/>
          <w:szCs w:val="24"/>
        </w:rPr>
      </w:pPr>
      <w:r w:rsidRPr="00796D04">
        <w:rPr>
          <w:rStyle w:val="Strong"/>
          <w:rFonts w:ascii="Arial" w:hAnsi="Arial" w:cs="Arial"/>
          <w:b w:val="0"/>
          <w:bCs w:val="0"/>
          <w:sz w:val="24"/>
          <w:szCs w:val="24"/>
        </w:rPr>
        <w:t>Losses and impairments are smaller than in 2023,</w:t>
      </w:r>
      <w:r>
        <w:rPr>
          <w:rStyle w:val="Strong"/>
          <w:rFonts w:ascii="Arial" w:hAnsi="Arial" w:cs="Arial"/>
          <w:b w:val="0"/>
          <w:bCs w:val="0"/>
          <w:sz w:val="24"/>
          <w:szCs w:val="24"/>
        </w:rPr>
        <w:t xml:space="preserve"> an indication of stabilization</w:t>
      </w:r>
      <w:r w:rsidR="00024E4F" w:rsidRPr="006168F4">
        <w:rPr>
          <w:rFonts w:ascii="Arial" w:hAnsi="Arial" w:cs="Arial"/>
          <w:sz w:val="24"/>
          <w:szCs w:val="24"/>
        </w:rPr>
        <w:t>.</w:t>
      </w:r>
    </w:p>
    <w:p w:rsidR="00024E4F" w:rsidRPr="006168F4" w:rsidRDefault="00024E4F" w:rsidP="008802E4">
      <w:pPr>
        <w:spacing w:line="360" w:lineRule="auto"/>
        <w:rPr>
          <w:rFonts w:ascii="Arial" w:hAnsi="Arial" w:cs="Arial"/>
          <w:sz w:val="24"/>
          <w:szCs w:val="24"/>
        </w:rPr>
      </w:pPr>
      <w:r w:rsidRPr="006168F4">
        <w:rPr>
          <w:rStyle w:val="Strong"/>
          <w:rFonts w:ascii="Arial" w:hAnsi="Arial" w:cs="Arial"/>
          <w:bCs w:val="0"/>
          <w:sz w:val="24"/>
          <w:szCs w:val="24"/>
        </w:rPr>
        <w:t>Threats</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1. Severe Profitability Collapse</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The company has recorded big losses in 2023 and 2024. Margins are negative and below historical levels.</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2. Increasing Leverage &amp; Decreasing Equity</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Debt-to-equity reached 1.11 in 2024, the highest level in the period.</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3. Interest Coverage Negative</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Operating income cannot service interest costs, heightening default risk.</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4. Falling Sales</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Sales declined from 614,680 in 2020 to 394,879 in 2024-a 36% decline-indicating problems with demand or losses to competitors.</w:t>
      </w:r>
    </w:p>
    <w:p w:rsidR="00796D04" w:rsidRPr="00796D04" w:rsidRDefault="00796D04" w:rsidP="00796D0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t>5. Poor Receivables Efficiency</w:t>
      </w:r>
    </w:p>
    <w:p w:rsidR="00024E4F" w:rsidRDefault="00796D04" w:rsidP="008802E4">
      <w:pPr>
        <w:spacing w:line="360" w:lineRule="auto"/>
        <w:rPr>
          <w:rStyle w:val="Strong"/>
          <w:rFonts w:ascii="Arial" w:hAnsi="Arial" w:cs="Arial"/>
          <w:b w:val="0"/>
          <w:bCs w:val="0"/>
          <w:sz w:val="24"/>
          <w:szCs w:val="24"/>
        </w:rPr>
      </w:pPr>
      <w:r w:rsidRPr="00796D04">
        <w:rPr>
          <w:rStyle w:val="Strong"/>
          <w:rFonts w:ascii="Arial" w:hAnsi="Arial" w:cs="Arial"/>
          <w:b w:val="0"/>
          <w:bCs w:val="0"/>
          <w:sz w:val="24"/>
          <w:szCs w:val="24"/>
        </w:rPr>
        <w:lastRenderedPageBreak/>
        <w:t>Receivables turnover has slipped dramatically</w:t>
      </w:r>
      <w:r>
        <w:rPr>
          <w:rStyle w:val="Strong"/>
          <w:rFonts w:ascii="Arial" w:hAnsi="Arial" w:cs="Arial"/>
          <w:b w:val="0"/>
          <w:bCs w:val="0"/>
          <w:sz w:val="24"/>
          <w:szCs w:val="24"/>
        </w:rPr>
        <w:t>, showing credit-control risks.</w:t>
      </w:r>
    </w:p>
    <w:p w:rsidR="00796D04" w:rsidRPr="006168F4" w:rsidRDefault="00796D04" w:rsidP="008802E4">
      <w:pPr>
        <w:spacing w:line="360" w:lineRule="auto"/>
        <w:rPr>
          <w:rFonts w:ascii="Arial" w:hAnsi="Arial" w:cs="Arial"/>
          <w:sz w:val="24"/>
          <w:szCs w:val="24"/>
        </w:rPr>
      </w:pPr>
    </w:p>
    <w:p w:rsidR="00D82B15" w:rsidRPr="006168F4" w:rsidRDefault="00D82B15" w:rsidP="008802E4">
      <w:pPr>
        <w:spacing w:line="360" w:lineRule="auto"/>
        <w:rPr>
          <w:rFonts w:ascii="Arial" w:hAnsi="Arial" w:cs="Arial"/>
          <w:sz w:val="24"/>
          <w:szCs w:val="24"/>
        </w:rPr>
      </w:pPr>
      <w:r w:rsidRPr="006168F4">
        <w:rPr>
          <w:rStyle w:val="Strong"/>
          <w:rFonts w:ascii="Arial" w:hAnsi="Arial" w:cs="Arial"/>
          <w:sz w:val="24"/>
          <w:szCs w:val="24"/>
        </w:rPr>
        <w:t>1.7 Corporate Failure Prediction (Altman Z-Score)</w:t>
      </w:r>
    </w:p>
    <w:p w:rsidR="00B24063" w:rsidRPr="006168F4" w:rsidRDefault="00B24063" w:rsidP="008802E4">
      <w:pPr>
        <w:spacing w:line="360" w:lineRule="auto"/>
        <w:rPr>
          <w:rFonts w:ascii="Arial" w:hAnsi="Arial" w:cs="Arial"/>
          <w:sz w:val="24"/>
          <w:szCs w:val="24"/>
        </w:rPr>
      </w:pPr>
      <w:r w:rsidRPr="006168F4">
        <w:rPr>
          <w:rFonts w:ascii="Arial" w:hAnsi="Arial" w:cs="Arial"/>
          <w:sz w:val="24"/>
          <w:szCs w:val="24"/>
        </w:rPr>
        <w:t>Using Altman’s modified Z-Score (for non-manufacturers) and t</w:t>
      </w:r>
      <w:r w:rsidR="00024E4F" w:rsidRPr="006168F4">
        <w:rPr>
          <w:rFonts w:ascii="Arial" w:hAnsi="Arial" w:cs="Arial"/>
          <w:sz w:val="24"/>
          <w:szCs w:val="24"/>
        </w:rPr>
        <w:t>he financial information below:</w:t>
      </w:r>
    </w:p>
    <w:p w:rsidR="00024E4F" w:rsidRPr="006168F4" w:rsidRDefault="00024E4F" w:rsidP="008802E4">
      <w:pPr>
        <w:spacing w:line="360" w:lineRule="auto"/>
        <w:rPr>
          <w:rFonts w:ascii="Arial" w:hAnsi="Arial" w:cs="Arial"/>
          <w:sz w:val="24"/>
          <w:szCs w:val="24"/>
          <w:lang w:val="en-IN"/>
        </w:rPr>
      </w:pPr>
      <w:r w:rsidRPr="006168F4">
        <w:rPr>
          <w:rFonts w:ascii="Arial" w:hAnsi="Arial" w:cs="Arial"/>
          <w:sz w:val="24"/>
          <w:szCs w:val="24"/>
          <w:lang w:val="en-IN"/>
        </w:rPr>
        <w:t>Z = 6.56 × (Working Capital / Total Assets)</w:t>
      </w:r>
    </w:p>
    <w:p w:rsidR="00024E4F" w:rsidRPr="006168F4" w:rsidRDefault="00024E4F" w:rsidP="008802E4">
      <w:pPr>
        <w:numPr>
          <w:ilvl w:val="0"/>
          <w:numId w:val="7"/>
        </w:numPr>
        <w:spacing w:line="360" w:lineRule="auto"/>
        <w:rPr>
          <w:rFonts w:ascii="Arial" w:hAnsi="Arial" w:cs="Arial"/>
          <w:sz w:val="24"/>
          <w:szCs w:val="24"/>
          <w:lang w:val="en-IN"/>
        </w:rPr>
      </w:pPr>
      <w:r w:rsidRPr="006168F4">
        <w:rPr>
          <w:rFonts w:ascii="Arial" w:hAnsi="Arial" w:cs="Arial"/>
          <w:sz w:val="24"/>
          <w:szCs w:val="24"/>
          <w:lang w:val="en-IN"/>
        </w:rPr>
        <w:t>3.26 × (Retained Earnings / Total Assets)</w:t>
      </w:r>
    </w:p>
    <w:p w:rsidR="00024E4F" w:rsidRPr="006168F4" w:rsidRDefault="00024E4F" w:rsidP="008802E4">
      <w:pPr>
        <w:numPr>
          <w:ilvl w:val="0"/>
          <w:numId w:val="7"/>
        </w:numPr>
        <w:spacing w:line="360" w:lineRule="auto"/>
        <w:rPr>
          <w:rFonts w:ascii="Arial" w:hAnsi="Arial" w:cs="Arial"/>
          <w:sz w:val="24"/>
          <w:szCs w:val="24"/>
          <w:lang w:val="en-IN"/>
        </w:rPr>
      </w:pPr>
      <w:r w:rsidRPr="006168F4">
        <w:rPr>
          <w:rFonts w:ascii="Arial" w:hAnsi="Arial" w:cs="Arial"/>
          <w:sz w:val="24"/>
          <w:szCs w:val="24"/>
          <w:lang w:val="en-IN"/>
        </w:rPr>
        <w:t>6.72 × (EBIT / Total Assets)</w:t>
      </w:r>
    </w:p>
    <w:p w:rsidR="00024E4F" w:rsidRPr="006168F4" w:rsidRDefault="00024E4F" w:rsidP="008802E4">
      <w:pPr>
        <w:numPr>
          <w:ilvl w:val="0"/>
          <w:numId w:val="7"/>
        </w:numPr>
        <w:spacing w:line="360" w:lineRule="auto"/>
        <w:rPr>
          <w:rFonts w:ascii="Arial" w:hAnsi="Arial" w:cs="Arial"/>
          <w:sz w:val="24"/>
          <w:szCs w:val="24"/>
          <w:lang w:val="en-IN"/>
        </w:rPr>
      </w:pPr>
      <w:r w:rsidRPr="006168F4">
        <w:rPr>
          <w:rFonts w:ascii="Arial" w:hAnsi="Arial" w:cs="Arial"/>
          <w:sz w:val="24"/>
          <w:szCs w:val="24"/>
          <w:lang w:val="en-IN"/>
        </w:rPr>
        <w:t>1.05 × (Book Value of Equity / Total Liabilities)</w:t>
      </w:r>
    </w:p>
    <w:p w:rsidR="00024E4F" w:rsidRPr="006168F4" w:rsidRDefault="00024E4F" w:rsidP="008802E4">
      <w:pPr>
        <w:spacing w:line="360" w:lineRule="auto"/>
        <w:rPr>
          <w:rFonts w:ascii="Arial" w:hAnsi="Arial" w:cs="Arial"/>
          <w:sz w:val="24"/>
          <w:szCs w:val="24"/>
          <w:lang w:val="en-IN"/>
        </w:rPr>
      </w:pPr>
      <w:r w:rsidRPr="006168F4">
        <w:rPr>
          <w:rFonts w:ascii="Arial" w:hAnsi="Arial" w:cs="Arial"/>
          <w:sz w:val="24"/>
          <w:szCs w:val="24"/>
          <w:lang w:val="en-IN"/>
        </w:rPr>
        <w:t>Using 2024 data:</w:t>
      </w:r>
    </w:p>
    <w:p w:rsidR="00024E4F" w:rsidRPr="006168F4" w:rsidRDefault="00024E4F" w:rsidP="008802E4">
      <w:pPr>
        <w:numPr>
          <w:ilvl w:val="0"/>
          <w:numId w:val="8"/>
        </w:numPr>
        <w:spacing w:line="360" w:lineRule="auto"/>
        <w:rPr>
          <w:rFonts w:ascii="Arial" w:hAnsi="Arial" w:cs="Arial"/>
          <w:sz w:val="24"/>
          <w:szCs w:val="24"/>
          <w:lang w:val="en-IN"/>
        </w:rPr>
      </w:pPr>
      <w:r w:rsidRPr="006168F4">
        <w:rPr>
          <w:rFonts w:ascii="Arial" w:hAnsi="Arial" w:cs="Arial"/>
          <w:sz w:val="24"/>
          <w:szCs w:val="24"/>
          <w:lang w:val="en-IN"/>
        </w:rPr>
        <w:t xml:space="preserve">Working Capital = 242,494 – 158,291 = </w:t>
      </w:r>
      <w:r w:rsidRPr="006168F4">
        <w:rPr>
          <w:rFonts w:ascii="Arial" w:hAnsi="Arial" w:cs="Arial"/>
          <w:b/>
          <w:bCs/>
          <w:sz w:val="24"/>
          <w:szCs w:val="24"/>
          <w:lang w:val="en-IN"/>
        </w:rPr>
        <w:t>84,203</w:t>
      </w:r>
    </w:p>
    <w:p w:rsidR="00024E4F" w:rsidRPr="006168F4" w:rsidRDefault="00024E4F" w:rsidP="008802E4">
      <w:pPr>
        <w:numPr>
          <w:ilvl w:val="0"/>
          <w:numId w:val="8"/>
        </w:numPr>
        <w:spacing w:line="360" w:lineRule="auto"/>
        <w:rPr>
          <w:rFonts w:ascii="Arial" w:hAnsi="Arial" w:cs="Arial"/>
          <w:sz w:val="24"/>
          <w:szCs w:val="24"/>
          <w:lang w:val="en-IN"/>
        </w:rPr>
      </w:pPr>
      <w:r w:rsidRPr="006168F4">
        <w:rPr>
          <w:rFonts w:ascii="Arial" w:hAnsi="Arial" w:cs="Arial"/>
          <w:sz w:val="24"/>
          <w:szCs w:val="24"/>
          <w:lang w:val="en-IN"/>
        </w:rPr>
        <w:t xml:space="preserve">Retained Earnings = </w:t>
      </w:r>
      <w:r w:rsidRPr="006168F4">
        <w:rPr>
          <w:rFonts w:ascii="Arial" w:hAnsi="Arial" w:cs="Arial"/>
          <w:b/>
          <w:bCs/>
          <w:sz w:val="24"/>
          <w:szCs w:val="24"/>
          <w:lang w:val="en-IN"/>
        </w:rPr>
        <w:t>208,431</w:t>
      </w:r>
    </w:p>
    <w:p w:rsidR="00024E4F" w:rsidRPr="006168F4" w:rsidRDefault="00024E4F" w:rsidP="008802E4">
      <w:pPr>
        <w:numPr>
          <w:ilvl w:val="0"/>
          <w:numId w:val="8"/>
        </w:numPr>
        <w:spacing w:line="360" w:lineRule="auto"/>
        <w:rPr>
          <w:rFonts w:ascii="Arial" w:hAnsi="Arial" w:cs="Arial"/>
          <w:sz w:val="24"/>
          <w:szCs w:val="24"/>
          <w:lang w:val="en-IN"/>
        </w:rPr>
      </w:pPr>
      <w:r w:rsidRPr="006168F4">
        <w:rPr>
          <w:rFonts w:ascii="Arial" w:hAnsi="Arial" w:cs="Arial"/>
          <w:sz w:val="24"/>
          <w:szCs w:val="24"/>
          <w:lang w:val="en-IN"/>
        </w:rPr>
        <w:t xml:space="preserve">EBIT ≈ Operating Income = </w:t>
      </w:r>
      <w:r w:rsidRPr="006168F4">
        <w:rPr>
          <w:rFonts w:ascii="Arial" w:hAnsi="Arial" w:cs="Arial"/>
          <w:b/>
          <w:bCs/>
          <w:sz w:val="24"/>
          <w:szCs w:val="24"/>
          <w:lang w:val="en-IN"/>
        </w:rPr>
        <w:t>-15,297</w:t>
      </w:r>
    </w:p>
    <w:p w:rsidR="00024E4F" w:rsidRPr="006168F4" w:rsidRDefault="00024E4F" w:rsidP="008802E4">
      <w:pPr>
        <w:numPr>
          <w:ilvl w:val="0"/>
          <w:numId w:val="8"/>
        </w:numPr>
        <w:spacing w:line="360" w:lineRule="auto"/>
        <w:rPr>
          <w:rFonts w:ascii="Arial" w:hAnsi="Arial" w:cs="Arial"/>
          <w:sz w:val="24"/>
          <w:szCs w:val="24"/>
          <w:lang w:val="en-IN"/>
        </w:rPr>
      </w:pPr>
      <w:r w:rsidRPr="006168F4">
        <w:rPr>
          <w:rFonts w:ascii="Arial" w:hAnsi="Arial" w:cs="Arial"/>
          <w:sz w:val="24"/>
          <w:szCs w:val="24"/>
          <w:lang w:val="en-IN"/>
        </w:rPr>
        <w:t xml:space="preserve">Total Assets = </w:t>
      </w:r>
      <w:r w:rsidRPr="006168F4">
        <w:rPr>
          <w:rFonts w:ascii="Arial" w:hAnsi="Arial" w:cs="Arial"/>
          <w:b/>
          <w:bCs/>
          <w:sz w:val="24"/>
          <w:szCs w:val="24"/>
          <w:lang w:val="en-IN"/>
        </w:rPr>
        <w:t>323,354</w:t>
      </w:r>
    </w:p>
    <w:p w:rsidR="00024E4F" w:rsidRPr="006168F4" w:rsidRDefault="00024E4F" w:rsidP="008802E4">
      <w:pPr>
        <w:numPr>
          <w:ilvl w:val="0"/>
          <w:numId w:val="8"/>
        </w:numPr>
        <w:spacing w:line="360" w:lineRule="auto"/>
        <w:rPr>
          <w:rFonts w:ascii="Arial" w:hAnsi="Arial" w:cs="Arial"/>
          <w:sz w:val="24"/>
          <w:szCs w:val="24"/>
          <w:lang w:val="en-IN"/>
        </w:rPr>
      </w:pPr>
      <w:r w:rsidRPr="006168F4">
        <w:rPr>
          <w:rFonts w:ascii="Arial" w:hAnsi="Arial" w:cs="Arial"/>
          <w:sz w:val="24"/>
          <w:szCs w:val="24"/>
          <w:lang w:val="en-IN"/>
        </w:rPr>
        <w:t xml:space="preserve">Equity = </w:t>
      </w:r>
      <w:r w:rsidRPr="006168F4">
        <w:rPr>
          <w:rFonts w:ascii="Arial" w:hAnsi="Arial" w:cs="Arial"/>
          <w:b/>
          <w:bCs/>
          <w:sz w:val="24"/>
          <w:szCs w:val="24"/>
          <w:lang w:val="en-IN"/>
        </w:rPr>
        <w:t>153,105</w:t>
      </w:r>
    </w:p>
    <w:p w:rsidR="00024E4F" w:rsidRPr="006168F4" w:rsidRDefault="00024E4F" w:rsidP="008802E4">
      <w:pPr>
        <w:numPr>
          <w:ilvl w:val="0"/>
          <w:numId w:val="8"/>
        </w:numPr>
        <w:spacing w:line="360" w:lineRule="auto"/>
        <w:rPr>
          <w:rFonts w:ascii="Arial" w:hAnsi="Arial" w:cs="Arial"/>
          <w:sz w:val="24"/>
          <w:szCs w:val="24"/>
          <w:lang w:val="en-IN"/>
        </w:rPr>
      </w:pPr>
      <w:r w:rsidRPr="006168F4">
        <w:rPr>
          <w:rFonts w:ascii="Arial" w:hAnsi="Arial" w:cs="Arial"/>
          <w:sz w:val="24"/>
          <w:szCs w:val="24"/>
          <w:lang w:val="en-IN"/>
        </w:rPr>
        <w:t xml:space="preserve">Liabilities = </w:t>
      </w:r>
      <w:r w:rsidRPr="006168F4">
        <w:rPr>
          <w:rFonts w:ascii="Arial" w:hAnsi="Arial" w:cs="Arial"/>
          <w:b/>
          <w:bCs/>
          <w:sz w:val="24"/>
          <w:szCs w:val="24"/>
          <w:lang w:val="en-IN"/>
        </w:rPr>
        <w:t>170,249</w:t>
      </w:r>
    </w:p>
    <w:p w:rsidR="00024E4F" w:rsidRPr="006168F4" w:rsidRDefault="00024E4F" w:rsidP="008802E4">
      <w:pPr>
        <w:spacing w:line="360" w:lineRule="auto"/>
        <w:rPr>
          <w:rFonts w:ascii="Arial" w:hAnsi="Arial" w:cs="Arial"/>
          <w:sz w:val="24"/>
          <w:szCs w:val="24"/>
          <w:lang w:val="en-IN"/>
        </w:rPr>
      </w:pPr>
      <w:r w:rsidRPr="006168F4">
        <w:rPr>
          <w:rFonts w:ascii="Arial" w:hAnsi="Arial" w:cs="Arial"/>
          <w:sz w:val="24"/>
          <w:szCs w:val="24"/>
          <w:lang w:val="en-IN"/>
        </w:rPr>
        <w:t>Calculations:</w:t>
      </w:r>
    </w:p>
    <w:p w:rsidR="00024E4F" w:rsidRPr="006168F4" w:rsidRDefault="00024E4F" w:rsidP="008802E4">
      <w:pPr>
        <w:numPr>
          <w:ilvl w:val="0"/>
          <w:numId w:val="9"/>
        </w:numPr>
        <w:spacing w:line="360" w:lineRule="auto"/>
        <w:rPr>
          <w:rFonts w:ascii="Arial" w:hAnsi="Arial" w:cs="Arial"/>
          <w:sz w:val="24"/>
          <w:szCs w:val="24"/>
          <w:lang w:val="en-IN"/>
        </w:rPr>
      </w:pPr>
      <w:r w:rsidRPr="006168F4">
        <w:rPr>
          <w:rFonts w:ascii="Arial" w:hAnsi="Arial" w:cs="Arial"/>
          <w:sz w:val="24"/>
          <w:szCs w:val="24"/>
          <w:lang w:val="en-IN"/>
        </w:rPr>
        <w:t xml:space="preserve">WC/TA = 84,203 / 323,354 = </w:t>
      </w:r>
      <w:r w:rsidRPr="006168F4">
        <w:rPr>
          <w:rFonts w:ascii="Arial" w:hAnsi="Arial" w:cs="Arial"/>
          <w:b/>
          <w:bCs/>
          <w:sz w:val="24"/>
          <w:szCs w:val="24"/>
          <w:lang w:val="en-IN"/>
        </w:rPr>
        <w:t>0.2603</w:t>
      </w:r>
    </w:p>
    <w:p w:rsidR="00024E4F" w:rsidRPr="006168F4" w:rsidRDefault="00024E4F" w:rsidP="008802E4">
      <w:pPr>
        <w:numPr>
          <w:ilvl w:val="0"/>
          <w:numId w:val="9"/>
        </w:numPr>
        <w:spacing w:line="360" w:lineRule="auto"/>
        <w:rPr>
          <w:rFonts w:ascii="Arial" w:hAnsi="Arial" w:cs="Arial"/>
          <w:sz w:val="24"/>
          <w:szCs w:val="24"/>
          <w:lang w:val="en-IN"/>
        </w:rPr>
      </w:pPr>
      <w:r w:rsidRPr="006168F4">
        <w:rPr>
          <w:rFonts w:ascii="Arial" w:hAnsi="Arial" w:cs="Arial"/>
          <w:sz w:val="24"/>
          <w:szCs w:val="24"/>
          <w:lang w:val="en-IN"/>
        </w:rPr>
        <w:t xml:space="preserve">RE/TA = 208,431 / 323,354 = </w:t>
      </w:r>
      <w:r w:rsidRPr="006168F4">
        <w:rPr>
          <w:rFonts w:ascii="Arial" w:hAnsi="Arial" w:cs="Arial"/>
          <w:b/>
          <w:bCs/>
          <w:sz w:val="24"/>
          <w:szCs w:val="24"/>
          <w:lang w:val="en-IN"/>
        </w:rPr>
        <w:t>0.6447</w:t>
      </w:r>
    </w:p>
    <w:p w:rsidR="00024E4F" w:rsidRPr="006168F4" w:rsidRDefault="00024E4F" w:rsidP="008802E4">
      <w:pPr>
        <w:numPr>
          <w:ilvl w:val="0"/>
          <w:numId w:val="9"/>
        </w:numPr>
        <w:spacing w:line="360" w:lineRule="auto"/>
        <w:rPr>
          <w:rFonts w:ascii="Arial" w:hAnsi="Arial" w:cs="Arial"/>
          <w:sz w:val="24"/>
          <w:szCs w:val="24"/>
          <w:lang w:val="en-IN"/>
        </w:rPr>
      </w:pPr>
      <w:r w:rsidRPr="006168F4">
        <w:rPr>
          <w:rFonts w:ascii="Arial" w:hAnsi="Arial" w:cs="Arial"/>
          <w:sz w:val="24"/>
          <w:szCs w:val="24"/>
          <w:lang w:val="en-IN"/>
        </w:rPr>
        <w:t xml:space="preserve">EBIT/TA = -15,297 / 323,354 = </w:t>
      </w:r>
      <w:r w:rsidRPr="006168F4">
        <w:rPr>
          <w:rFonts w:ascii="Arial" w:hAnsi="Arial" w:cs="Arial"/>
          <w:b/>
          <w:bCs/>
          <w:sz w:val="24"/>
          <w:szCs w:val="24"/>
          <w:lang w:val="en-IN"/>
        </w:rPr>
        <w:t>-0.0473</w:t>
      </w:r>
    </w:p>
    <w:p w:rsidR="00024E4F" w:rsidRPr="006168F4" w:rsidRDefault="00024E4F" w:rsidP="008802E4">
      <w:pPr>
        <w:numPr>
          <w:ilvl w:val="0"/>
          <w:numId w:val="9"/>
        </w:numPr>
        <w:spacing w:line="360" w:lineRule="auto"/>
        <w:rPr>
          <w:rFonts w:ascii="Arial" w:hAnsi="Arial" w:cs="Arial"/>
          <w:sz w:val="24"/>
          <w:szCs w:val="24"/>
          <w:lang w:val="en-IN"/>
        </w:rPr>
      </w:pPr>
      <w:r w:rsidRPr="006168F4">
        <w:rPr>
          <w:rFonts w:ascii="Arial" w:hAnsi="Arial" w:cs="Arial"/>
          <w:sz w:val="24"/>
          <w:szCs w:val="24"/>
          <w:lang w:val="en-IN"/>
        </w:rPr>
        <w:t xml:space="preserve">Equity/Liabilities = 153,105 / 170,249 = </w:t>
      </w:r>
      <w:r w:rsidRPr="006168F4">
        <w:rPr>
          <w:rFonts w:ascii="Arial" w:hAnsi="Arial" w:cs="Arial"/>
          <w:b/>
          <w:bCs/>
          <w:sz w:val="24"/>
          <w:szCs w:val="24"/>
          <w:lang w:val="en-IN"/>
        </w:rPr>
        <w:t>0.899</w:t>
      </w:r>
    </w:p>
    <w:p w:rsidR="00024E4F" w:rsidRPr="006168F4" w:rsidRDefault="00024E4F" w:rsidP="008802E4">
      <w:pPr>
        <w:spacing w:line="360" w:lineRule="auto"/>
        <w:rPr>
          <w:rFonts w:ascii="Arial" w:hAnsi="Arial" w:cs="Arial"/>
          <w:sz w:val="24"/>
          <w:szCs w:val="24"/>
          <w:lang w:val="en-IN"/>
        </w:rPr>
      </w:pPr>
      <w:r w:rsidRPr="006168F4">
        <w:rPr>
          <w:rFonts w:ascii="Arial" w:hAnsi="Arial" w:cs="Arial"/>
          <w:sz w:val="24"/>
          <w:szCs w:val="24"/>
          <w:lang w:val="en-IN"/>
        </w:rPr>
        <w:lastRenderedPageBreak/>
        <w:t>Altman Z-Score:</w:t>
      </w:r>
    </w:p>
    <w:p w:rsidR="00024E4F" w:rsidRPr="006168F4" w:rsidRDefault="00024E4F" w:rsidP="008802E4">
      <w:pPr>
        <w:spacing w:line="360" w:lineRule="auto"/>
        <w:rPr>
          <w:rFonts w:ascii="Arial" w:hAnsi="Arial" w:cs="Arial"/>
          <w:sz w:val="24"/>
          <w:szCs w:val="24"/>
          <w:lang w:val="en-IN"/>
        </w:rPr>
      </w:pPr>
      <w:r w:rsidRPr="006168F4">
        <w:rPr>
          <w:rFonts w:ascii="Arial" w:hAnsi="Arial" w:cs="Arial"/>
          <w:b/>
          <w:bCs/>
          <w:sz w:val="24"/>
          <w:szCs w:val="24"/>
          <w:lang w:val="en-IN"/>
        </w:rPr>
        <w:t>Z =</w:t>
      </w:r>
      <w:r w:rsidRPr="006168F4">
        <w:rPr>
          <w:rFonts w:ascii="Arial" w:hAnsi="Arial" w:cs="Arial"/>
          <w:b/>
          <w:bCs/>
          <w:sz w:val="24"/>
          <w:szCs w:val="24"/>
          <w:lang w:val="en-IN"/>
        </w:rPr>
        <w:br/>
        <w:t>6.56(0.2603) +</w:t>
      </w:r>
      <w:r w:rsidRPr="006168F4">
        <w:rPr>
          <w:rFonts w:ascii="Arial" w:hAnsi="Arial" w:cs="Arial"/>
          <w:b/>
          <w:bCs/>
          <w:sz w:val="24"/>
          <w:szCs w:val="24"/>
          <w:lang w:val="en-IN"/>
        </w:rPr>
        <w:br/>
        <w:t>3.26(0.6447) +</w:t>
      </w:r>
      <w:r w:rsidRPr="006168F4">
        <w:rPr>
          <w:rFonts w:ascii="Arial" w:hAnsi="Arial" w:cs="Arial"/>
          <w:b/>
          <w:bCs/>
          <w:sz w:val="24"/>
          <w:szCs w:val="24"/>
          <w:lang w:val="en-IN"/>
        </w:rPr>
        <w:br/>
        <w:t>6.72(-0.0473) +</w:t>
      </w:r>
      <w:r w:rsidRPr="006168F4">
        <w:rPr>
          <w:rFonts w:ascii="Arial" w:hAnsi="Arial" w:cs="Arial"/>
          <w:b/>
          <w:bCs/>
          <w:sz w:val="24"/>
          <w:szCs w:val="24"/>
          <w:lang w:val="en-IN"/>
        </w:rPr>
        <w:br/>
        <w:t>1.05(0.899)</w:t>
      </w:r>
    </w:p>
    <w:p w:rsidR="00024E4F" w:rsidRPr="006168F4" w:rsidRDefault="00024E4F" w:rsidP="008802E4">
      <w:pPr>
        <w:spacing w:line="360" w:lineRule="auto"/>
        <w:rPr>
          <w:rFonts w:ascii="Arial" w:hAnsi="Arial" w:cs="Arial"/>
          <w:b/>
          <w:bCs/>
          <w:sz w:val="24"/>
          <w:szCs w:val="24"/>
          <w:lang w:val="en-IN"/>
        </w:rPr>
      </w:pPr>
      <w:r w:rsidRPr="006168F4">
        <w:rPr>
          <w:rFonts w:ascii="Arial" w:hAnsi="Arial" w:cs="Arial"/>
          <w:sz w:val="24"/>
          <w:szCs w:val="24"/>
          <w:lang w:val="en-IN"/>
        </w:rPr>
        <w:t>= 1.71 + 2.10 – 0.32 + 0.94</w:t>
      </w:r>
      <w:r w:rsidRPr="006168F4">
        <w:rPr>
          <w:rFonts w:ascii="Arial" w:hAnsi="Arial" w:cs="Arial"/>
          <w:sz w:val="24"/>
          <w:szCs w:val="24"/>
          <w:lang w:val="en-IN"/>
        </w:rPr>
        <w:br/>
        <w:t xml:space="preserve">= </w:t>
      </w:r>
      <w:r w:rsidRPr="006168F4">
        <w:rPr>
          <w:rFonts w:ascii="Arial" w:hAnsi="Arial" w:cs="Arial"/>
          <w:b/>
          <w:bCs/>
          <w:sz w:val="24"/>
          <w:szCs w:val="24"/>
          <w:lang w:val="en-IN"/>
        </w:rPr>
        <w:t>4.43</w:t>
      </w:r>
    </w:p>
    <w:p w:rsidR="00024E4F" w:rsidRPr="006168F4" w:rsidRDefault="00024E4F" w:rsidP="008802E4">
      <w:pPr>
        <w:spacing w:line="360" w:lineRule="auto"/>
        <w:rPr>
          <w:rFonts w:ascii="Arial" w:hAnsi="Arial" w:cs="Arial"/>
          <w:sz w:val="24"/>
          <w:szCs w:val="24"/>
        </w:rPr>
      </w:pPr>
      <w:r w:rsidRPr="006168F4">
        <w:rPr>
          <w:rFonts w:ascii="Arial" w:hAnsi="Arial" w:cs="Arial"/>
          <w:sz w:val="24"/>
          <w:szCs w:val="24"/>
        </w:rPr>
        <w:t>The model strongly corroborates the finding that General Electronics runs a high risk of financial failure if restructuring is not undertaken immediately.</w:t>
      </w:r>
    </w:p>
    <w:p w:rsidR="00796D04" w:rsidRDefault="00796D04" w:rsidP="008802E4">
      <w:pPr>
        <w:spacing w:line="360" w:lineRule="auto"/>
        <w:rPr>
          <w:rFonts w:ascii="Arial" w:hAnsi="Arial" w:cs="Arial"/>
          <w:b/>
          <w:sz w:val="24"/>
          <w:szCs w:val="24"/>
          <w:lang w:val="en-IN"/>
        </w:rPr>
      </w:pPr>
    </w:p>
    <w:p w:rsidR="00D40589" w:rsidRPr="006168F4" w:rsidRDefault="00AB5A64" w:rsidP="008802E4">
      <w:pPr>
        <w:spacing w:line="360" w:lineRule="auto"/>
        <w:rPr>
          <w:rFonts w:ascii="Arial" w:hAnsi="Arial" w:cs="Arial"/>
          <w:b/>
          <w:sz w:val="24"/>
          <w:szCs w:val="24"/>
        </w:rPr>
      </w:pPr>
      <w:r w:rsidRPr="006168F4">
        <w:rPr>
          <w:rFonts w:ascii="Arial" w:hAnsi="Arial" w:cs="Arial"/>
          <w:b/>
          <w:sz w:val="24"/>
          <w:szCs w:val="24"/>
        </w:rPr>
        <w:t>2. Working Capital Management Analysis</w:t>
      </w:r>
    </w:p>
    <w:p w:rsidR="00A53A82" w:rsidRPr="006168F4" w:rsidRDefault="00A53A82" w:rsidP="008802E4">
      <w:pPr>
        <w:spacing w:line="360" w:lineRule="auto"/>
        <w:rPr>
          <w:rStyle w:val="Strong"/>
          <w:rFonts w:ascii="Arial" w:hAnsi="Arial" w:cs="Arial"/>
          <w:sz w:val="24"/>
          <w:szCs w:val="24"/>
        </w:rPr>
      </w:pPr>
      <w:r w:rsidRPr="006168F4">
        <w:rPr>
          <w:rStyle w:val="Strong"/>
          <w:rFonts w:ascii="Arial" w:hAnsi="Arial" w:cs="Arial"/>
          <w:b w:val="0"/>
          <w:sz w:val="24"/>
          <w:szCs w:val="24"/>
        </w:rPr>
        <w:t>Working capital management stands at the center of determining short-run financial stability, liquidity, and operational resilience</w:t>
      </w:r>
      <w:r w:rsidR="000C3AF4" w:rsidRPr="006168F4">
        <w:rPr>
          <w:rStyle w:val="Strong"/>
          <w:rFonts w:ascii="Arial" w:hAnsi="Arial" w:cs="Arial"/>
          <w:b w:val="0"/>
          <w:sz w:val="24"/>
          <w:szCs w:val="24"/>
        </w:rPr>
        <w:t>.</w:t>
      </w:r>
    </w:p>
    <w:p w:rsidR="00A53A82" w:rsidRPr="006168F4" w:rsidRDefault="00A53A82" w:rsidP="008802E4">
      <w:pPr>
        <w:spacing w:line="360" w:lineRule="auto"/>
        <w:rPr>
          <w:rStyle w:val="Strong"/>
          <w:rFonts w:ascii="Arial" w:hAnsi="Arial" w:cs="Arial"/>
          <w:sz w:val="24"/>
          <w:szCs w:val="24"/>
        </w:rPr>
      </w:pPr>
      <w:r w:rsidRPr="006168F4">
        <w:rPr>
          <w:rStyle w:val="Strong"/>
          <w:rFonts w:ascii="Arial" w:hAnsi="Arial" w:cs="Arial"/>
          <w:sz w:val="24"/>
          <w:szCs w:val="24"/>
        </w:rPr>
        <w:t>2.1 Working Capital Position and Liquidity Constraints</w:t>
      </w:r>
    </w:p>
    <w:p w:rsidR="00A53A82" w:rsidRPr="006168F4" w:rsidRDefault="00EB08ED" w:rsidP="008802E4">
      <w:pPr>
        <w:spacing w:line="360" w:lineRule="auto"/>
        <w:rPr>
          <w:rStyle w:val="Strong"/>
          <w:rFonts w:ascii="Arial" w:hAnsi="Arial" w:cs="Arial"/>
          <w:b w:val="0"/>
          <w:sz w:val="24"/>
          <w:szCs w:val="24"/>
        </w:rPr>
      </w:pPr>
      <w:r w:rsidRPr="00EB08ED">
        <w:rPr>
          <w:rStyle w:val="Strong"/>
          <w:rFonts w:ascii="Arial" w:hAnsi="Arial" w:cs="Arial"/>
          <w:b w:val="0"/>
          <w:sz w:val="24"/>
          <w:szCs w:val="24"/>
        </w:rPr>
        <w:t>General Electronics' working capital has worsened: current assets fell by almost £100 billion from 2022–2024, while liabilities remained high. Falling credit lines (£88 billion to £36.9 billion) reflect external pressure rather than stronger liquidity. Current and quick ratios are well below the recommended levels; hence, the firm is very dependent on sales of inventories and short-term borrowings to meet their current obligations. At a strategic level, this liquidity position is unsustainable and typical of financially distressed firms.</w:t>
      </w:r>
      <w:r w:rsidR="00A53A82" w:rsidRPr="006168F4">
        <w:rPr>
          <w:rStyle w:val="Strong"/>
          <w:rFonts w:ascii="Arial" w:hAnsi="Arial" w:cs="Arial"/>
          <w:b w:val="0"/>
          <w:sz w:val="24"/>
          <w:szCs w:val="24"/>
        </w:rPr>
        <w:t xml:space="preserve"> Hillier et al., 2021, a trend evident in General Electronics financial statements.</w:t>
      </w:r>
    </w:p>
    <w:p w:rsidR="00E5552A" w:rsidRPr="006168F4" w:rsidRDefault="00E5552A" w:rsidP="008802E4">
      <w:pPr>
        <w:spacing w:line="360" w:lineRule="auto"/>
        <w:rPr>
          <w:rStyle w:val="Strong"/>
          <w:rFonts w:ascii="Arial" w:hAnsi="Arial" w:cs="Arial"/>
          <w:sz w:val="24"/>
          <w:szCs w:val="24"/>
        </w:rPr>
      </w:pPr>
    </w:p>
    <w:p w:rsidR="00EB08ED" w:rsidRDefault="00EB08ED" w:rsidP="008802E4">
      <w:pPr>
        <w:spacing w:line="360" w:lineRule="auto"/>
        <w:rPr>
          <w:rStyle w:val="Strong"/>
          <w:rFonts w:ascii="Arial" w:hAnsi="Arial" w:cs="Arial"/>
          <w:sz w:val="24"/>
          <w:szCs w:val="24"/>
        </w:rPr>
      </w:pPr>
    </w:p>
    <w:p w:rsidR="00EB08ED" w:rsidRDefault="00EB08ED" w:rsidP="008802E4">
      <w:pPr>
        <w:spacing w:line="360" w:lineRule="auto"/>
        <w:rPr>
          <w:rStyle w:val="Strong"/>
          <w:rFonts w:ascii="Arial" w:hAnsi="Arial" w:cs="Arial"/>
          <w:sz w:val="24"/>
          <w:szCs w:val="24"/>
        </w:rPr>
      </w:pPr>
    </w:p>
    <w:p w:rsidR="00D82B15" w:rsidRPr="006168F4" w:rsidRDefault="00D82B15" w:rsidP="008802E4">
      <w:pPr>
        <w:spacing w:line="360" w:lineRule="auto"/>
        <w:rPr>
          <w:rFonts w:ascii="Arial" w:hAnsi="Arial" w:cs="Arial"/>
          <w:sz w:val="24"/>
          <w:szCs w:val="24"/>
        </w:rPr>
      </w:pPr>
      <w:r w:rsidRPr="006168F4">
        <w:rPr>
          <w:rStyle w:val="Strong"/>
          <w:rFonts w:ascii="Arial" w:hAnsi="Arial" w:cs="Arial"/>
          <w:sz w:val="24"/>
          <w:szCs w:val="24"/>
        </w:rPr>
        <w:lastRenderedPageBreak/>
        <w:t>2.2 Cash Operating Cycle (COC) Assessment</w:t>
      </w:r>
    </w:p>
    <w:p w:rsidR="0072533C" w:rsidRPr="0072533C" w:rsidRDefault="0072533C" w:rsidP="0072533C">
      <w:pPr>
        <w:rPr>
          <w:rFonts w:ascii="Arial" w:hAnsi="Arial" w:cs="Arial"/>
          <w:sz w:val="24"/>
          <w:szCs w:val="24"/>
        </w:rPr>
      </w:pPr>
      <w:r w:rsidRPr="0072533C">
        <w:rPr>
          <w:rFonts w:ascii="Arial" w:hAnsi="Arial" w:cs="Arial"/>
          <w:sz w:val="24"/>
          <w:szCs w:val="24"/>
        </w:rPr>
        <w:t>In total, inventory days, receivables days, and payables days form the cash operating cycle, which has considerably extended through the period analyzed. The firm collects payments more slowly, it keeps inventory for longer, and increasingly delays its own payments to suppliers. This lengthening of the COC creates liquidity strain by increasing the length between cash outflows for production and cash inflows from customers.</w:t>
      </w:r>
    </w:p>
    <w:p w:rsidR="00821A9E" w:rsidRPr="006168F4" w:rsidRDefault="00821A9E" w:rsidP="008802E4">
      <w:pPr>
        <w:spacing w:line="360" w:lineRule="auto"/>
        <w:rPr>
          <w:rFonts w:ascii="Arial" w:hAnsi="Arial" w:cs="Arial"/>
          <w:sz w:val="24"/>
          <w:szCs w:val="24"/>
        </w:rPr>
      </w:pPr>
      <w:r w:rsidRPr="006168F4">
        <w:rPr>
          <w:rFonts w:ascii="Arial" w:hAnsi="Arial" w:cs="Arial"/>
          <w:noProof/>
          <w:sz w:val="24"/>
          <w:szCs w:val="24"/>
          <w:lang w:val="en-IN" w:eastAsia="en-IN"/>
        </w:rPr>
        <w:drawing>
          <wp:inline distT="0" distB="0" distL="0" distR="0" wp14:anchorId="3C2ED49F" wp14:editId="6B9FACA7">
            <wp:extent cx="4572000" cy="274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c.png"/>
                    <pic:cNvPicPr/>
                  </pic:nvPicPr>
                  <pic:blipFill>
                    <a:blip r:embed="rId9"/>
                    <a:stretch>
                      <a:fillRect/>
                    </a:stretch>
                  </pic:blipFill>
                  <pic:spPr>
                    <a:xfrm>
                      <a:off x="0" y="0"/>
                      <a:ext cx="4572000" cy="2743200"/>
                    </a:xfrm>
                    <a:prstGeom prst="rect">
                      <a:avLst/>
                    </a:prstGeom>
                  </pic:spPr>
                </pic:pic>
              </a:graphicData>
            </a:graphic>
          </wp:inline>
        </w:drawing>
      </w:r>
    </w:p>
    <w:p w:rsidR="001C412F" w:rsidRPr="00EB08ED" w:rsidRDefault="00EB08ED" w:rsidP="008802E4">
      <w:pPr>
        <w:spacing w:line="360" w:lineRule="auto"/>
        <w:rPr>
          <w:rFonts w:ascii="Arial" w:hAnsi="Arial" w:cs="Arial"/>
          <w:sz w:val="24"/>
          <w:szCs w:val="24"/>
        </w:rPr>
      </w:pPr>
      <w:r w:rsidRPr="00EB08ED">
        <w:rPr>
          <w:rStyle w:val="Strong"/>
          <w:rFonts w:ascii="Arial" w:hAnsi="Arial" w:cs="Arial"/>
          <w:bCs w:val="0"/>
          <w:sz w:val="24"/>
          <w:szCs w:val="24"/>
        </w:rPr>
        <w:t>1.2</w:t>
      </w:r>
      <w:r w:rsidR="001C412F" w:rsidRPr="00EB08ED">
        <w:rPr>
          <w:rStyle w:val="Strong"/>
          <w:rFonts w:ascii="Arial" w:hAnsi="Arial" w:cs="Arial"/>
          <w:bCs w:val="0"/>
          <w:sz w:val="24"/>
          <w:szCs w:val="24"/>
        </w:rPr>
        <w:t xml:space="preserve"> Overall Cash Operating Cycle Assessment</w:t>
      </w:r>
    </w:p>
    <w:p w:rsidR="0072533C" w:rsidRPr="0072533C" w:rsidRDefault="0072533C" w:rsidP="0072533C">
      <w:pPr>
        <w:spacing w:line="360" w:lineRule="auto"/>
        <w:rPr>
          <w:rFonts w:ascii="Arial" w:hAnsi="Arial" w:cs="Arial"/>
          <w:sz w:val="24"/>
          <w:szCs w:val="24"/>
        </w:rPr>
      </w:pPr>
      <w:r w:rsidRPr="0072533C">
        <w:rPr>
          <w:rFonts w:ascii="Arial" w:hAnsi="Arial" w:cs="Arial"/>
          <w:sz w:val="24"/>
          <w:szCs w:val="24"/>
        </w:rPr>
        <w:t>For receivables, inventories, and payables, the firm reveals:</w:t>
      </w:r>
    </w:p>
    <w:p w:rsidR="0072533C" w:rsidRPr="0072533C" w:rsidRDefault="0072533C" w:rsidP="0072533C">
      <w:pPr>
        <w:spacing w:line="360" w:lineRule="auto"/>
        <w:rPr>
          <w:rFonts w:ascii="Arial" w:hAnsi="Arial" w:cs="Arial"/>
          <w:sz w:val="24"/>
          <w:szCs w:val="24"/>
        </w:rPr>
      </w:pPr>
      <w:r w:rsidRPr="0072533C">
        <w:rPr>
          <w:rFonts w:ascii="Arial" w:hAnsi="Arial" w:cs="Arial"/>
          <w:sz w:val="24"/>
          <w:szCs w:val="24"/>
        </w:rPr>
        <w:t>High volatility in working capital components</w:t>
      </w:r>
    </w:p>
    <w:p w:rsidR="0072533C" w:rsidRPr="0072533C" w:rsidRDefault="0072533C" w:rsidP="0072533C">
      <w:pPr>
        <w:spacing w:line="360" w:lineRule="auto"/>
        <w:rPr>
          <w:rFonts w:ascii="Arial" w:hAnsi="Arial" w:cs="Arial"/>
          <w:sz w:val="24"/>
          <w:szCs w:val="24"/>
        </w:rPr>
      </w:pPr>
      <w:r w:rsidRPr="0072533C">
        <w:rPr>
          <w:rFonts w:ascii="Arial" w:hAnsi="Arial" w:cs="Arial"/>
          <w:sz w:val="24"/>
          <w:szCs w:val="24"/>
        </w:rPr>
        <w:t>Large variations in cash tied up in receivables and inventory</w:t>
      </w:r>
    </w:p>
    <w:p w:rsidR="0072533C" w:rsidRPr="0072533C" w:rsidRDefault="0072533C" w:rsidP="0072533C">
      <w:pPr>
        <w:spacing w:line="360" w:lineRule="auto"/>
        <w:rPr>
          <w:rFonts w:ascii="Arial" w:hAnsi="Arial" w:cs="Arial"/>
          <w:sz w:val="24"/>
          <w:szCs w:val="24"/>
        </w:rPr>
      </w:pPr>
      <w:r w:rsidRPr="0072533C">
        <w:rPr>
          <w:rFonts w:ascii="Arial" w:hAnsi="Arial" w:cs="Arial"/>
          <w:sz w:val="24"/>
          <w:szCs w:val="24"/>
        </w:rPr>
        <w:t>Dependence on payables timing to manage liquidity</w:t>
      </w:r>
    </w:p>
    <w:p w:rsidR="001C412F" w:rsidRPr="006168F4" w:rsidRDefault="0072533C" w:rsidP="0072533C">
      <w:pPr>
        <w:spacing w:line="360" w:lineRule="auto"/>
        <w:rPr>
          <w:rFonts w:ascii="Arial" w:hAnsi="Arial" w:cs="Arial"/>
          <w:sz w:val="24"/>
          <w:szCs w:val="24"/>
        </w:rPr>
      </w:pPr>
      <w:r w:rsidRPr="0072533C">
        <w:rPr>
          <w:rFonts w:ascii="Arial" w:hAnsi="Arial" w:cs="Arial"/>
          <w:sz w:val="24"/>
          <w:szCs w:val="24"/>
        </w:rPr>
        <w:t>These trends signal an unstable cash operating cycle since there are long collection periods and significant adjustments in inventory holdings that distort operational cash predictability.</w:t>
      </w:r>
    </w:p>
    <w:p w:rsidR="0072533C" w:rsidRDefault="0072533C" w:rsidP="008802E4">
      <w:pPr>
        <w:spacing w:line="360" w:lineRule="auto"/>
        <w:rPr>
          <w:rStyle w:val="Strong"/>
          <w:rFonts w:ascii="Arial" w:hAnsi="Arial" w:cs="Arial"/>
          <w:bCs w:val="0"/>
          <w:sz w:val="24"/>
          <w:szCs w:val="24"/>
        </w:rPr>
      </w:pPr>
    </w:p>
    <w:p w:rsidR="0072533C" w:rsidRDefault="0072533C" w:rsidP="008802E4">
      <w:pPr>
        <w:spacing w:line="360" w:lineRule="auto"/>
        <w:rPr>
          <w:rStyle w:val="Strong"/>
          <w:rFonts w:ascii="Arial" w:hAnsi="Arial" w:cs="Arial"/>
          <w:bCs w:val="0"/>
          <w:sz w:val="24"/>
          <w:szCs w:val="24"/>
        </w:rPr>
      </w:pPr>
    </w:p>
    <w:p w:rsidR="001C412F" w:rsidRPr="0072533C" w:rsidRDefault="001C412F" w:rsidP="008802E4">
      <w:pPr>
        <w:spacing w:line="360" w:lineRule="auto"/>
        <w:rPr>
          <w:rFonts w:ascii="Arial" w:hAnsi="Arial" w:cs="Arial"/>
          <w:sz w:val="24"/>
          <w:szCs w:val="24"/>
        </w:rPr>
      </w:pPr>
      <w:r w:rsidRPr="0072533C">
        <w:rPr>
          <w:rStyle w:val="Strong"/>
          <w:rFonts w:ascii="Arial" w:hAnsi="Arial" w:cs="Arial"/>
          <w:bCs w:val="0"/>
          <w:sz w:val="24"/>
          <w:szCs w:val="24"/>
        </w:rPr>
        <w:lastRenderedPageBreak/>
        <w:t>2. S</w:t>
      </w:r>
      <w:r w:rsidR="00EB08ED" w:rsidRPr="0072533C">
        <w:rPr>
          <w:rStyle w:val="Strong"/>
          <w:rFonts w:ascii="Arial" w:hAnsi="Arial" w:cs="Arial"/>
          <w:bCs w:val="0"/>
          <w:sz w:val="24"/>
          <w:szCs w:val="24"/>
        </w:rPr>
        <w:t>trategies to Improve Liquidity t</w:t>
      </w:r>
      <w:r w:rsidRPr="0072533C">
        <w:rPr>
          <w:rStyle w:val="Strong"/>
          <w:rFonts w:ascii="Arial" w:hAnsi="Arial" w:cs="Arial"/>
          <w:bCs w:val="0"/>
          <w:sz w:val="24"/>
          <w:szCs w:val="24"/>
        </w:rPr>
        <w:t>hrough Working Capital Reforms</w:t>
      </w:r>
    </w:p>
    <w:p w:rsidR="001C412F" w:rsidRPr="006168F4" w:rsidRDefault="001C412F" w:rsidP="008802E4">
      <w:pPr>
        <w:spacing w:line="360" w:lineRule="auto"/>
        <w:rPr>
          <w:rFonts w:ascii="Arial" w:hAnsi="Arial" w:cs="Arial"/>
          <w:sz w:val="24"/>
          <w:szCs w:val="24"/>
        </w:rPr>
      </w:pPr>
      <w:r w:rsidRPr="006168F4">
        <w:rPr>
          <w:rFonts w:ascii="Arial" w:hAnsi="Arial" w:cs="Arial"/>
          <w:sz w:val="24"/>
          <w:szCs w:val="24"/>
        </w:rPr>
        <w:t>Improving liquidity requires reducing the length of the cash operating cycle and stabilizing cash flows.</w:t>
      </w:r>
    </w:p>
    <w:p w:rsidR="001C412F" w:rsidRPr="0072533C" w:rsidRDefault="001C412F" w:rsidP="008802E4">
      <w:pPr>
        <w:spacing w:line="360" w:lineRule="auto"/>
        <w:rPr>
          <w:rFonts w:ascii="Arial" w:hAnsi="Arial" w:cs="Arial"/>
          <w:sz w:val="24"/>
          <w:szCs w:val="24"/>
        </w:rPr>
      </w:pPr>
      <w:r w:rsidRPr="0072533C">
        <w:rPr>
          <w:rStyle w:val="Strong"/>
          <w:rFonts w:ascii="Arial" w:hAnsi="Arial" w:cs="Arial"/>
          <w:bCs w:val="0"/>
          <w:sz w:val="24"/>
          <w:szCs w:val="24"/>
        </w:rPr>
        <w:t>2.1 Strengthen Receivable Management</w:t>
      </w:r>
    </w:p>
    <w:p w:rsidR="0072533C" w:rsidRPr="0072533C" w:rsidRDefault="0072533C" w:rsidP="0072533C">
      <w:pPr>
        <w:spacing w:line="360" w:lineRule="auto"/>
        <w:rPr>
          <w:rFonts w:ascii="Arial" w:hAnsi="Arial" w:cs="Arial"/>
          <w:sz w:val="24"/>
          <w:szCs w:val="24"/>
        </w:rPr>
      </w:pPr>
      <w:r w:rsidRPr="0072533C">
        <w:rPr>
          <w:rFonts w:ascii="Arial" w:hAnsi="Arial" w:cs="Arial"/>
          <w:sz w:val="24"/>
          <w:szCs w:val="24"/>
        </w:rPr>
        <w:t>The company should focus on receivable acceleration strategies, given the huge negative working capital impact in 2024.</w:t>
      </w:r>
    </w:p>
    <w:p w:rsidR="0072533C" w:rsidRPr="0072533C" w:rsidRDefault="0072533C" w:rsidP="0072533C">
      <w:pPr>
        <w:spacing w:line="360" w:lineRule="auto"/>
        <w:rPr>
          <w:rFonts w:ascii="Arial" w:hAnsi="Arial" w:cs="Arial"/>
          <w:sz w:val="24"/>
          <w:szCs w:val="24"/>
        </w:rPr>
      </w:pPr>
      <w:r w:rsidRPr="0072533C">
        <w:rPr>
          <w:rFonts w:ascii="Arial" w:hAnsi="Arial" w:cs="Arial"/>
          <w:sz w:val="24"/>
          <w:szCs w:val="24"/>
        </w:rPr>
        <w:t>Recommended actions:</w:t>
      </w:r>
    </w:p>
    <w:p w:rsidR="0072533C" w:rsidRPr="0072533C" w:rsidRDefault="0072533C" w:rsidP="0072533C">
      <w:pPr>
        <w:spacing w:line="360" w:lineRule="auto"/>
        <w:rPr>
          <w:rFonts w:ascii="Arial" w:hAnsi="Arial" w:cs="Arial"/>
          <w:sz w:val="24"/>
          <w:szCs w:val="24"/>
        </w:rPr>
      </w:pPr>
      <w:r w:rsidRPr="0072533C">
        <w:rPr>
          <w:rFonts w:ascii="Arial" w:hAnsi="Arial" w:cs="Arial"/>
          <w:sz w:val="24"/>
          <w:szCs w:val="24"/>
        </w:rPr>
        <w:t>Impose more stringent credit policies, such as credit scoring and differential credit terms according to customer risk.</w:t>
      </w:r>
    </w:p>
    <w:p w:rsidR="0072533C" w:rsidRPr="0072533C" w:rsidRDefault="0072533C" w:rsidP="0072533C">
      <w:pPr>
        <w:spacing w:line="360" w:lineRule="auto"/>
        <w:rPr>
          <w:rFonts w:ascii="Arial" w:hAnsi="Arial" w:cs="Arial"/>
          <w:sz w:val="24"/>
          <w:szCs w:val="24"/>
        </w:rPr>
      </w:pPr>
      <w:r w:rsidRPr="0072533C">
        <w:rPr>
          <w:rFonts w:ascii="Arial" w:hAnsi="Arial" w:cs="Arial"/>
          <w:sz w:val="24"/>
          <w:szCs w:val="24"/>
        </w:rPr>
        <w:t>Extend early-payment discount programmes to encourage faster collections.</w:t>
      </w:r>
    </w:p>
    <w:p w:rsidR="0072533C" w:rsidRPr="0072533C" w:rsidRDefault="0072533C" w:rsidP="0072533C">
      <w:pPr>
        <w:spacing w:line="360" w:lineRule="auto"/>
        <w:rPr>
          <w:rFonts w:ascii="Arial" w:hAnsi="Arial" w:cs="Arial"/>
          <w:sz w:val="24"/>
          <w:szCs w:val="24"/>
        </w:rPr>
      </w:pPr>
      <w:r w:rsidRPr="0072533C">
        <w:rPr>
          <w:rFonts w:ascii="Arial" w:hAnsi="Arial" w:cs="Arial"/>
          <w:sz w:val="24"/>
          <w:szCs w:val="24"/>
        </w:rPr>
        <w:t>Automate the invoicing and collection workflow, reducing delays in your company's billing cycles.</w:t>
      </w:r>
    </w:p>
    <w:p w:rsidR="001C412F" w:rsidRPr="006168F4" w:rsidRDefault="0072533C" w:rsidP="0072533C">
      <w:pPr>
        <w:spacing w:line="360" w:lineRule="auto"/>
        <w:rPr>
          <w:rFonts w:ascii="Arial" w:hAnsi="Arial" w:cs="Arial"/>
          <w:sz w:val="24"/>
          <w:szCs w:val="24"/>
        </w:rPr>
      </w:pPr>
      <w:r w:rsidRPr="0072533C">
        <w:rPr>
          <w:rFonts w:ascii="Arial" w:hAnsi="Arial" w:cs="Arial"/>
          <w:sz w:val="24"/>
          <w:szCs w:val="24"/>
        </w:rPr>
        <w:t>Utilize receivables financing, either in the form of factoring or invoice discounting, to convert receivables into immediate cash without materially increasing debt. This is particularly critical given the falling net income and weakened profitability during the last couple of years, including losses of –£24,029m in 2024 and –£98,238m in 2023.</w:t>
      </w:r>
      <w:r w:rsidR="001C412F" w:rsidRPr="006168F4">
        <w:rPr>
          <w:rFonts w:ascii="Arial" w:hAnsi="Arial" w:cs="Arial"/>
          <w:sz w:val="24"/>
          <w:szCs w:val="24"/>
        </w:rPr>
        <w:t xml:space="preserve"> </w:t>
      </w:r>
    </w:p>
    <w:p w:rsidR="001C412F" w:rsidRPr="0072533C" w:rsidRDefault="001C412F" w:rsidP="008802E4">
      <w:pPr>
        <w:spacing w:line="360" w:lineRule="auto"/>
        <w:rPr>
          <w:rFonts w:ascii="Arial" w:hAnsi="Arial" w:cs="Arial"/>
          <w:sz w:val="24"/>
          <w:szCs w:val="24"/>
        </w:rPr>
      </w:pPr>
      <w:r w:rsidRPr="0072533C">
        <w:rPr>
          <w:rStyle w:val="Strong"/>
          <w:rFonts w:ascii="Arial" w:hAnsi="Arial" w:cs="Arial"/>
          <w:bCs w:val="0"/>
          <w:sz w:val="24"/>
          <w:szCs w:val="24"/>
        </w:rPr>
        <w:t>2.2 Optimise Inventory Levels</w:t>
      </w:r>
    </w:p>
    <w:p w:rsidR="008D5D33" w:rsidRPr="008D5D33" w:rsidRDefault="008D5D33" w:rsidP="008D5D33">
      <w:pPr>
        <w:spacing w:line="360" w:lineRule="auto"/>
        <w:rPr>
          <w:rFonts w:ascii="Arial" w:hAnsi="Arial" w:cs="Arial"/>
          <w:sz w:val="24"/>
          <w:szCs w:val="24"/>
        </w:rPr>
      </w:pPr>
      <w:r w:rsidRPr="008D5D33">
        <w:rPr>
          <w:rFonts w:ascii="Arial" w:hAnsi="Arial" w:cs="Arial"/>
          <w:sz w:val="24"/>
          <w:szCs w:val="24"/>
        </w:rPr>
        <w:t>Although inventories have been significantly reduced, the decline could well reflect demand contraction rather than systematic improvement.</w:t>
      </w:r>
    </w:p>
    <w:p w:rsidR="008D5D33" w:rsidRPr="008D5D33" w:rsidRDefault="008D5D33" w:rsidP="008D5D33">
      <w:pPr>
        <w:spacing w:line="360" w:lineRule="auto"/>
        <w:rPr>
          <w:rFonts w:ascii="Arial" w:hAnsi="Arial" w:cs="Arial"/>
          <w:sz w:val="24"/>
          <w:szCs w:val="24"/>
        </w:rPr>
      </w:pPr>
      <w:r w:rsidRPr="008D5D33">
        <w:rPr>
          <w:rFonts w:ascii="Arial" w:hAnsi="Arial" w:cs="Arial"/>
          <w:sz w:val="24"/>
          <w:szCs w:val="24"/>
        </w:rPr>
        <w:t>Recommendations:</w:t>
      </w:r>
    </w:p>
    <w:p w:rsidR="008D5D33" w:rsidRPr="008D5D33" w:rsidRDefault="008D5D33" w:rsidP="008D5D33">
      <w:pPr>
        <w:spacing w:line="360" w:lineRule="auto"/>
        <w:rPr>
          <w:rFonts w:ascii="Arial" w:hAnsi="Arial" w:cs="Arial"/>
          <w:sz w:val="24"/>
          <w:szCs w:val="24"/>
        </w:rPr>
      </w:pPr>
      <w:r w:rsidRPr="008D5D33">
        <w:rPr>
          <w:rFonts w:ascii="Arial" w:hAnsi="Arial" w:cs="Arial"/>
          <w:sz w:val="24"/>
          <w:szCs w:val="24"/>
        </w:rPr>
        <w:t>Reduce overstocking by implementing demand-driven planning based on real-time analytics.</w:t>
      </w:r>
    </w:p>
    <w:p w:rsidR="008D5D33" w:rsidRPr="008D5D33" w:rsidRDefault="008D5D33" w:rsidP="008D5D33">
      <w:pPr>
        <w:spacing w:line="360" w:lineRule="auto"/>
        <w:rPr>
          <w:rFonts w:ascii="Arial" w:hAnsi="Arial" w:cs="Arial"/>
          <w:sz w:val="24"/>
          <w:szCs w:val="24"/>
        </w:rPr>
      </w:pPr>
      <w:r w:rsidRPr="008D5D33">
        <w:rPr>
          <w:rFonts w:ascii="Arial" w:hAnsi="Arial" w:cs="Arial"/>
          <w:sz w:val="24"/>
          <w:szCs w:val="24"/>
        </w:rPr>
        <w:t>Improve supply-chain visibility, thereby enabling dynamic adjustments to safety-stock levels.</w:t>
      </w:r>
    </w:p>
    <w:p w:rsidR="008D5D33" w:rsidRPr="008D5D33" w:rsidRDefault="008D5D33" w:rsidP="008D5D33">
      <w:pPr>
        <w:spacing w:line="360" w:lineRule="auto"/>
        <w:rPr>
          <w:rFonts w:ascii="Arial" w:hAnsi="Arial" w:cs="Arial"/>
          <w:sz w:val="24"/>
          <w:szCs w:val="24"/>
        </w:rPr>
      </w:pPr>
      <w:r w:rsidRPr="008D5D33">
        <w:rPr>
          <w:rFonts w:ascii="Arial" w:hAnsi="Arial" w:cs="Arial"/>
          <w:sz w:val="24"/>
          <w:szCs w:val="24"/>
        </w:rPr>
        <w:lastRenderedPageBreak/>
        <w:t>Enhance supplier integration like VMI to reduce lead times on orders and enhance inventory turnover.</w:t>
      </w:r>
    </w:p>
    <w:p w:rsidR="008D5D33" w:rsidRPr="008D5D33" w:rsidRDefault="008D5D33" w:rsidP="008D5D33">
      <w:pPr>
        <w:spacing w:line="360" w:lineRule="auto"/>
        <w:rPr>
          <w:rFonts w:ascii="Arial" w:hAnsi="Arial" w:cs="Arial"/>
          <w:sz w:val="24"/>
          <w:szCs w:val="24"/>
        </w:rPr>
      </w:pPr>
      <w:r w:rsidRPr="008D5D33">
        <w:rPr>
          <w:rFonts w:ascii="Arial" w:hAnsi="Arial" w:cs="Arial"/>
          <w:sz w:val="24"/>
          <w:szCs w:val="24"/>
        </w:rPr>
        <w:t>Stop or reduce the production of slow-moving products to avoid capital lock-up.</w:t>
      </w:r>
    </w:p>
    <w:p w:rsidR="008D5D33" w:rsidRDefault="008D5D33" w:rsidP="008D5D33">
      <w:pPr>
        <w:spacing w:line="360" w:lineRule="auto"/>
        <w:rPr>
          <w:rFonts w:ascii="Arial" w:hAnsi="Arial" w:cs="Arial"/>
          <w:sz w:val="24"/>
          <w:szCs w:val="24"/>
        </w:rPr>
      </w:pPr>
      <w:r w:rsidRPr="008D5D33">
        <w:rPr>
          <w:rFonts w:ascii="Arial" w:hAnsi="Arial" w:cs="Arial"/>
          <w:sz w:val="24"/>
          <w:szCs w:val="24"/>
        </w:rPr>
        <w:t>Given past inventory excesses and large swings in working capital, the formulation of a stable inventory strategy would reduce cash volatility.</w:t>
      </w:r>
    </w:p>
    <w:p w:rsidR="001C412F" w:rsidRPr="0072533C" w:rsidRDefault="001C412F" w:rsidP="008D5D33">
      <w:pPr>
        <w:spacing w:line="360" w:lineRule="auto"/>
        <w:rPr>
          <w:rFonts w:ascii="Arial" w:hAnsi="Arial" w:cs="Arial"/>
          <w:sz w:val="24"/>
          <w:szCs w:val="24"/>
        </w:rPr>
      </w:pPr>
      <w:r w:rsidRPr="0072533C">
        <w:rPr>
          <w:rStyle w:val="Strong"/>
          <w:rFonts w:ascii="Arial" w:hAnsi="Arial" w:cs="Arial"/>
          <w:bCs w:val="0"/>
          <w:sz w:val="24"/>
          <w:szCs w:val="24"/>
        </w:rPr>
        <w:t>2.3 Standardise Payables Management</w:t>
      </w:r>
    </w:p>
    <w:p w:rsidR="008D5D33" w:rsidRPr="008D5D33" w:rsidRDefault="008D5D33" w:rsidP="008D5D33">
      <w:pPr>
        <w:spacing w:line="360" w:lineRule="auto"/>
        <w:rPr>
          <w:rFonts w:ascii="Arial" w:hAnsi="Arial" w:cs="Arial"/>
          <w:sz w:val="24"/>
          <w:szCs w:val="24"/>
        </w:rPr>
      </w:pPr>
      <w:r w:rsidRPr="008D5D33">
        <w:rPr>
          <w:rFonts w:ascii="Arial" w:hAnsi="Arial" w:cs="Arial"/>
          <w:sz w:val="24"/>
          <w:szCs w:val="24"/>
        </w:rPr>
        <w:t>With accounts payable being highly variable year-to-year, a more predictable payables strategy is required.</w:t>
      </w:r>
    </w:p>
    <w:p w:rsidR="008D5D33" w:rsidRPr="008D5D33" w:rsidRDefault="008D5D33" w:rsidP="008D5D33">
      <w:pPr>
        <w:spacing w:line="360" w:lineRule="auto"/>
        <w:rPr>
          <w:rFonts w:ascii="Arial" w:hAnsi="Arial" w:cs="Arial"/>
          <w:sz w:val="24"/>
          <w:szCs w:val="24"/>
        </w:rPr>
      </w:pPr>
      <w:r w:rsidRPr="008D5D33">
        <w:rPr>
          <w:rFonts w:ascii="Arial" w:hAnsi="Arial" w:cs="Arial"/>
          <w:sz w:val="24"/>
          <w:szCs w:val="24"/>
        </w:rPr>
        <w:t>Recommendations:</w:t>
      </w:r>
    </w:p>
    <w:p w:rsidR="008D5D33" w:rsidRPr="008D5D33" w:rsidRDefault="008D5D33" w:rsidP="008D5D33">
      <w:pPr>
        <w:spacing w:line="360" w:lineRule="auto"/>
        <w:rPr>
          <w:rFonts w:ascii="Arial" w:hAnsi="Arial" w:cs="Arial"/>
          <w:sz w:val="24"/>
          <w:szCs w:val="24"/>
        </w:rPr>
      </w:pPr>
      <w:r w:rsidRPr="008D5D33">
        <w:rPr>
          <w:rFonts w:ascii="Arial" w:hAnsi="Arial" w:cs="Arial"/>
          <w:sz w:val="24"/>
          <w:szCs w:val="24"/>
        </w:rPr>
        <w:t>Negotiate extended payment terms with major suppliers, especially in periods of low liquidity.</w:t>
      </w:r>
    </w:p>
    <w:p w:rsidR="008D5D33" w:rsidRPr="008D5D33" w:rsidRDefault="008D5D33" w:rsidP="008D5D33">
      <w:pPr>
        <w:spacing w:line="360" w:lineRule="auto"/>
        <w:rPr>
          <w:rFonts w:ascii="Arial" w:hAnsi="Arial" w:cs="Arial"/>
          <w:sz w:val="24"/>
          <w:szCs w:val="24"/>
        </w:rPr>
      </w:pPr>
      <w:r w:rsidRPr="008D5D33">
        <w:rPr>
          <w:rFonts w:ascii="Arial" w:hAnsi="Arial" w:cs="Arial"/>
          <w:sz w:val="24"/>
          <w:szCs w:val="24"/>
        </w:rPr>
        <w:t>Employ dynamic discounting: provide the opportunity for early payment when cash is plentiful in return for discounts.</w:t>
      </w:r>
    </w:p>
    <w:p w:rsidR="001C412F" w:rsidRPr="006168F4" w:rsidRDefault="008D5D33" w:rsidP="008D5D33">
      <w:pPr>
        <w:spacing w:line="360" w:lineRule="auto"/>
        <w:rPr>
          <w:rFonts w:ascii="Arial" w:hAnsi="Arial" w:cs="Arial"/>
          <w:sz w:val="24"/>
          <w:szCs w:val="24"/>
        </w:rPr>
      </w:pPr>
      <w:r w:rsidRPr="008D5D33">
        <w:rPr>
          <w:rFonts w:ascii="Arial" w:hAnsi="Arial" w:cs="Arial"/>
          <w:sz w:val="24"/>
          <w:szCs w:val="24"/>
        </w:rPr>
        <w:t>A payables policy designed along structured lines would standardize the cash outflow timing and lessen dependence on short-term borrowing.</w:t>
      </w:r>
    </w:p>
    <w:p w:rsidR="001C412F" w:rsidRPr="006168F4" w:rsidRDefault="001C412F" w:rsidP="008802E4">
      <w:pPr>
        <w:spacing w:line="360" w:lineRule="auto"/>
        <w:rPr>
          <w:rFonts w:ascii="Arial" w:hAnsi="Arial" w:cs="Arial"/>
          <w:sz w:val="24"/>
          <w:szCs w:val="24"/>
        </w:rPr>
      </w:pPr>
    </w:p>
    <w:p w:rsidR="002A7184" w:rsidRPr="006168F4" w:rsidRDefault="002A7184" w:rsidP="008802E4">
      <w:pPr>
        <w:spacing w:line="360" w:lineRule="auto"/>
        <w:rPr>
          <w:rStyle w:val="Strong"/>
          <w:rFonts w:ascii="Arial" w:hAnsi="Arial" w:cs="Arial"/>
          <w:sz w:val="24"/>
          <w:szCs w:val="24"/>
        </w:rPr>
      </w:pPr>
      <w:r w:rsidRPr="006168F4">
        <w:rPr>
          <w:rStyle w:val="Strong"/>
          <w:rFonts w:ascii="Arial" w:hAnsi="Arial" w:cs="Arial"/>
          <w:sz w:val="24"/>
          <w:szCs w:val="24"/>
        </w:rPr>
        <w:t>2.5 Financing Options: Short-Term vs. Long-Term</w:t>
      </w:r>
    </w:p>
    <w:p w:rsidR="002A7184" w:rsidRPr="006168F4" w:rsidRDefault="002A7184" w:rsidP="008802E4">
      <w:pPr>
        <w:spacing w:line="360" w:lineRule="auto"/>
        <w:rPr>
          <w:rStyle w:val="Strong"/>
          <w:rFonts w:ascii="Arial" w:hAnsi="Arial" w:cs="Arial"/>
          <w:sz w:val="24"/>
          <w:szCs w:val="24"/>
        </w:rPr>
      </w:pPr>
      <w:r w:rsidRPr="006168F4">
        <w:rPr>
          <w:rStyle w:val="Strong"/>
          <w:rFonts w:ascii="Arial" w:hAnsi="Arial" w:cs="Arial"/>
          <w:sz w:val="24"/>
          <w:szCs w:val="24"/>
        </w:rPr>
        <w:t>Short-term Financing Alternatives</w:t>
      </w:r>
    </w:p>
    <w:p w:rsidR="0072533C" w:rsidRDefault="00ED6E24" w:rsidP="008802E4">
      <w:pPr>
        <w:spacing w:line="360" w:lineRule="auto"/>
        <w:rPr>
          <w:rStyle w:val="Strong"/>
          <w:rFonts w:ascii="Arial" w:hAnsi="Arial" w:cs="Arial"/>
          <w:sz w:val="24"/>
          <w:szCs w:val="24"/>
        </w:rPr>
      </w:pPr>
      <w:r w:rsidRPr="00ED6E24">
        <w:rPr>
          <w:rStyle w:val="Strong"/>
          <w:rFonts w:ascii="Arial" w:hAnsi="Arial" w:cs="Arial"/>
          <w:b w:val="0"/>
          <w:sz w:val="24"/>
          <w:szCs w:val="24"/>
        </w:rPr>
        <w:t>Short-term financing instruments, such as overdrafts, credit lines, or commercial paper, give flexibility but increase rollover risks. With the decline in profitability of General Electronics and negative credit signals, ongoing access is not certain. Excessive use entrenches liquidity crises, as seen when interest coverage becomes negative.</w:t>
      </w:r>
    </w:p>
    <w:p w:rsidR="00ED6E24" w:rsidRDefault="00ED6E24" w:rsidP="008802E4">
      <w:pPr>
        <w:spacing w:line="360" w:lineRule="auto"/>
        <w:rPr>
          <w:rStyle w:val="Strong"/>
          <w:rFonts w:ascii="Arial" w:hAnsi="Arial" w:cs="Arial"/>
          <w:sz w:val="24"/>
          <w:szCs w:val="24"/>
        </w:rPr>
      </w:pPr>
    </w:p>
    <w:p w:rsidR="002A7184" w:rsidRPr="006168F4" w:rsidRDefault="002A7184" w:rsidP="008802E4">
      <w:pPr>
        <w:spacing w:line="360" w:lineRule="auto"/>
        <w:rPr>
          <w:rStyle w:val="Strong"/>
          <w:rFonts w:ascii="Arial" w:hAnsi="Arial" w:cs="Arial"/>
          <w:sz w:val="24"/>
          <w:szCs w:val="24"/>
        </w:rPr>
      </w:pPr>
      <w:r w:rsidRPr="006168F4">
        <w:rPr>
          <w:rStyle w:val="Strong"/>
          <w:rFonts w:ascii="Arial" w:hAnsi="Arial" w:cs="Arial"/>
          <w:sz w:val="24"/>
          <w:szCs w:val="24"/>
        </w:rPr>
        <w:lastRenderedPageBreak/>
        <w:t>Long-term Financing Options</w:t>
      </w:r>
    </w:p>
    <w:p w:rsidR="00ED6E24" w:rsidRDefault="00ED6E24" w:rsidP="008802E4">
      <w:pPr>
        <w:spacing w:line="360" w:lineRule="auto"/>
        <w:rPr>
          <w:rStyle w:val="Strong"/>
          <w:rFonts w:ascii="Arial" w:hAnsi="Arial" w:cs="Arial"/>
          <w:b w:val="0"/>
          <w:sz w:val="24"/>
          <w:szCs w:val="24"/>
        </w:rPr>
      </w:pPr>
      <w:r w:rsidRPr="00ED6E24">
        <w:rPr>
          <w:rStyle w:val="Strong"/>
          <w:rFonts w:ascii="Arial" w:hAnsi="Arial" w:cs="Arial"/>
          <w:b w:val="0"/>
          <w:sz w:val="24"/>
          <w:szCs w:val="24"/>
        </w:rPr>
        <w:t>Long-term financing-both term loans, bonds, and equity issuance-improves stability by replacing short-term volatility with fixed obligations. High leverage, along with a shrinking equity base, could limit the capacity to raise debt.</w:t>
      </w:r>
    </w:p>
    <w:p w:rsidR="00993ED0" w:rsidRDefault="00993ED0" w:rsidP="008802E4">
      <w:pPr>
        <w:spacing w:line="360" w:lineRule="auto"/>
        <w:rPr>
          <w:rStyle w:val="Strong"/>
          <w:rFonts w:ascii="Arial" w:hAnsi="Arial" w:cs="Arial"/>
          <w:b w:val="0"/>
          <w:sz w:val="24"/>
          <w:szCs w:val="24"/>
        </w:rPr>
      </w:pPr>
      <w:r w:rsidRPr="00993ED0">
        <w:rPr>
          <w:rStyle w:val="Strong"/>
          <w:rFonts w:ascii="Arial" w:hAnsi="Arial" w:cs="Arial"/>
          <w:b w:val="0"/>
          <w:sz w:val="24"/>
          <w:szCs w:val="24"/>
        </w:rPr>
        <w:t>Equity issuance may be necessary in order to stabilize liquidity-even if that is at the expense of shareholder dilution-a common trade-off in many turnaround situations.</w:t>
      </w:r>
    </w:p>
    <w:p w:rsidR="00882A6C" w:rsidRPr="00993ED0" w:rsidRDefault="00116274" w:rsidP="008802E4">
      <w:pPr>
        <w:spacing w:line="360" w:lineRule="auto"/>
        <w:rPr>
          <w:rFonts w:ascii="Arial" w:hAnsi="Arial" w:cs="Arial"/>
          <w:sz w:val="24"/>
          <w:szCs w:val="24"/>
        </w:rPr>
      </w:pPr>
      <w:r>
        <w:rPr>
          <w:rStyle w:val="Strong"/>
          <w:rFonts w:ascii="Arial" w:hAnsi="Arial" w:cs="Arial"/>
          <w:bCs w:val="0"/>
          <w:sz w:val="24"/>
          <w:szCs w:val="24"/>
        </w:rPr>
        <w:t xml:space="preserve">2.6 </w:t>
      </w:r>
      <w:r w:rsidR="00882A6C" w:rsidRPr="00993ED0">
        <w:rPr>
          <w:rStyle w:val="Strong"/>
          <w:rFonts w:ascii="Arial" w:hAnsi="Arial" w:cs="Arial"/>
          <w:bCs w:val="0"/>
          <w:sz w:val="24"/>
          <w:szCs w:val="24"/>
        </w:rPr>
        <w:t>Recommended Financing Mix</w:t>
      </w:r>
    </w:p>
    <w:p w:rsidR="00882A6C" w:rsidRPr="006168F4" w:rsidRDefault="00882A6C" w:rsidP="008802E4">
      <w:pPr>
        <w:spacing w:line="360" w:lineRule="auto"/>
        <w:rPr>
          <w:rFonts w:ascii="Arial" w:hAnsi="Arial" w:cs="Arial"/>
          <w:sz w:val="24"/>
          <w:szCs w:val="24"/>
        </w:rPr>
      </w:pPr>
      <w:r w:rsidRPr="006168F4">
        <w:rPr>
          <w:rFonts w:ascii="Arial" w:hAnsi="Arial" w:cs="Arial"/>
          <w:sz w:val="24"/>
          <w:szCs w:val="24"/>
        </w:rPr>
        <w:t>A balanced approach should include:</w:t>
      </w:r>
    </w:p>
    <w:p w:rsidR="00993ED0" w:rsidRPr="00993ED0" w:rsidRDefault="00993ED0" w:rsidP="00993ED0">
      <w:pPr>
        <w:spacing w:line="360" w:lineRule="auto"/>
        <w:rPr>
          <w:rStyle w:val="Strong"/>
          <w:rFonts w:ascii="Arial" w:hAnsi="Arial" w:cs="Arial"/>
          <w:b w:val="0"/>
          <w:sz w:val="24"/>
          <w:szCs w:val="24"/>
        </w:rPr>
      </w:pPr>
      <w:r w:rsidRPr="00993ED0">
        <w:rPr>
          <w:rStyle w:val="Strong"/>
          <w:rFonts w:ascii="Arial" w:hAnsi="Arial" w:cs="Arial"/>
          <w:b w:val="0"/>
          <w:sz w:val="24"/>
          <w:szCs w:val="24"/>
        </w:rPr>
        <w:t>• Shift part of short-term credit into medium-term loans or bonds to reduce rollover risks.</w:t>
      </w:r>
    </w:p>
    <w:p w:rsidR="00993ED0" w:rsidRPr="00993ED0" w:rsidRDefault="00993ED0" w:rsidP="00993ED0">
      <w:pPr>
        <w:spacing w:line="360" w:lineRule="auto"/>
        <w:rPr>
          <w:rStyle w:val="Strong"/>
          <w:rFonts w:ascii="Arial" w:hAnsi="Arial" w:cs="Arial"/>
          <w:b w:val="0"/>
          <w:sz w:val="24"/>
          <w:szCs w:val="24"/>
        </w:rPr>
      </w:pPr>
      <w:r w:rsidRPr="00993ED0">
        <w:rPr>
          <w:rStyle w:val="Strong"/>
          <w:rFonts w:ascii="Arial" w:hAnsi="Arial" w:cs="Arial"/>
          <w:b w:val="0"/>
          <w:sz w:val="24"/>
          <w:szCs w:val="24"/>
        </w:rPr>
        <w:t>• Using short-term facilities for seasonal or temporary working capital needs only, not to cover structural liquidity weaknesses.</w:t>
      </w:r>
    </w:p>
    <w:p w:rsidR="002A7184" w:rsidRPr="00993ED0" w:rsidRDefault="00993ED0" w:rsidP="00993ED0">
      <w:pPr>
        <w:spacing w:line="360" w:lineRule="auto"/>
        <w:rPr>
          <w:rStyle w:val="Strong"/>
          <w:rFonts w:ascii="Arial" w:hAnsi="Arial" w:cs="Arial"/>
          <w:b w:val="0"/>
          <w:sz w:val="24"/>
          <w:szCs w:val="24"/>
        </w:rPr>
      </w:pPr>
      <w:r w:rsidRPr="00993ED0">
        <w:rPr>
          <w:rStyle w:val="Strong"/>
          <w:rFonts w:ascii="Arial" w:hAnsi="Arial" w:cs="Arial"/>
          <w:b w:val="0"/>
          <w:sz w:val="24"/>
          <w:szCs w:val="24"/>
        </w:rPr>
        <w:t xml:space="preserve"> • Supporting working capital improvements through receivable financing tools, not more debt. </w:t>
      </w:r>
    </w:p>
    <w:p w:rsidR="000C3AF4" w:rsidRPr="006168F4" w:rsidRDefault="000C3AF4" w:rsidP="008802E4">
      <w:pPr>
        <w:spacing w:line="360" w:lineRule="auto"/>
        <w:rPr>
          <w:rStyle w:val="Strong"/>
          <w:rFonts w:ascii="Arial" w:hAnsi="Arial" w:cs="Arial"/>
          <w:sz w:val="24"/>
          <w:szCs w:val="24"/>
        </w:rPr>
      </w:pPr>
    </w:p>
    <w:p w:rsidR="002A7184" w:rsidRPr="006168F4" w:rsidRDefault="002A7184" w:rsidP="008802E4">
      <w:pPr>
        <w:spacing w:line="360" w:lineRule="auto"/>
        <w:rPr>
          <w:rStyle w:val="Strong"/>
          <w:rFonts w:ascii="Arial" w:hAnsi="Arial" w:cs="Arial"/>
          <w:sz w:val="24"/>
          <w:szCs w:val="24"/>
        </w:rPr>
      </w:pPr>
      <w:r w:rsidRPr="006168F4">
        <w:rPr>
          <w:rStyle w:val="Strong"/>
          <w:rFonts w:ascii="Arial" w:hAnsi="Arial" w:cs="Arial"/>
          <w:sz w:val="24"/>
          <w:szCs w:val="24"/>
        </w:rPr>
        <w:t xml:space="preserve">3. Strategic Financial Restructuring Plan </w:t>
      </w:r>
    </w:p>
    <w:p w:rsidR="001E2E14" w:rsidRPr="006168F4" w:rsidRDefault="00993ED0" w:rsidP="008802E4">
      <w:pPr>
        <w:spacing w:line="360" w:lineRule="auto"/>
        <w:rPr>
          <w:rFonts w:ascii="Arial" w:hAnsi="Arial" w:cs="Arial"/>
          <w:sz w:val="24"/>
          <w:szCs w:val="24"/>
        </w:rPr>
      </w:pPr>
      <w:r w:rsidRPr="00993ED0">
        <w:rPr>
          <w:rFonts w:ascii="Arial" w:hAnsi="Arial" w:cs="Arial"/>
          <w:sz w:val="24"/>
          <w:szCs w:val="24"/>
        </w:rPr>
        <w:t>The financial results of the company show a very stressful and volatile period, highlighted by two major losses: –£98,238m in 2023 and –£24,029m in 2024. Not to mention, declining liquidity—exhibited by cash that has fallen from £66,740m in 2022 to £26,783m in 2024—and shrinking equity indicate fundamental structural financial stressors that cannot be overcome by purely operational improvements. This Strategic Financial Restructuring Plan details comprehensive steps toward restoring financial stability and enhancing the efficiency of capital, protecting shareholder value, and ensuring the long-term competitiveness of the business.</w:t>
      </w:r>
    </w:p>
    <w:p w:rsidR="001E2E14" w:rsidRPr="00993ED0" w:rsidRDefault="001E2E14" w:rsidP="008802E4">
      <w:pPr>
        <w:spacing w:line="360" w:lineRule="auto"/>
        <w:rPr>
          <w:rFonts w:ascii="Arial" w:hAnsi="Arial" w:cs="Arial"/>
          <w:sz w:val="24"/>
          <w:szCs w:val="24"/>
        </w:rPr>
      </w:pPr>
      <w:r w:rsidRPr="00993ED0">
        <w:rPr>
          <w:rStyle w:val="Strong"/>
          <w:rFonts w:ascii="Arial" w:hAnsi="Arial" w:cs="Arial"/>
          <w:bCs w:val="0"/>
          <w:sz w:val="24"/>
          <w:szCs w:val="24"/>
        </w:rPr>
        <w:lastRenderedPageBreak/>
        <w:t>1. Recommended Financial Restructuring Options</w:t>
      </w:r>
    </w:p>
    <w:p w:rsidR="001E2E14" w:rsidRPr="00EF6880" w:rsidRDefault="001E2E14" w:rsidP="008802E4">
      <w:pPr>
        <w:spacing w:line="360" w:lineRule="auto"/>
        <w:rPr>
          <w:rFonts w:ascii="Arial" w:hAnsi="Arial" w:cs="Arial"/>
          <w:sz w:val="24"/>
          <w:szCs w:val="24"/>
        </w:rPr>
      </w:pPr>
      <w:r w:rsidRPr="00EF6880">
        <w:rPr>
          <w:rStyle w:val="Strong"/>
          <w:rFonts w:ascii="Arial" w:hAnsi="Arial" w:cs="Arial"/>
          <w:bCs w:val="0"/>
          <w:sz w:val="24"/>
          <w:szCs w:val="24"/>
        </w:rPr>
        <w:t>1.1 Divestiture of Non-Core or Underperforming Assets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Despite the declining sales and profitability, the group's balance sheet for 2024 still reflects substantial investments in property, plant, equipment, and intangible assets worth £34,207m and £24,038m, respectively. Targeted divestiture could unlock liquidity and reduce capital intensity.</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Divestiture candidates include:</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Underperforming divisions with persistent low returns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Non-strategic product lines with shrinking markets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Redundant facilities or administrative units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Benefits: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Liquidity enhancement through immediate inflow of cash</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Reduced depreciation and maintenance liabilities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Improved focus on high-margin, high-growth segments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Risks: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One-time restructuring charges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Potential loss of future revenue streams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Market perception of distress unless well messaged</w:t>
      </w:r>
    </w:p>
    <w:p w:rsidR="001E2E14" w:rsidRPr="006168F4" w:rsidRDefault="00056FA2" w:rsidP="00056FA2">
      <w:pPr>
        <w:spacing w:line="360" w:lineRule="auto"/>
        <w:rPr>
          <w:rFonts w:ascii="Arial" w:hAnsi="Arial" w:cs="Arial"/>
          <w:sz w:val="24"/>
          <w:szCs w:val="24"/>
        </w:rPr>
      </w:pPr>
      <w:r w:rsidRPr="00056FA2">
        <w:rPr>
          <w:rFonts w:ascii="Arial" w:hAnsi="Arial" w:cs="Arial"/>
          <w:sz w:val="24"/>
          <w:szCs w:val="24"/>
        </w:rPr>
        <w:t>Considering such significant losses and the volatility of inventories, divesting slow-moving or non-aligned business units would therefore be a prudent first step toward balance sheet optimization.</w:t>
      </w:r>
    </w:p>
    <w:p w:rsidR="00EF6880" w:rsidRDefault="00EF6880" w:rsidP="008802E4">
      <w:pPr>
        <w:spacing w:line="360" w:lineRule="auto"/>
        <w:rPr>
          <w:rStyle w:val="Strong"/>
          <w:rFonts w:ascii="Arial" w:hAnsi="Arial" w:cs="Arial"/>
          <w:bCs w:val="0"/>
          <w:sz w:val="24"/>
          <w:szCs w:val="24"/>
        </w:rPr>
      </w:pPr>
    </w:p>
    <w:p w:rsidR="00056FA2" w:rsidRDefault="00056FA2" w:rsidP="008802E4">
      <w:pPr>
        <w:spacing w:line="360" w:lineRule="auto"/>
        <w:rPr>
          <w:rStyle w:val="Strong"/>
          <w:rFonts w:ascii="Arial" w:hAnsi="Arial" w:cs="Arial"/>
          <w:bCs w:val="0"/>
          <w:sz w:val="24"/>
          <w:szCs w:val="24"/>
        </w:rPr>
      </w:pPr>
    </w:p>
    <w:p w:rsidR="001E2E14" w:rsidRPr="00EF6880" w:rsidRDefault="001E2E14" w:rsidP="008802E4">
      <w:pPr>
        <w:spacing w:line="360" w:lineRule="auto"/>
        <w:rPr>
          <w:rFonts w:ascii="Arial" w:hAnsi="Arial" w:cs="Arial"/>
          <w:sz w:val="24"/>
          <w:szCs w:val="24"/>
        </w:rPr>
      </w:pPr>
      <w:r w:rsidRPr="00EF6880">
        <w:rPr>
          <w:rStyle w:val="Strong"/>
          <w:rFonts w:ascii="Arial" w:hAnsi="Arial" w:cs="Arial"/>
          <w:bCs w:val="0"/>
          <w:sz w:val="24"/>
          <w:szCs w:val="24"/>
        </w:rPr>
        <w:lastRenderedPageBreak/>
        <w:t>1.2 Merger or Strategic Partnership</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A merger or strategic partnership may be necessary during a phase of financial decline in order to strengthen market position, expand capabilities, and share operational risks.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Drivers for pursuing a merger:</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Two years of negative earnings and declining operating income (–£15,297m in 2024; –£85,301m in 2023)</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Overdependence on short-term credit lines (£36,960m in 2024)</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Intense market competition and pricing pressure</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Increasing cost structures as evidenced by high operating expenses</w:t>
      </w:r>
    </w:p>
    <w:p w:rsidR="00056FA2" w:rsidRPr="00056FA2" w:rsidRDefault="00056FA2" w:rsidP="00056FA2">
      <w:pPr>
        <w:spacing w:line="360" w:lineRule="auto"/>
        <w:rPr>
          <w:rFonts w:ascii="Arial" w:hAnsi="Arial" w:cs="Arial"/>
          <w:sz w:val="24"/>
          <w:szCs w:val="24"/>
        </w:rPr>
      </w:pP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Merger benefits that could potentially be realized:</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Economies of scale and cost synergies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Expanded product and technology capabilities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Increased bargaining power with suppliers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Access to new international markets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Stronger balance sheet, if combined with a more financially healthy entity</w:t>
      </w:r>
    </w:p>
    <w:p w:rsidR="00056FA2" w:rsidRDefault="00056FA2" w:rsidP="00056FA2">
      <w:pPr>
        <w:spacing w:line="360" w:lineRule="auto"/>
        <w:rPr>
          <w:rFonts w:ascii="Arial" w:hAnsi="Arial" w:cs="Arial"/>
          <w:sz w:val="24"/>
          <w:szCs w:val="24"/>
        </w:rPr>
      </w:pPr>
      <w:r w:rsidRPr="00056FA2">
        <w:rPr>
          <w:rFonts w:ascii="Arial" w:hAnsi="Arial" w:cs="Arial"/>
          <w:sz w:val="24"/>
          <w:szCs w:val="24"/>
        </w:rPr>
        <w:t>A merger with a strategic partner could restore investor confidence in the company and its long-term growth prospects.</w:t>
      </w:r>
    </w:p>
    <w:p w:rsidR="00056FA2" w:rsidRDefault="00056FA2" w:rsidP="00056FA2">
      <w:pPr>
        <w:spacing w:line="360" w:lineRule="auto"/>
        <w:rPr>
          <w:rFonts w:ascii="Arial" w:hAnsi="Arial" w:cs="Arial"/>
          <w:sz w:val="24"/>
          <w:szCs w:val="24"/>
        </w:rPr>
      </w:pPr>
    </w:p>
    <w:p w:rsidR="00056FA2" w:rsidRDefault="00056FA2" w:rsidP="00056FA2">
      <w:pPr>
        <w:spacing w:line="360" w:lineRule="auto"/>
        <w:rPr>
          <w:rStyle w:val="Strong"/>
          <w:rFonts w:ascii="Arial" w:hAnsi="Arial" w:cs="Arial"/>
          <w:bCs w:val="0"/>
          <w:sz w:val="24"/>
          <w:szCs w:val="24"/>
        </w:rPr>
      </w:pPr>
    </w:p>
    <w:p w:rsidR="00056FA2" w:rsidRDefault="00056FA2" w:rsidP="00056FA2">
      <w:pPr>
        <w:spacing w:line="360" w:lineRule="auto"/>
        <w:rPr>
          <w:rStyle w:val="Strong"/>
          <w:rFonts w:ascii="Arial" w:hAnsi="Arial" w:cs="Arial"/>
          <w:bCs w:val="0"/>
          <w:sz w:val="24"/>
          <w:szCs w:val="24"/>
        </w:rPr>
      </w:pPr>
    </w:p>
    <w:p w:rsidR="001E2E14" w:rsidRPr="00EF6880" w:rsidRDefault="001E2E14" w:rsidP="00056FA2">
      <w:pPr>
        <w:spacing w:line="360" w:lineRule="auto"/>
        <w:rPr>
          <w:rFonts w:ascii="Arial" w:hAnsi="Arial" w:cs="Arial"/>
          <w:sz w:val="24"/>
          <w:szCs w:val="24"/>
        </w:rPr>
      </w:pPr>
      <w:r w:rsidRPr="00EF6880">
        <w:rPr>
          <w:rStyle w:val="Strong"/>
          <w:rFonts w:ascii="Arial" w:hAnsi="Arial" w:cs="Arial"/>
          <w:bCs w:val="0"/>
          <w:sz w:val="24"/>
          <w:szCs w:val="24"/>
        </w:rPr>
        <w:lastRenderedPageBreak/>
        <w:t>1.3 Equity Injection and Capital Raise</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Equity for the company has fallen from £268,406m in 2022 to £153,105m in 2024, driven by losses and accumulated other comprehensive income deterioration. An equity raise is needed to rebuild financial resilience.</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Equity injection options: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Rights Issue to Existing Shareholders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Private placement with institutional investors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Sovereign wealth fund or private equity partnership</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Employee share ownership expansion</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Although equity issuance dilutes existing shareholders, the alternative—continuing losses funded by short-term borrowing—poses a far greater threat to shareholder value.</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Benefits: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Restores liquidity without increasing leverage</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Improves credit rating and reduces borrowing cost</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Funds restructuring initiatives and technology investments</w:t>
      </w:r>
    </w:p>
    <w:p w:rsidR="00056FA2" w:rsidRDefault="00056FA2" w:rsidP="00056FA2">
      <w:pPr>
        <w:spacing w:line="360" w:lineRule="auto"/>
        <w:rPr>
          <w:rFonts w:ascii="Arial" w:hAnsi="Arial" w:cs="Arial"/>
          <w:sz w:val="24"/>
          <w:szCs w:val="24"/>
        </w:rPr>
      </w:pPr>
      <w:r w:rsidRPr="00056FA2">
        <w:rPr>
          <w:rFonts w:ascii="Arial" w:hAnsi="Arial" w:cs="Arial"/>
          <w:sz w:val="24"/>
          <w:szCs w:val="24"/>
        </w:rPr>
        <w:t>Strengthens long-term solvency metrics A strong capital raise would put the company in a position to proactively restructure rather than reactively.</w:t>
      </w:r>
    </w:p>
    <w:p w:rsidR="001E2E14" w:rsidRPr="00EF6880" w:rsidRDefault="001E2E14" w:rsidP="00056FA2">
      <w:pPr>
        <w:spacing w:line="360" w:lineRule="auto"/>
        <w:rPr>
          <w:rFonts w:ascii="Arial" w:hAnsi="Arial" w:cs="Arial"/>
          <w:sz w:val="24"/>
          <w:szCs w:val="24"/>
        </w:rPr>
      </w:pPr>
      <w:r w:rsidRPr="00EF6880">
        <w:rPr>
          <w:rStyle w:val="Strong"/>
          <w:rFonts w:ascii="Arial" w:hAnsi="Arial" w:cs="Arial"/>
          <w:bCs w:val="0"/>
          <w:sz w:val="24"/>
          <w:szCs w:val="24"/>
        </w:rPr>
        <w:t>1.4 Debt Restructuring</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Consequently, the company has heavily relied on short-term lines of credit; it borrowed £102,193m in 2024 and shortly thereafter made near-equal repayments. This rollover creates unnecessary liquidity risk.</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Debt restructuring steps: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lastRenderedPageBreak/>
        <w:t>Extend maturity by converting short-term credit into long-term loans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Renegotiate interest rates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Consider bond issuance once financial outlook stabilises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Reduce floating-rate debt exposure to prevent inflation-driven cost spikes</w:t>
      </w:r>
    </w:p>
    <w:p w:rsidR="00056FA2" w:rsidRDefault="00056FA2" w:rsidP="00056FA2">
      <w:pPr>
        <w:spacing w:line="360" w:lineRule="auto"/>
        <w:rPr>
          <w:rFonts w:ascii="Arial" w:hAnsi="Arial" w:cs="Arial"/>
          <w:sz w:val="24"/>
          <w:szCs w:val="24"/>
        </w:rPr>
      </w:pPr>
      <w:r w:rsidRPr="00056FA2">
        <w:rPr>
          <w:rFonts w:ascii="Arial" w:hAnsi="Arial" w:cs="Arial"/>
          <w:sz w:val="24"/>
          <w:szCs w:val="24"/>
        </w:rPr>
        <w:t>These steps would lower refinancing risk and improve cash flow predictability.</w:t>
      </w:r>
    </w:p>
    <w:p w:rsidR="001E2E14" w:rsidRPr="00EF6880" w:rsidRDefault="001E2E14" w:rsidP="00056FA2">
      <w:pPr>
        <w:spacing w:line="360" w:lineRule="auto"/>
        <w:rPr>
          <w:rFonts w:ascii="Arial" w:hAnsi="Arial" w:cs="Arial"/>
          <w:sz w:val="24"/>
          <w:szCs w:val="24"/>
        </w:rPr>
      </w:pPr>
      <w:r w:rsidRPr="00EF6880">
        <w:rPr>
          <w:rStyle w:val="Strong"/>
          <w:rFonts w:ascii="Arial" w:hAnsi="Arial" w:cs="Arial"/>
          <w:bCs w:val="0"/>
          <w:sz w:val="24"/>
          <w:szCs w:val="24"/>
        </w:rPr>
        <w:t>2. Evaluation of Impact on Shareholder Value, Debt Structure, and Operational Flexibility</w:t>
      </w:r>
    </w:p>
    <w:p w:rsidR="001E2E14" w:rsidRPr="00EF6880" w:rsidRDefault="001E2E14" w:rsidP="008802E4">
      <w:pPr>
        <w:spacing w:line="360" w:lineRule="auto"/>
        <w:rPr>
          <w:rFonts w:ascii="Arial" w:hAnsi="Arial" w:cs="Arial"/>
          <w:sz w:val="24"/>
          <w:szCs w:val="24"/>
        </w:rPr>
      </w:pPr>
      <w:r w:rsidRPr="00EF6880">
        <w:rPr>
          <w:rStyle w:val="Strong"/>
          <w:rFonts w:ascii="Arial" w:hAnsi="Arial" w:cs="Arial"/>
          <w:bCs w:val="0"/>
          <w:sz w:val="24"/>
          <w:szCs w:val="24"/>
        </w:rPr>
        <w:t>2.1 Impact on Shareholder Value</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Each option for restructuring has a different effect on shareholder value.</w:t>
      </w:r>
    </w:p>
    <w:p w:rsidR="00056FA2" w:rsidRPr="00056FA2" w:rsidRDefault="00056FA2" w:rsidP="00056FA2">
      <w:pPr>
        <w:spacing w:line="360" w:lineRule="auto"/>
        <w:rPr>
          <w:rFonts w:ascii="Arial" w:hAnsi="Arial" w:cs="Arial"/>
          <w:b/>
          <w:sz w:val="24"/>
          <w:szCs w:val="24"/>
        </w:rPr>
      </w:pPr>
      <w:r w:rsidRPr="00056FA2">
        <w:rPr>
          <w:rFonts w:ascii="Arial" w:hAnsi="Arial" w:cs="Arial"/>
          <w:b/>
          <w:sz w:val="24"/>
          <w:szCs w:val="24"/>
        </w:rPr>
        <w:t>Short-Term Consequence</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Divestitures might initially depress sentiment if perceived as downsizing, but their value would improve once profitability rises.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Equity issuance dilutes the ownership but strengthens balance sheet stability and lowers bankruptcy risk.</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Mergers can drive value through synergy expectations, but they also carry some execution risks.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Considering the negative earnings and the shrinking equity base, shareholders might be cautious initially; long-term value creation is determined by restoring profitability and reducing risk.</w:t>
      </w:r>
    </w:p>
    <w:p w:rsidR="00056FA2" w:rsidRPr="00056FA2" w:rsidRDefault="00056FA2" w:rsidP="00056FA2">
      <w:pPr>
        <w:spacing w:line="360" w:lineRule="auto"/>
        <w:rPr>
          <w:rFonts w:ascii="Arial" w:hAnsi="Arial" w:cs="Arial"/>
          <w:b/>
          <w:sz w:val="24"/>
          <w:szCs w:val="24"/>
        </w:rPr>
      </w:pPr>
      <w:r w:rsidRPr="00056FA2">
        <w:rPr>
          <w:rFonts w:ascii="Arial" w:hAnsi="Arial" w:cs="Arial"/>
          <w:b/>
          <w:sz w:val="24"/>
          <w:szCs w:val="24"/>
        </w:rPr>
        <w:t>Long-term effects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Streamlined operations and improved liquidity enhance investors' confidence.</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Lower leverage reduces volatility and cost of capital.</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Stronger competitive positioning via a merger enhances future earnings potential.</w:t>
      </w:r>
    </w:p>
    <w:p w:rsidR="001E2E14" w:rsidRPr="006168F4" w:rsidRDefault="00056FA2" w:rsidP="00056FA2">
      <w:pPr>
        <w:spacing w:line="360" w:lineRule="auto"/>
        <w:rPr>
          <w:rFonts w:ascii="Arial" w:hAnsi="Arial" w:cs="Arial"/>
          <w:sz w:val="24"/>
          <w:szCs w:val="24"/>
        </w:rPr>
      </w:pPr>
      <w:r w:rsidRPr="00056FA2">
        <w:rPr>
          <w:rFonts w:ascii="Arial" w:hAnsi="Arial" w:cs="Arial"/>
          <w:sz w:val="24"/>
          <w:szCs w:val="24"/>
        </w:rPr>
        <w:lastRenderedPageBreak/>
        <w:t>Overall, restructuring is likely to increase the long-term shareholder value, even if some short-term dilution or perception challenges occur.</w:t>
      </w:r>
    </w:p>
    <w:p w:rsidR="001E2E14" w:rsidRPr="00EF6880" w:rsidRDefault="001E2E14" w:rsidP="008802E4">
      <w:pPr>
        <w:spacing w:line="360" w:lineRule="auto"/>
        <w:rPr>
          <w:rFonts w:ascii="Arial" w:hAnsi="Arial" w:cs="Arial"/>
          <w:sz w:val="24"/>
          <w:szCs w:val="24"/>
        </w:rPr>
      </w:pPr>
      <w:r w:rsidRPr="00EF6880">
        <w:rPr>
          <w:rStyle w:val="Strong"/>
          <w:rFonts w:ascii="Arial" w:hAnsi="Arial" w:cs="Arial"/>
          <w:bCs w:val="0"/>
          <w:sz w:val="24"/>
          <w:szCs w:val="24"/>
        </w:rPr>
        <w:t>2.2 Impact on Debt Structure</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The current debt profile of the firm is not sustainable, as it is heavily dependent on revolving credit. These sudden yearly changes-borrowing £78,000m in 2023 and £133,000m in 2022-show signs of fragile liquidity.</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Restructuring benefits for the debt structure:</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This reduces the refinancing pressures on the firm since the short-term borrowings are converted into long-term fixed-rate debt.</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Lower leverage after divestitures and equity injection improves creditworthiness.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Improved liquidity reduces the firm's reliance on emergency borrowings.</w:t>
      </w:r>
    </w:p>
    <w:p w:rsidR="001E2E14" w:rsidRPr="006168F4" w:rsidRDefault="00056FA2" w:rsidP="00056FA2">
      <w:pPr>
        <w:spacing w:line="360" w:lineRule="auto"/>
        <w:rPr>
          <w:rFonts w:ascii="Arial" w:hAnsi="Arial" w:cs="Arial"/>
          <w:sz w:val="24"/>
          <w:szCs w:val="24"/>
        </w:rPr>
      </w:pPr>
      <w:r w:rsidRPr="00056FA2">
        <w:rPr>
          <w:rFonts w:ascii="Arial" w:hAnsi="Arial" w:cs="Arial"/>
          <w:sz w:val="24"/>
          <w:szCs w:val="24"/>
        </w:rPr>
        <w:t>A healthier debt structure allows for more predictable capital planning and strategic investment.</w:t>
      </w:r>
    </w:p>
    <w:p w:rsidR="001E2E14" w:rsidRPr="00EF6880" w:rsidRDefault="001E2E14" w:rsidP="008802E4">
      <w:pPr>
        <w:spacing w:line="360" w:lineRule="auto"/>
        <w:rPr>
          <w:rFonts w:ascii="Arial" w:hAnsi="Arial" w:cs="Arial"/>
          <w:sz w:val="24"/>
          <w:szCs w:val="24"/>
        </w:rPr>
      </w:pPr>
      <w:r w:rsidRPr="00EF6880">
        <w:rPr>
          <w:rStyle w:val="Strong"/>
          <w:rFonts w:ascii="Arial" w:hAnsi="Arial" w:cs="Arial"/>
          <w:bCs w:val="0"/>
          <w:sz w:val="24"/>
          <w:szCs w:val="24"/>
        </w:rPr>
        <w:t>2.3 Impact on Operational Flexibility</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Operational flexibility is what enables companies to adapt to the changing market, especially when sales have fallen from £542,751m in 2022 to £394,879m in 2024.</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Positive impacts of restructuring:</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Divestitures reduce fixed-asset burden and allow focus on high-return operations.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Mergers expand capabilities and resource access.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Equity injections provide cash for automation, digitalisation, and supply-chain upgrades.</w:t>
      </w:r>
    </w:p>
    <w:p w:rsidR="00056FA2" w:rsidRPr="00056FA2" w:rsidRDefault="00056FA2" w:rsidP="00056FA2">
      <w:pPr>
        <w:spacing w:line="360" w:lineRule="auto"/>
        <w:rPr>
          <w:rFonts w:ascii="Arial" w:hAnsi="Arial" w:cs="Arial"/>
          <w:sz w:val="24"/>
          <w:szCs w:val="24"/>
        </w:rPr>
      </w:pPr>
    </w:p>
    <w:p w:rsidR="00116274" w:rsidRDefault="00116274" w:rsidP="00056FA2">
      <w:pPr>
        <w:spacing w:line="360" w:lineRule="auto"/>
        <w:rPr>
          <w:rFonts w:ascii="Arial" w:hAnsi="Arial" w:cs="Arial"/>
          <w:sz w:val="24"/>
          <w:szCs w:val="24"/>
        </w:rPr>
      </w:pP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lastRenderedPageBreak/>
        <w:t>Debt restructuring frees cash that would have been used for interest payments.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Potential constraints:</w:t>
      </w:r>
    </w:p>
    <w:p w:rsidR="00056FA2" w:rsidRPr="00056FA2" w:rsidRDefault="00056FA2" w:rsidP="00056FA2">
      <w:pPr>
        <w:spacing w:line="360" w:lineRule="auto"/>
        <w:rPr>
          <w:rFonts w:ascii="Arial" w:hAnsi="Arial" w:cs="Arial"/>
          <w:sz w:val="24"/>
          <w:szCs w:val="24"/>
        </w:rPr>
      </w:pPr>
      <w:r w:rsidRPr="00056FA2">
        <w:rPr>
          <w:rFonts w:ascii="Arial" w:hAnsi="Arial" w:cs="Arial"/>
          <w:sz w:val="24"/>
          <w:szCs w:val="24"/>
        </w:rPr>
        <w:t>Mergers may require integration periods that temporarily limit flexibility.</w:t>
      </w:r>
    </w:p>
    <w:p w:rsidR="001E2E14" w:rsidRPr="006168F4" w:rsidRDefault="00056FA2" w:rsidP="00056FA2">
      <w:pPr>
        <w:spacing w:line="360" w:lineRule="auto"/>
        <w:rPr>
          <w:rFonts w:ascii="Arial" w:hAnsi="Arial" w:cs="Arial"/>
          <w:sz w:val="24"/>
          <w:szCs w:val="24"/>
        </w:rPr>
      </w:pPr>
      <w:r w:rsidRPr="00056FA2">
        <w:rPr>
          <w:rFonts w:ascii="Arial" w:hAnsi="Arial" w:cs="Arial"/>
          <w:sz w:val="24"/>
          <w:szCs w:val="24"/>
        </w:rPr>
        <w:t>Asset sales diminish diversification. Despite these, restructuring overall increases agility by releasing financial and managerial resources.</w:t>
      </w:r>
    </w:p>
    <w:p w:rsidR="00056FA2" w:rsidRDefault="00056FA2" w:rsidP="008802E4">
      <w:pPr>
        <w:spacing w:line="360" w:lineRule="auto"/>
        <w:rPr>
          <w:rStyle w:val="Strong"/>
          <w:rFonts w:ascii="Arial" w:hAnsi="Arial" w:cs="Arial"/>
          <w:bCs w:val="0"/>
          <w:sz w:val="24"/>
          <w:szCs w:val="24"/>
        </w:rPr>
      </w:pPr>
    </w:p>
    <w:p w:rsidR="001E2E14" w:rsidRPr="00EF6880" w:rsidRDefault="00C65B22" w:rsidP="008802E4">
      <w:pPr>
        <w:spacing w:line="360" w:lineRule="auto"/>
        <w:rPr>
          <w:rFonts w:ascii="Arial" w:hAnsi="Arial" w:cs="Arial"/>
          <w:sz w:val="24"/>
          <w:szCs w:val="24"/>
        </w:rPr>
      </w:pPr>
      <w:r>
        <w:rPr>
          <w:rStyle w:val="Strong"/>
          <w:rFonts w:ascii="Arial" w:hAnsi="Arial" w:cs="Arial"/>
          <w:bCs w:val="0"/>
          <w:sz w:val="24"/>
          <w:szCs w:val="24"/>
        </w:rPr>
        <w:t>3</w:t>
      </w:r>
      <w:r w:rsidR="001E2E14" w:rsidRPr="00EF6880">
        <w:rPr>
          <w:rStyle w:val="Strong"/>
          <w:rFonts w:ascii="Arial" w:hAnsi="Arial" w:cs="Arial"/>
          <w:bCs w:val="0"/>
          <w:sz w:val="24"/>
          <w:szCs w:val="24"/>
        </w:rPr>
        <w:t xml:space="preserve"> International and Ethical Considerations</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Any modern restructuring plan has to include considerations of global operations, tax implications, currency exposure, inflation, and ethical governance.</w:t>
      </w:r>
    </w:p>
    <w:p w:rsidR="00177535" w:rsidRPr="00177535" w:rsidRDefault="00177535" w:rsidP="00177535">
      <w:pPr>
        <w:spacing w:line="360" w:lineRule="auto"/>
        <w:rPr>
          <w:rFonts w:ascii="Arial" w:hAnsi="Arial" w:cs="Arial"/>
          <w:b/>
          <w:sz w:val="24"/>
          <w:szCs w:val="24"/>
        </w:rPr>
      </w:pPr>
      <w:r w:rsidRPr="00177535">
        <w:rPr>
          <w:rFonts w:ascii="Arial" w:hAnsi="Arial" w:cs="Arial"/>
          <w:b/>
          <w:sz w:val="24"/>
          <w:szCs w:val="24"/>
        </w:rPr>
        <w:t>3.1 Taxation Considerations</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Restructuring activities will impact the tax liabilities of the company in more than one tax jurisdiction.</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Implications:</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Divestitures may trigger capital gains or asset-transfer taxes.</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Mergers may have several advantages if tax-neutral structuring is done under compliant frameworks.</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Since debt restructuring affects the deductibility of interests, taxable incomes may change.</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Equity injection avoids interest deductions but strengthens financial sustainability.</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Reorganization needs to consider OECD transfer-pricing guidelines and ensure compliance. The Group should engage in transparent reporting and avoid aggressive tax minimization strategies that may harm reputation.</w:t>
      </w:r>
    </w:p>
    <w:p w:rsidR="00177535" w:rsidRPr="00177535" w:rsidRDefault="00177535" w:rsidP="00177535">
      <w:pPr>
        <w:spacing w:line="360" w:lineRule="auto"/>
        <w:rPr>
          <w:rFonts w:ascii="Arial" w:hAnsi="Arial" w:cs="Arial"/>
          <w:sz w:val="24"/>
          <w:szCs w:val="24"/>
        </w:rPr>
      </w:pPr>
    </w:p>
    <w:p w:rsidR="00177535" w:rsidRDefault="00177535" w:rsidP="00177535">
      <w:pPr>
        <w:spacing w:line="360" w:lineRule="auto"/>
        <w:rPr>
          <w:rFonts w:ascii="Arial" w:hAnsi="Arial" w:cs="Arial"/>
          <w:b/>
          <w:sz w:val="24"/>
          <w:szCs w:val="24"/>
        </w:rPr>
      </w:pPr>
    </w:p>
    <w:p w:rsidR="00177535" w:rsidRPr="00177535" w:rsidRDefault="00177535" w:rsidP="00177535">
      <w:pPr>
        <w:spacing w:line="360" w:lineRule="auto"/>
        <w:rPr>
          <w:rFonts w:ascii="Arial" w:hAnsi="Arial" w:cs="Arial"/>
          <w:b/>
          <w:sz w:val="24"/>
          <w:szCs w:val="24"/>
        </w:rPr>
      </w:pPr>
      <w:r w:rsidRPr="00177535">
        <w:rPr>
          <w:rFonts w:ascii="Arial" w:hAnsi="Arial" w:cs="Arial"/>
          <w:b/>
          <w:sz w:val="24"/>
          <w:szCs w:val="24"/>
        </w:rPr>
        <w:t>3.2 Currency Risk</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The company operates internationally and hence is exposed to fluctuating exchange rates impacting revenues and expenses. There is evidence of foreign exchange impact in the cash flow statement with £2,598m loss from FX movements in 2024, and even larger losses were booked in prior years.</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Recommended actions:</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Expand hedging via forwards and options to stabilize cash flows</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Match currency of debt with currency of revenue to create a natural hedge</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Rebalance international operations to decrease dependence upon unstable currency regions.</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The bottom line is that addressing FX risks is critical to ensuring restructuring benefits translate into real economic gains.</w:t>
      </w:r>
    </w:p>
    <w:p w:rsidR="00177535" w:rsidRPr="00177535" w:rsidRDefault="00177535" w:rsidP="00177535">
      <w:pPr>
        <w:spacing w:line="360" w:lineRule="auto"/>
        <w:rPr>
          <w:rFonts w:ascii="Arial" w:hAnsi="Arial" w:cs="Arial"/>
          <w:b/>
          <w:sz w:val="24"/>
          <w:szCs w:val="24"/>
        </w:rPr>
      </w:pPr>
      <w:r w:rsidRPr="00177535">
        <w:rPr>
          <w:rFonts w:ascii="Arial" w:hAnsi="Arial" w:cs="Arial"/>
          <w:b/>
          <w:sz w:val="24"/>
          <w:szCs w:val="24"/>
        </w:rPr>
        <w:t>3.3 Inflation</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Inflation raises the cost of all factors of production: capital, labor, and raw materials. High operating costs—£129,291m in 2024—indicate that the company is already under pressure from high and increasing input costs.</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Responses:</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Index long-term debt to fixed rates to avoid rising interest burdens</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Negotiate long-term supply contracts with inflation-capped pricing.</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Invest in automation to reduce labour cost sensitivity.</w:t>
      </w:r>
    </w:p>
    <w:p w:rsidR="00177535" w:rsidRPr="00177535" w:rsidRDefault="00177535" w:rsidP="00177535">
      <w:pPr>
        <w:spacing w:line="360" w:lineRule="auto"/>
        <w:rPr>
          <w:rFonts w:ascii="Arial" w:hAnsi="Arial" w:cs="Arial"/>
          <w:sz w:val="24"/>
          <w:szCs w:val="24"/>
        </w:rPr>
      </w:pPr>
    </w:p>
    <w:p w:rsidR="001E2E14" w:rsidRPr="006168F4" w:rsidRDefault="00177535" w:rsidP="00177535">
      <w:pPr>
        <w:spacing w:line="360" w:lineRule="auto"/>
        <w:rPr>
          <w:rFonts w:ascii="Arial" w:hAnsi="Arial" w:cs="Arial"/>
          <w:sz w:val="24"/>
          <w:szCs w:val="24"/>
        </w:rPr>
      </w:pPr>
      <w:r w:rsidRPr="00177535">
        <w:rPr>
          <w:rFonts w:ascii="Arial" w:hAnsi="Arial" w:cs="Arial"/>
          <w:sz w:val="24"/>
          <w:szCs w:val="24"/>
        </w:rPr>
        <w:lastRenderedPageBreak/>
        <w:t>Diversify suppliers to guard against inflationary shocks in a particular region. The embedding of inflation resilience within the restructuring plan will guarantee stability over the long term.</w:t>
      </w:r>
    </w:p>
    <w:p w:rsidR="001E2E14" w:rsidRPr="00EF6880" w:rsidRDefault="001E2E14" w:rsidP="008802E4">
      <w:pPr>
        <w:spacing w:line="360" w:lineRule="auto"/>
        <w:rPr>
          <w:rFonts w:ascii="Arial" w:hAnsi="Arial" w:cs="Arial"/>
          <w:sz w:val="24"/>
          <w:szCs w:val="24"/>
        </w:rPr>
      </w:pPr>
      <w:r w:rsidRPr="00EF6880">
        <w:rPr>
          <w:rStyle w:val="Strong"/>
          <w:rFonts w:ascii="Arial" w:hAnsi="Arial" w:cs="Arial"/>
          <w:bCs w:val="0"/>
          <w:sz w:val="24"/>
          <w:szCs w:val="24"/>
        </w:rPr>
        <w:t>3.4 Corporate Social Responsibility (CSR) and Ethical Governance</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Modern financial restructuring is inseparable from ethical consideration. Short-term actions must not compromise long-term value creation for society.</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CSR considerations:</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Avoid layoffs that disproportionately affect vulnerable workers.</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Continue pursuing environmental commitments, even in asset sales.</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Prioritise responsible sourcing and manufacturing</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Ensure that merger negotiations and communications with investors are transparent.</w:t>
      </w:r>
    </w:p>
    <w:p w:rsidR="00177535" w:rsidRPr="00177535" w:rsidRDefault="00177535" w:rsidP="00177535">
      <w:pPr>
        <w:spacing w:line="360" w:lineRule="auto"/>
        <w:rPr>
          <w:rFonts w:ascii="Arial" w:hAnsi="Arial" w:cs="Arial"/>
          <w:sz w:val="24"/>
          <w:szCs w:val="24"/>
        </w:rPr>
      </w:pPr>
      <w:r w:rsidRPr="00177535">
        <w:rPr>
          <w:rFonts w:ascii="Arial" w:hAnsi="Arial" w:cs="Arial"/>
          <w:sz w:val="24"/>
          <w:szCs w:val="24"/>
        </w:rPr>
        <w:t>Ethical governance brings in its wake brand value, stakeholder trust, and long-term profitability.</w:t>
      </w:r>
    </w:p>
    <w:p w:rsidR="00177535" w:rsidRPr="00177535" w:rsidRDefault="00177535" w:rsidP="00177535">
      <w:pPr>
        <w:spacing w:line="360" w:lineRule="auto"/>
        <w:rPr>
          <w:rFonts w:ascii="Arial" w:hAnsi="Arial" w:cs="Arial"/>
          <w:sz w:val="24"/>
          <w:szCs w:val="24"/>
        </w:rPr>
      </w:pPr>
    </w:p>
    <w:p w:rsidR="00177535" w:rsidRPr="00177535" w:rsidRDefault="00177535" w:rsidP="00177535">
      <w:pPr>
        <w:spacing w:line="360" w:lineRule="auto"/>
        <w:rPr>
          <w:rFonts w:ascii="Arial" w:hAnsi="Arial" w:cs="Arial"/>
          <w:sz w:val="24"/>
          <w:szCs w:val="24"/>
        </w:rPr>
      </w:pPr>
    </w:p>
    <w:p w:rsidR="00177535" w:rsidRPr="00177535" w:rsidRDefault="00177535" w:rsidP="00177535">
      <w:pPr>
        <w:spacing w:line="360" w:lineRule="auto"/>
        <w:rPr>
          <w:rFonts w:ascii="Arial" w:hAnsi="Arial" w:cs="Arial"/>
          <w:sz w:val="24"/>
          <w:szCs w:val="24"/>
        </w:rPr>
      </w:pPr>
    </w:p>
    <w:p w:rsidR="00177535" w:rsidRPr="00177535" w:rsidRDefault="00177535" w:rsidP="00177535">
      <w:pPr>
        <w:spacing w:line="360" w:lineRule="auto"/>
        <w:rPr>
          <w:rFonts w:ascii="Arial" w:hAnsi="Arial" w:cs="Arial"/>
          <w:b/>
          <w:sz w:val="24"/>
          <w:szCs w:val="24"/>
        </w:rPr>
      </w:pPr>
      <w:r w:rsidRPr="00177535">
        <w:rPr>
          <w:rFonts w:ascii="Arial" w:hAnsi="Arial" w:cs="Arial"/>
          <w:b/>
          <w:sz w:val="24"/>
          <w:szCs w:val="24"/>
        </w:rPr>
        <w:t>4. Investment Appraisal and Capital Budgeting</w:t>
      </w:r>
    </w:p>
    <w:p w:rsidR="00177535" w:rsidRPr="00177535" w:rsidRDefault="00177535" w:rsidP="00177535">
      <w:pPr>
        <w:spacing w:line="360" w:lineRule="auto"/>
        <w:rPr>
          <w:rFonts w:ascii="Arial" w:hAnsi="Arial" w:cs="Arial"/>
          <w:sz w:val="24"/>
          <w:szCs w:val="24"/>
        </w:rPr>
      </w:pPr>
    </w:p>
    <w:p w:rsidR="00177535" w:rsidRDefault="00177535" w:rsidP="00177535">
      <w:pPr>
        <w:spacing w:line="360" w:lineRule="auto"/>
        <w:rPr>
          <w:rFonts w:ascii="Arial" w:hAnsi="Arial" w:cs="Arial"/>
          <w:sz w:val="24"/>
          <w:szCs w:val="24"/>
        </w:rPr>
      </w:pPr>
      <w:r w:rsidRPr="00177535">
        <w:rPr>
          <w:rFonts w:ascii="Arial" w:hAnsi="Arial" w:cs="Arial"/>
          <w:sz w:val="24"/>
          <w:szCs w:val="24"/>
        </w:rPr>
        <w:t>The company is currently experiencing severe financial difficulty, evidenced by the net loss of £98,238m in 2023, followed by another of £24,029m in 2024, declining cash balances, and a heavy reliance on short-term credit facilities. Against this backdrop of urgent financial needs, capital budgeting decisions have to be scrupulously considered and focused on cash generation, risk, and returns.</w:t>
      </w:r>
    </w:p>
    <w:p w:rsidR="00177535" w:rsidRDefault="00177535" w:rsidP="00177535">
      <w:pPr>
        <w:spacing w:line="360" w:lineRule="auto"/>
        <w:rPr>
          <w:rFonts w:ascii="Arial" w:hAnsi="Arial" w:cs="Arial"/>
          <w:sz w:val="24"/>
          <w:szCs w:val="24"/>
        </w:rPr>
      </w:pPr>
    </w:p>
    <w:p w:rsidR="00177535" w:rsidRDefault="00177535" w:rsidP="00177535">
      <w:pPr>
        <w:spacing w:line="360" w:lineRule="auto"/>
        <w:rPr>
          <w:rFonts w:ascii="Arial" w:hAnsi="Arial" w:cs="Arial"/>
          <w:sz w:val="24"/>
          <w:szCs w:val="24"/>
        </w:rPr>
      </w:pPr>
    </w:p>
    <w:p w:rsidR="00742C14" w:rsidRDefault="00742C14" w:rsidP="008802E4">
      <w:pPr>
        <w:spacing w:line="360" w:lineRule="auto"/>
        <w:rPr>
          <w:rFonts w:ascii="Arial" w:hAnsi="Arial" w:cs="Arial"/>
          <w:b/>
          <w:sz w:val="24"/>
        </w:rPr>
      </w:pPr>
      <w:r w:rsidRPr="00742C14">
        <w:rPr>
          <w:rStyle w:val="Strong"/>
          <w:rFonts w:ascii="Arial" w:hAnsi="Arial" w:cs="Arial"/>
          <w:b w:val="0"/>
          <w:bCs w:val="0"/>
          <w:sz w:val="24"/>
          <w:szCs w:val="24"/>
        </w:rPr>
        <w:t xml:space="preserve">1 </w:t>
      </w:r>
      <w:r w:rsidR="00E42851" w:rsidRPr="00742C14">
        <w:rPr>
          <w:rStyle w:val="Strong"/>
          <w:rFonts w:ascii="Arial" w:hAnsi="Arial" w:cs="Arial"/>
          <w:b w:val="0"/>
          <w:bCs w:val="0"/>
          <w:sz w:val="28"/>
          <w:szCs w:val="24"/>
        </w:rPr>
        <w:t>.</w:t>
      </w:r>
      <w:r w:rsidRPr="00742C14">
        <w:rPr>
          <w:rFonts w:ascii="Arial" w:hAnsi="Arial" w:cs="Arial"/>
          <w:b/>
          <w:sz w:val="24"/>
        </w:rPr>
        <w:t>Project Cash Flow Characteristics</w:t>
      </w:r>
    </w:p>
    <w:tbl>
      <w:tblPr>
        <w:tblStyle w:val="TableGrid"/>
        <w:tblW w:w="0" w:type="auto"/>
        <w:tblLook w:val="04A0" w:firstRow="1" w:lastRow="0" w:firstColumn="1" w:lastColumn="0" w:noHBand="0" w:noVBand="1"/>
      </w:tblPr>
      <w:tblGrid>
        <w:gridCol w:w="1066"/>
        <w:gridCol w:w="1484"/>
        <w:gridCol w:w="1001"/>
        <w:gridCol w:w="1002"/>
        <w:gridCol w:w="1002"/>
        <w:gridCol w:w="1002"/>
        <w:gridCol w:w="1002"/>
        <w:gridCol w:w="1071"/>
      </w:tblGrid>
      <w:tr w:rsidR="00742C14" w:rsidTr="00742C14">
        <w:tc>
          <w:tcPr>
            <w:tcW w:w="1078" w:type="dxa"/>
          </w:tcPr>
          <w:p w:rsidR="00742C14" w:rsidRDefault="00742C14" w:rsidP="008802E4">
            <w:pPr>
              <w:spacing w:line="360" w:lineRule="auto"/>
              <w:rPr>
                <w:rFonts w:ascii="Arial" w:hAnsi="Arial" w:cs="Arial"/>
                <w:b/>
                <w:sz w:val="24"/>
              </w:rPr>
            </w:pPr>
            <w:r>
              <w:rPr>
                <w:rFonts w:ascii="Arial" w:hAnsi="Arial" w:cs="Arial"/>
                <w:b/>
                <w:sz w:val="24"/>
              </w:rPr>
              <w:t xml:space="preserve">Project </w:t>
            </w:r>
          </w:p>
        </w:tc>
        <w:tc>
          <w:tcPr>
            <w:tcW w:w="1078" w:type="dxa"/>
          </w:tcPr>
          <w:p w:rsidR="00742C14" w:rsidRDefault="00742C14" w:rsidP="008802E4">
            <w:pPr>
              <w:spacing w:line="360" w:lineRule="auto"/>
              <w:rPr>
                <w:rFonts w:ascii="Arial" w:hAnsi="Arial" w:cs="Arial"/>
                <w:b/>
                <w:sz w:val="24"/>
              </w:rPr>
            </w:pPr>
            <w:r w:rsidRPr="00742C14">
              <w:rPr>
                <w:rFonts w:ascii="Arial" w:hAnsi="Arial" w:cs="Arial"/>
                <w:b/>
                <w:sz w:val="24"/>
              </w:rPr>
              <w:t>Initial Investment (£m)</w:t>
            </w:r>
          </w:p>
        </w:tc>
        <w:tc>
          <w:tcPr>
            <w:tcW w:w="1079" w:type="dxa"/>
          </w:tcPr>
          <w:p w:rsidR="00742C14" w:rsidRDefault="00742C14" w:rsidP="008802E4">
            <w:pPr>
              <w:spacing w:line="360" w:lineRule="auto"/>
              <w:rPr>
                <w:rFonts w:ascii="Arial" w:hAnsi="Arial" w:cs="Arial"/>
                <w:b/>
                <w:sz w:val="24"/>
              </w:rPr>
            </w:pPr>
            <w:r w:rsidRPr="00742C14">
              <w:rPr>
                <w:rFonts w:ascii="Arial" w:hAnsi="Arial" w:cs="Arial"/>
                <w:b/>
                <w:sz w:val="24"/>
              </w:rPr>
              <w:t>Year 1 (£m)</w:t>
            </w:r>
          </w:p>
        </w:tc>
        <w:tc>
          <w:tcPr>
            <w:tcW w:w="1079" w:type="dxa"/>
          </w:tcPr>
          <w:p w:rsidR="00742C14" w:rsidRDefault="00742C14" w:rsidP="008802E4">
            <w:pPr>
              <w:spacing w:line="360" w:lineRule="auto"/>
              <w:rPr>
                <w:rFonts w:ascii="Arial" w:hAnsi="Arial" w:cs="Arial"/>
                <w:b/>
                <w:sz w:val="24"/>
              </w:rPr>
            </w:pPr>
            <w:r>
              <w:rPr>
                <w:rFonts w:ascii="Arial" w:hAnsi="Arial" w:cs="Arial"/>
                <w:b/>
                <w:sz w:val="24"/>
              </w:rPr>
              <w:t xml:space="preserve">Year 2 </w:t>
            </w:r>
            <w:r w:rsidRPr="00742C14">
              <w:rPr>
                <w:rFonts w:ascii="Arial" w:hAnsi="Arial" w:cs="Arial"/>
                <w:b/>
                <w:sz w:val="24"/>
              </w:rPr>
              <w:t>(£m)</w:t>
            </w:r>
          </w:p>
        </w:tc>
        <w:tc>
          <w:tcPr>
            <w:tcW w:w="1079" w:type="dxa"/>
          </w:tcPr>
          <w:p w:rsidR="00742C14" w:rsidRDefault="00742C14" w:rsidP="008802E4">
            <w:pPr>
              <w:spacing w:line="360" w:lineRule="auto"/>
              <w:rPr>
                <w:rFonts w:ascii="Arial" w:hAnsi="Arial" w:cs="Arial"/>
                <w:b/>
                <w:sz w:val="24"/>
              </w:rPr>
            </w:pPr>
            <w:r>
              <w:rPr>
                <w:rFonts w:ascii="Arial" w:hAnsi="Arial" w:cs="Arial"/>
                <w:b/>
                <w:sz w:val="24"/>
              </w:rPr>
              <w:t>Year 3</w:t>
            </w:r>
            <w:r w:rsidRPr="00742C14">
              <w:rPr>
                <w:rFonts w:ascii="Arial" w:hAnsi="Arial" w:cs="Arial"/>
                <w:b/>
                <w:sz w:val="24"/>
              </w:rPr>
              <w:t xml:space="preserve"> (£m)</w:t>
            </w:r>
          </w:p>
        </w:tc>
        <w:tc>
          <w:tcPr>
            <w:tcW w:w="1079" w:type="dxa"/>
          </w:tcPr>
          <w:p w:rsidR="00742C14" w:rsidRDefault="00742C14" w:rsidP="008802E4">
            <w:pPr>
              <w:spacing w:line="360" w:lineRule="auto"/>
              <w:rPr>
                <w:rFonts w:ascii="Arial" w:hAnsi="Arial" w:cs="Arial"/>
                <w:b/>
                <w:sz w:val="24"/>
              </w:rPr>
            </w:pPr>
            <w:r>
              <w:rPr>
                <w:rFonts w:ascii="Arial" w:hAnsi="Arial" w:cs="Arial"/>
                <w:b/>
                <w:sz w:val="24"/>
              </w:rPr>
              <w:t>Year 4</w:t>
            </w:r>
            <w:r w:rsidRPr="00742C14">
              <w:rPr>
                <w:rFonts w:ascii="Arial" w:hAnsi="Arial" w:cs="Arial"/>
                <w:b/>
                <w:sz w:val="24"/>
              </w:rPr>
              <w:t xml:space="preserve"> (£m)</w:t>
            </w:r>
          </w:p>
        </w:tc>
        <w:tc>
          <w:tcPr>
            <w:tcW w:w="1079" w:type="dxa"/>
          </w:tcPr>
          <w:p w:rsidR="00742C14" w:rsidRDefault="00742C14" w:rsidP="008802E4">
            <w:pPr>
              <w:spacing w:line="360" w:lineRule="auto"/>
              <w:rPr>
                <w:rFonts w:ascii="Arial" w:hAnsi="Arial" w:cs="Arial"/>
                <w:b/>
                <w:sz w:val="24"/>
              </w:rPr>
            </w:pPr>
            <w:r>
              <w:rPr>
                <w:rFonts w:ascii="Arial" w:hAnsi="Arial" w:cs="Arial"/>
                <w:b/>
                <w:sz w:val="24"/>
              </w:rPr>
              <w:t>Year 5</w:t>
            </w:r>
            <w:r w:rsidRPr="00742C14">
              <w:rPr>
                <w:rFonts w:ascii="Arial" w:hAnsi="Arial" w:cs="Arial"/>
                <w:b/>
                <w:sz w:val="24"/>
              </w:rPr>
              <w:t xml:space="preserve"> (£m)</w:t>
            </w:r>
          </w:p>
        </w:tc>
        <w:tc>
          <w:tcPr>
            <w:tcW w:w="1079" w:type="dxa"/>
          </w:tcPr>
          <w:p w:rsidR="00742C14" w:rsidRDefault="00742C14" w:rsidP="008802E4">
            <w:pPr>
              <w:spacing w:line="360" w:lineRule="auto"/>
              <w:rPr>
                <w:rFonts w:ascii="Arial" w:hAnsi="Arial" w:cs="Arial"/>
                <w:b/>
                <w:sz w:val="24"/>
              </w:rPr>
            </w:pPr>
            <w:r w:rsidRPr="00742C14">
              <w:rPr>
                <w:rFonts w:ascii="Arial" w:hAnsi="Arial" w:cs="Arial"/>
                <w:b/>
                <w:sz w:val="24"/>
              </w:rPr>
              <w:t>Total Inflows (£m)</w:t>
            </w:r>
          </w:p>
        </w:tc>
      </w:tr>
      <w:tr w:rsidR="00742C14" w:rsidRPr="00742C14" w:rsidTr="00742C14">
        <w:tc>
          <w:tcPr>
            <w:tcW w:w="1078" w:type="dxa"/>
          </w:tcPr>
          <w:p w:rsidR="00742C14" w:rsidRPr="00742C14" w:rsidRDefault="00742C14" w:rsidP="008802E4">
            <w:pPr>
              <w:spacing w:line="360" w:lineRule="auto"/>
              <w:rPr>
                <w:rFonts w:ascii="Arial" w:hAnsi="Arial" w:cs="Arial"/>
                <w:sz w:val="24"/>
              </w:rPr>
            </w:pPr>
            <w:r w:rsidRPr="00742C14">
              <w:rPr>
                <w:rFonts w:ascii="Arial" w:hAnsi="Arial" w:cs="Arial"/>
                <w:sz w:val="24"/>
              </w:rPr>
              <w:t>A</w:t>
            </w:r>
          </w:p>
        </w:tc>
        <w:tc>
          <w:tcPr>
            <w:tcW w:w="1078" w:type="dxa"/>
          </w:tcPr>
          <w:p w:rsidR="00742C14" w:rsidRPr="00742C14" w:rsidRDefault="00742C14" w:rsidP="008802E4">
            <w:pPr>
              <w:spacing w:line="360" w:lineRule="auto"/>
              <w:rPr>
                <w:rFonts w:ascii="Arial" w:hAnsi="Arial" w:cs="Arial"/>
                <w:sz w:val="24"/>
              </w:rPr>
            </w:pPr>
            <w:r w:rsidRPr="00742C14">
              <w:rPr>
                <w:rFonts w:ascii="Arial" w:hAnsi="Arial" w:cs="Arial"/>
                <w:sz w:val="24"/>
              </w:rPr>
              <w:t>40</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10</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12</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14</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10</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8</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54</w:t>
            </w:r>
          </w:p>
        </w:tc>
      </w:tr>
      <w:tr w:rsidR="00742C14" w:rsidRPr="00742C14" w:rsidTr="00742C14">
        <w:tc>
          <w:tcPr>
            <w:tcW w:w="1078" w:type="dxa"/>
          </w:tcPr>
          <w:p w:rsidR="00742C14" w:rsidRPr="00742C14" w:rsidRDefault="00742C14" w:rsidP="008802E4">
            <w:pPr>
              <w:spacing w:line="360" w:lineRule="auto"/>
              <w:rPr>
                <w:rFonts w:ascii="Arial" w:hAnsi="Arial" w:cs="Arial"/>
                <w:sz w:val="24"/>
              </w:rPr>
            </w:pPr>
            <w:r w:rsidRPr="00742C14">
              <w:rPr>
                <w:rFonts w:ascii="Arial" w:hAnsi="Arial" w:cs="Arial"/>
                <w:sz w:val="24"/>
              </w:rPr>
              <w:t>B</w:t>
            </w:r>
          </w:p>
        </w:tc>
        <w:tc>
          <w:tcPr>
            <w:tcW w:w="1078" w:type="dxa"/>
          </w:tcPr>
          <w:p w:rsidR="00742C14" w:rsidRPr="00742C14" w:rsidRDefault="00742C14" w:rsidP="008802E4">
            <w:pPr>
              <w:spacing w:line="360" w:lineRule="auto"/>
              <w:rPr>
                <w:rFonts w:ascii="Arial" w:hAnsi="Arial" w:cs="Arial"/>
                <w:sz w:val="24"/>
              </w:rPr>
            </w:pPr>
            <w:r w:rsidRPr="00742C14">
              <w:rPr>
                <w:rFonts w:ascii="Arial" w:hAnsi="Arial" w:cs="Arial"/>
                <w:sz w:val="24"/>
              </w:rPr>
              <w:t>30</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6</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6</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6</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6</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6</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30</w:t>
            </w:r>
          </w:p>
        </w:tc>
      </w:tr>
      <w:tr w:rsidR="00742C14" w:rsidRPr="00742C14" w:rsidTr="00742C14">
        <w:tc>
          <w:tcPr>
            <w:tcW w:w="1078" w:type="dxa"/>
          </w:tcPr>
          <w:p w:rsidR="00742C14" w:rsidRPr="00742C14" w:rsidRDefault="00742C14" w:rsidP="008802E4">
            <w:pPr>
              <w:spacing w:line="360" w:lineRule="auto"/>
              <w:rPr>
                <w:rFonts w:ascii="Arial" w:hAnsi="Arial" w:cs="Arial"/>
                <w:sz w:val="24"/>
              </w:rPr>
            </w:pPr>
            <w:r w:rsidRPr="00742C14">
              <w:rPr>
                <w:rFonts w:ascii="Arial" w:hAnsi="Arial" w:cs="Arial"/>
                <w:sz w:val="24"/>
              </w:rPr>
              <w:t>C</w:t>
            </w:r>
          </w:p>
        </w:tc>
        <w:tc>
          <w:tcPr>
            <w:tcW w:w="1078" w:type="dxa"/>
          </w:tcPr>
          <w:p w:rsidR="00742C14" w:rsidRPr="00742C14" w:rsidRDefault="00742C14" w:rsidP="008802E4">
            <w:pPr>
              <w:spacing w:line="360" w:lineRule="auto"/>
              <w:rPr>
                <w:rFonts w:ascii="Arial" w:hAnsi="Arial" w:cs="Arial"/>
                <w:sz w:val="24"/>
              </w:rPr>
            </w:pPr>
            <w:r w:rsidRPr="00742C14">
              <w:rPr>
                <w:rFonts w:ascii="Arial" w:hAnsi="Arial" w:cs="Arial"/>
                <w:sz w:val="24"/>
              </w:rPr>
              <w:t>50</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5</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10</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20</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25</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15</w:t>
            </w:r>
          </w:p>
        </w:tc>
        <w:tc>
          <w:tcPr>
            <w:tcW w:w="1079" w:type="dxa"/>
          </w:tcPr>
          <w:p w:rsidR="00742C14" w:rsidRPr="00742C14" w:rsidRDefault="00742C14" w:rsidP="008802E4">
            <w:pPr>
              <w:spacing w:line="360" w:lineRule="auto"/>
              <w:rPr>
                <w:rFonts w:ascii="Arial" w:hAnsi="Arial" w:cs="Arial"/>
                <w:sz w:val="24"/>
              </w:rPr>
            </w:pPr>
            <w:r w:rsidRPr="00742C14">
              <w:rPr>
                <w:rFonts w:ascii="Arial" w:hAnsi="Arial" w:cs="Arial"/>
                <w:sz w:val="24"/>
              </w:rPr>
              <w:t>75</w:t>
            </w:r>
          </w:p>
        </w:tc>
      </w:tr>
    </w:tbl>
    <w:p w:rsidR="00742C14" w:rsidRPr="00742C14" w:rsidRDefault="00742C14" w:rsidP="008802E4">
      <w:pPr>
        <w:spacing w:line="360" w:lineRule="auto"/>
        <w:rPr>
          <w:rFonts w:ascii="Arial" w:hAnsi="Arial" w:cs="Arial"/>
          <w:sz w:val="24"/>
        </w:rPr>
      </w:pPr>
    </w:p>
    <w:p w:rsidR="00742C14" w:rsidRPr="00742C14" w:rsidRDefault="00742C14" w:rsidP="008802E4">
      <w:pPr>
        <w:spacing w:line="360" w:lineRule="auto"/>
        <w:rPr>
          <w:rFonts w:ascii="Arial" w:hAnsi="Arial" w:cs="Arial"/>
          <w:b/>
          <w:sz w:val="24"/>
        </w:rPr>
      </w:pPr>
    </w:p>
    <w:p w:rsidR="00E42851" w:rsidRPr="00661F60" w:rsidRDefault="00E42851" w:rsidP="008802E4">
      <w:pPr>
        <w:spacing w:line="360" w:lineRule="auto"/>
        <w:rPr>
          <w:rFonts w:ascii="Arial" w:hAnsi="Arial" w:cs="Arial"/>
          <w:sz w:val="24"/>
          <w:szCs w:val="24"/>
        </w:rPr>
      </w:pPr>
      <w:r w:rsidRPr="00661F60">
        <w:rPr>
          <w:rStyle w:val="Strong"/>
          <w:rFonts w:ascii="Arial" w:hAnsi="Arial" w:cs="Arial"/>
          <w:bCs w:val="0"/>
          <w:sz w:val="24"/>
          <w:szCs w:val="24"/>
        </w:rPr>
        <w:t>2. Payback Period (PBP)</w:t>
      </w:r>
    </w:p>
    <w:tbl>
      <w:tblPr>
        <w:tblStyle w:val="TableGrid"/>
        <w:tblW w:w="8658" w:type="dxa"/>
        <w:tblLayout w:type="fixed"/>
        <w:tblLook w:val="04A0" w:firstRow="1" w:lastRow="0" w:firstColumn="1" w:lastColumn="0" w:noHBand="0" w:noVBand="1"/>
      </w:tblPr>
      <w:tblGrid>
        <w:gridCol w:w="846"/>
        <w:gridCol w:w="709"/>
        <w:gridCol w:w="992"/>
        <w:gridCol w:w="992"/>
        <w:gridCol w:w="992"/>
        <w:gridCol w:w="993"/>
        <w:gridCol w:w="992"/>
        <w:gridCol w:w="992"/>
        <w:gridCol w:w="1150"/>
      </w:tblGrid>
      <w:tr w:rsidR="002C0C59" w:rsidRPr="002C0C59" w:rsidTr="002C0C59">
        <w:tc>
          <w:tcPr>
            <w:tcW w:w="846" w:type="dxa"/>
          </w:tcPr>
          <w:p w:rsidR="00742C14" w:rsidRPr="002C0C59" w:rsidRDefault="00742C14" w:rsidP="008802E4">
            <w:pPr>
              <w:spacing w:line="360" w:lineRule="auto"/>
              <w:rPr>
                <w:rFonts w:ascii="Arial" w:hAnsi="Arial" w:cs="Arial"/>
                <w:sz w:val="20"/>
                <w:szCs w:val="24"/>
              </w:rPr>
            </w:pPr>
            <w:r w:rsidRPr="002C0C59">
              <w:rPr>
                <w:rFonts w:ascii="Arial" w:hAnsi="Arial" w:cs="Arial"/>
                <w:sz w:val="20"/>
                <w:szCs w:val="24"/>
              </w:rPr>
              <w:t>Project</w:t>
            </w:r>
          </w:p>
        </w:tc>
        <w:tc>
          <w:tcPr>
            <w:tcW w:w="709" w:type="dxa"/>
          </w:tcPr>
          <w:p w:rsidR="00742C14" w:rsidRPr="002C0C59" w:rsidRDefault="00742C14" w:rsidP="008802E4">
            <w:pPr>
              <w:spacing w:line="360" w:lineRule="auto"/>
              <w:rPr>
                <w:rFonts w:ascii="Arial" w:hAnsi="Arial" w:cs="Arial"/>
                <w:sz w:val="20"/>
                <w:szCs w:val="24"/>
              </w:rPr>
            </w:pPr>
            <w:r w:rsidRPr="002C0C59">
              <w:rPr>
                <w:rFonts w:ascii="Arial" w:hAnsi="Arial" w:cs="Arial"/>
                <w:sz w:val="20"/>
                <w:szCs w:val="24"/>
              </w:rPr>
              <w:t xml:space="preserve"> Y1 (£m) </w:t>
            </w:r>
          </w:p>
        </w:tc>
        <w:tc>
          <w:tcPr>
            <w:tcW w:w="992" w:type="dxa"/>
          </w:tcPr>
          <w:p w:rsidR="00742C14" w:rsidRPr="002C0C59" w:rsidRDefault="002C0C59" w:rsidP="008802E4">
            <w:pPr>
              <w:spacing w:line="360" w:lineRule="auto"/>
              <w:rPr>
                <w:rFonts w:ascii="Arial" w:hAnsi="Arial" w:cs="Arial"/>
                <w:sz w:val="20"/>
                <w:szCs w:val="24"/>
              </w:rPr>
            </w:pPr>
            <w:r w:rsidRPr="002C0C59">
              <w:rPr>
                <w:rFonts w:ascii="Arial" w:hAnsi="Arial" w:cs="Arial"/>
                <w:sz w:val="20"/>
                <w:szCs w:val="24"/>
              </w:rPr>
              <w:t>Y2</w:t>
            </w:r>
            <w:r w:rsidR="00742C14" w:rsidRPr="002C0C59">
              <w:rPr>
                <w:rFonts w:ascii="Arial" w:hAnsi="Arial" w:cs="Arial"/>
                <w:sz w:val="20"/>
                <w:szCs w:val="24"/>
              </w:rPr>
              <w:t xml:space="preserve">(£m) </w:t>
            </w:r>
          </w:p>
        </w:tc>
        <w:tc>
          <w:tcPr>
            <w:tcW w:w="992" w:type="dxa"/>
          </w:tcPr>
          <w:p w:rsidR="00742C14" w:rsidRPr="002C0C59" w:rsidRDefault="002C0C59" w:rsidP="008802E4">
            <w:pPr>
              <w:spacing w:line="360" w:lineRule="auto"/>
              <w:rPr>
                <w:rFonts w:ascii="Arial" w:hAnsi="Arial" w:cs="Arial"/>
                <w:sz w:val="20"/>
                <w:szCs w:val="24"/>
              </w:rPr>
            </w:pPr>
            <w:r w:rsidRPr="002C0C59">
              <w:rPr>
                <w:rFonts w:ascii="Arial" w:hAnsi="Arial" w:cs="Arial"/>
                <w:sz w:val="20"/>
                <w:szCs w:val="24"/>
              </w:rPr>
              <w:t>Y3</w:t>
            </w:r>
            <w:r>
              <w:rPr>
                <w:rFonts w:ascii="Arial" w:hAnsi="Arial" w:cs="Arial"/>
                <w:sz w:val="20"/>
                <w:szCs w:val="24"/>
              </w:rPr>
              <w:t>(£m</w:t>
            </w:r>
            <w:r w:rsidR="00742C14" w:rsidRPr="002C0C59">
              <w:rPr>
                <w:rFonts w:ascii="Arial" w:hAnsi="Arial" w:cs="Arial"/>
                <w:sz w:val="20"/>
                <w:szCs w:val="24"/>
              </w:rPr>
              <w:t xml:space="preserve">) </w:t>
            </w:r>
          </w:p>
        </w:tc>
        <w:tc>
          <w:tcPr>
            <w:tcW w:w="992" w:type="dxa"/>
          </w:tcPr>
          <w:p w:rsidR="00742C14" w:rsidRPr="002C0C59" w:rsidRDefault="002C0C59" w:rsidP="008802E4">
            <w:pPr>
              <w:spacing w:line="360" w:lineRule="auto"/>
              <w:rPr>
                <w:rFonts w:ascii="Arial" w:hAnsi="Arial" w:cs="Arial"/>
                <w:sz w:val="20"/>
                <w:szCs w:val="24"/>
              </w:rPr>
            </w:pPr>
            <w:r w:rsidRPr="002C0C59">
              <w:rPr>
                <w:rFonts w:ascii="Arial" w:hAnsi="Arial" w:cs="Arial"/>
                <w:sz w:val="20"/>
                <w:szCs w:val="24"/>
              </w:rPr>
              <w:t>Y4</w:t>
            </w:r>
            <w:r w:rsidR="00742C14" w:rsidRPr="002C0C59">
              <w:rPr>
                <w:rFonts w:ascii="Arial" w:hAnsi="Arial" w:cs="Arial"/>
                <w:sz w:val="20"/>
                <w:szCs w:val="24"/>
              </w:rPr>
              <w:t xml:space="preserve"> (£m) </w:t>
            </w:r>
          </w:p>
        </w:tc>
        <w:tc>
          <w:tcPr>
            <w:tcW w:w="993" w:type="dxa"/>
          </w:tcPr>
          <w:p w:rsidR="00742C14" w:rsidRPr="002C0C59" w:rsidRDefault="002C0C59" w:rsidP="008802E4">
            <w:pPr>
              <w:spacing w:line="360" w:lineRule="auto"/>
              <w:rPr>
                <w:rFonts w:ascii="Arial" w:hAnsi="Arial" w:cs="Arial"/>
                <w:sz w:val="20"/>
                <w:szCs w:val="24"/>
              </w:rPr>
            </w:pPr>
            <w:r w:rsidRPr="002C0C59">
              <w:rPr>
                <w:rFonts w:ascii="Arial" w:hAnsi="Arial" w:cs="Arial"/>
                <w:sz w:val="20"/>
                <w:szCs w:val="24"/>
              </w:rPr>
              <w:t xml:space="preserve"> Y5</w:t>
            </w:r>
            <w:r w:rsidR="00742C14" w:rsidRPr="002C0C59">
              <w:rPr>
                <w:rFonts w:ascii="Arial" w:hAnsi="Arial" w:cs="Arial"/>
                <w:sz w:val="20"/>
                <w:szCs w:val="24"/>
              </w:rPr>
              <w:t xml:space="preserve"> (£m) </w:t>
            </w:r>
          </w:p>
        </w:tc>
        <w:tc>
          <w:tcPr>
            <w:tcW w:w="992" w:type="dxa"/>
          </w:tcPr>
          <w:p w:rsidR="00742C14" w:rsidRPr="002C0C59" w:rsidRDefault="002C0C59" w:rsidP="008802E4">
            <w:pPr>
              <w:spacing w:line="360" w:lineRule="auto"/>
              <w:rPr>
                <w:rFonts w:ascii="Arial" w:hAnsi="Arial" w:cs="Arial"/>
                <w:sz w:val="20"/>
                <w:szCs w:val="24"/>
              </w:rPr>
            </w:pPr>
            <w:r w:rsidRPr="002C0C59">
              <w:rPr>
                <w:rFonts w:ascii="Arial" w:hAnsi="Arial" w:cs="Arial"/>
                <w:sz w:val="20"/>
                <w:szCs w:val="24"/>
              </w:rPr>
              <w:t>Payback year</w:t>
            </w:r>
          </w:p>
        </w:tc>
        <w:tc>
          <w:tcPr>
            <w:tcW w:w="992" w:type="dxa"/>
          </w:tcPr>
          <w:p w:rsidR="00742C14" w:rsidRPr="002C0C59" w:rsidRDefault="002C0C59" w:rsidP="008802E4">
            <w:pPr>
              <w:spacing w:line="360" w:lineRule="auto"/>
              <w:rPr>
                <w:rFonts w:ascii="Arial" w:hAnsi="Arial" w:cs="Arial"/>
                <w:sz w:val="20"/>
                <w:szCs w:val="24"/>
              </w:rPr>
            </w:pPr>
            <w:r w:rsidRPr="002C0C59">
              <w:rPr>
                <w:rFonts w:ascii="Arial" w:hAnsi="Arial" w:cs="Arial"/>
                <w:sz w:val="20"/>
                <w:szCs w:val="24"/>
              </w:rPr>
              <w:t>Fraction of Year</w:t>
            </w:r>
          </w:p>
        </w:tc>
        <w:tc>
          <w:tcPr>
            <w:tcW w:w="1150" w:type="dxa"/>
          </w:tcPr>
          <w:p w:rsidR="00742C14" w:rsidRPr="002C0C59" w:rsidRDefault="002C0C59" w:rsidP="008802E4">
            <w:pPr>
              <w:spacing w:line="360" w:lineRule="auto"/>
              <w:rPr>
                <w:rFonts w:ascii="Arial" w:hAnsi="Arial" w:cs="Arial"/>
                <w:sz w:val="20"/>
                <w:szCs w:val="24"/>
              </w:rPr>
            </w:pPr>
            <w:r w:rsidRPr="002C0C59">
              <w:rPr>
                <w:rFonts w:ascii="Arial" w:hAnsi="Arial" w:cs="Arial"/>
                <w:sz w:val="20"/>
                <w:szCs w:val="24"/>
              </w:rPr>
              <w:t>Payback Period</w:t>
            </w:r>
          </w:p>
        </w:tc>
      </w:tr>
      <w:tr w:rsidR="002C0C59" w:rsidRPr="00296DB5" w:rsidTr="002C0C59">
        <w:tc>
          <w:tcPr>
            <w:tcW w:w="846"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A</w:t>
            </w:r>
          </w:p>
        </w:tc>
        <w:tc>
          <w:tcPr>
            <w:tcW w:w="709"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10</w:t>
            </w:r>
          </w:p>
        </w:tc>
        <w:tc>
          <w:tcPr>
            <w:tcW w:w="992"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22</w:t>
            </w:r>
          </w:p>
        </w:tc>
        <w:tc>
          <w:tcPr>
            <w:tcW w:w="992"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36</w:t>
            </w:r>
          </w:p>
        </w:tc>
        <w:tc>
          <w:tcPr>
            <w:tcW w:w="992"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46</w:t>
            </w:r>
          </w:p>
        </w:tc>
        <w:tc>
          <w:tcPr>
            <w:tcW w:w="993"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w:t>
            </w:r>
          </w:p>
        </w:tc>
        <w:tc>
          <w:tcPr>
            <w:tcW w:w="992" w:type="dxa"/>
          </w:tcPr>
          <w:p w:rsidR="00742C14" w:rsidRPr="00296DB5" w:rsidRDefault="00296DB5" w:rsidP="008802E4">
            <w:pPr>
              <w:spacing w:line="360" w:lineRule="auto"/>
              <w:rPr>
                <w:rFonts w:ascii="Arial" w:hAnsi="Arial" w:cs="Arial"/>
                <w:szCs w:val="24"/>
              </w:rPr>
            </w:pPr>
            <w:r w:rsidRPr="00296DB5">
              <w:rPr>
                <w:rFonts w:ascii="Arial" w:hAnsi="Arial" w:cs="Arial"/>
                <w:szCs w:val="24"/>
              </w:rPr>
              <w:t>4</w:t>
            </w:r>
          </w:p>
        </w:tc>
        <w:tc>
          <w:tcPr>
            <w:tcW w:w="992" w:type="dxa"/>
          </w:tcPr>
          <w:p w:rsidR="00742C14" w:rsidRPr="00296DB5" w:rsidRDefault="00296DB5" w:rsidP="008802E4">
            <w:pPr>
              <w:spacing w:line="360" w:lineRule="auto"/>
              <w:rPr>
                <w:rFonts w:ascii="Arial" w:hAnsi="Arial" w:cs="Arial"/>
                <w:szCs w:val="24"/>
              </w:rPr>
            </w:pPr>
            <w:r w:rsidRPr="00296DB5">
              <w:rPr>
                <w:rFonts w:ascii="Arial" w:hAnsi="Arial" w:cs="Arial"/>
                <w:szCs w:val="24"/>
              </w:rPr>
              <w:t>0.40</w:t>
            </w:r>
          </w:p>
        </w:tc>
        <w:tc>
          <w:tcPr>
            <w:tcW w:w="1150" w:type="dxa"/>
          </w:tcPr>
          <w:p w:rsidR="00742C14" w:rsidRPr="00296DB5" w:rsidRDefault="00296DB5" w:rsidP="008802E4">
            <w:pPr>
              <w:spacing w:line="360" w:lineRule="auto"/>
              <w:rPr>
                <w:rFonts w:ascii="Arial" w:hAnsi="Arial" w:cs="Arial"/>
                <w:szCs w:val="24"/>
              </w:rPr>
            </w:pPr>
            <w:r w:rsidRPr="00296DB5">
              <w:rPr>
                <w:rFonts w:ascii="Arial" w:hAnsi="Arial" w:cs="Arial"/>
                <w:szCs w:val="24"/>
              </w:rPr>
              <w:t>3.40</w:t>
            </w:r>
          </w:p>
        </w:tc>
      </w:tr>
      <w:tr w:rsidR="002C0C59" w:rsidRPr="00296DB5" w:rsidTr="002C0C59">
        <w:tc>
          <w:tcPr>
            <w:tcW w:w="846"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B</w:t>
            </w:r>
          </w:p>
        </w:tc>
        <w:tc>
          <w:tcPr>
            <w:tcW w:w="709"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6</w:t>
            </w:r>
          </w:p>
        </w:tc>
        <w:tc>
          <w:tcPr>
            <w:tcW w:w="992"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12</w:t>
            </w:r>
          </w:p>
        </w:tc>
        <w:tc>
          <w:tcPr>
            <w:tcW w:w="992"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18</w:t>
            </w:r>
          </w:p>
        </w:tc>
        <w:tc>
          <w:tcPr>
            <w:tcW w:w="992"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24</w:t>
            </w:r>
          </w:p>
        </w:tc>
        <w:tc>
          <w:tcPr>
            <w:tcW w:w="993"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30</w:t>
            </w:r>
          </w:p>
        </w:tc>
        <w:tc>
          <w:tcPr>
            <w:tcW w:w="992" w:type="dxa"/>
          </w:tcPr>
          <w:p w:rsidR="00742C14" w:rsidRPr="00296DB5" w:rsidRDefault="00296DB5" w:rsidP="008802E4">
            <w:pPr>
              <w:spacing w:line="360" w:lineRule="auto"/>
              <w:rPr>
                <w:rFonts w:ascii="Arial" w:hAnsi="Arial" w:cs="Arial"/>
                <w:szCs w:val="24"/>
              </w:rPr>
            </w:pPr>
            <w:r w:rsidRPr="00296DB5">
              <w:rPr>
                <w:rFonts w:ascii="Arial" w:hAnsi="Arial" w:cs="Arial"/>
                <w:szCs w:val="24"/>
              </w:rPr>
              <w:t>5</w:t>
            </w:r>
          </w:p>
        </w:tc>
        <w:tc>
          <w:tcPr>
            <w:tcW w:w="992" w:type="dxa"/>
          </w:tcPr>
          <w:p w:rsidR="00742C14" w:rsidRPr="00296DB5" w:rsidRDefault="00296DB5" w:rsidP="008802E4">
            <w:pPr>
              <w:spacing w:line="360" w:lineRule="auto"/>
              <w:rPr>
                <w:rFonts w:ascii="Arial" w:hAnsi="Arial" w:cs="Arial"/>
                <w:szCs w:val="24"/>
              </w:rPr>
            </w:pPr>
            <w:r w:rsidRPr="00296DB5">
              <w:rPr>
                <w:rFonts w:ascii="Arial" w:hAnsi="Arial" w:cs="Arial"/>
                <w:szCs w:val="24"/>
              </w:rPr>
              <w:t>-</w:t>
            </w:r>
          </w:p>
        </w:tc>
        <w:tc>
          <w:tcPr>
            <w:tcW w:w="1150" w:type="dxa"/>
          </w:tcPr>
          <w:p w:rsidR="00742C14" w:rsidRPr="00296DB5" w:rsidRDefault="00296DB5" w:rsidP="008802E4">
            <w:pPr>
              <w:spacing w:line="360" w:lineRule="auto"/>
              <w:rPr>
                <w:rFonts w:ascii="Arial" w:hAnsi="Arial" w:cs="Arial"/>
                <w:szCs w:val="24"/>
              </w:rPr>
            </w:pPr>
            <w:r w:rsidRPr="00296DB5">
              <w:rPr>
                <w:rFonts w:ascii="Arial" w:hAnsi="Arial" w:cs="Arial"/>
                <w:szCs w:val="24"/>
              </w:rPr>
              <w:t>5.00</w:t>
            </w:r>
          </w:p>
        </w:tc>
      </w:tr>
      <w:tr w:rsidR="002C0C59" w:rsidRPr="00296DB5" w:rsidTr="002C0C59">
        <w:tc>
          <w:tcPr>
            <w:tcW w:w="846"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C</w:t>
            </w:r>
          </w:p>
        </w:tc>
        <w:tc>
          <w:tcPr>
            <w:tcW w:w="709"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5</w:t>
            </w:r>
          </w:p>
        </w:tc>
        <w:tc>
          <w:tcPr>
            <w:tcW w:w="992"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15</w:t>
            </w:r>
          </w:p>
        </w:tc>
        <w:tc>
          <w:tcPr>
            <w:tcW w:w="992"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35</w:t>
            </w:r>
          </w:p>
        </w:tc>
        <w:tc>
          <w:tcPr>
            <w:tcW w:w="992"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60</w:t>
            </w:r>
          </w:p>
        </w:tc>
        <w:tc>
          <w:tcPr>
            <w:tcW w:w="993" w:type="dxa"/>
          </w:tcPr>
          <w:p w:rsidR="00742C14" w:rsidRPr="00296DB5" w:rsidRDefault="002C0C59" w:rsidP="008802E4">
            <w:pPr>
              <w:spacing w:line="360" w:lineRule="auto"/>
              <w:rPr>
                <w:rFonts w:ascii="Arial" w:hAnsi="Arial" w:cs="Arial"/>
                <w:szCs w:val="24"/>
              </w:rPr>
            </w:pPr>
            <w:r w:rsidRPr="00296DB5">
              <w:rPr>
                <w:rFonts w:ascii="Arial" w:hAnsi="Arial" w:cs="Arial"/>
                <w:szCs w:val="24"/>
              </w:rPr>
              <w:t>-</w:t>
            </w:r>
          </w:p>
        </w:tc>
        <w:tc>
          <w:tcPr>
            <w:tcW w:w="992" w:type="dxa"/>
          </w:tcPr>
          <w:p w:rsidR="00742C14" w:rsidRPr="00296DB5" w:rsidRDefault="00296DB5" w:rsidP="008802E4">
            <w:pPr>
              <w:spacing w:line="360" w:lineRule="auto"/>
              <w:rPr>
                <w:rFonts w:ascii="Arial" w:hAnsi="Arial" w:cs="Arial"/>
                <w:szCs w:val="24"/>
              </w:rPr>
            </w:pPr>
            <w:r w:rsidRPr="00296DB5">
              <w:rPr>
                <w:rFonts w:ascii="Arial" w:hAnsi="Arial" w:cs="Arial"/>
                <w:szCs w:val="24"/>
              </w:rPr>
              <w:t>4</w:t>
            </w:r>
          </w:p>
        </w:tc>
        <w:tc>
          <w:tcPr>
            <w:tcW w:w="992" w:type="dxa"/>
          </w:tcPr>
          <w:p w:rsidR="00742C14" w:rsidRPr="00296DB5" w:rsidRDefault="00296DB5" w:rsidP="008802E4">
            <w:pPr>
              <w:spacing w:line="360" w:lineRule="auto"/>
              <w:rPr>
                <w:rFonts w:ascii="Arial" w:hAnsi="Arial" w:cs="Arial"/>
                <w:szCs w:val="24"/>
              </w:rPr>
            </w:pPr>
            <w:r w:rsidRPr="00296DB5">
              <w:rPr>
                <w:rFonts w:ascii="Arial" w:hAnsi="Arial" w:cs="Arial"/>
                <w:szCs w:val="24"/>
              </w:rPr>
              <w:t>0.60</w:t>
            </w:r>
          </w:p>
        </w:tc>
        <w:tc>
          <w:tcPr>
            <w:tcW w:w="1150" w:type="dxa"/>
          </w:tcPr>
          <w:p w:rsidR="00742C14" w:rsidRPr="00296DB5" w:rsidRDefault="00296DB5" w:rsidP="008802E4">
            <w:pPr>
              <w:spacing w:line="360" w:lineRule="auto"/>
              <w:rPr>
                <w:rFonts w:ascii="Arial" w:hAnsi="Arial" w:cs="Arial"/>
                <w:szCs w:val="24"/>
              </w:rPr>
            </w:pPr>
            <w:r w:rsidRPr="00296DB5">
              <w:rPr>
                <w:rFonts w:ascii="Arial" w:hAnsi="Arial" w:cs="Arial"/>
                <w:szCs w:val="24"/>
              </w:rPr>
              <w:t>3.60</w:t>
            </w:r>
          </w:p>
        </w:tc>
      </w:tr>
    </w:tbl>
    <w:p w:rsidR="00E42851" w:rsidRPr="00296DB5" w:rsidRDefault="00E42851" w:rsidP="008802E4">
      <w:pPr>
        <w:spacing w:line="360" w:lineRule="auto"/>
        <w:rPr>
          <w:rFonts w:ascii="Arial" w:hAnsi="Arial" w:cs="Arial"/>
          <w:szCs w:val="24"/>
        </w:rPr>
      </w:pPr>
    </w:p>
    <w:p w:rsidR="00116274" w:rsidRDefault="00116274" w:rsidP="008802E4">
      <w:pPr>
        <w:spacing w:line="360" w:lineRule="auto"/>
        <w:rPr>
          <w:rStyle w:val="Strong"/>
          <w:rFonts w:ascii="Arial" w:hAnsi="Arial" w:cs="Arial"/>
          <w:bCs w:val="0"/>
          <w:sz w:val="24"/>
          <w:szCs w:val="24"/>
        </w:rPr>
      </w:pPr>
    </w:p>
    <w:p w:rsidR="00116274" w:rsidRDefault="00116274" w:rsidP="008802E4">
      <w:pPr>
        <w:spacing w:line="360" w:lineRule="auto"/>
        <w:rPr>
          <w:rStyle w:val="Strong"/>
          <w:rFonts w:ascii="Arial" w:hAnsi="Arial" w:cs="Arial"/>
          <w:bCs w:val="0"/>
          <w:sz w:val="24"/>
          <w:szCs w:val="24"/>
        </w:rPr>
      </w:pPr>
    </w:p>
    <w:p w:rsidR="00116274" w:rsidRDefault="00116274" w:rsidP="008802E4">
      <w:pPr>
        <w:spacing w:line="360" w:lineRule="auto"/>
        <w:rPr>
          <w:rStyle w:val="Strong"/>
          <w:rFonts w:ascii="Arial" w:hAnsi="Arial" w:cs="Arial"/>
          <w:bCs w:val="0"/>
          <w:sz w:val="24"/>
          <w:szCs w:val="24"/>
        </w:rPr>
      </w:pPr>
    </w:p>
    <w:p w:rsidR="00116274" w:rsidRDefault="00116274" w:rsidP="008802E4">
      <w:pPr>
        <w:spacing w:line="360" w:lineRule="auto"/>
        <w:rPr>
          <w:rStyle w:val="Strong"/>
          <w:rFonts w:ascii="Arial" w:hAnsi="Arial" w:cs="Arial"/>
          <w:bCs w:val="0"/>
          <w:sz w:val="24"/>
          <w:szCs w:val="24"/>
        </w:rPr>
      </w:pPr>
    </w:p>
    <w:p w:rsidR="00E42851" w:rsidRPr="00661F60" w:rsidRDefault="00E42851" w:rsidP="008802E4">
      <w:pPr>
        <w:spacing w:line="360" w:lineRule="auto"/>
        <w:rPr>
          <w:rFonts w:ascii="Arial" w:hAnsi="Arial" w:cs="Arial"/>
          <w:sz w:val="24"/>
          <w:szCs w:val="24"/>
        </w:rPr>
      </w:pPr>
      <w:r w:rsidRPr="00661F60">
        <w:rPr>
          <w:rStyle w:val="Strong"/>
          <w:rFonts w:ascii="Arial" w:hAnsi="Arial" w:cs="Arial"/>
          <w:bCs w:val="0"/>
          <w:sz w:val="24"/>
          <w:szCs w:val="24"/>
        </w:rPr>
        <w:t>3. Accounting Rate of Return (ARR)</w:t>
      </w:r>
    </w:p>
    <w:p w:rsidR="00E42851" w:rsidRDefault="00E42851" w:rsidP="008802E4">
      <w:pPr>
        <w:spacing w:line="360" w:lineRule="auto"/>
        <w:rPr>
          <w:rFonts w:ascii="Arial" w:hAnsi="Arial" w:cs="Arial"/>
          <w:sz w:val="24"/>
          <w:szCs w:val="24"/>
        </w:rPr>
      </w:pPr>
      <w:r w:rsidRPr="006168F4">
        <w:rPr>
          <w:rFonts w:ascii="Arial" w:hAnsi="Arial" w:cs="Arial"/>
          <w:sz w:val="24"/>
          <w:szCs w:val="24"/>
        </w:rPr>
        <w:t>Depreciation = Initial Investment / 5 years</w:t>
      </w:r>
    </w:p>
    <w:p w:rsidR="00F80AF0" w:rsidRPr="00F80AF0" w:rsidRDefault="00F80AF0" w:rsidP="00F80AF0">
      <w:pPr>
        <w:rPr>
          <w:rFonts w:ascii="Arial" w:hAnsi="Arial" w:cs="Arial"/>
          <w:sz w:val="28"/>
          <w:szCs w:val="24"/>
        </w:rPr>
      </w:pPr>
      <w:r w:rsidRPr="00F80AF0">
        <w:rPr>
          <w:rFonts w:ascii="Arial" w:hAnsi="Arial" w:cs="Arial"/>
          <w:sz w:val="24"/>
        </w:rPr>
        <w:t>Average annual profit = average cash inflow – depreciation</w:t>
      </w:r>
    </w:p>
    <w:tbl>
      <w:tblPr>
        <w:tblStyle w:val="TableGrid"/>
        <w:tblW w:w="0" w:type="auto"/>
        <w:tblLook w:val="04A0" w:firstRow="1" w:lastRow="0" w:firstColumn="1" w:lastColumn="0" w:noHBand="0" w:noVBand="1"/>
      </w:tblPr>
      <w:tblGrid>
        <w:gridCol w:w="1407"/>
        <w:gridCol w:w="1435"/>
        <w:gridCol w:w="1564"/>
        <w:gridCol w:w="1416"/>
        <w:gridCol w:w="1417"/>
        <w:gridCol w:w="1391"/>
      </w:tblGrid>
      <w:tr w:rsidR="00CF1467" w:rsidTr="00CF1467">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lastRenderedPageBreak/>
              <w:t>Project</w:t>
            </w:r>
          </w:p>
        </w:tc>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Initial Investment (£m)</w:t>
            </w:r>
          </w:p>
        </w:tc>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Annual Depreciation (£m)</w:t>
            </w:r>
          </w:p>
        </w:tc>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Average Annual Cash Inflow (£m)</w:t>
            </w:r>
          </w:p>
        </w:tc>
        <w:tc>
          <w:tcPr>
            <w:tcW w:w="1439"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Average Annual Profit (£m)</w:t>
            </w:r>
          </w:p>
        </w:tc>
        <w:tc>
          <w:tcPr>
            <w:tcW w:w="1439"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ARR (%)</w:t>
            </w:r>
          </w:p>
        </w:tc>
      </w:tr>
      <w:tr w:rsidR="00CF1467" w:rsidTr="00CF1467">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A</w:t>
            </w:r>
          </w:p>
        </w:tc>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40</w:t>
            </w:r>
          </w:p>
        </w:tc>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8</w:t>
            </w:r>
          </w:p>
        </w:tc>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10.8</w:t>
            </w:r>
          </w:p>
        </w:tc>
        <w:tc>
          <w:tcPr>
            <w:tcW w:w="1439"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2.8</w:t>
            </w:r>
          </w:p>
        </w:tc>
        <w:tc>
          <w:tcPr>
            <w:tcW w:w="1439" w:type="dxa"/>
          </w:tcPr>
          <w:p w:rsidR="00CF1467" w:rsidRPr="00CF1467" w:rsidRDefault="00CF1467" w:rsidP="00CF1467">
            <w:pPr>
              <w:spacing w:line="360" w:lineRule="auto"/>
              <w:rPr>
                <w:rFonts w:ascii="Arial" w:hAnsi="Arial" w:cs="Arial"/>
                <w:sz w:val="24"/>
                <w:szCs w:val="24"/>
              </w:rPr>
            </w:pPr>
            <w:r w:rsidRPr="00CF1467">
              <w:rPr>
                <w:rFonts w:ascii="Arial" w:hAnsi="Arial" w:cs="Arial"/>
                <w:sz w:val="24"/>
                <w:szCs w:val="24"/>
              </w:rPr>
              <w:t>7%</w:t>
            </w:r>
          </w:p>
        </w:tc>
      </w:tr>
      <w:tr w:rsidR="00CF1467" w:rsidTr="00CF1467">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B</w:t>
            </w:r>
          </w:p>
        </w:tc>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30</w:t>
            </w:r>
          </w:p>
        </w:tc>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6</w:t>
            </w:r>
          </w:p>
        </w:tc>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6</w:t>
            </w:r>
          </w:p>
        </w:tc>
        <w:tc>
          <w:tcPr>
            <w:tcW w:w="1439"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0</w:t>
            </w:r>
          </w:p>
        </w:tc>
        <w:tc>
          <w:tcPr>
            <w:tcW w:w="1439"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0%</w:t>
            </w:r>
          </w:p>
        </w:tc>
      </w:tr>
      <w:tr w:rsidR="00CF1467" w:rsidTr="00CF1467">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C</w:t>
            </w:r>
          </w:p>
        </w:tc>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50</w:t>
            </w:r>
          </w:p>
        </w:tc>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10</w:t>
            </w:r>
          </w:p>
        </w:tc>
        <w:tc>
          <w:tcPr>
            <w:tcW w:w="1438"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15</w:t>
            </w:r>
          </w:p>
        </w:tc>
        <w:tc>
          <w:tcPr>
            <w:tcW w:w="1439"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5</w:t>
            </w:r>
          </w:p>
        </w:tc>
        <w:tc>
          <w:tcPr>
            <w:tcW w:w="1439" w:type="dxa"/>
          </w:tcPr>
          <w:p w:rsidR="00CF1467" w:rsidRPr="00CF1467" w:rsidRDefault="00CF1467" w:rsidP="008802E4">
            <w:pPr>
              <w:spacing w:line="360" w:lineRule="auto"/>
              <w:rPr>
                <w:rFonts w:ascii="Arial" w:hAnsi="Arial" w:cs="Arial"/>
                <w:sz w:val="24"/>
                <w:szCs w:val="24"/>
              </w:rPr>
            </w:pPr>
            <w:r w:rsidRPr="00CF1467">
              <w:rPr>
                <w:rFonts w:ascii="Arial" w:hAnsi="Arial" w:cs="Arial"/>
                <w:sz w:val="24"/>
                <w:szCs w:val="24"/>
              </w:rPr>
              <w:t>10%</w:t>
            </w:r>
          </w:p>
        </w:tc>
      </w:tr>
    </w:tbl>
    <w:p w:rsidR="00CF1467" w:rsidRPr="006168F4" w:rsidRDefault="00CF1467" w:rsidP="008802E4">
      <w:pPr>
        <w:spacing w:line="360" w:lineRule="auto"/>
        <w:rPr>
          <w:rFonts w:ascii="Arial" w:hAnsi="Arial" w:cs="Arial"/>
          <w:sz w:val="24"/>
          <w:szCs w:val="24"/>
        </w:rPr>
      </w:pPr>
    </w:p>
    <w:p w:rsidR="00CF1467" w:rsidRDefault="00CF1467" w:rsidP="008802E4">
      <w:pPr>
        <w:spacing w:line="360" w:lineRule="auto"/>
        <w:rPr>
          <w:rStyle w:val="Strong"/>
          <w:rFonts w:ascii="Arial" w:hAnsi="Arial" w:cs="Arial"/>
          <w:bCs w:val="0"/>
          <w:sz w:val="24"/>
          <w:szCs w:val="24"/>
        </w:rPr>
      </w:pPr>
    </w:p>
    <w:p w:rsidR="00E42851" w:rsidRDefault="00E42851" w:rsidP="000E5509">
      <w:pPr>
        <w:spacing w:line="360" w:lineRule="auto"/>
        <w:rPr>
          <w:rFonts w:ascii="Arial" w:hAnsi="Arial" w:cs="Arial"/>
          <w:b/>
          <w:sz w:val="24"/>
        </w:rPr>
      </w:pPr>
      <w:r w:rsidRPr="00661F60">
        <w:rPr>
          <w:rStyle w:val="Strong"/>
          <w:rFonts w:ascii="Arial" w:hAnsi="Arial" w:cs="Arial"/>
          <w:bCs w:val="0"/>
          <w:sz w:val="24"/>
          <w:szCs w:val="24"/>
        </w:rPr>
        <w:t xml:space="preserve">4. </w:t>
      </w:r>
      <w:r w:rsidR="000E5509" w:rsidRPr="000E5509">
        <w:rPr>
          <w:rFonts w:ascii="Arial" w:hAnsi="Arial" w:cs="Arial"/>
          <w:b/>
          <w:sz w:val="24"/>
        </w:rPr>
        <w:t>Net Present Value (NPV) at 10%</w:t>
      </w:r>
    </w:p>
    <w:tbl>
      <w:tblPr>
        <w:tblStyle w:val="TableGrid"/>
        <w:tblW w:w="0" w:type="auto"/>
        <w:tblLook w:val="04A0" w:firstRow="1" w:lastRow="0" w:firstColumn="1" w:lastColumn="0" w:noHBand="0" w:noVBand="1"/>
      </w:tblPr>
      <w:tblGrid>
        <w:gridCol w:w="963"/>
        <w:gridCol w:w="866"/>
        <w:gridCol w:w="867"/>
        <w:gridCol w:w="904"/>
        <w:gridCol w:w="904"/>
        <w:gridCol w:w="867"/>
        <w:gridCol w:w="963"/>
        <w:gridCol w:w="1390"/>
        <w:gridCol w:w="906"/>
      </w:tblGrid>
      <w:tr w:rsidR="000E5509" w:rsidTr="000E5509">
        <w:tc>
          <w:tcPr>
            <w:tcW w:w="958" w:type="dxa"/>
          </w:tcPr>
          <w:p w:rsidR="000E5509" w:rsidRDefault="000E5509" w:rsidP="000E5509">
            <w:pPr>
              <w:spacing w:line="360" w:lineRule="auto"/>
              <w:rPr>
                <w:rFonts w:ascii="Arial" w:hAnsi="Arial" w:cs="Arial"/>
                <w:sz w:val="24"/>
                <w:szCs w:val="24"/>
              </w:rPr>
            </w:pPr>
            <w:r>
              <w:rPr>
                <w:rFonts w:ascii="Arial" w:hAnsi="Arial" w:cs="Arial"/>
                <w:sz w:val="24"/>
                <w:szCs w:val="24"/>
              </w:rPr>
              <w:t>Project</w:t>
            </w:r>
          </w:p>
        </w:tc>
        <w:tc>
          <w:tcPr>
            <w:tcW w:w="959" w:type="dxa"/>
          </w:tcPr>
          <w:p w:rsidR="000E5509" w:rsidRDefault="000E5509" w:rsidP="000E5509">
            <w:pPr>
              <w:spacing w:line="360" w:lineRule="auto"/>
              <w:rPr>
                <w:rFonts w:ascii="Arial" w:hAnsi="Arial" w:cs="Arial"/>
                <w:sz w:val="24"/>
                <w:szCs w:val="24"/>
              </w:rPr>
            </w:pPr>
            <w:r w:rsidRPr="000E5509">
              <w:rPr>
                <w:rFonts w:ascii="Arial" w:hAnsi="Arial" w:cs="Arial"/>
                <w:sz w:val="24"/>
                <w:szCs w:val="24"/>
              </w:rPr>
              <w:t>PV Year 1 (£m)</w:t>
            </w:r>
          </w:p>
        </w:tc>
        <w:tc>
          <w:tcPr>
            <w:tcW w:w="959" w:type="dxa"/>
          </w:tcPr>
          <w:p w:rsidR="000E5509" w:rsidRDefault="000E5509" w:rsidP="000E5509">
            <w:pPr>
              <w:spacing w:line="360" w:lineRule="auto"/>
              <w:rPr>
                <w:rFonts w:ascii="Arial" w:hAnsi="Arial" w:cs="Arial"/>
                <w:sz w:val="24"/>
                <w:szCs w:val="24"/>
              </w:rPr>
            </w:pPr>
            <w:r w:rsidRPr="000E5509">
              <w:rPr>
                <w:rFonts w:ascii="Arial" w:hAnsi="Arial" w:cs="Arial"/>
                <w:sz w:val="24"/>
                <w:szCs w:val="24"/>
              </w:rPr>
              <w:t>PV Year 1 (£m)</w:t>
            </w:r>
          </w:p>
        </w:tc>
        <w:tc>
          <w:tcPr>
            <w:tcW w:w="959" w:type="dxa"/>
          </w:tcPr>
          <w:p w:rsidR="000E5509" w:rsidRDefault="000E5509" w:rsidP="000E5509">
            <w:pPr>
              <w:spacing w:line="360" w:lineRule="auto"/>
              <w:rPr>
                <w:rFonts w:ascii="Arial" w:hAnsi="Arial" w:cs="Arial"/>
                <w:sz w:val="24"/>
                <w:szCs w:val="24"/>
              </w:rPr>
            </w:pPr>
            <w:r w:rsidRPr="000E5509">
              <w:rPr>
                <w:rFonts w:ascii="Arial" w:hAnsi="Arial" w:cs="Arial"/>
                <w:sz w:val="24"/>
                <w:szCs w:val="24"/>
              </w:rPr>
              <w:t>PV Year 1 (£m)</w:t>
            </w:r>
          </w:p>
        </w:tc>
        <w:tc>
          <w:tcPr>
            <w:tcW w:w="959" w:type="dxa"/>
          </w:tcPr>
          <w:p w:rsidR="000E5509" w:rsidRDefault="000E5509" w:rsidP="000E5509">
            <w:pPr>
              <w:spacing w:line="360" w:lineRule="auto"/>
              <w:rPr>
                <w:rFonts w:ascii="Arial" w:hAnsi="Arial" w:cs="Arial"/>
                <w:sz w:val="24"/>
                <w:szCs w:val="24"/>
              </w:rPr>
            </w:pPr>
            <w:r w:rsidRPr="000E5509">
              <w:rPr>
                <w:rFonts w:ascii="Arial" w:hAnsi="Arial" w:cs="Arial"/>
                <w:sz w:val="24"/>
                <w:szCs w:val="24"/>
              </w:rPr>
              <w:t>PV Year 1 (£m)</w:t>
            </w:r>
          </w:p>
        </w:tc>
        <w:tc>
          <w:tcPr>
            <w:tcW w:w="959" w:type="dxa"/>
          </w:tcPr>
          <w:p w:rsidR="000E5509" w:rsidRDefault="000E5509" w:rsidP="000E5509">
            <w:pPr>
              <w:spacing w:line="360" w:lineRule="auto"/>
              <w:rPr>
                <w:rFonts w:ascii="Arial" w:hAnsi="Arial" w:cs="Arial"/>
                <w:sz w:val="24"/>
                <w:szCs w:val="24"/>
              </w:rPr>
            </w:pPr>
            <w:r w:rsidRPr="000E5509">
              <w:rPr>
                <w:rFonts w:ascii="Arial" w:hAnsi="Arial" w:cs="Arial"/>
                <w:sz w:val="24"/>
                <w:szCs w:val="24"/>
              </w:rPr>
              <w:t>PV Year 1 (£m)</w:t>
            </w:r>
          </w:p>
        </w:tc>
        <w:tc>
          <w:tcPr>
            <w:tcW w:w="959" w:type="dxa"/>
          </w:tcPr>
          <w:p w:rsidR="000E5509" w:rsidRDefault="000E5509" w:rsidP="000E5509">
            <w:pPr>
              <w:spacing w:line="360" w:lineRule="auto"/>
              <w:rPr>
                <w:rFonts w:ascii="Arial" w:hAnsi="Arial" w:cs="Arial"/>
                <w:sz w:val="24"/>
                <w:szCs w:val="24"/>
              </w:rPr>
            </w:pPr>
            <w:r w:rsidRPr="000E5509">
              <w:rPr>
                <w:rFonts w:ascii="Arial" w:hAnsi="Arial" w:cs="Arial"/>
                <w:sz w:val="24"/>
                <w:szCs w:val="24"/>
              </w:rPr>
              <w:t>Total PV Inflows</w:t>
            </w:r>
          </w:p>
        </w:tc>
        <w:tc>
          <w:tcPr>
            <w:tcW w:w="959" w:type="dxa"/>
          </w:tcPr>
          <w:p w:rsidR="000E5509" w:rsidRDefault="000E5509" w:rsidP="000E5509">
            <w:pPr>
              <w:spacing w:line="360" w:lineRule="auto"/>
              <w:rPr>
                <w:rFonts w:ascii="Arial" w:hAnsi="Arial" w:cs="Arial"/>
                <w:sz w:val="24"/>
                <w:szCs w:val="24"/>
              </w:rPr>
            </w:pPr>
            <w:r w:rsidRPr="000E5509">
              <w:rPr>
                <w:rFonts w:ascii="Arial" w:hAnsi="Arial" w:cs="Arial"/>
                <w:sz w:val="24"/>
                <w:szCs w:val="24"/>
              </w:rPr>
              <w:t>Initial Investment</w:t>
            </w:r>
          </w:p>
        </w:tc>
        <w:tc>
          <w:tcPr>
            <w:tcW w:w="959" w:type="dxa"/>
          </w:tcPr>
          <w:p w:rsidR="000E5509" w:rsidRDefault="000E5509" w:rsidP="000E5509">
            <w:pPr>
              <w:spacing w:line="360" w:lineRule="auto"/>
              <w:rPr>
                <w:rFonts w:ascii="Arial" w:hAnsi="Arial" w:cs="Arial"/>
                <w:sz w:val="24"/>
                <w:szCs w:val="24"/>
              </w:rPr>
            </w:pPr>
            <w:r w:rsidRPr="000E5509">
              <w:rPr>
                <w:rFonts w:ascii="Arial" w:hAnsi="Arial" w:cs="Arial"/>
                <w:sz w:val="24"/>
                <w:szCs w:val="24"/>
              </w:rPr>
              <w:t>NPV (£m)</w:t>
            </w:r>
          </w:p>
        </w:tc>
      </w:tr>
      <w:tr w:rsidR="000E5509" w:rsidTr="000E5509">
        <w:tc>
          <w:tcPr>
            <w:tcW w:w="958" w:type="dxa"/>
          </w:tcPr>
          <w:p w:rsidR="000E5509" w:rsidRDefault="000E5509" w:rsidP="000E5509">
            <w:pPr>
              <w:spacing w:line="360" w:lineRule="auto"/>
              <w:rPr>
                <w:rFonts w:ascii="Arial" w:hAnsi="Arial" w:cs="Arial"/>
                <w:sz w:val="24"/>
                <w:szCs w:val="24"/>
              </w:rPr>
            </w:pPr>
            <w:r>
              <w:rPr>
                <w:rFonts w:ascii="Arial" w:hAnsi="Arial" w:cs="Arial"/>
                <w:sz w:val="24"/>
                <w:szCs w:val="24"/>
              </w:rPr>
              <w:t>A</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9.09</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9.91</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10.51</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6.83</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4.97</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41.31</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40</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+1.31</w:t>
            </w:r>
          </w:p>
        </w:tc>
      </w:tr>
      <w:tr w:rsidR="000E5509" w:rsidTr="000E5509">
        <w:tc>
          <w:tcPr>
            <w:tcW w:w="958" w:type="dxa"/>
          </w:tcPr>
          <w:p w:rsidR="000E5509" w:rsidRDefault="000E5509" w:rsidP="000E5509">
            <w:pPr>
              <w:spacing w:line="360" w:lineRule="auto"/>
              <w:rPr>
                <w:rFonts w:ascii="Arial" w:hAnsi="Arial" w:cs="Arial"/>
                <w:sz w:val="24"/>
                <w:szCs w:val="24"/>
              </w:rPr>
            </w:pPr>
            <w:r>
              <w:rPr>
                <w:rFonts w:ascii="Arial" w:hAnsi="Arial" w:cs="Arial"/>
                <w:sz w:val="24"/>
                <w:szCs w:val="24"/>
              </w:rPr>
              <w:t>B</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5.45</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4.96</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4.51</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4.10</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3.73</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22.74</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30</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-7.26</w:t>
            </w:r>
          </w:p>
        </w:tc>
      </w:tr>
      <w:tr w:rsidR="000E5509" w:rsidTr="000E5509">
        <w:tc>
          <w:tcPr>
            <w:tcW w:w="958" w:type="dxa"/>
          </w:tcPr>
          <w:p w:rsidR="000E5509" w:rsidRDefault="000E5509" w:rsidP="000E5509">
            <w:pPr>
              <w:spacing w:line="360" w:lineRule="auto"/>
              <w:rPr>
                <w:rFonts w:ascii="Arial" w:hAnsi="Arial" w:cs="Arial"/>
                <w:sz w:val="24"/>
                <w:szCs w:val="24"/>
              </w:rPr>
            </w:pPr>
            <w:r>
              <w:rPr>
                <w:rFonts w:ascii="Arial" w:hAnsi="Arial" w:cs="Arial"/>
                <w:sz w:val="24"/>
                <w:szCs w:val="24"/>
              </w:rPr>
              <w:t>C</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4.55</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8.26</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15.02</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17.08</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9.32</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54.23</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50</w:t>
            </w:r>
          </w:p>
        </w:tc>
        <w:tc>
          <w:tcPr>
            <w:tcW w:w="959" w:type="dxa"/>
          </w:tcPr>
          <w:p w:rsidR="000E5509" w:rsidRDefault="000E5509" w:rsidP="000E5509">
            <w:pPr>
              <w:spacing w:line="360" w:lineRule="auto"/>
              <w:rPr>
                <w:rFonts w:ascii="Arial" w:hAnsi="Arial" w:cs="Arial"/>
                <w:sz w:val="24"/>
                <w:szCs w:val="24"/>
              </w:rPr>
            </w:pPr>
            <w:r>
              <w:rPr>
                <w:rFonts w:ascii="Arial" w:hAnsi="Arial" w:cs="Arial"/>
                <w:sz w:val="24"/>
                <w:szCs w:val="24"/>
              </w:rPr>
              <w:t>+4.23</w:t>
            </w:r>
          </w:p>
        </w:tc>
      </w:tr>
    </w:tbl>
    <w:p w:rsidR="000E5509" w:rsidRPr="006168F4" w:rsidRDefault="000E5509" w:rsidP="000E5509">
      <w:pPr>
        <w:spacing w:line="360" w:lineRule="auto"/>
        <w:rPr>
          <w:rFonts w:ascii="Arial" w:hAnsi="Arial" w:cs="Arial"/>
          <w:sz w:val="24"/>
          <w:szCs w:val="24"/>
        </w:rPr>
      </w:pPr>
    </w:p>
    <w:p w:rsidR="00E42851" w:rsidRPr="00661F60" w:rsidRDefault="00E42851" w:rsidP="008802E4">
      <w:pPr>
        <w:spacing w:line="360" w:lineRule="auto"/>
        <w:rPr>
          <w:rFonts w:ascii="Arial" w:hAnsi="Arial" w:cs="Arial"/>
          <w:sz w:val="24"/>
          <w:szCs w:val="24"/>
        </w:rPr>
      </w:pPr>
      <w:r w:rsidRPr="00661F60">
        <w:rPr>
          <w:rStyle w:val="Strong"/>
          <w:rFonts w:ascii="Arial" w:hAnsi="Arial" w:cs="Arial"/>
          <w:bCs w:val="0"/>
          <w:sz w:val="24"/>
          <w:szCs w:val="24"/>
        </w:rPr>
        <w:t>5. Profitability Index (PI)</w:t>
      </w:r>
    </w:p>
    <w:p w:rsidR="00E42851" w:rsidRPr="006168F4" w:rsidRDefault="00E42851" w:rsidP="008802E4">
      <w:pPr>
        <w:spacing w:line="360" w:lineRule="auto"/>
        <w:rPr>
          <w:rFonts w:ascii="Arial" w:hAnsi="Arial" w:cs="Arial"/>
          <w:sz w:val="24"/>
          <w:szCs w:val="24"/>
        </w:rPr>
      </w:pPr>
      <w:r w:rsidRPr="006168F4">
        <w:rPr>
          <w:rFonts w:ascii="Arial" w:hAnsi="Arial" w:cs="Arial"/>
          <w:sz w:val="24"/>
          <w:szCs w:val="24"/>
        </w:rPr>
        <w:t>PI = PV inflows ÷ Initial Investment</w:t>
      </w:r>
    </w:p>
    <w:tbl>
      <w:tblPr>
        <w:tblStyle w:val="TableGrid"/>
        <w:tblW w:w="0" w:type="auto"/>
        <w:tblLook w:val="04A0" w:firstRow="1" w:lastRow="0" w:firstColumn="1" w:lastColumn="0" w:noHBand="0" w:noVBand="1"/>
      </w:tblPr>
      <w:tblGrid>
        <w:gridCol w:w="2157"/>
        <w:gridCol w:w="2157"/>
        <w:gridCol w:w="2158"/>
        <w:gridCol w:w="2158"/>
      </w:tblGrid>
      <w:tr w:rsidR="000E5509" w:rsidTr="000E5509">
        <w:tc>
          <w:tcPr>
            <w:tcW w:w="2157" w:type="dxa"/>
          </w:tcPr>
          <w:p w:rsidR="000E5509" w:rsidRDefault="000E5509" w:rsidP="008802E4">
            <w:pPr>
              <w:spacing w:line="360" w:lineRule="auto"/>
              <w:rPr>
                <w:rFonts w:ascii="Arial" w:hAnsi="Arial" w:cs="Arial"/>
                <w:sz w:val="24"/>
                <w:szCs w:val="24"/>
              </w:rPr>
            </w:pPr>
            <w:r>
              <w:rPr>
                <w:rFonts w:ascii="Arial" w:hAnsi="Arial" w:cs="Arial"/>
                <w:sz w:val="24"/>
                <w:szCs w:val="24"/>
              </w:rPr>
              <w:t>Project</w:t>
            </w:r>
          </w:p>
        </w:tc>
        <w:tc>
          <w:tcPr>
            <w:tcW w:w="2157" w:type="dxa"/>
          </w:tcPr>
          <w:p w:rsidR="000E5509" w:rsidRDefault="000E5509" w:rsidP="008802E4">
            <w:pPr>
              <w:spacing w:line="360" w:lineRule="auto"/>
              <w:rPr>
                <w:rFonts w:ascii="Arial" w:hAnsi="Arial" w:cs="Arial"/>
                <w:sz w:val="24"/>
                <w:szCs w:val="24"/>
              </w:rPr>
            </w:pPr>
            <w:r w:rsidRPr="000E5509">
              <w:rPr>
                <w:rFonts w:ascii="Arial" w:hAnsi="Arial" w:cs="Arial"/>
                <w:sz w:val="24"/>
                <w:szCs w:val="24"/>
              </w:rPr>
              <w:t>PV Inflows (£m)</w:t>
            </w:r>
          </w:p>
        </w:tc>
        <w:tc>
          <w:tcPr>
            <w:tcW w:w="2158" w:type="dxa"/>
          </w:tcPr>
          <w:p w:rsidR="000E5509" w:rsidRDefault="000E5509" w:rsidP="008802E4">
            <w:pPr>
              <w:spacing w:line="360" w:lineRule="auto"/>
              <w:rPr>
                <w:rFonts w:ascii="Arial" w:hAnsi="Arial" w:cs="Arial"/>
                <w:sz w:val="24"/>
                <w:szCs w:val="24"/>
              </w:rPr>
            </w:pPr>
            <w:r w:rsidRPr="000E5509">
              <w:rPr>
                <w:rFonts w:ascii="Arial" w:hAnsi="Arial" w:cs="Arial"/>
                <w:sz w:val="24"/>
                <w:szCs w:val="24"/>
              </w:rPr>
              <w:t>Initial Investment (£m)</w:t>
            </w:r>
          </w:p>
        </w:tc>
        <w:tc>
          <w:tcPr>
            <w:tcW w:w="2158" w:type="dxa"/>
          </w:tcPr>
          <w:p w:rsidR="000E5509" w:rsidRDefault="000E5509" w:rsidP="008802E4">
            <w:pPr>
              <w:spacing w:line="360" w:lineRule="auto"/>
              <w:rPr>
                <w:rFonts w:ascii="Arial" w:hAnsi="Arial" w:cs="Arial"/>
                <w:sz w:val="24"/>
                <w:szCs w:val="24"/>
              </w:rPr>
            </w:pPr>
            <w:r w:rsidRPr="000E5509">
              <w:rPr>
                <w:rFonts w:ascii="Arial" w:hAnsi="Arial" w:cs="Arial"/>
                <w:sz w:val="24"/>
                <w:szCs w:val="24"/>
              </w:rPr>
              <w:t>Profitability Index (PI)</w:t>
            </w:r>
          </w:p>
        </w:tc>
      </w:tr>
      <w:tr w:rsidR="000E5509" w:rsidTr="000E5509">
        <w:tc>
          <w:tcPr>
            <w:tcW w:w="2157" w:type="dxa"/>
          </w:tcPr>
          <w:p w:rsidR="000E5509" w:rsidRDefault="000E5509" w:rsidP="008802E4">
            <w:pPr>
              <w:spacing w:line="360" w:lineRule="auto"/>
              <w:rPr>
                <w:rFonts w:ascii="Arial" w:hAnsi="Arial" w:cs="Arial"/>
                <w:sz w:val="24"/>
                <w:szCs w:val="24"/>
              </w:rPr>
            </w:pPr>
            <w:r>
              <w:rPr>
                <w:rFonts w:ascii="Arial" w:hAnsi="Arial" w:cs="Arial"/>
                <w:sz w:val="24"/>
                <w:szCs w:val="24"/>
              </w:rPr>
              <w:t>A</w:t>
            </w:r>
          </w:p>
        </w:tc>
        <w:tc>
          <w:tcPr>
            <w:tcW w:w="2157" w:type="dxa"/>
          </w:tcPr>
          <w:p w:rsidR="000E5509" w:rsidRDefault="000E5509" w:rsidP="008802E4">
            <w:pPr>
              <w:spacing w:line="360" w:lineRule="auto"/>
              <w:rPr>
                <w:rFonts w:ascii="Arial" w:hAnsi="Arial" w:cs="Arial"/>
                <w:sz w:val="24"/>
                <w:szCs w:val="24"/>
              </w:rPr>
            </w:pPr>
            <w:r>
              <w:rPr>
                <w:rFonts w:ascii="Arial" w:hAnsi="Arial" w:cs="Arial"/>
                <w:sz w:val="24"/>
                <w:szCs w:val="24"/>
              </w:rPr>
              <w:t>41.31</w:t>
            </w:r>
          </w:p>
        </w:tc>
        <w:tc>
          <w:tcPr>
            <w:tcW w:w="2158" w:type="dxa"/>
          </w:tcPr>
          <w:p w:rsidR="000E5509" w:rsidRDefault="000E5509" w:rsidP="008802E4">
            <w:pPr>
              <w:spacing w:line="360" w:lineRule="auto"/>
              <w:rPr>
                <w:rFonts w:ascii="Arial" w:hAnsi="Arial" w:cs="Arial"/>
                <w:sz w:val="24"/>
                <w:szCs w:val="24"/>
              </w:rPr>
            </w:pPr>
            <w:r>
              <w:rPr>
                <w:rFonts w:ascii="Arial" w:hAnsi="Arial" w:cs="Arial"/>
                <w:sz w:val="24"/>
                <w:szCs w:val="24"/>
              </w:rPr>
              <w:t>40</w:t>
            </w:r>
          </w:p>
        </w:tc>
        <w:tc>
          <w:tcPr>
            <w:tcW w:w="2158" w:type="dxa"/>
          </w:tcPr>
          <w:p w:rsidR="000E5509" w:rsidRDefault="000E5509" w:rsidP="008802E4">
            <w:pPr>
              <w:spacing w:line="360" w:lineRule="auto"/>
              <w:rPr>
                <w:rFonts w:ascii="Arial" w:hAnsi="Arial" w:cs="Arial"/>
                <w:sz w:val="24"/>
                <w:szCs w:val="24"/>
              </w:rPr>
            </w:pPr>
            <w:r>
              <w:rPr>
                <w:rFonts w:ascii="Arial" w:hAnsi="Arial" w:cs="Arial"/>
                <w:sz w:val="24"/>
                <w:szCs w:val="24"/>
              </w:rPr>
              <w:t>1.03</w:t>
            </w:r>
          </w:p>
        </w:tc>
      </w:tr>
      <w:tr w:rsidR="000E5509" w:rsidTr="000E5509">
        <w:tc>
          <w:tcPr>
            <w:tcW w:w="2157" w:type="dxa"/>
          </w:tcPr>
          <w:p w:rsidR="000E5509" w:rsidRDefault="000E5509" w:rsidP="008802E4">
            <w:pPr>
              <w:spacing w:line="360" w:lineRule="auto"/>
              <w:rPr>
                <w:rFonts w:ascii="Arial" w:hAnsi="Arial" w:cs="Arial"/>
                <w:sz w:val="24"/>
                <w:szCs w:val="24"/>
              </w:rPr>
            </w:pPr>
            <w:r>
              <w:rPr>
                <w:rFonts w:ascii="Arial" w:hAnsi="Arial" w:cs="Arial"/>
                <w:sz w:val="24"/>
                <w:szCs w:val="24"/>
              </w:rPr>
              <w:t>B</w:t>
            </w:r>
          </w:p>
        </w:tc>
        <w:tc>
          <w:tcPr>
            <w:tcW w:w="2157" w:type="dxa"/>
          </w:tcPr>
          <w:p w:rsidR="000E5509" w:rsidRDefault="000E5509" w:rsidP="008802E4">
            <w:pPr>
              <w:spacing w:line="360" w:lineRule="auto"/>
              <w:rPr>
                <w:rFonts w:ascii="Arial" w:hAnsi="Arial" w:cs="Arial"/>
                <w:sz w:val="24"/>
                <w:szCs w:val="24"/>
              </w:rPr>
            </w:pPr>
            <w:r>
              <w:rPr>
                <w:rFonts w:ascii="Arial" w:hAnsi="Arial" w:cs="Arial"/>
                <w:sz w:val="24"/>
                <w:szCs w:val="24"/>
              </w:rPr>
              <w:t>22.74</w:t>
            </w:r>
          </w:p>
        </w:tc>
        <w:tc>
          <w:tcPr>
            <w:tcW w:w="2158" w:type="dxa"/>
          </w:tcPr>
          <w:p w:rsidR="000E5509" w:rsidRDefault="000E5509" w:rsidP="008802E4">
            <w:pPr>
              <w:spacing w:line="360" w:lineRule="auto"/>
              <w:rPr>
                <w:rFonts w:ascii="Arial" w:hAnsi="Arial" w:cs="Arial"/>
                <w:sz w:val="24"/>
                <w:szCs w:val="24"/>
              </w:rPr>
            </w:pPr>
            <w:r>
              <w:rPr>
                <w:rFonts w:ascii="Arial" w:hAnsi="Arial" w:cs="Arial"/>
                <w:sz w:val="24"/>
                <w:szCs w:val="24"/>
              </w:rPr>
              <w:t>30</w:t>
            </w:r>
          </w:p>
        </w:tc>
        <w:tc>
          <w:tcPr>
            <w:tcW w:w="2158" w:type="dxa"/>
          </w:tcPr>
          <w:p w:rsidR="000E5509" w:rsidRDefault="000E5509" w:rsidP="008802E4">
            <w:pPr>
              <w:spacing w:line="360" w:lineRule="auto"/>
              <w:rPr>
                <w:rFonts w:ascii="Arial" w:hAnsi="Arial" w:cs="Arial"/>
                <w:sz w:val="24"/>
                <w:szCs w:val="24"/>
              </w:rPr>
            </w:pPr>
            <w:r>
              <w:rPr>
                <w:rFonts w:ascii="Arial" w:hAnsi="Arial" w:cs="Arial"/>
                <w:sz w:val="24"/>
                <w:szCs w:val="24"/>
              </w:rPr>
              <w:t>0.76</w:t>
            </w:r>
          </w:p>
        </w:tc>
      </w:tr>
      <w:tr w:rsidR="000E5509" w:rsidTr="000E5509">
        <w:tc>
          <w:tcPr>
            <w:tcW w:w="2157" w:type="dxa"/>
          </w:tcPr>
          <w:p w:rsidR="000E5509" w:rsidRDefault="000E5509" w:rsidP="008802E4">
            <w:pPr>
              <w:spacing w:line="360" w:lineRule="auto"/>
              <w:rPr>
                <w:rFonts w:ascii="Arial" w:hAnsi="Arial" w:cs="Arial"/>
                <w:sz w:val="24"/>
                <w:szCs w:val="24"/>
              </w:rPr>
            </w:pPr>
            <w:r>
              <w:rPr>
                <w:rFonts w:ascii="Arial" w:hAnsi="Arial" w:cs="Arial"/>
                <w:sz w:val="24"/>
                <w:szCs w:val="24"/>
              </w:rPr>
              <w:t>C</w:t>
            </w:r>
          </w:p>
        </w:tc>
        <w:tc>
          <w:tcPr>
            <w:tcW w:w="2157" w:type="dxa"/>
          </w:tcPr>
          <w:p w:rsidR="000E5509" w:rsidRDefault="000E5509" w:rsidP="008802E4">
            <w:pPr>
              <w:spacing w:line="360" w:lineRule="auto"/>
              <w:rPr>
                <w:rFonts w:ascii="Arial" w:hAnsi="Arial" w:cs="Arial"/>
                <w:sz w:val="24"/>
                <w:szCs w:val="24"/>
              </w:rPr>
            </w:pPr>
            <w:r>
              <w:rPr>
                <w:rFonts w:ascii="Arial" w:hAnsi="Arial" w:cs="Arial"/>
                <w:sz w:val="24"/>
                <w:szCs w:val="24"/>
              </w:rPr>
              <w:t>54.23</w:t>
            </w:r>
          </w:p>
        </w:tc>
        <w:tc>
          <w:tcPr>
            <w:tcW w:w="2158" w:type="dxa"/>
          </w:tcPr>
          <w:p w:rsidR="000E5509" w:rsidRDefault="000E5509" w:rsidP="008802E4">
            <w:pPr>
              <w:spacing w:line="360" w:lineRule="auto"/>
              <w:rPr>
                <w:rFonts w:ascii="Arial" w:hAnsi="Arial" w:cs="Arial"/>
                <w:sz w:val="24"/>
                <w:szCs w:val="24"/>
              </w:rPr>
            </w:pPr>
            <w:r>
              <w:rPr>
                <w:rFonts w:ascii="Arial" w:hAnsi="Arial" w:cs="Arial"/>
                <w:sz w:val="24"/>
                <w:szCs w:val="24"/>
              </w:rPr>
              <w:t>50</w:t>
            </w:r>
          </w:p>
        </w:tc>
        <w:tc>
          <w:tcPr>
            <w:tcW w:w="2158" w:type="dxa"/>
          </w:tcPr>
          <w:p w:rsidR="000E5509" w:rsidRDefault="000E5509" w:rsidP="008802E4">
            <w:pPr>
              <w:spacing w:line="360" w:lineRule="auto"/>
              <w:rPr>
                <w:rFonts w:ascii="Arial" w:hAnsi="Arial" w:cs="Arial"/>
                <w:sz w:val="24"/>
                <w:szCs w:val="24"/>
              </w:rPr>
            </w:pPr>
            <w:r>
              <w:rPr>
                <w:rFonts w:ascii="Arial" w:hAnsi="Arial" w:cs="Arial"/>
                <w:sz w:val="24"/>
                <w:szCs w:val="24"/>
              </w:rPr>
              <w:t>1.08</w:t>
            </w:r>
          </w:p>
        </w:tc>
      </w:tr>
    </w:tbl>
    <w:p w:rsidR="00E42851" w:rsidRPr="006168F4" w:rsidRDefault="00E42851" w:rsidP="008802E4">
      <w:pPr>
        <w:spacing w:line="360" w:lineRule="auto"/>
        <w:rPr>
          <w:rFonts w:ascii="Arial" w:hAnsi="Arial" w:cs="Arial"/>
          <w:sz w:val="24"/>
          <w:szCs w:val="24"/>
        </w:rPr>
      </w:pPr>
    </w:p>
    <w:p w:rsidR="00116274" w:rsidRDefault="00116274" w:rsidP="008802E4">
      <w:pPr>
        <w:spacing w:line="360" w:lineRule="auto"/>
        <w:rPr>
          <w:rStyle w:val="Strong"/>
          <w:rFonts w:ascii="Arial" w:hAnsi="Arial" w:cs="Arial"/>
          <w:bCs w:val="0"/>
          <w:sz w:val="24"/>
          <w:szCs w:val="24"/>
        </w:rPr>
      </w:pPr>
    </w:p>
    <w:p w:rsidR="00E42851" w:rsidRPr="00661F60" w:rsidRDefault="00E42851" w:rsidP="008802E4">
      <w:pPr>
        <w:spacing w:line="360" w:lineRule="auto"/>
        <w:rPr>
          <w:rFonts w:ascii="Arial" w:hAnsi="Arial" w:cs="Arial"/>
          <w:sz w:val="24"/>
          <w:szCs w:val="24"/>
        </w:rPr>
      </w:pPr>
      <w:r w:rsidRPr="00661F60">
        <w:rPr>
          <w:rStyle w:val="Strong"/>
          <w:rFonts w:ascii="Arial" w:hAnsi="Arial" w:cs="Arial"/>
          <w:bCs w:val="0"/>
          <w:sz w:val="24"/>
          <w:szCs w:val="24"/>
        </w:rPr>
        <w:lastRenderedPageBreak/>
        <w:t>6. Internal Rate of Return (IRR)</w:t>
      </w:r>
    </w:p>
    <w:p w:rsidR="00E42851" w:rsidRPr="006168F4" w:rsidRDefault="00E42851" w:rsidP="008802E4">
      <w:pPr>
        <w:spacing w:line="360" w:lineRule="auto"/>
        <w:rPr>
          <w:rFonts w:ascii="Arial" w:hAnsi="Arial" w:cs="Arial"/>
          <w:sz w:val="24"/>
          <w:szCs w:val="24"/>
        </w:rPr>
      </w:pPr>
      <w:r w:rsidRPr="006168F4">
        <w:rPr>
          <w:rFonts w:ascii="Arial" w:hAnsi="Arial" w:cs="Arial"/>
          <w:sz w:val="24"/>
          <w:szCs w:val="24"/>
        </w:rPr>
        <w:t>IRR is the discount rate where NPV = 0.</w:t>
      </w:r>
    </w:p>
    <w:p w:rsidR="00E42851" w:rsidRPr="006168F4" w:rsidRDefault="00E42851" w:rsidP="008802E4">
      <w:pPr>
        <w:spacing w:line="360" w:lineRule="auto"/>
        <w:rPr>
          <w:rFonts w:ascii="Arial" w:hAnsi="Arial" w:cs="Arial"/>
          <w:sz w:val="24"/>
          <w:szCs w:val="24"/>
        </w:rPr>
      </w:pPr>
      <w:r w:rsidRPr="006168F4">
        <w:rPr>
          <w:rStyle w:val="Strong"/>
          <w:rFonts w:ascii="Arial" w:hAnsi="Arial" w:cs="Arial"/>
          <w:b w:val="0"/>
          <w:bCs w:val="0"/>
          <w:sz w:val="24"/>
          <w:szCs w:val="24"/>
        </w:rPr>
        <w:t>Project A (Approx.)</w:t>
      </w:r>
    </w:p>
    <w:p w:rsidR="00E42851" w:rsidRPr="006168F4" w:rsidRDefault="00E42851" w:rsidP="008802E4">
      <w:pPr>
        <w:spacing w:line="360" w:lineRule="auto"/>
        <w:rPr>
          <w:rFonts w:ascii="Arial" w:hAnsi="Arial" w:cs="Arial"/>
          <w:sz w:val="24"/>
          <w:szCs w:val="24"/>
        </w:rPr>
      </w:pPr>
      <w:r w:rsidRPr="006168F4">
        <w:rPr>
          <w:rFonts w:ascii="Arial" w:hAnsi="Arial" w:cs="Arial"/>
          <w:sz w:val="24"/>
          <w:szCs w:val="24"/>
        </w:rPr>
        <w:t>Trial rates generate:</w:t>
      </w:r>
    </w:p>
    <w:p w:rsidR="00E42851" w:rsidRPr="006168F4" w:rsidRDefault="00E42851" w:rsidP="008802E4">
      <w:pPr>
        <w:spacing w:line="360" w:lineRule="auto"/>
        <w:rPr>
          <w:rFonts w:ascii="Arial" w:hAnsi="Arial" w:cs="Arial"/>
          <w:sz w:val="24"/>
          <w:szCs w:val="24"/>
        </w:rPr>
      </w:pPr>
      <w:r w:rsidRPr="006168F4">
        <w:rPr>
          <w:rFonts w:ascii="Arial" w:hAnsi="Arial" w:cs="Arial"/>
          <w:sz w:val="24"/>
          <w:szCs w:val="24"/>
        </w:rPr>
        <w:t>NPV at 10% = +1.31</w:t>
      </w:r>
    </w:p>
    <w:p w:rsidR="00E42851" w:rsidRPr="006168F4" w:rsidRDefault="00E42851" w:rsidP="008802E4">
      <w:pPr>
        <w:spacing w:line="360" w:lineRule="auto"/>
        <w:rPr>
          <w:rFonts w:ascii="Arial" w:hAnsi="Arial" w:cs="Arial"/>
          <w:sz w:val="24"/>
          <w:szCs w:val="24"/>
        </w:rPr>
      </w:pPr>
      <w:r w:rsidRPr="006168F4">
        <w:rPr>
          <w:rFonts w:ascii="Arial" w:hAnsi="Arial" w:cs="Arial"/>
          <w:sz w:val="24"/>
          <w:szCs w:val="24"/>
        </w:rPr>
        <w:t>NPV at 12% ≈ –0.9</w:t>
      </w:r>
    </w:p>
    <w:p w:rsidR="00E42851" w:rsidRPr="006168F4" w:rsidRDefault="00E42851" w:rsidP="008802E4">
      <w:pPr>
        <w:spacing w:line="360" w:lineRule="auto"/>
        <w:rPr>
          <w:rFonts w:ascii="Arial" w:hAnsi="Arial" w:cs="Arial"/>
          <w:sz w:val="24"/>
          <w:szCs w:val="24"/>
        </w:rPr>
      </w:pPr>
      <w:r w:rsidRPr="006168F4">
        <w:rPr>
          <w:rFonts w:ascii="Arial" w:hAnsi="Arial" w:cs="Arial"/>
          <w:sz w:val="24"/>
          <w:szCs w:val="24"/>
        </w:rPr>
        <w:t>Interpolation gives an IRR around:</w:t>
      </w:r>
    </w:p>
    <w:p w:rsidR="00E42851" w:rsidRPr="006168F4" w:rsidRDefault="00E42851" w:rsidP="008802E4">
      <w:pPr>
        <w:spacing w:line="360" w:lineRule="auto"/>
        <w:rPr>
          <w:rFonts w:ascii="Arial" w:hAnsi="Arial" w:cs="Arial"/>
          <w:sz w:val="24"/>
          <w:szCs w:val="24"/>
        </w:rPr>
      </w:pPr>
      <w:r w:rsidRPr="006168F4">
        <w:rPr>
          <w:rStyle w:val="Strong"/>
          <w:rFonts w:ascii="Arial" w:hAnsi="Arial" w:cs="Arial"/>
          <w:sz w:val="24"/>
          <w:szCs w:val="24"/>
        </w:rPr>
        <w:t>IRR (A) ≈ 11%</w:t>
      </w:r>
    </w:p>
    <w:p w:rsidR="00E42851" w:rsidRPr="006168F4" w:rsidRDefault="00E42851" w:rsidP="008802E4">
      <w:pPr>
        <w:spacing w:line="360" w:lineRule="auto"/>
        <w:rPr>
          <w:rFonts w:ascii="Arial" w:hAnsi="Arial" w:cs="Arial"/>
          <w:sz w:val="24"/>
          <w:szCs w:val="24"/>
        </w:rPr>
      </w:pPr>
      <w:r w:rsidRPr="006168F4">
        <w:rPr>
          <w:rStyle w:val="Strong"/>
          <w:rFonts w:ascii="Arial" w:hAnsi="Arial" w:cs="Arial"/>
          <w:b w:val="0"/>
          <w:bCs w:val="0"/>
          <w:sz w:val="24"/>
          <w:szCs w:val="24"/>
        </w:rPr>
        <w:t>Project B (Approx.)</w:t>
      </w:r>
    </w:p>
    <w:p w:rsidR="00E42851" w:rsidRPr="006168F4" w:rsidRDefault="00E42851" w:rsidP="008802E4">
      <w:pPr>
        <w:spacing w:line="360" w:lineRule="auto"/>
        <w:rPr>
          <w:rFonts w:ascii="Arial" w:hAnsi="Arial" w:cs="Arial"/>
          <w:sz w:val="24"/>
          <w:szCs w:val="24"/>
        </w:rPr>
      </w:pPr>
      <w:r w:rsidRPr="006168F4">
        <w:rPr>
          <w:rFonts w:ascii="Arial" w:hAnsi="Arial" w:cs="Arial"/>
          <w:sz w:val="24"/>
          <w:szCs w:val="24"/>
        </w:rPr>
        <w:t>Project B is never repaying its initial investment at any reasonable discount rate; cash inflows are too small.</w:t>
      </w:r>
    </w:p>
    <w:p w:rsidR="00E42851" w:rsidRPr="006168F4" w:rsidRDefault="00E42851" w:rsidP="008802E4">
      <w:pPr>
        <w:spacing w:line="360" w:lineRule="auto"/>
        <w:rPr>
          <w:rFonts w:ascii="Arial" w:hAnsi="Arial" w:cs="Arial"/>
          <w:sz w:val="24"/>
          <w:szCs w:val="24"/>
        </w:rPr>
      </w:pPr>
      <w:r w:rsidRPr="006168F4">
        <w:rPr>
          <w:rFonts w:ascii="Arial" w:hAnsi="Arial" w:cs="Arial"/>
          <w:sz w:val="24"/>
          <w:szCs w:val="24"/>
        </w:rPr>
        <w:t>NPV is negative at 0%?</w:t>
      </w:r>
      <w:r w:rsidRPr="006168F4">
        <w:rPr>
          <w:rFonts w:ascii="Arial" w:hAnsi="Arial" w:cs="Arial"/>
          <w:sz w:val="24"/>
          <w:szCs w:val="24"/>
        </w:rPr>
        <w:br/>
        <w:t>At 0% discount rate, NPV = 30 – 30 = 0.</w:t>
      </w:r>
      <w:r w:rsidRPr="006168F4">
        <w:rPr>
          <w:rFonts w:ascii="Arial" w:hAnsi="Arial" w:cs="Arial"/>
          <w:sz w:val="24"/>
          <w:szCs w:val="24"/>
        </w:rPr>
        <w:br/>
        <w:t>Thus IRR ≈ 0%.</w:t>
      </w:r>
    </w:p>
    <w:p w:rsidR="00E42851" w:rsidRPr="006168F4" w:rsidRDefault="00E42851" w:rsidP="008802E4">
      <w:pPr>
        <w:spacing w:line="360" w:lineRule="auto"/>
        <w:rPr>
          <w:rFonts w:ascii="Arial" w:hAnsi="Arial" w:cs="Arial"/>
          <w:sz w:val="24"/>
          <w:szCs w:val="24"/>
        </w:rPr>
      </w:pPr>
      <w:r w:rsidRPr="006168F4">
        <w:rPr>
          <w:rStyle w:val="Strong"/>
          <w:rFonts w:ascii="Arial" w:hAnsi="Arial" w:cs="Arial"/>
          <w:sz w:val="24"/>
          <w:szCs w:val="24"/>
        </w:rPr>
        <w:t>IRR (B) = 0%</w:t>
      </w:r>
    </w:p>
    <w:p w:rsidR="00E42851" w:rsidRPr="006168F4" w:rsidRDefault="00E42851" w:rsidP="008802E4">
      <w:pPr>
        <w:spacing w:line="360" w:lineRule="auto"/>
        <w:rPr>
          <w:rFonts w:ascii="Arial" w:hAnsi="Arial" w:cs="Arial"/>
          <w:sz w:val="24"/>
          <w:szCs w:val="24"/>
        </w:rPr>
      </w:pPr>
    </w:p>
    <w:p w:rsidR="00E42851" w:rsidRPr="006168F4" w:rsidRDefault="00E42851" w:rsidP="008802E4">
      <w:pPr>
        <w:spacing w:line="360" w:lineRule="auto"/>
        <w:rPr>
          <w:rFonts w:ascii="Arial" w:hAnsi="Arial" w:cs="Arial"/>
          <w:sz w:val="24"/>
          <w:szCs w:val="24"/>
        </w:rPr>
      </w:pPr>
      <w:r w:rsidRPr="006168F4">
        <w:rPr>
          <w:rStyle w:val="Strong"/>
          <w:rFonts w:ascii="Arial" w:hAnsi="Arial" w:cs="Arial"/>
          <w:b w:val="0"/>
          <w:bCs w:val="0"/>
          <w:sz w:val="24"/>
          <w:szCs w:val="24"/>
        </w:rPr>
        <w:t>Project C (Approx.)</w:t>
      </w:r>
    </w:p>
    <w:p w:rsidR="00E42851" w:rsidRPr="006168F4" w:rsidRDefault="00E42851" w:rsidP="008802E4">
      <w:pPr>
        <w:spacing w:line="360" w:lineRule="auto"/>
        <w:rPr>
          <w:rFonts w:ascii="Arial" w:hAnsi="Arial" w:cs="Arial"/>
          <w:sz w:val="24"/>
          <w:szCs w:val="24"/>
        </w:rPr>
      </w:pPr>
      <w:r w:rsidRPr="006168F4">
        <w:rPr>
          <w:rFonts w:ascii="Arial" w:hAnsi="Arial" w:cs="Arial"/>
          <w:sz w:val="24"/>
          <w:szCs w:val="24"/>
        </w:rPr>
        <w:t>NPV at 10% = +4.23m</w:t>
      </w:r>
    </w:p>
    <w:p w:rsidR="00E42851" w:rsidRPr="006168F4" w:rsidRDefault="00E42851" w:rsidP="008802E4">
      <w:pPr>
        <w:spacing w:line="360" w:lineRule="auto"/>
        <w:rPr>
          <w:rFonts w:ascii="Arial" w:hAnsi="Arial" w:cs="Arial"/>
          <w:sz w:val="24"/>
          <w:szCs w:val="24"/>
        </w:rPr>
      </w:pPr>
      <w:r w:rsidRPr="006168F4">
        <w:rPr>
          <w:rFonts w:ascii="Arial" w:hAnsi="Arial" w:cs="Arial"/>
          <w:sz w:val="24"/>
          <w:szCs w:val="24"/>
        </w:rPr>
        <w:t>NPV at 15% ≈ –2.8m</w:t>
      </w:r>
    </w:p>
    <w:p w:rsidR="00E42851" w:rsidRPr="006168F4" w:rsidRDefault="00E42851" w:rsidP="008802E4">
      <w:pPr>
        <w:spacing w:line="360" w:lineRule="auto"/>
        <w:rPr>
          <w:rFonts w:ascii="Arial" w:hAnsi="Arial" w:cs="Arial"/>
          <w:sz w:val="24"/>
          <w:szCs w:val="24"/>
        </w:rPr>
      </w:pPr>
      <w:r w:rsidRPr="006168F4">
        <w:rPr>
          <w:rFonts w:ascii="Arial" w:hAnsi="Arial" w:cs="Arial"/>
          <w:sz w:val="24"/>
          <w:szCs w:val="24"/>
        </w:rPr>
        <w:t>Interpolation suggests:</w:t>
      </w:r>
    </w:p>
    <w:p w:rsidR="00E42851" w:rsidRPr="006168F4" w:rsidRDefault="00E42851" w:rsidP="008802E4">
      <w:pPr>
        <w:spacing w:line="360" w:lineRule="auto"/>
        <w:rPr>
          <w:rFonts w:ascii="Arial" w:hAnsi="Arial" w:cs="Arial"/>
          <w:sz w:val="24"/>
          <w:szCs w:val="24"/>
        </w:rPr>
      </w:pPr>
      <w:r w:rsidRPr="006168F4">
        <w:rPr>
          <w:rStyle w:val="Strong"/>
          <w:rFonts w:ascii="Arial" w:hAnsi="Arial" w:cs="Arial"/>
          <w:sz w:val="24"/>
          <w:szCs w:val="24"/>
        </w:rPr>
        <w:t>IRR (C) ≈ 12.5%</w:t>
      </w:r>
    </w:p>
    <w:p w:rsidR="00E42851" w:rsidRPr="006168F4" w:rsidRDefault="00E42851" w:rsidP="008802E4">
      <w:pPr>
        <w:spacing w:line="360" w:lineRule="auto"/>
        <w:rPr>
          <w:rFonts w:ascii="Arial" w:hAnsi="Arial" w:cs="Arial"/>
          <w:sz w:val="24"/>
          <w:szCs w:val="24"/>
        </w:rPr>
      </w:pPr>
      <w:r w:rsidRPr="006168F4">
        <w:rPr>
          <w:rFonts w:ascii="Arial" w:hAnsi="Arial" w:cs="Arial"/>
          <w:sz w:val="24"/>
          <w:szCs w:val="24"/>
        </w:rPr>
        <w:lastRenderedPageBreak/>
        <w:t>Projects A and C are viable.</w:t>
      </w:r>
      <w:r w:rsidRPr="006168F4">
        <w:rPr>
          <w:rFonts w:ascii="Arial" w:hAnsi="Arial" w:cs="Arial"/>
          <w:sz w:val="24"/>
          <w:szCs w:val="24"/>
        </w:rPr>
        <w:br/>
        <w:t>Project B should be rejected.</w:t>
      </w:r>
    </w:p>
    <w:p w:rsidR="00E42851" w:rsidRPr="006168F4" w:rsidRDefault="00E42851" w:rsidP="008802E4">
      <w:pPr>
        <w:spacing w:line="360" w:lineRule="auto"/>
        <w:rPr>
          <w:rFonts w:ascii="Arial" w:hAnsi="Arial" w:cs="Arial"/>
          <w:sz w:val="24"/>
          <w:szCs w:val="24"/>
        </w:rPr>
      </w:pPr>
    </w:p>
    <w:p w:rsidR="00D82B15" w:rsidRPr="006168F4" w:rsidRDefault="00116274" w:rsidP="008802E4">
      <w:pPr>
        <w:spacing w:line="360" w:lineRule="auto"/>
        <w:rPr>
          <w:rFonts w:ascii="Arial" w:hAnsi="Arial" w:cs="Arial"/>
          <w:sz w:val="24"/>
          <w:szCs w:val="24"/>
        </w:rPr>
      </w:pPr>
      <w:r>
        <w:rPr>
          <w:rStyle w:val="Strong"/>
          <w:rFonts w:ascii="Arial" w:hAnsi="Arial" w:cs="Arial"/>
          <w:sz w:val="24"/>
          <w:szCs w:val="24"/>
        </w:rPr>
        <w:t>4.7</w:t>
      </w:r>
      <w:r w:rsidR="00D82B15" w:rsidRPr="006168F4">
        <w:rPr>
          <w:rStyle w:val="Strong"/>
          <w:rFonts w:ascii="Arial" w:hAnsi="Arial" w:cs="Arial"/>
          <w:sz w:val="24"/>
          <w:szCs w:val="24"/>
        </w:rPr>
        <w:t xml:space="preserve"> Capital Rationing Decision (Maximum Investment: £60m)</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Possible combinations:</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 xml:space="preserve">A + B = £70m </w:t>
      </w:r>
      <w:r w:rsidR="005D4F60" w:rsidRPr="006168F4">
        <w:rPr>
          <w:rFonts w:ascii="Segoe UI Symbol" w:hAnsi="Segoe UI Symbol" w:cs="Segoe UI Symbol"/>
          <w:sz w:val="24"/>
          <w:szCs w:val="24"/>
        </w:rPr>
        <w:t>❌</w:t>
      </w:r>
      <w:r w:rsidRPr="006168F4">
        <w:rPr>
          <w:rFonts w:ascii="Arial" w:hAnsi="Arial" w:cs="Arial"/>
          <w:sz w:val="24"/>
          <w:szCs w:val="24"/>
        </w:rPr>
        <w:t>(exceeds limit)</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 xml:space="preserve">A + C = £90m </w:t>
      </w:r>
      <w:r w:rsidRPr="006168F4">
        <w:rPr>
          <w:rFonts w:ascii="Segoe UI Symbol" w:hAnsi="Segoe UI Symbol" w:cs="Segoe UI Symbol"/>
          <w:sz w:val="24"/>
          <w:szCs w:val="24"/>
        </w:rPr>
        <w:t>❌</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 xml:space="preserve">B + C = £80m </w:t>
      </w:r>
      <w:r w:rsidRPr="006168F4">
        <w:rPr>
          <w:rFonts w:ascii="Segoe UI Symbol" w:hAnsi="Segoe UI Symbol" w:cs="Segoe UI Symbol"/>
          <w:sz w:val="24"/>
          <w:szCs w:val="24"/>
        </w:rPr>
        <w:t>❌</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Only one project can be chosen.</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Choose the project with the highest NPV and PI</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NPV(C) = 4.23m &gt; NPV(A) = 1.31m</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PI(C) = 1.08 &gt; PI(A) = 1.03</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IRR(C) also highest.</w:t>
      </w:r>
    </w:p>
    <w:p w:rsidR="00B950E3" w:rsidRPr="006168F4" w:rsidRDefault="00B950E3" w:rsidP="008802E4">
      <w:pPr>
        <w:spacing w:line="360" w:lineRule="auto"/>
        <w:rPr>
          <w:rFonts w:ascii="Arial" w:hAnsi="Arial" w:cs="Arial"/>
          <w:sz w:val="24"/>
          <w:szCs w:val="24"/>
        </w:rPr>
      </w:pPr>
      <w:r w:rsidRPr="006168F4">
        <w:rPr>
          <w:rStyle w:val="Strong"/>
          <w:rFonts w:ascii="Arial" w:hAnsi="Arial" w:cs="Arial"/>
          <w:sz w:val="24"/>
          <w:szCs w:val="24"/>
        </w:rPr>
        <w:t>Therefore, Project C should be selected.</w:t>
      </w:r>
    </w:p>
    <w:p w:rsidR="00661F60" w:rsidRDefault="00661F60" w:rsidP="008802E4">
      <w:pPr>
        <w:spacing w:line="360" w:lineRule="auto"/>
        <w:rPr>
          <w:rStyle w:val="Strong"/>
          <w:rFonts w:ascii="Arial" w:hAnsi="Arial" w:cs="Arial"/>
          <w:b w:val="0"/>
          <w:bCs w:val="0"/>
          <w:sz w:val="24"/>
          <w:szCs w:val="24"/>
        </w:rPr>
      </w:pPr>
    </w:p>
    <w:p w:rsidR="00B950E3" w:rsidRPr="00661F60" w:rsidRDefault="00116274" w:rsidP="008802E4">
      <w:pPr>
        <w:spacing w:line="360" w:lineRule="auto"/>
        <w:rPr>
          <w:rFonts w:ascii="Arial" w:hAnsi="Arial" w:cs="Arial"/>
          <w:sz w:val="24"/>
          <w:szCs w:val="24"/>
        </w:rPr>
      </w:pPr>
      <w:r>
        <w:rPr>
          <w:rStyle w:val="Strong"/>
          <w:rFonts w:ascii="Arial" w:hAnsi="Arial" w:cs="Arial"/>
          <w:bCs w:val="0"/>
          <w:sz w:val="24"/>
          <w:szCs w:val="24"/>
        </w:rPr>
        <w:t>4</w:t>
      </w:r>
      <w:r w:rsidR="00B950E3" w:rsidRPr="00661F60">
        <w:rPr>
          <w:rStyle w:val="Strong"/>
          <w:rFonts w:ascii="Arial" w:hAnsi="Arial" w:cs="Arial"/>
          <w:bCs w:val="0"/>
          <w:sz w:val="24"/>
          <w:szCs w:val="24"/>
        </w:rPr>
        <w:t>.</w:t>
      </w:r>
      <w:r>
        <w:rPr>
          <w:rStyle w:val="Strong"/>
          <w:rFonts w:ascii="Arial" w:hAnsi="Arial" w:cs="Arial"/>
          <w:bCs w:val="0"/>
          <w:sz w:val="24"/>
          <w:szCs w:val="24"/>
        </w:rPr>
        <w:t>8</w:t>
      </w:r>
      <w:r w:rsidR="00B950E3" w:rsidRPr="00661F60">
        <w:rPr>
          <w:rStyle w:val="Strong"/>
          <w:rFonts w:ascii="Arial" w:hAnsi="Arial" w:cs="Arial"/>
          <w:bCs w:val="0"/>
          <w:sz w:val="24"/>
          <w:szCs w:val="24"/>
        </w:rPr>
        <w:t xml:space="preserve"> Justification Using Company Financial Performance</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The company's financial statements show :</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9.1 Liquidity Stress</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Cash and cash equivalents fell from £66,740m in 2022 to £26,783m in 2024.</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Operating cash flows are very volatile, falling from £40,283m in 2021 down to £10,926m in 2022, before partially recovering to £14,822m in 2024.</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lastRenderedPageBreak/>
        <w:t>This instability means:</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Cash-rich projects with faster payback are favored.</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Not suitable for high-risk long-duration projects.</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Project C has:</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Strong cumulative cash inflows</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A PBP less than 4 years</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High return potential</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This provides both liquidity support and strategic value.</w:t>
      </w:r>
    </w:p>
    <w:p w:rsidR="00B950E3" w:rsidRPr="006168F4" w:rsidRDefault="00B950E3" w:rsidP="008802E4">
      <w:pPr>
        <w:spacing w:line="360" w:lineRule="auto"/>
        <w:rPr>
          <w:rFonts w:ascii="Arial" w:hAnsi="Arial" w:cs="Arial"/>
          <w:sz w:val="24"/>
          <w:szCs w:val="24"/>
        </w:rPr>
      </w:pPr>
    </w:p>
    <w:p w:rsidR="00B950E3" w:rsidRPr="008D2EE4" w:rsidRDefault="00116274" w:rsidP="008802E4">
      <w:pPr>
        <w:spacing w:line="360" w:lineRule="auto"/>
        <w:rPr>
          <w:rFonts w:ascii="Arial" w:hAnsi="Arial" w:cs="Arial"/>
          <w:sz w:val="24"/>
          <w:szCs w:val="24"/>
        </w:rPr>
      </w:pPr>
      <w:r>
        <w:rPr>
          <w:rStyle w:val="Strong"/>
          <w:rFonts w:ascii="Arial" w:hAnsi="Arial" w:cs="Arial"/>
          <w:bCs w:val="0"/>
          <w:sz w:val="24"/>
          <w:szCs w:val="24"/>
        </w:rPr>
        <w:t>4.9</w:t>
      </w:r>
      <w:r w:rsidR="00B950E3" w:rsidRPr="008D2EE4">
        <w:rPr>
          <w:rStyle w:val="Strong"/>
          <w:rFonts w:ascii="Arial" w:hAnsi="Arial" w:cs="Arial"/>
          <w:bCs w:val="0"/>
          <w:sz w:val="24"/>
          <w:szCs w:val="24"/>
        </w:rPr>
        <w:t xml:space="preserve"> Profitability Decline</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The company has recorded major losses for two consecutive years:</w:t>
      </w:r>
    </w:p>
    <w:p w:rsidR="00B950E3" w:rsidRPr="006168F4" w:rsidRDefault="00B950E3" w:rsidP="008802E4">
      <w:pPr>
        <w:spacing w:line="360" w:lineRule="auto"/>
        <w:rPr>
          <w:rFonts w:ascii="Arial" w:hAnsi="Arial" w:cs="Arial"/>
          <w:sz w:val="24"/>
          <w:szCs w:val="24"/>
        </w:rPr>
      </w:pPr>
      <w:r w:rsidRPr="006168F4">
        <w:rPr>
          <w:rStyle w:val="Strong"/>
          <w:rFonts w:ascii="Arial" w:hAnsi="Arial" w:cs="Arial"/>
          <w:sz w:val="24"/>
          <w:szCs w:val="24"/>
        </w:rPr>
        <w:t>2023:</w:t>
      </w:r>
      <w:r w:rsidRPr="006168F4">
        <w:rPr>
          <w:rFonts w:ascii="Arial" w:hAnsi="Arial" w:cs="Arial"/>
          <w:sz w:val="24"/>
          <w:szCs w:val="24"/>
        </w:rPr>
        <w:t xml:space="preserve"> –£98,238m</w:t>
      </w:r>
    </w:p>
    <w:p w:rsidR="00B950E3" w:rsidRPr="006168F4" w:rsidRDefault="00B950E3" w:rsidP="008802E4">
      <w:pPr>
        <w:spacing w:line="360" w:lineRule="auto"/>
        <w:rPr>
          <w:rStyle w:val="relative"/>
          <w:rFonts w:ascii="Arial" w:hAnsi="Arial" w:cs="Arial"/>
          <w:sz w:val="24"/>
          <w:szCs w:val="24"/>
        </w:rPr>
      </w:pPr>
      <w:r w:rsidRPr="006168F4">
        <w:rPr>
          <w:rStyle w:val="Strong"/>
          <w:rFonts w:ascii="Arial" w:hAnsi="Arial" w:cs="Arial"/>
          <w:sz w:val="24"/>
          <w:szCs w:val="24"/>
        </w:rPr>
        <w:t>2024:</w:t>
      </w:r>
      <w:r w:rsidRPr="006168F4">
        <w:rPr>
          <w:rFonts w:ascii="Arial" w:hAnsi="Arial" w:cs="Arial"/>
          <w:sz w:val="24"/>
          <w:szCs w:val="24"/>
        </w:rPr>
        <w:t xml:space="preserve"> –£24,029m</w:t>
      </w:r>
      <w:r w:rsidRPr="006168F4">
        <w:rPr>
          <w:rFonts w:ascii="Arial" w:hAnsi="Arial" w:cs="Arial"/>
          <w:sz w:val="24"/>
          <w:szCs w:val="24"/>
        </w:rPr>
        <w:br/>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This undermines retained earnings and increases dependence on external finance.</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The projects must therefore rapidly restore profitability with a high return efficiency.</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Project C meets these criteria because:</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It has the highest ARR of 10%</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It provides the highest NPV and IRR.</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Later inflows are large, supporting earnings recovery</w:t>
      </w:r>
    </w:p>
    <w:p w:rsidR="008D2EE4" w:rsidRPr="008D2EE4" w:rsidRDefault="008D2EE4" w:rsidP="008D2EE4">
      <w:pPr>
        <w:spacing w:line="360" w:lineRule="auto"/>
        <w:rPr>
          <w:rFonts w:ascii="Arial" w:hAnsi="Arial" w:cs="Arial"/>
          <w:sz w:val="24"/>
          <w:szCs w:val="24"/>
        </w:rPr>
      </w:pP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Project A is acceptable but adds less to profitability.</w:t>
      </w:r>
    </w:p>
    <w:p w:rsidR="008D2EE4" w:rsidRPr="00116274" w:rsidRDefault="008D2EE4" w:rsidP="008D2EE4">
      <w:pPr>
        <w:spacing w:line="360" w:lineRule="auto"/>
        <w:rPr>
          <w:rFonts w:ascii="Arial" w:hAnsi="Arial" w:cs="Arial"/>
          <w:b/>
          <w:sz w:val="24"/>
          <w:szCs w:val="24"/>
        </w:rPr>
      </w:pPr>
      <w:r w:rsidRPr="00116274">
        <w:rPr>
          <w:rFonts w:ascii="Arial" w:hAnsi="Arial" w:cs="Arial"/>
          <w:b/>
          <w:sz w:val="24"/>
          <w:szCs w:val="24"/>
        </w:rPr>
        <w:t xml:space="preserve"> High Borrowing and Leverage Pressure</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The company borrowed £102,193m via lines of credit in 2024 due to liquidity shortfalls and repaid almost the same amount, showing its dependence on short-term debt facilities.</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Projects must therefore:</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Generate positive returns above the financing cost</w:t>
      </w:r>
    </w:p>
    <w:p w:rsidR="008D2EE4" w:rsidRPr="008D2EE4" w:rsidRDefault="008D2EE4" w:rsidP="008D2EE4">
      <w:pPr>
        <w:spacing w:line="360" w:lineRule="auto"/>
        <w:rPr>
          <w:rFonts w:ascii="Arial" w:hAnsi="Arial" w:cs="Arial"/>
          <w:sz w:val="24"/>
          <w:szCs w:val="24"/>
        </w:rPr>
      </w:pPr>
      <w:r w:rsidRPr="008D2EE4">
        <w:rPr>
          <w:rFonts w:ascii="Arial" w:hAnsi="Arial" w:cs="Arial"/>
          <w:sz w:val="24"/>
          <w:szCs w:val="24"/>
        </w:rPr>
        <w:t>Decrease dependence on liquidity</w:t>
      </w:r>
    </w:p>
    <w:p w:rsidR="008D2EE4" w:rsidRDefault="008D2EE4" w:rsidP="008D2EE4">
      <w:pPr>
        <w:spacing w:line="360" w:lineRule="auto"/>
        <w:rPr>
          <w:rFonts w:ascii="Arial" w:hAnsi="Arial" w:cs="Arial"/>
          <w:sz w:val="24"/>
          <w:szCs w:val="24"/>
        </w:rPr>
      </w:pPr>
      <w:r w:rsidRPr="008D2EE4">
        <w:rPr>
          <w:rFonts w:ascii="Arial" w:hAnsi="Arial" w:cs="Arial"/>
          <w:sz w:val="24"/>
          <w:szCs w:val="24"/>
        </w:rPr>
        <w:t>Avoid long exposure to negative cash cycles Project C, with an IRR of ~12.5%, comfortably exceeds the firm's estimate of the cost of capital, 10%.</w:t>
      </w:r>
    </w:p>
    <w:p w:rsidR="00B950E3" w:rsidRPr="006168F4" w:rsidRDefault="00B950E3" w:rsidP="008D2EE4">
      <w:pPr>
        <w:spacing w:line="360" w:lineRule="auto"/>
        <w:rPr>
          <w:rFonts w:ascii="Arial" w:hAnsi="Arial" w:cs="Arial"/>
          <w:sz w:val="24"/>
          <w:szCs w:val="24"/>
        </w:rPr>
      </w:pPr>
      <w:r w:rsidRPr="006168F4">
        <w:rPr>
          <w:rFonts w:ascii="Arial" w:hAnsi="Arial" w:cs="Arial"/>
          <w:sz w:val="24"/>
          <w:szCs w:val="24"/>
        </w:rPr>
        <w:t>Project A is marginal (IRR ≈ 11%).</w:t>
      </w:r>
      <w:r w:rsidRPr="006168F4">
        <w:rPr>
          <w:rFonts w:ascii="Arial" w:hAnsi="Arial" w:cs="Arial"/>
          <w:sz w:val="24"/>
          <w:szCs w:val="24"/>
        </w:rPr>
        <w:br/>
        <w:t>Project B is unacceptable (IRR = 0%).</w:t>
      </w:r>
    </w:p>
    <w:p w:rsidR="00B950E3" w:rsidRPr="006168F4" w:rsidRDefault="00B950E3" w:rsidP="008802E4">
      <w:pPr>
        <w:spacing w:line="360" w:lineRule="auto"/>
        <w:rPr>
          <w:rFonts w:ascii="Arial" w:hAnsi="Arial" w:cs="Arial"/>
          <w:sz w:val="24"/>
          <w:szCs w:val="24"/>
        </w:rPr>
      </w:pPr>
    </w:p>
    <w:p w:rsidR="00B950E3" w:rsidRPr="008D2EE4" w:rsidRDefault="00B950E3" w:rsidP="008802E4">
      <w:pPr>
        <w:spacing w:line="360" w:lineRule="auto"/>
        <w:rPr>
          <w:rFonts w:ascii="Arial" w:hAnsi="Arial" w:cs="Arial"/>
          <w:sz w:val="24"/>
          <w:szCs w:val="24"/>
        </w:rPr>
      </w:pPr>
      <w:r w:rsidRPr="008D2EE4">
        <w:rPr>
          <w:rStyle w:val="Strong"/>
          <w:rFonts w:ascii="Arial" w:hAnsi="Arial" w:cs="Arial"/>
          <w:bCs w:val="0"/>
          <w:sz w:val="24"/>
          <w:szCs w:val="24"/>
        </w:rPr>
        <w:t>10. Project Risk Considerations</w:t>
      </w:r>
    </w:p>
    <w:p w:rsidR="00B950E3" w:rsidRPr="00116274" w:rsidRDefault="00B950E3" w:rsidP="008802E4">
      <w:pPr>
        <w:spacing w:line="360" w:lineRule="auto"/>
        <w:rPr>
          <w:rFonts w:ascii="Arial" w:hAnsi="Arial" w:cs="Arial"/>
          <w:sz w:val="24"/>
          <w:szCs w:val="24"/>
        </w:rPr>
      </w:pPr>
      <w:r w:rsidRPr="00116274">
        <w:rPr>
          <w:rStyle w:val="Strong"/>
          <w:rFonts w:ascii="Arial" w:hAnsi="Arial" w:cs="Arial"/>
          <w:bCs w:val="0"/>
          <w:sz w:val="24"/>
          <w:szCs w:val="24"/>
        </w:rPr>
        <w:t>Cash Flow Volatility</w:t>
      </w:r>
    </w:p>
    <w:p w:rsidR="00B614A9" w:rsidRPr="00B614A9" w:rsidRDefault="00B614A9" w:rsidP="00B614A9">
      <w:pPr>
        <w:spacing w:line="360" w:lineRule="auto"/>
        <w:rPr>
          <w:rStyle w:val="Strong"/>
          <w:rFonts w:ascii="Arial" w:hAnsi="Arial" w:cs="Arial"/>
          <w:b w:val="0"/>
          <w:sz w:val="24"/>
          <w:szCs w:val="24"/>
        </w:rPr>
      </w:pPr>
      <w:r w:rsidRPr="00B614A9">
        <w:rPr>
          <w:rStyle w:val="Strong"/>
          <w:rFonts w:ascii="Arial" w:hAnsi="Arial" w:cs="Arial"/>
          <w:b w:val="0"/>
          <w:sz w:val="24"/>
          <w:szCs w:val="24"/>
        </w:rPr>
        <w:t>Project A: medium volatility; cash flows rise steadily then decline.</w:t>
      </w:r>
    </w:p>
    <w:p w:rsidR="00B614A9" w:rsidRPr="00B614A9" w:rsidRDefault="00B614A9" w:rsidP="00B614A9">
      <w:pPr>
        <w:spacing w:line="360" w:lineRule="auto"/>
        <w:rPr>
          <w:rStyle w:val="Strong"/>
          <w:rFonts w:ascii="Arial" w:hAnsi="Arial" w:cs="Arial"/>
          <w:b w:val="0"/>
          <w:sz w:val="24"/>
          <w:szCs w:val="24"/>
        </w:rPr>
      </w:pPr>
      <w:r w:rsidRPr="00B614A9">
        <w:rPr>
          <w:rStyle w:val="Strong"/>
          <w:rFonts w:ascii="Arial" w:hAnsi="Arial" w:cs="Arial"/>
          <w:b w:val="0"/>
          <w:sz w:val="24"/>
          <w:szCs w:val="24"/>
        </w:rPr>
        <w:t>Project B: low volatility but inadequate returns.</w:t>
      </w:r>
    </w:p>
    <w:p w:rsidR="00B614A9" w:rsidRPr="00B614A9" w:rsidRDefault="00B614A9" w:rsidP="00B614A9">
      <w:pPr>
        <w:spacing w:line="360" w:lineRule="auto"/>
        <w:rPr>
          <w:rStyle w:val="Strong"/>
          <w:rFonts w:ascii="Arial" w:hAnsi="Arial" w:cs="Arial"/>
          <w:b w:val="0"/>
          <w:sz w:val="24"/>
          <w:szCs w:val="24"/>
        </w:rPr>
      </w:pPr>
      <w:r w:rsidRPr="00B614A9">
        <w:rPr>
          <w:rStyle w:val="Strong"/>
          <w:rFonts w:ascii="Arial" w:hAnsi="Arial" w:cs="Arial"/>
          <w:b w:val="0"/>
          <w:sz w:val="24"/>
          <w:szCs w:val="24"/>
        </w:rPr>
        <w:t>Project C: higher volatility, but with a strong upward trend from Y1–Y4.</w:t>
      </w:r>
    </w:p>
    <w:p w:rsidR="00B614A9" w:rsidRPr="00B614A9" w:rsidRDefault="00B614A9" w:rsidP="00B614A9">
      <w:pPr>
        <w:spacing w:line="360" w:lineRule="auto"/>
        <w:rPr>
          <w:rStyle w:val="Strong"/>
          <w:rFonts w:ascii="Arial" w:hAnsi="Arial" w:cs="Arial"/>
          <w:b w:val="0"/>
          <w:sz w:val="24"/>
          <w:szCs w:val="24"/>
        </w:rPr>
      </w:pPr>
      <w:r w:rsidRPr="00B614A9">
        <w:rPr>
          <w:rStyle w:val="Strong"/>
          <w:rFonts w:ascii="Arial" w:hAnsi="Arial" w:cs="Arial"/>
          <w:b w:val="0"/>
          <w:sz w:val="24"/>
          <w:szCs w:val="24"/>
        </w:rPr>
        <w:t>With the company in crisis, it needs projects that have strong upside potential, not ones that provide only stable, weak cash flows.</w:t>
      </w:r>
    </w:p>
    <w:p w:rsidR="00B614A9" w:rsidRPr="00B614A9" w:rsidRDefault="00B614A9" w:rsidP="00B614A9">
      <w:pPr>
        <w:spacing w:line="360" w:lineRule="auto"/>
        <w:rPr>
          <w:rStyle w:val="Strong"/>
          <w:rFonts w:ascii="Arial" w:hAnsi="Arial" w:cs="Arial"/>
          <w:b w:val="0"/>
          <w:sz w:val="24"/>
          <w:szCs w:val="24"/>
        </w:rPr>
      </w:pPr>
      <w:r w:rsidRPr="00B614A9">
        <w:rPr>
          <w:rStyle w:val="Strong"/>
          <w:rFonts w:ascii="Arial" w:hAnsi="Arial" w:cs="Arial"/>
          <w:b w:val="0"/>
          <w:sz w:val="24"/>
          <w:szCs w:val="24"/>
        </w:rPr>
        <w:t>Project C provides:</w:t>
      </w:r>
    </w:p>
    <w:p w:rsidR="00B614A9" w:rsidRPr="00B614A9" w:rsidRDefault="00B614A9" w:rsidP="00B614A9">
      <w:pPr>
        <w:spacing w:line="360" w:lineRule="auto"/>
        <w:rPr>
          <w:rStyle w:val="Strong"/>
          <w:rFonts w:ascii="Arial" w:hAnsi="Arial" w:cs="Arial"/>
          <w:b w:val="0"/>
          <w:sz w:val="24"/>
          <w:szCs w:val="24"/>
        </w:rPr>
      </w:pPr>
      <w:r w:rsidRPr="00B614A9">
        <w:rPr>
          <w:rStyle w:val="Strong"/>
          <w:rFonts w:ascii="Arial" w:hAnsi="Arial" w:cs="Arial"/>
          <w:b w:val="0"/>
          <w:sz w:val="24"/>
          <w:szCs w:val="24"/>
        </w:rPr>
        <w:t>High growth in inflows: 5 → 10 → 20 → 25 → 15</w:t>
      </w:r>
    </w:p>
    <w:p w:rsidR="00B614A9" w:rsidRPr="00B614A9" w:rsidRDefault="00B614A9" w:rsidP="00B614A9">
      <w:pPr>
        <w:spacing w:line="360" w:lineRule="auto"/>
        <w:rPr>
          <w:rStyle w:val="Strong"/>
          <w:rFonts w:ascii="Arial" w:hAnsi="Arial" w:cs="Arial"/>
          <w:b w:val="0"/>
          <w:sz w:val="24"/>
          <w:szCs w:val="24"/>
        </w:rPr>
      </w:pPr>
      <w:r w:rsidRPr="00B614A9">
        <w:rPr>
          <w:rStyle w:val="Strong"/>
          <w:rFonts w:ascii="Arial" w:hAnsi="Arial" w:cs="Arial"/>
          <w:b w:val="0"/>
          <w:sz w:val="24"/>
          <w:szCs w:val="24"/>
        </w:rPr>
        <w:lastRenderedPageBreak/>
        <w:t>Significant returns supporting turnaround</w:t>
      </w:r>
    </w:p>
    <w:p w:rsidR="00B950E3" w:rsidRPr="00B614A9" w:rsidRDefault="00B614A9" w:rsidP="00B614A9">
      <w:pPr>
        <w:spacing w:line="360" w:lineRule="auto"/>
        <w:rPr>
          <w:rFonts w:ascii="Arial" w:hAnsi="Arial" w:cs="Arial"/>
          <w:b/>
          <w:sz w:val="24"/>
          <w:szCs w:val="24"/>
        </w:rPr>
      </w:pPr>
      <w:r w:rsidRPr="00B614A9">
        <w:rPr>
          <w:rStyle w:val="Strong"/>
          <w:rFonts w:ascii="Arial" w:hAnsi="Arial" w:cs="Arial"/>
          <w:b w:val="0"/>
          <w:sz w:val="24"/>
          <w:szCs w:val="24"/>
        </w:rPr>
        <w:t>Manageable early negative cash exposure</w:t>
      </w:r>
    </w:p>
    <w:p w:rsidR="00661F60" w:rsidRDefault="00661F60" w:rsidP="008802E4">
      <w:pPr>
        <w:spacing w:line="360" w:lineRule="auto"/>
        <w:rPr>
          <w:rStyle w:val="Strong"/>
          <w:rFonts w:ascii="Arial" w:hAnsi="Arial" w:cs="Arial"/>
          <w:b w:val="0"/>
          <w:bCs w:val="0"/>
          <w:sz w:val="24"/>
          <w:szCs w:val="24"/>
        </w:rPr>
      </w:pPr>
    </w:p>
    <w:p w:rsidR="00661F60" w:rsidRDefault="00661F60" w:rsidP="008802E4">
      <w:pPr>
        <w:spacing w:line="360" w:lineRule="auto"/>
        <w:rPr>
          <w:rStyle w:val="Strong"/>
          <w:rFonts w:ascii="Arial" w:hAnsi="Arial" w:cs="Arial"/>
          <w:b w:val="0"/>
          <w:bCs w:val="0"/>
          <w:sz w:val="24"/>
          <w:szCs w:val="24"/>
        </w:rPr>
      </w:pPr>
    </w:p>
    <w:p w:rsidR="00B950E3" w:rsidRPr="008D2EE4" w:rsidRDefault="00B950E3" w:rsidP="008802E4">
      <w:pPr>
        <w:spacing w:line="360" w:lineRule="auto"/>
        <w:rPr>
          <w:rFonts w:ascii="Arial" w:hAnsi="Arial" w:cs="Arial"/>
          <w:sz w:val="24"/>
          <w:szCs w:val="24"/>
        </w:rPr>
      </w:pPr>
      <w:r w:rsidRPr="008D2EE4">
        <w:rPr>
          <w:rStyle w:val="Strong"/>
          <w:rFonts w:ascii="Arial" w:hAnsi="Arial" w:cs="Arial"/>
          <w:bCs w:val="0"/>
          <w:sz w:val="24"/>
          <w:szCs w:val="24"/>
        </w:rPr>
        <w:t>10.2 Risk Versus Return Profile</w:t>
      </w:r>
    </w:p>
    <w:p w:rsidR="00B614A9" w:rsidRPr="00B614A9" w:rsidRDefault="00B614A9" w:rsidP="00B614A9">
      <w:pPr>
        <w:spacing w:line="360" w:lineRule="auto"/>
        <w:rPr>
          <w:rFonts w:ascii="Arial" w:hAnsi="Arial" w:cs="Arial"/>
          <w:sz w:val="24"/>
          <w:szCs w:val="24"/>
        </w:rPr>
      </w:pPr>
      <w:r w:rsidRPr="00B614A9">
        <w:rPr>
          <w:rFonts w:ascii="Arial" w:hAnsi="Arial" w:cs="Arial"/>
          <w:sz w:val="24"/>
          <w:szCs w:val="24"/>
        </w:rPr>
        <w:t>Project C involves:</w:t>
      </w:r>
    </w:p>
    <w:p w:rsidR="00B614A9" w:rsidRPr="00B614A9" w:rsidRDefault="00B614A9" w:rsidP="00B614A9">
      <w:pPr>
        <w:spacing w:line="360" w:lineRule="auto"/>
        <w:rPr>
          <w:rFonts w:ascii="Arial" w:hAnsi="Arial" w:cs="Arial"/>
          <w:sz w:val="24"/>
          <w:szCs w:val="24"/>
        </w:rPr>
      </w:pPr>
      <w:r w:rsidRPr="00B614A9">
        <w:rPr>
          <w:rFonts w:ascii="Arial" w:hAnsi="Arial" w:cs="Arial"/>
          <w:sz w:val="24"/>
          <w:szCs w:val="24"/>
        </w:rPr>
        <w:t>Higher variability in inflows</w:t>
      </w:r>
    </w:p>
    <w:p w:rsidR="00B614A9" w:rsidRPr="00B614A9" w:rsidRDefault="00B614A9" w:rsidP="00B614A9">
      <w:pPr>
        <w:spacing w:line="360" w:lineRule="auto"/>
        <w:rPr>
          <w:rFonts w:ascii="Arial" w:hAnsi="Arial" w:cs="Arial"/>
          <w:sz w:val="24"/>
          <w:szCs w:val="24"/>
        </w:rPr>
      </w:pPr>
      <w:r w:rsidRPr="00B614A9">
        <w:rPr>
          <w:rFonts w:ascii="Arial" w:hAnsi="Arial" w:cs="Arial"/>
          <w:sz w:val="24"/>
          <w:szCs w:val="24"/>
        </w:rPr>
        <w:t>But also highest NPV, PI, IRR</w:t>
      </w:r>
    </w:p>
    <w:p w:rsidR="00B614A9" w:rsidRPr="00B614A9" w:rsidRDefault="00B614A9" w:rsidP="00B614A9">
      <w:pPr>
        <w:spacing w:line="360" w:lineRule="auto"/>
        <w:rPr>
          <w:rFonts w:ascii="Arial" w:hAnsi="Arial" w:cs="Arial"/>
          <w:sz w:val="24"/>
          <w:szCs w:val="24"/>
        </w:rPr>
      </w:pPr>
      <w:r w:rsidRPr="00B614A9">
        <w:rPr>
          <w:rFonts w:ascii="Arial" w:hAnsi="Arial" w:cs="Arial"/>
          <w:sz w:val="24"/>
          <w:szCs w:val="24"/>
        </w:rPr>
        <w:t>And a reasonable payback period</w:t>
      </w:r>
    </w:p>
    <w:p w:rsidR="00B614A9" w:rsidRDefault="00B614A9" w:rsidP="00B614A9">
      <w:pPr>
        <w:spacing w:line="360" w:lineRule="auto"/>
        <w:rPr>
          <w:rFonts w:ascii="Arial" w:hAnsi="Arial" w:cs="Arial"/>
          <w:sz w:val="24"/>
          <w:szCs w:val="24"/>
        </w:rPr>
      </w:pPr>
      <w:r w:rsidRPr="00B614A9">
        <w:rPr>
          <w:rFonts w:ascii="Arial" w:hAnsi="Arial" w:cs="Arial"/>
          <w:sz w:val="24"/>
          <w:szCs w:val="24"/>
        </w:rPr>
        <w:t>The risk/return trade-off, for a financially distressed company, favours those investments that materially enhance value, not those that simply preserve capital.</w:t>
      </w:r>
    </w:p>
    <w:p w:rsidR="00B950E3" w:rsidRPr="006168F4" w:rsidRDefault="00B950E3" w:rsidP="00B614A9">
      <w:pPr>
        <w:spacing w:line="360" w:lineRule="auto"/>
        <w:rPr>
          <w:rFonts w:ascii="Arial" w:hAnsi="Arial" w:cs="Arial"/>
          <w:sz w:val="24"/>
          <w:szCs w:val="24"/>
        </w:rPr>
      </w:pPr>
      <w:r w:rsidRPr="006168F4">
        <w:rPr>
          <w:rFonts w:ascii="Arial" w:hAnsi="Arial" w:cs="Arial"/>
          <w:sz w:val="24"/>
          <w:szCs w:val="24"/>
        </w:rPr>
        <w:t>A slow, low-return project like B is unsuitable.</w:t>
      </w:r>
    </w:p>
    <w:p w:rsidR="00B950E3" w:rsidRPr="006168F4" w:rsidRDefault="00B950E3" w:rsidP="008802E4">
      <w:pPr>
        <w:spacing w:line="360" w:lineRule="auto"/>
        <w:rPr>
          <w:rFonts w:ascii="Arial" w:hAnsi="Arial" w:cs="Arial"/>
          <w:sz w:val="24"/>
          <w:szCs w:val="24"/>
        </w:rPr>
      </w:pPr>
    </w:p>
    <w:p w:rsidR="00B950E3" w:rsidRPr="00B614A9" w:rsidRDefault="00B950E3" w:rsidP="008802E4">
      <w:pPr>
        <w:spacing w:line="360" w:lineRule="auto"/>
        <w:rPr>
          <w:rFonts w:ascii="Arial" w:hAnsi="Arial" w:cs="Arial"/>
          <w:sz w:val="24"/>
          <w:szCs w:val="24"/>
        </w:rPr>
      </w:pPr>
      <w:r w:rsidRPr="00B614A9">
        <w:rPr>
          <w:rStyle w:val="Strong"/>
          <w:rFonts w:ascii="Arial" w:hAnsi="Arial" w:cs="Arial"/>
          <w:bCs w:val="0"/>
          <w:sz w:val="24"/>
          <w:szCs w:val="24"/>
        </w:rPr>
        <w:t>10.3 Sensitivity to Discount Rate</w:t>
      </w:r>
    </w:p>
    <w:p w:rsidR="00B614A9" w:rsidRPr="00B614A9" w:rsidRDefault="00B614A9" w:rsidP="00B614A9">
      <w:pPr>
        <w:spacing w:line="360" w:lineRule="auto"/>
        <w:rPr>
          <w:rFonts w:ascii="Arial" w:hAnsi="Arial" w:cs="Arial"/>
          <w:sz w:val="24"/>
          <w:szCs w:val="24"/>
        </w:rPr>
      </w:pPr>
      <w:r w:rsidRPr="00B614A9">
        <w:rPr>
          <w:rFonts w:ascii="Arial" w:hAnsi="Arial" w:cs="Arial"/>
          <w:sz w:val="24"/>
          <w:szCs w:val="24"/>
        </w:rPr>
        <w:t>Project C is viable at discount rates of up to ~12.5% before NPV becomes zero, offering a stronger buffer than Project A, which becomes unviable above ~11%.</w:t>
      </w:r>
    </w:p>
    <w:p w:rsidR="00B614A9" w:rsidRPr="00B614A9" w:rsidRDefault="00B614A9" w:rsidP="00B614A9">
      <w:pPr>
        <w:spacing w:line="360" w:lineRule="auto"/>
        <w:rPr>
          <w:rFonts w:ascii="Arial" w:hAnsi="Arial" w:cs="Arial"/>
          <w:sz w:val="24"/>
          <w:szCs w:val="24"/>
        </w:rPr>
      </w:pPr>
      <w:r w:rsidRPr="00B614A9">
        <w:rPr>
          <w:rFonts w:ascii="Arial" w:hAnsi="Arial" w:cs="Arial"/>
          <w:sz w:val="24"/>
          <w:szCs w:val="24"/>
        </w:rPr>
        <w:t>This guards against:</w:t>
      </w:r>
    </w:p>
    <w:p w:rsidR="00B614A9" w:rsidRPr="00B614A9" w:rsidRDefault="00B614A9" w:rsidP="00B614A9">
      <w:pPr>
        <w:spacing w:line="360" w:lineRule="auto"/>
        <w:rPr>
          <w:rFonts w:ascii="Arial" w:hAnsi="Arial" w:cs="Arial"/>
          <w:sz w:val="24"/>
          <w:szCs w:val="24"/>
        </w:rPr>
      </w:pPr>
      <w:r w:rsidRPr="00B614A9">
        <w:rPr>
          <w:rFonts w:ascii="Arial" w:hAnsi="Arial" w:cs="Arial"/>
          <w:sz w:val="24"/>
          <w:szCs w:val="24"/>
        </w:rPr>
        <w:t>Interest rate hikes</w:t>
      </w:r>
    </w:p>
    <w:p w:rsidR="00B614A9" w:rsidRPr="00B614A9" w:rsidRDefault="00B614A9" w:rsidP="00B614A9">
      <w:pPr>
        <w:spacing w:line="360" w:lineRule="auto"/>
        <w:rPr>
          <w:rFonts w:ascii="Arial" w:hAnsi="Arial" w:cs="Arial"/>
          <w:sz w:val="24"/>
          <w:szCs w:val="24"/>
        </w:rPr>
      </w:pPr>
      <w:r w:rsidRPr="00B614A9">
        <w:rPr>
          <w:rFonts w:ascii="Arial" w:hAnsi="Arial" w:cs="Arial"/>
          <w:sz w:val="24"/>
          <w:szCs w:val="24"/>
        </w:rPr>
        <w:t>Inflation is on the rise.</w:t>
      </w:r>
    </w:p>
    <w:p w:rsidR="00B614A9" w:rsidRDefault="00B614A9" w:rsidP="00B614A9">
      <w:pPr>
        <w:spacing w:line="360" w:lineRule="auto"/>
        <w:rPr>
          <w:rFonts w:ascii="Arial" w:hAnsi="Arial" w:cs="Arial"/>
          <w:sz w:val="24"/>
          <w:szCs w:val="24"/>
        </w:rPr>
      </w:pPr>
      <w:r w:rsidRPr="00B614A9">
        <w:rPr>
          <w:rFonts w:ascii="Arial" w:hAnsi="Arial" w:cs="Arial"/>
          <w:sz w:val="24"/>
          <w:szCs w:val="24"/>
        </w:rPr>
        <w:t xml:space="preserve">Higher cost of borrowing </w:t>
      </w:r>
    </w:p>
    <w:p w:rsidR="00B950E3" w:rsidRDefault="00B614A9" w:rsidP="00B614A9">
      <w:pPr>
        <w:spacing w:line="360" w:lineRule="auto"/>
        <w:rPr>
          <w:rFonts w:ascii="Arial" w:hAnsi="Arial" w:cs="Arial"/>
          <w:sz w:val="24"/>
          <w:szCs w:val="24"/>
        </w:rPr>
      </w:pPr>
      <w:r w:rsidRPr="00B614A9">
        <w:rPr>
          <w:rFonts w:ascii="Arial" w:hAnsi="Arial" w:cs="Arial"/>
          <w:sz w:val="24"/>
          <w:szCs w:val="24"/>
        </w:rPr>
        <w:t>This resilience is important as the company's short-term debt costs have been rising, along with net losses.</w:t>
      </w:r>
    </w:p>
    <w:p w:rsidR="00B614A9" w:rsidRPr="006168F4" w:rsidRDefault="00B614A9" w:rsidP="00B614A9">
      <w:pPr>
        <w:spacing w:line="360" w:lineRule="auto"/>
        <w:rPr>
          <w:rFonts w:ascii="Arial" w:hAnsi="Arial" w:cs="Arial"/>
          <w:sz w:val="24"/>
          <w:szCs w:val="24"/>
        </w:rPr>
      </w:pPr>
    </w:p>
    <w:p w:rsidR="00B950E3" w:rsidRPr="00B614A9" w:rsidRDefault="00B950E3" w:rsidP="008802E4">
      <w:pPr>
        <w:spacing w:line="360" w:lineRule="auto"/>
        <w:rPr>
          <w:rFonts w:ascii="Arial" w:hAnsi="Arial" w:cs="Arial"/>
          <w:sz w:val="24"/>
          <w:szCs w:val="24"/>
        </w:rPr>
      </w:pPr>
      <w:r w:rsidRPr="00B614A9">
        <w:rPr>
          <w:rStyle w:val="Strong"/>
          <w:rFonts w:ascii="Arial" w:hAnsi="Arial" w:cs="Arial"/>
          <w:bCs w:val="0"/>
          <w:sz w:val="24"/>
          <w:szCs w:val="24"/>
        </w:rPr>
        <w:t>11. Strategic Alignment with Company Needs</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Given the company’s:</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Severe profitability decline</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High liquidity pressure</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Sharp fall in equity (from £268,406m in 2022 to £153,105m in 2024)</w:t>
      </w:r>
    </w:p>
    <w:p w:rsidR="00F06F7A" w:rsidRPr="006168F4" w:rsidRDefault="00B950E3" w:rsidP="008802E4">
      <w:pPr>
        <w:spacing w:line="360" w:lineRule="auto"/>
        <w:rPr>
          <w:rStyle w:val="relative"/>
          <w:rFonts w:ascii="Arial" w:hAnsi="Arial" w:cs="Arial"/>
          <w:sz w:val="24"/>
          <w:szCs w:val="24"/>
        </w:rPr>
      </w:pPr>
      <w:r w:rsidRPr="006168F4">
        <w:rPr>
          <w:rFonts w:ascii="Arial" w:hAnsi="Arial" w:cs="Arial"/>
          <w:sz w:val="24"/>
          <w:szCs w:val="24"/>
        </w:rPr>
        <w:t>Heavy reliance on lines of credit</w:t>
      </w:r>
      <w:r w:rsidRPr="006168F4">
        <w:rPr>
          <w:rFonts w:ascii="Arial" w:hAnsi="Arial" w:cs="Arial"/>
          <w:sz w:val="24"/>
          <w:szCs w:val="24"/>
        </w:rPr>
        <w:br/>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The capital budgeting decision must:</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Improve cash flow predictability</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Increase profitability</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Reduce operational strain</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Support financial restructuring</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Project C’s strong later-stage cash generation supports long-term capital structure repair.</w:t>
      </w:r>
    </w:p>
    <w:p w:rsidR="00B950E3" w:rsidRPr="006168F4" w:rsidRDefault="00B950E3" w:rsidP="008802E4">
      <w:pPr>
        <w:spacing w:line="360" w:lineRule="auto"/>
        <w:rPr>
          <w:rFonts w:ascii="Arial" w:hAnsi="Arial" w:cs="Arial"/>
          <w:sz w:val="24"/>
          <w:szCs w:val="24"/>
        </w:rPr>
      </w:pPr>
    </w:p>
    <w:p w:rsidR="00B950E3" w:rsidRPr="00B614A9" w:rsidRDefault="00B950E3" w:rsidP="008802E4">
      <w:pPr>
        <w:spacing w:line="360" w:lineRule="auto"/>
        <w:rPr>
          <w:rFonts w:ascii="Arial" w:hAnsi="Arial" w:cs="Arial"/>
          <w:sz w:val="24"/>
          <w:szCs w:val="24"/>
        </w:rPr>
      </w:pPr>
      <w:r w:rsidRPr="00B614A9">
        <w:rPr>
          <w:rStyle w:val="Strong"/>
          <w:rFonts w:ascii="Arial" w:hAnsi="Arial" w:cs="Arial"/>
          <w:bCs w:val="0"/>
          <w:sz w:val="24"/>
          <w:szCs w:val="24"/>
        </w:rPr>
        <w:t>12. Final Recommendation</w:t>
      </w:r>
    </w:p>
    <w:p w:rsidR="00B950E3" w:rsidRPr="006168F4" w:rsidRDefault="00B950E3" w:rsidP="008802E4">
      <w:pPr>
        <w:spacing w:line="360" w:lineRule="auto"/>
        <w:rPr>
          <w:rFonts w:ascii="Arial" w:hAnsi="Arial" w:cs="Arial"/>
          <w:sz w:val="24"/>
          <w:szCs w:val="24"/>
        </w:rPr>
      </w:pPr>
      <w:r w:rsidRPr="006168F4">
        <w:rPr>
          <w:rStyle w:val="Strong"/>
          <w:rFonts w:ascii="Arial" w:hAnsi="Arial" w:cs="Arial"/>
          <w:sz w:val="24"/>
          <w:szCs w:val="24"/>
        </w:rPr>
        <w:t>Under capital rationing (£60m maximum investment), the company should invest in Project C.</w:t>
      </w:r>
    </w:p>
    <w:p w:rsidR="00B950E3" w:rsidRPr="006168F4" w:rsidRDefault="00B614A9" w:rsidP="008802E4">
      <w:pPr>
        <w:spacing w:line="360" w:lineRule="auto"/>
        <w:rPr>
          <w:rFonts w:ascii="Arial" w:hAnsi="Arial" w:cs="Arial"/>
          <w:sz w:val="24"/>
          <w:szCs w:val="24"/>
        </w:rPr>
      </w:pPr>
      <w:r>
        <w:rPr>
          <w:rFonts w:ascii="Arial" w:hAnsi="Arial" w:cs="Arial"/>
          <w:sz w:val="24"/>
          <w:szCs w:val="24"/>
        </w:rPr>
        <w:t>This:</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 xml:space="preserve">Offers the </w:t>
      </w:r>
      <w:r w:rsidRPr="006168F4">
        <w:rPr>
          <w:rStyle w:val="Strong"/>
          <w:rFonts w:ascii="Arial" w:hAnsi="Arial" w:cs="Arial"/>
          <w:sz w:val="24"/>
          <w:szCs w:val="24"/>
        </w:rPr>
        <w:t>highest NPV (+£4.23m)</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 xml:space="preserve">Provides the </w:t>
      </w:r>
      <w:r w:rsidRPr="006168F4">
        <w:rPr>
          <w:rStyle w:val="Strong"/>
          <w:rFonts w:ascii="Arial" w:hAnsi="Arial" w:cs="Arial"/>
          <w:sz w:val="24"/>
          <w:szCs w:val="24"/>
        </w:rPr>
        <w:t>highest PI (1.08)</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lastRenderedPageBreak/>
        <w:t xml:space="preserve">Produces the </w:t>
      </w:r>
      <w:r w:rsidRPr="006168F4">
        <w:rPr>
          <w:rStyle w:val="Strong"/>
          <w:rFonts w:ascii="Arial" w:hAnsi="Arial" w:cs="Arial"/>
          <w:sz w:val="24"/>
          <w:szCs w:val="24"/>
        </w:rPr>
        <w:t>highest IRR (~12.5%)</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Has strong cumulative inflows (£75m)</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Provides substantial medium-term profitability</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Helps relieve liquidity pressure</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Aligns with long-term recovery and restructuring initiatives</w:t>
      </w:r>
    </w:p>
    <w:p w:rsidR="00B950E3" w:rsidRPr="006168F4" w:rsidRDefault="00B950E3" w:rsidP="008802E4">
      <w:pPr>
        <w:spacing w:line="360" w:lineRule="auto"/>
        <w:rPr>
          <w:rFonts w:ascii="Arial" w:hAnsi="Arial" w:cs="Arial"/>
          <w:sz w:val="24"/>
          <w:szCs w:val="24"/>
        </w:rPr>
      </w:pPr>
      <w:r w:rsidRPr="006168F4">
        <w:rPr>
          <w:rFonts w:ascii="Arial" w:hAnsi="Arial" w:cs="Arial"/>
          <w:sz w:val="24"/>
          <w:szCs w:val="24"/>
        </w:rPr>
        <w:t>Exhibits risk justified by superior return potential</w:t>
      </w:r>
    </w:p>
    <w:p w:rsidR="00B614A9" w:rsidRPr="00B614A9" w:rsidRDefault="00B950E3" w:rsidP="008802E4">
      <w:pPr>
        <w:spacing w:line="360" w:lineRule="auto"/>
        <w:rPr>
          <w:rFonts w:ascii="Arial" w:hAnsi="Arial" w:cs="Arial"/>
          <w:sz w:val="24"/>
          <w:szCs w:val="24"/>
        </w:rPr>
      </w:pPr>
      <w:r w:rsidRPr="006168F4">
        <w:rPr>
          <w:rFonts w:ascii="Arial" w:hAnsi="Arial" w:cs="Arial"/>
          <w:sz w:val="24"/>
          <w:szCs w:val="24"/>
        </w:rPr>
        <w:t>Project A is acceptable but inferio</w:t>
      </w:r>
      <w:r w:rsidR="00B614A9">
        <w:rPr>
          <w:rFonts w:ascii="Arial" w:hAnsi="Arial" w:cs="Arial"/>
          <w:sz w:val="24"/>
          <w:szCs w:val="24"/>
        </w:rPr>
        <w:t>r.</w:t>
      </w:r>
      <w:r w:rsidR="00B614A9">
        <w:rPr>
          <w:rFonts w:ascii="Arial" w:hAnsi="Arial" w:cs="Arial"/>
          <w:sz w:val="24"/>
          <w:szCs w:val="24"/>
        </w:rPr>
        <w:br/>
        <w:t>Project B should be rejected</w:t>
      </w:r>
    </w:p>
    <w:p w:rsidR="00085E5D" w:rsidRPr="006168F4" w:rsidRDefault="00D62017" w:rsidP="008802E4">
      <w:pPr>
        <w:spacing w:line="360" w:lineRule="auto"/>
        <w:rPr>
          <w:rFonts w:ascii="Arial" w:hAnsi="Arial" w:cs="Arial"/>
          <w:sz w:val="24"/>
          <w:szCs w:val="24"/>
        </w:rPr>
      </w:pPr>
      <w:r w:rsidRPr="006168F4">
        <w:rPr>
          <w:rFonts w:ascii="Arial" w:hAnsi="Arial" w:cs="Arial"/>
          <w:sz w:val="24"/>
          <w:szCs w:val="24"/>
        </w:rPr>
        <w:t xml:space="preserve">Project C </w:t>
      </w:r>
      <w:r w:rsidR="00085E5D" w:rsidRPr="006168F4">
        <w:rPr>
          <w:rFonts w:ascii="Arial" w:hAnsi="Arial" w:cs="Arial"/>
          <w:sz w:val="24"/>
          <w:szCs w:val="24"/>
        </w:rPr>
        <w:t>is the most viable investment option financially and also in line with the strategy when capital is constrained. It balances value creation with liquidity needs and offers moderate risk compare</w:t>
      </w:r>
      <w:r w:rsidRPr="006168F4">
        <w:rPr>
          <w:rFonts w:ascii="Arial" w:hAnsi="Arial" w:cs="Arial"/>
          <w:sz w:val="24"/>
          <w:szCs w:val="24"/>
        </w:rPr>
        <w:t>d to the volatility of Project A. Project C th</w:t>
      </w:r>
      <w:r w:rsidR="00085E5D" w:rsidRPr="006168F4">
        <w:rPr>
          <w:rFonts w:ascii="Arial" w:hAnsi="Arial" w:cs="Arial"/>
          <w:sz w:val="24"/>
          <w:szCs w:val="24"/>
        </w:rPr>
        <w:t>erefore, helps support the wider turnaround framework by way of positive cash flow contribution during the recovery phase while protecting shareholder value.</w:t>
      </w:r>
    </w:p>
    <w:p w:rsidR="00085E5D" w:rsidRPr="00B614A9" w:rsidRDefault="00085E5D" w:rsidP="008802E4">
      <w:pPr>
        <w:spacing w:line="360" w:lineRule="auto"/>
        <w:rPr>
          <w:rFonts w:ascii="Arial" w:hAnsi="Arial" w:cs="Arial"/>
          <w:b/>
          <w:sz w:val="24"/>
          <w:szCs w:val="24"/>
        </w:rPr>
      </w:pPr>
      <w:r w:rsidRPr="00B614A9">
        <w:rPr>
          <w:rFonts w:ascii="Arial" w:hAnsi="Arial" w:cs="Arial"/>
          <w:b/>
          <w:sz w:val="24"/>
          <w:szCs w:val="24"/>
        </w:rPr>
        <w:t>5. Conclusion</w:t>
      </w:r>
    </w:p>
    <w:p w:rsidR="00B614A9" w:rsidRPr="00B614A9" w:rsidRDefault="00B614A9" w:rsidP="00B614A9">
      <w:pPr>
        <w:spacing w:line="360" w:lineRule="auto"/>
        <w:rPr>
          <w:rFonts w:ascii="Arial" w:hAnsi="Arial" w:cs="Arial"/>
          <w:sz w:val="24"/>
          <w:szCs w:val="24"/>
        </w:rPr>
      </w:pPr>
      <w:r w:rsidRPr="00B614A9">
        <w:rPr>
          <w:rFonts w:ascii="Arial" w:hAnsi="Arial" w:cs="Arial"/>
          <w:sz w:val="24"/>
          <w:szCs w:val="24"/>
        </w:rPr>
        <w:t>The report given presented a comprehensive financial review of General Electronics, along with a strategic recovery plan that utilized ratio analysis, working capital performance, restructuring options, and investment appraisal. Significant financial decline over the five years was identified, indicated by falling revenues, sustained net losses, reduced liquidity, poorly managed working capital processes, and loss of shareholder equity. These factors collectively indicate an advanced state of distress for the firm, which requires vigorous yet balanced financial leadership.</w:t>
      </w:r>
    </w:p>
    <w:p w:rsidR="00B614A9" w:rsidRPr="00B614A9" w:rsidRDefault="00B614A9" w:rsidP="00B614A9">
      <w:pPr>
        <w:spacing w:line="360" w:lineRule="auto"/>
        <w:rPr>
          <w:rFonts w:ascii="Arial" w:hAnsi="Arial" w:cs="Arial"/>
          <w:sz w:val="24"/>
          <w:szCs w:val="24"/>
        </w:rPr>
      </w:pPr>
      <w:r w:rsidRPr="00B614A9">
        <w:rPr>
          <w:rFonts w:ascii="Arial" w:hAnsi="Arial" w:cs="Arial"/>
          <w:sz w:val="24"/>
          <w:szCs w:val="24"/>
        </w:rPr>
        <w:t xml:space="preserve">The working capital assessment underlined an elongating cash operating cycle, driven by excess inventory, slower collection of receivables, and uncoordinated payables strategies. Liquidity pressures were compounded by falling cash balances and high reliance on short-term credit facilities. These inefficiencies will </w:t>
      </w:r>
      <w:r w:rsidRPr="00B614A9">
        <w:rPr>
          <w:rFonts w:ascii="Arial" w:hAnsi="Arial" w:cs="Arial"/>
          <w:sz w:val="24"/>
          <w:szCs w:val="24"/>
        </w:rPr>
        <w:lastRenderedPageBreak/>
        <w:t>have to be addressed to stabilize the short-term cash flows and restore the firm's operational resilience.</w:t>
      </w:r>
    </w:p>
    <w:p w:rsidR="00B614A9" w:rsidRPr="00B614A9" w:rsidRDefault="00B614A9" w:rsidP="00B614A9">
      <w:pPr>
        <w:spacing w:line="360" w:lineRule="auto"/>
        <w:rPr>
          <w:rFonts w:ascii="Arial" w:hAnsi="Arial" w:cs="Arial"/>
          <w:sz w:val="24"/>
          <w:szCs w:val="24"/>
        </w:rPr>
      </w:pPr>
      <w:r w:rsidRPr="00B614A9">
        <w:rPr>
          <w:rFonts w:ascii="Arial" w:hAnsi="Arial" w:cs="Arial"/>
          <w:sz w:val="24"/>
          <w:szCs w:val="24"/>
        </w:rPr>
        <w:t>The strategic restructuring plan suggested a balanced approach, which combined selective divestment with debt refinancing, moderate equity injection, and targeted cost rationalization, while simultaneously investing in innovation and international competitiveness. This integrated model avoids the pitfalls of aggressive retrenchment, which can degrade long-term capability, and the limitations of conservative stabilization, which would be inadequate considering the extent of financial decline. The actions recommended also follow best practice for the turnaround strategy underpinning the need for restoration of liquidity, structural efficiency, and strategic repositioning for the long term. Investment appraisal compared three potential capital projects under a £60 million capital constraint using PBP, ARR, NPV, PI, and IRR-all calculations supported by the appendices. The most appropriate choice was found to be Project C</w:t>
      </w:r>
      <w:r w:rsidR="004406E2">
        <w:rPr>
          <w:rFonts w:ascii="Arial" w:hAnsi="Arial" w:cs="Arial"/>
          <w:sz w:val="24"/>
          <w:szCs w:val="24"/>
        </w:rPr>
        <w:t xml:space="preserve"> and A</w:t>
      </w:r>
      <w:r w:rsidRPr="00B614A9">
        <w:rPr>
          <w:rFonts w:ascii="Arial" w:hAnsi="Arial" w:cs="Arial"/>
          <w:sz w:val="24"/>
          <w:szCs w:val="24"/>
        </w:rPr>
        <w:t>, given it is endowed with a strong financial return that responds well to liquidity and carries only moderate risk. Project B, although low-risk, does not provide sufficient value to meaningfully support strategic recovery.</w:t>
      </w:r>
    </w:p>
    <w:p w:rsidR="00D40589" w:rsidRPr="006168F4" w:rsidRDefault="00B614A9" w:rsidP="00B614A9">
      <w:pPr>
        <w:spacing w:line="360" w:lineRule="auto"/>
        <w:rPr>
          <w:rFonts w:ascii="Arial" w:hAnsi="Arial" w:cs="Arial"/>
          <w:sz w:val="24"/>
          <w:szCs w:val="24"/>
        </w:rPr>
      </w:pPr>
      <w:r w:rsidRPr="00B614A9">
        <w:rPr>
          <w:rFonts w:ascii="Arial" w:hAnsi="Arial" w:cs="Arial"/>
          <w:sz w:val="24"/>
          <w:szCs w:val="24"/>
        </w:rPr>
        <w:t>In sum, the report concludes that the turnaround of General Electronics requires a coordinated combination of liquidity enhancement, capital structure optimisation, strategic investment, and ethical international management. If implemented effectively, these recommended strategies represent a potentially feasible road to the restoration of profitability, improvement of stakeholder confidence, and reconstruction of long-term competitiveness.</w:t>
      </w:r>
      <w:r w:rsidR="00AB5A64" w:rsidRPr="006168F4">
        <w:rPr>
          <w:rFonts w:ascii="Arial" w:hAnsi="Arial" w:cs="Arial"/>
          <w:sz w:val="24"/>
          <w:szCs w:val="24"/>
        </w:rPr>
        <w:br w:type="page"/>
      </w:r>
    </w:p>
    <w:p w:rsidR="00D40589" w:rsidRPr="00B614A9" w:rsidRDefault="00C21938" w:rsidP="008802E4">
      <w:pPr>
        <w:spacing w:line="360" w:lineRule="auto"/>
        <w:rPr>
          <w:rFonts w:ascii="Arial" w:hAnsi="Arial" w:cs="Arial"/>
          <w:b/>
          <w:sz w:val="24"/>
          <w:szCs w:val="24"/>
        </w:rPr>
      </w:pPr>
      <w:r>
        <w:rPr>
          <w:rFonts w:ascii="Arial" w:hAnsi="Arial" w:cs="Arial"/>
          <w:b/>
          <w:sz w:val="24"/>
          <w:szCs w:val="24"/>
        </w:rPr>
        <w:lastRenderedPageBreak/>
        <w:t>6</w:t>
      </w:r>
      <w:r w:rsidR="00C65B22">
        <w:rPr>
          <w:rFonts w:ascii="Arial" w:hAnsi="Arial" w:cs="Arial"/>
          <w:b/>
          <w:sz w:val="24"/>
          <w:szCs w:val="24"/>
        </w:rPr>
        <w:t xml:space="preserve">. </w:t>
      </w:r>
      <w:r w:rsidR="00AB5A64" w:rsidRPr="00B614A9">
        <w:rPr>
          <w:rFonts w:ascii="Arial" w:hAnsi="Arial" w:cs="Arial"/>
          <w:b/>
          <w:sz w:val="24"/>
          <w:szCs w:val="24"/>
        </w:rPr>
        <w:t>Appendices</w:t>
      </w:r>
    </w:p>
    <w:p w:rsidR="00D40589" w:rsidRPr="006168F4" w:rsidRDefault="00C21938" w:rsidP="008802E4">
      <w:pPr>
        <w:spacing w:line="360" w:lineRule="auto"/>
        <w:rPr>
          <w:rFonts w:ascii="Arial" w:hAnsi="Arial" w:cs="Arial"/>
          <w:sz w:val="24"/>
          <w:szCs w:val="24"/>
        </w:rPr>
      </w:pPr>
      <w:r>
        <w:rPr>
          <w:rFonts w:ascii="Arial" w:hAnsi="Arial" w:cs="Arial"/>
          <w:b/>
          <w:sz w:val="24"/>
          <w:szCs w:val="24"/>
        </w:rPr>
        <w:t>6</w:t>
      </w:r>
      <w:r w:rsidR="00C65B22">
        <w:rPr>
          <w:rFonts w:ascii="Arial" w:hAnsi="Arial" w:cs="Arial"/>
          <w:b/>
          <w:sz w:val="24"/>
          <w:szCs w:val="24"/>
        </w:rPr>
        <w:t xml:space="preserve">.1 </w:t>
      </w:r>
      <w:r w:rsidR="00AB5A64" w:rsidRPr="00B614A9">
        <w:rPr>
          <w:rFonts w:ascii="Arial" w:hAnsi="Arial" w:cs="Arial"/>
          <w:b/>
          <w:sz w:val="24"/>
          <w:szCs w:val="24"/>
        </w:rPr>
        <w:t>Appendix A</w:t>
      </w:r>
      <w:r w:rsidR="00AB5A64" w:rsidRPr="006168F4">
        <w:rPr>
          <w:rFonts w:ascii="Arial" w:hAnsi="Arial" w:cs="Arial"/>
          <w:sz w:val="24"/>
          <w:szCs w:val="24"/>
        </w:rPr>
        <w:t>: Financial Ratio Calculations</w:t>
      </w:r>
    </w:p>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Full calculations for profitability, liquidity, efficiency, gearing, and investment ratios.</w:t>
      </w:r>
    </w:p>
    <w:tbl>
      <w:tblPr>
        <w:tblW w:w="0" w:type="auto"/>
        <w:tblLook w:val="04A0" w:firstRow="1" w:lastRow="0" w:firstColumn="1" w:lastColumn="0" w:noHBand="0" w:noVBand="1"/>
      </w:tblPr>
      <w:tblGrid>
        <w:gridCol w:w="924"/>
        <w:gridCol w:w="925"/>
        <w:gridCol w:w="925"/>
        <w:gridCol w:w="988"/>
        <w:gridCol w:w="1169"/>
        <w:gridCol w:w="1477"/>
        <w:gridCol w:w="1169"/>
        <w:gridCol w:w="1053"/>
      </w:tblGrid>
      <w:tr w:rsidR="001244DF" w:rsidRPr="006168F4" w:rsidTr="001244DF">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Year</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Gross Margin %</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Net Margin %</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Current Ratio</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Inventory Days</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Receivables Days</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Payables Days</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COC</w:t>
            </w:r>
          </w:p>
        </w:tc>
      </w:tr>
      <w:tr w:rsidR="001244DF" w:rsidRPr="006168F4" w:rsidTr="001244DF">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2020.0</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28.674</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6.275</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1.821</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100.261</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76.858</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69.29</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107.829</w:t>
            </w:r>
          </w:p>
        </w:tc>
      </w:tr>
      <w:tr w:rsidR="001244DF" w:rsidRPr="006168F4" w:rsidTr="001244DF">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2021.0</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28.759</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0.881</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1.555</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114.519</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78.396</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78.953</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113.963</w:t>
            </w:r>
          </w:p>
        </w:tc>
      </w:tr>
      <w:tr w:rsidR="001244DF" w:rsidRPr="006168F4" w:rsidTr="001244DF">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2022.0</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28.059</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0.075</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1.562</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131.041</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75.553</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66.719</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139.874</w:t>
            </w:r>
          </w:p>
        </w:tc>
      </w:tr>
      <w:tr w:rsidR="001244DF" w:rsidRPr="006168F4" w:rsidTr="001244DF">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2023.0</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23.203</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-23.365</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1.606</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99.783</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97.745</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64.47</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133.058</w:t>
            </w:r>
          </w:p>
        </w:tc>
      </w:tr>
      <w:tr w:rsidR="001244DF" w:rsidRPr="006168F4" w:rsidTr="001244DF">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2024.0</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28.868</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-6.085</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1.532</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103.119</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105.542</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93.602</w:t>
            </w:r>
          </w:p>
        </w:tc>
        <w:tc>
          <w:tcPr>
            <w:tcW w:w="0" w:type="auto"/>
            <w:tcBorders>
              <w:top w:val="single" w:sz="4" w:space="0" w:color="auto"/>
              <w:left w:val="single" w:sz="4" w:space="0" w:color="auto"/>
              <w:bottom w:val="single" w:sz="4" w:space="0" w:color="auto"/>
              <w:right w:val="single" w:sz="4" w:space="0" w:color="auto"/>
            </w:tcBorders>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115.06</w:t>
            </w:r>
          </w:p>
        </w:tc>
      </w:tr>
    </w:tbl>
    <w:p w:rsidR="00821A9E" w:rsidRPr="006168F4" w:rsidRDefault="00821A9E" w:rsidP="008802E4">
      <w:pPr>
        <w:spacing w:line="360" w:lineRule="auto"/>
        <w:rPr>
          <w:rFonts w:ascii="Arial" w:hAnsi="Arial" w:cs="Arial"/>
          <w:sz w:val="24"/>
          <w:szCs w:val="24"/>
        </w:rPr>
      </w:pPr>
    </w:p>
    <w:p w:rsidR="00821A9E" w:rsidRPr="006168F4" w:rsidRDefault="00821A9E" w:rsidP="008802E4">
      <w:pPr>
        <w:spacing w:line="360" w:lineRule="auto"/>
        <w:rPr>
          <w:rFonts w:ascii="Arial" w:hAnsi="Arial" w:cs="Arial"/>
          <w:sz w:val="24"/>
          <w:szCs w:val="24"/>
        </w:rPr>
      </w:pPr>
    </w:p>
    <w:p w:rsidR="00821A9E" w:rsidRPr="006168F4" w:rsidRDefault="00821A9E" w:rsidP="008802E4">
      <w:pPr>
        <w:spacing w:line="360" w:lineRule="auto"/>
        <w:rPr>
          <w:rFonts w:ascii="Arial" w:hAnsi="Arial" w:cs="Arial"/>
          <w:sz w:val="24"/>
          <w:szCs w:val="24"/>
        </w:rPr>
      </w:pPr>
    </w:p>
    <w:p w:rsidR="00821A9E" w:rsidRPr="006168F4" w:rsidRDefault="00821A9E" w:rsidP="008802E4">
      <w:pPr>
        <w:spacing w:line="360" w:lineRule="auto"/>
        <w:rPr>
          <w:rFonts w:ascii="Arial" w:hAnsi="Arial" w:cs="Arial"/>
          <w:sz w:val="24"/>
          <w:szCs w:val="24"/>
        </w:rPr>
      </w:pPr>
    </w:p>
    <w:p w:rsidR="00821A9E" w:rsidRPr="006168F4" w:rsidRDefault="00821A9E" w:rsidP="008802E4">
      <w:pPr>
        <w:spacing w:line="360" w:lineRule="auto"/>
        <w:rPr>
          <w:rFonts w:ascii="Arial" w:hAnsi="Arial" w:cs="Arial"/>
          <w:sz w:val="24"/>
          <w:szCs w:val="24"/>
        </w:rPr>
      </w:pPr>
    </w:p>
    <w:p w:rsidR="00821A9E" w:rsidRPr="006168F4" w:rsidRDefault="00821A9E" w:rsidP="008802E4">
      <w:pPr>
        <w:spacing w:line="360" w:lineRule="auto"/>
        <w:rPr>
          <w:rFonts w:ascii="Arial" w:hAnsi="Arial" w:cs="Arial"/>
          <w:sz w:val="24"/>
          <w:szCs w:val="24"/>
        </w:rPr>
      </w:pPr>
    </w:p>
    <w:p w:rsidR="00821A9E" w:rsidRPr="006168F4" w:rsidRDefault="00821A9E" w:rsidP="008802E4">
      <w:pPr>
        <w:spacing w:line="360" w:lineRule="auto"/>
        <w:rPr>
          <w:rFonts w:ascii="Arial" w:hAnsi="Arial" w:cs="Arial"/>
          <w:sz w:val="24"/>
          <w:szCs w:val="24"/>
        </w:rPr>
      </w:pPr>
    </w:p>
    <w:p w:rsidR="00821A9E" w:rsidRPr="006168F4" w:rsidRDefault="00821A9E" w:rsidP="008802E4">
      <w:pPr>
        <w:spacing w:line="360" w:lineRule="auto"/>
        <w:rPr>
          <w:rFonts w:ascii="Arial" w:hAnsi="Arial" w:cs="Arial"/>
          <w:sz w:val="24"/>
          <w:szCs w:val="24"/>
        </w:rPr>
      </w:pPr>
    </w:p>
    <w:p w:rsidR="00D40589" w:rsidRPr="006168F4" w:rsidRDefault="00C21938" w:rsidP="008802E4">
      <w:pPr>
        <w:spacing w:line="360" w:lineRule="auto"/>
        <w:rPr>
          <w:rFonts w:ascii="Arial" w:hAnsi="Arial" w:cs="Arial"/>
          <w:sz w:val="24"/>
          <w:szCs w:val="24"/>
        </w:rPr>
      </w:pPr>
      <w:r>
        <w:rPr>
          <w:rFonts w:ascii="Arial" w:hAnsi="Arial" w:cs="Arial"/>
          <w:b/>
          <w:sz w:val="24"/>
          <w:szCs w:val="24"/>
        </w:rPr>
        <w:t>6</w:t>
      </w:r>
      <w:r w:rsidR="00C65B22">
        <w:rPr>
          <w:rFonts w:ascii="Arial" w:hAnsi="Arial" w:cs="Arial"/>
          <w:b/>
          <w:sz w:val="24"/>
          <w:szCs w:val="24"/>
        </w:rPr>
        <w:t xml:space="preserve">.2 </w:t>
      </w:r>
      <w:r w:rsidR="00AB5A64" w:rsidRPr="00B614A9">
        <w:rPr>
          <w:rFonts w:ascii="Arial" w:hAnsi="Arial" w:cs="Arial"/>
          <w:b/>
          <w:sz w:val="24"/>
          <w:szCs w:val="24"/>
        </w:rPr>
        <w:t>Appendix B</w:t>
      </w:r>
      <w:r w:rsidR="00AB5A64" w:rsidRPr="006168F4">
        <w:rPr>
          <w:rFonts w:ascii="Arial" w:hAnsi="Arial" w:cs="Arial"/>
          <w:sz w:val="24"/>
          <w:szCs w:val="24"/>
        </w:rPr>
        <w:t>: Working Capital and Cash Operating Cycle Calculations</w:t>
      </w:r>
    </w:p>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Detailed calculations for Inventory Days, Receivables Days, Payables Days, and COC.</w:t>
      </w:r>
    </w:p>
    <w:tbl>
      <w:tblPr>
        <w:tblW w:w="0" w:type="auto"/>
        <w:tblLook w:val="04A0" w:firstRow="1" w:lastRow="0" w:firstColumn="1" w:lastColumn="0" w:noHBand="0" w:noVBand="1"/>
      </w:tblPr>
      <w:tblGrid>
        <w:gridCol w:w="926"/>
        <w:gridCol w:w="926"/>
        <w:gridCol w:w="926"/>
        <w:gridCol w:w="989"/>
        <w:gridCol w:w="1170"/>
        <w:gridCol w:w="1479"/>
        <w:gridCol w:w="1170"/>
        <w:gridCol w:w="1054"/>
      </w:tblGrid>
      <w:tr w:rsidR="00D40589" w:rsidRPr="006168F4">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Year</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Gross Margin %</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Net Margin %</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Current Ratio</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Inventory Days</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Receivables Days</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Payables Days</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COC</w:t>
            </w:r>
          </w:p>
        </w:tc>
      </w:tr>
      <w:tr w:rsidR="00D40589" w:rsidRPr="006168F4">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2020.0</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28.674</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6.275</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1.821</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100.261</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76.858</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69.29</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107.829</w:t>
            </w:r>
          </w:p>
        </w:tc>
      </w:tr>
      <w:tr w:rsidR="00D40589" w:rsidRPr="006168F4">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2021.0</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28.759</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0.881</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1.555</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114.519</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78.396</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78.953</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113.963</w:t>
            </w:r>
          </w:p>
        </w:tc>
      </w:tr>
      <w:tr w:rsidR="00D40589" w:rsidRPr="006168F4">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2022.0</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28.059</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0.075</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1.562</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131.041</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75.553</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66.719</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139.874</w:t>
            </w:r>
          </w:p>
        </w:tc>
      </w:tr>
      <w:tr w:rsidR="00D40589" w:rsidRPr="006168F4">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2023.0</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23.203</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-23.365</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1.606</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99.783</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97.745</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64.47</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133.058</w:t>
            </w:r>
          </w:p>
        </w:tc>
      </w:tr>
      <w:tr w:rsidR="00D40589" w:rsidRPr="006168F4">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2024.0</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28.868</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-6.085</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1.532</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103.119</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105.542</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93.602</w:t>
            </w:r>
          </w:p>
        </w:tc>
        <w:tc>
          <w:tcPr>
            <w:tcW w:w="1080"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115.06</w:t>
            </w:r>
          </w:p>
        </w:tc>
      </w:tr>
    </w:tbl>
    <w:p w:rsidR="001500DD" w:rsidRPr="006168F4" w:rsidRDefault="001500DD" w:rsidP="008802E4">
      <w:pPr>
        <w:spacing w:line="360" w:lineRule="auto"/>
        <w:rPr>
          <w:rFonts w:ascii="Arial" w:hAnsi="Arial" w:cs="Arial"/>
          <w:sz w:val="24"/>
          <w:szCs w:val="24"/>
        </w:rPr>
      </w:pPr>
    </w:p>
    <w:p w:rsidR="001500DD" w:rsidRPr="006168F4" w:rsidRDefault="001500DD" w:rsidP="008802E4">
      <w:pPr>
        <w:spacing w:line="360" w:lineRule="auto"/>
        <w:rPr>
          <w:rFonts w:ascii="Arial" w:hAnsi="Arial" w:cs="Arial"/>
          <w:sz w:val="24"/>
          <w:szCs w:val="24"/>
        </w:rPr>
      </w:pPr>
    </w:p>
    <w:p w:rsidR="001500DD" w:rsidRPr="006168F4" w:rsidRDefault="001500DD" w:rsidP="008802E4">
      <w:pPr>
        <w:spacing w:line="360" w:lineRule="auto"/>
        <w:rPr>
          <w:rFonts w:ascii="Arial" w:hAnsi="Arial" w:cs="Arial"/>
          <w:sz w:val="24"/>
          <w:szCs w:val="24"/>
        </w:rPr>
      </w:pPr>
    </w:p>
    <w:p w:rsidR="0072533C" w:rsidRDefault="0072533C" w:rsidP="008802E4">
      <w:pPr>
        <w:spacing w:line="360" w:lineRule="auto"/>
        <w:rPr>
          <w:rFonts w:ascii="Arial" w:hAnsi="Arial" w:cs="Arial"/>
          <w:sz w:val="24"/>
          <w:szCs w:val="24"/>
        </w:rPr>
      </w:pPr>
    </w:p>
    <w:p w:rsidR="0072533C" w:rsidRDefault="0072533C" w:rsidP="008802E4">
      <w:pPr>
        <w:spacing w:line="360" w:lineRule="auto"/>
        <w:rPr>
          <w:rFonts w:ascii="Arial" w:hAnsi="Arial" w:cs="Arial"/>
          <w:sz w:val="24"/>
          <w:szCs w:val="24"/>
        </w:rPr>
      </w:pPr>
    </w:p>
    <w:p w:rsidR="00D40589" w:rsidRPr="006168F4" w:rsidRDefault="00C21938" w:rsidP="008802E4">
      <w:pPr>
        <w:spacing w:line="360" w:lineRule="auto"/>
        <w:rPr>
          <w:rFonts w:ascii="Arial" w:hAnsi="Arial" w:cs="Arial"/>
          <w:sz w:val="24"/>
          <w:szCs w:val="24"/>
        </w:rPr>
      </w:pPr>
      <w:r>
        <w:rPr>
          <w:rFonts w:ascii="Arial" w:hAnsi="Arial" w:cs="Arial"/>
          <w:b/>
          <w:sz w:val="24"/>
          <w:szCs w:val="24"/>
        </w:rPr>
        <w:lastRenderedPageBreak/>
        <w:t>6</w:t>
      </w:r>
      <w:r w:rsidR="00C65B22">
        <w:rPr>
          <w:rFonts w:ascii="Arial" w:hAnsi="Arial" w:cs="Arial"/>
          <w:b/>
          <w:sz w:val="24"/>
          <w:szCs w:val="24"/>
        </w:rPr>
        <w:t xml:space="preserve">.3 </w:t>
      </w:r>
      <w:r w:rsidR="00AB5A64" w:rsidRPr="00B614A9">
        <w:rPr>
          <w:rFonts w:ascii="Arial" w:hAnsi="Arial" w:cs="Arial"/>
          <w:b/>
          <w:sz w:val="24"/>
          <w:szCs w:val="24"/>
        </w:rPr>
        <w:t>Appendix C</w:t>
      </w:r>
      <w:r w:rsidR="00AB5A64" w:rsidRPr="006168F4">
        <w:rPr>
          <w:rFonts w:ascii="Arial" w:hAnsi="Arial" w:cs="Arial"/>
          <w:sz w:val="24"/>
          <w:szCs w:val="24"/>
        </w:rPr>
        <w:t>: Investment Appraisal Calculations</w:t>
      </w:r>
    </w:p>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NPV and IRR calculations for Projects A, B, and C using a 10% discount rate.</w:t>
      </w:r>
    </w:p>
    <w:tbl>
      <w:tblPr>
        <w:tblStyle w:val="PlainTable1"/>
        <w:tblW w:w="0" w:type="auto"/>
        <w:tblLook w:val="04A0" w:firstRow="1" w:lastRow="0" w:firstColumn="1" w:lastColumn="0" w:noHBand="0" w:noVBand="1"/>
      </w:tblPr>
      <w:tblGrid>
        <w:gridCol w:w="2877"/>
        <w:gridCol w:w="2876"/>
        <w:gridCol w:w="2877"/>
      </w:tblGrid>
      <w:tr w:rsidR="00D40589" w:rsidRPr="006168F4" w:rsidTr="008802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7"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Project</w:t>
            </w:r>
          </w:p>
        </w:tc>
        <w:tc>
          <w:tcPr>
            <w:tcW w:w="2876" w:type="dxa"/>
          </w:tcPr>
          <w:p w:rsidR="00D40589" w:rsidRPr="006168F4" w:rsidRDefault="00AB5A64" w:rsidP="008802E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168F4">
              <w:rPr>
                <w:rFonts w:ascii="Arial" w:hAnsi="Arial" w:cs="Arial"/>
                <w:sz w:val="24"/>
                <w:szCs w:val="24"/>
              </w:rPr>
              <w:t>NPV (£m)</w:t>
            </w:r>
          </w:p>
        </w:tc>
        <w:tc>
          <w:tcPr>
            <w:tcW w:w="2877" w:type="dxa"/>
          </w:tcPr>
          <w:p w:rsidR="00D40589" w:rsidRPr="006168F4" w:rsidRDefault="00AB5A64" w:rsidP="008802E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168F4">
              <w:rPr>
                <w:rFonts w:ascii="Arial" w:hAnsi="Arial" w:cs="Arial"/>
                <w:sz w:val="24"/>
                <w:szCs w:val="24"/>
              </w:rPr>
              <w:t>IRR (%)</w:t>
            </w:r>
          </w:p>
        </w:tc>
      </w:tr>
      <w:tr w:rsidR="00D40589" w:rsidRPr="006168F4" w:rsidTr="008802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7"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A</w:t>
            </w:r>
          </w:p>
        </w:tc>
        <w:tc>
          <w:tcPr>
            <w:tcW w:w="2876" w:type="dxa"/>
          </w:tcPr>
          <w:p w:rsidR="00D40589" w:rsidRPr="006168F4" w:rsidRDefault="00AB5A64" w:rsidP="008802E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68F4">
              <w:rPr>
                <w:rFonts w:ascii="Arial" w:hAnsi="Arial" w:cs="Arial"/>
                <w:sz w:val="24"/>
                <w:szCs w:val="24"/>
              </w:rPr>
              <w:t>1.324</w:t>
            </w:r>
          </w:p>
        </w:tc>
        <w:tc>
          <w:tcPr>
            <w:tcW w:w="2877" w:type="dxa"/>
          </w:tcPr>
          <w:p w:rsidR="00D40589" w:rsidRPr="006168F4" w:rsidRDefault="00AB5A64" w:rsidP="008802E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68F4">
              <w:rPr>
                <w:rFonts w:ascii="Arial" w:hAnsi="Arial" w:cs="Arial"/>
                <w:sz w:val="24"/>
                <w:szCs w:val="24"/>
              </w:rPr>
              <w:t>11.327</w:t>
            </w:r>
          </w:p>
        </w:tc>
      </w:tr>
      <w:tr w:rsidR="00D40589" w:rsidRPr="006168F4" w:rsidTr="008802E4">
        <w:tc>
          <w:tcPr>
            <w:cnfStyle w:val="001000000000" w:firstRow="0" w:lastRow="0" w:firstColumn="1" w:lastColumn="0" w:oddVBand="0" w:evenVBand="0" w:oddHBand="0" w:evenHBand="0" w:firstRowFirstColumn="0" w:firstRowLastColumn="0" w:lastRowFirstColumn="0" w:lastRowLastColumn="0"/>
            <w:tcW w:w="2877" w:type="dxa"/>
          </w:tcPr>
          <w:p w:rsidR="00D40589" w:rsidRPr="006168F4" w:rsidRDefault="00AB5A64" w:rsidP="008802E4">
            <w:pPr>
              <w:spacing w:line="360" w:lineRule="auto"/>
              <w:rPr>
                <w:rFonts w:ascii="Arial" w:hAnsi="Arial" w:cs="Arial"/>
                <w:sz w:val="24"/>
                <w:szCs w:val="24"/>
              </w:rPr>
            </w:pPr>
            <w:r w:rsidRPr="006168F4">
              <w:rPr>
                <w:rFonts w:ascii="Arial" w:hAnsi="Arial" w:cs="Arial"/>
                <w:sz w:val="24"/>
                <w:szCs w:val="24"/>
              </w:rPr>
              <w:t>B</w:t>
            </w:r>
          </w:p>
        </w:tc>
        <w:tc>
          <w:tcPr>
            <w:tcW w:w="2876" w:type="dxa"/>
          </w:tcPr>
          <w:p w:rsidR="00D40589" w:rsidRPr="006168F4" w:rsidRDefault="00AB5A64" w:rsidP="008802E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68F4">
              <w:rPr>
                <w:rFonts w:ascii="Arial" w:hAnsi="Arial" w:cs="Arial"/>
                <w:sz w:val="24"/>
                <w:szCs w:val="24"/>
              </w:rPr>
              <w:t>-7.255</w:t>
            </w:r>
          </w:p>
        </w:tc>
        <w:tc>
          <w:tcPr>
            <w:tcW w:w="2877" w:type="dxa"/>
          </w:tcPr>
          <w:p w:rsidR="00D40589" w:rsidRPr="006168F4" w:rsidRDefault="00AB5A64" w:rsidP="008802E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168F4">
              <w:rPr>
                <w:rFonts w:ascii="Arial" w:hAnsi="Arial" w:cs="Arial"/>
                <w:sz w:val="24"/>
                <w:szCs w:val="24"/>
              </w:rPr>
              <w:t>0.0</w:t>
            </w:r>
          </w:p>
        </w:tc>
      </w:tr>
      <w:tr w:rsidR="008802E4" w:rsidRPr="006168F4" w:rsidTr="008802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7" w:type="dxa"/>
          </w:tcPr>
          <w:p w:rsidR="008802E4" w:rsidRPr="006168F4" w:rsidRDefault="008802E4" w:rsidP="008802E4">
            <w:pPr>
              <w:spacing w:line="360" w:lineRule="auto"/>
              <w:rPr>
                <w:rFonts w:ascii="Arial" w:hAnsi="Arial" w:cs="Arial"/>
                <w:sz w:val="24"/>
                <w:szCs w:val="24"/>
              </w:rPr>
            </w:pPr>
            <w:r w:rsidRPr="006168F4">
              <w:rPr>
                <w:rFonts w:ascii="Arial" w:hAnsi="Arial" w:cs="Arial"/>
                <w:sz w:val="24"/>
                <w:szCs w:val="24"/>
              </w:rPr>
              <w:t>C</w:t>
            </w:r>
          </w:p>
        </w:tc>
        <w:tc>
          <w:tcPr>
            <w:tcW w:w="2876" w:type="dxa"/>
          </w:tcPr>
          <w:p w:rsidR="008802E4" w:rsidRPr="006168F4" w:rsidRDefault="008802E4" w:rsidP="008802E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68F4">
              <w:rPr>
                <w:rFonts w:ascii="Arial" w:hAnsi="Arial" w:cs="Arial"/>
                <w:sz w:val="24"/>
                <w:szCs w:val="24"/>
              </w:rPr>
              <w:t>4.225</w:t>
            </w:r>
          </w:p>
        </w:tc>
        <w:tc>
          <w:tcPr>
            <w:tcW w:w="2877" w:type="dxa"/>
          </w:tcPr>
          <w:p w:rsidR="008802E4" w:rsidRPr="006168F4" w:rsidRDefault="008802E4" w:rsidP="008802E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168F4">
              <w:rPr>
                <w:rFonts w:ascii="Arial" w:hAnsi="Arial" w:cs="Arial"/>
                <w:sz w:val="24"/>
                <w:szCs w:val="24"/>
              </w:rPr>
              <w:t>12.72</w:t>
            </w:r>
          </w:p>
        </w:tc>
      </w:tr>
    </w:tbl>
    <w:p w:rsidR="000B0A3A" w:rsidRPr="006168F4" w:rsidRDefault="000B0A3A"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p>
    <w:p w:rsidR="0072533C" w:rsidRDefault="0072533C" w:rsidP="008802E4">
      <w:pPr>
        <w:spacing w:line="360" w:lineRule="auto"/>
        <w:rPr>
          <w:rFonts w:ascii="Arial" w:eastAsia="Times New Roman" w:hAnsi="Arial" w:cs="Arial"/>
          <w:b/>
          <w:bCs/>
          <w:sz w:val="24"/>
          <w:szCs w:val="24"/>
          <w:lang w:val="en-IN" w:eastAsia="en-IN"/>
        </w:rPr>
      </w:pPr>
      <w:r>
        <w:rPr>
          <w:rFonts w:ascii="Arial" w:eastAsia="Times New Roman" w:hAnsi="Arial" w:cs="Arial"/>
          <w:b/>
          <w:bCs/>
          <w:sz w:val="24"/>
          <w:szCs w:val="24"/>
          <w:lang w:val="en-IN" w:eastAsia="en-IN"/>
        </w:rPr>
        <w:lastRenderedPageBreak/>
        <w:t>References</w:t>
      </w:r>
    </w:p>
    <w:p w:rsidR="0072533C" w:rsidRDefault="0072533C" w:rsidP="008802E4">
      <w:pPr>
        <w:spacing w:line="360" w:lineRule="auto"/>
        <w:rPr>
          <w:rFonts w:ascii="Arial" w:eastAsia="Times New Roman" w:hAnsi="Arial" w:cs="Arial"/>
          <w:b/>
          <w:bCs/>
          <w:sz w:val="24"/>
          <w:szCs w:val="24"/>
          <w:lang w:val="en-IN" w:eastAsia="en-IN"/>
        </w:rPr>
      </w:pPr>
    </w:p>
    <w:p w:rsidR="001500DD" w:rsidRPr="006168F4" w:rsidRDefault="001500DD" w:rsidP="008802E4">
      <w:pPr>
        <w:spacing w:line="360" w:lineRule="auto"/>
        <w:rPr>
          <w:rFonts w:ascii="Arial" w:eastAsia="Times New Roman" w:hAnsi="Arial" w:cs="Arial"/>
          <w:sz w:val="24"/>
          <w:szCs w:val="24"/>
          <w:lang w:val="en-IN" w:eastAsia="en-IN"/>
        </w:rPr>
      </w:pPr>
      <w:r w:rsidRPr="006168F4">
        <w:rPr>
          <w:rFonts w:ascii="Arial" w:eastAsia="Times New Roman" w:hAnsi="Arial" w:cs="Arial"/>
          <w:b/>
          <w:bCs/>
          <w:sz w:val="24"/>
          <w:szCs w:val="24"/>
          <w:lang w:val="en-IN" w:eastAsia="en-IN"/>
        </w:rPr>
        <w:t>Altman, E.I. (2014)</w:t>
      </w:r>
      <w:r w:rsidRPr="006168F4">
        <w:rPr>
          <w:rFonts w:ascii="Arial" w:eastAsia="Times New Roman" w:hAnsi="Arial" w:cs="Arial"/>
          <w:sz w:val="24"/>
          <w:szCs w:val="24"/>
          <w:lang w:val="en-IN" w:eastAsia="en-IN"/>
        </w:rPr>
        <w:t xml:space="preserve"> </w:t>
      </w:r>
      <w:r w:rsidRPr="006168F4">
        <w:rPr>
          <w:rFonts w:ascii="Arial" w:eastAsia="Times New Roman" w:hAnsi="Arial" w:cs="Arial"/>
          <w:i/>
          <w:iCs/>
          <w:sz w:val="24"/>
          <w:szCs w:val="24"/>
          <w:lang w:val="en-IN" w:eastAsia="en-IN"/>
        </w:rPr>
        <w:t>Corporate financial distress and bankruptcy: Predict and avoid bankruptcy, analyze and invest in distressed debt.</w:t>
      </w:r>
      <w:r w:rsidRPr="006168F4">
        <w:rPr>
          <w:rFonts w:ascii="Arial" w:eastAsia="Times New Roman" w:hAnsi="Arial" w:cs="Arial"/>
          <w:sz w:val="24"/>
          <w:szCs w:val="24"/>
          <w:lang w:val="en-IN" w:eastAsia="en-IN"/>
        </w:rPr>
        <w:t xml:space="preserve"> 3rd ed. Hoboken: Wiley.</w:t>
      </w:r>
    </w:p>
    <w:p w:rsidR="001500DD" w:rsidRPr="006168F4" w:rsidRDefault="001500DD" w:rsidP="008802E4">
      <w:pPr>
        <w:spacing w:line="360" w:lineRule="auto"/>
        <w:rPr>
          <w:rFonts w:ascii="Arial" w:eastAsia="Times New Roman" w:hAnsi="Arial" w:cs="Arial"/>
          <w:sz w:val="24"/>
          <w:szCs w:val="24"/>
          <w:lang w:val="en-IN" w:eastAsia="en-IN"/>
        </w:rPr>
      </w:pPr>
      <w:r w:rsidRPr="006168F4">
        <w:rPr>
          <w:rFonts w:ascii="Arial" w:eastAsia="Times New Roman" w:hAnsi="Arial" w:cs="Arial"/>
          <w:b/>
          <w:bCs/>
          <w:sz w:val="24"/>
          <w:szCs w:val="24"/>
          <w:lang w:val="en-IN" w:eastAsia="en-IN"/>
        </w:rPr>
        <w:t>Arnold, G. (2022)</w:t>
      </w:r>
      <w:r w:rsidRPr="006168F4">
        <w:rPr>
          <w:rFonts w:ascii="Arial" w:eastAsia="Times New Roman" w:hAnsi="Arial" w:cs="Arial"/>
          <w:sz w:val="24"/>
          <w:szCs w:val="24"/>
          <w:lang w:val="en-IN" w:eastAsia="en-IN"/>
        </w:rPr>
        <w:t xml:space="preserve"> </w:t>
      </w:r>
      <w:r w:rsidRPr="006168F4">
        <w:rPr>
          <w:rFonts w:ascii="Arial" w:eastAsia="Times New Roman" w:hAnsi="Arial" w:cs="Arial"/>
          <w:i/>
          <w:iCs/>
          <w:sz w:val="24"/>
          <w:szCs w:val="24"/>
          <w:lang w:val="en-IN" w:eastAsia="en-IN"/>
        </w:rPr>
        <w:t>Corporate financial management.</w:t>
      </w:r>
      <w:r w:rsidRPr="006168F4">
        <w:rPr>
          <w:rFonts w:ascii="Arial" w:eastAsia="Times New Roman" w:hAnsi="Arial" w:cs="Arial"/>
          <w:sz w:val="24"/>
          <w:szCs w:val="24"/>
          <w:lang w:val="en-IN" w:eastAsia="en-IN"/>
        </w:rPr>
        <w:t xml:space="preserve"> 7th ed. Harlow: Pearson.</w:t>
      </w:r>
    </w:p>
    <w:p w:rsidR="001500DD" w:rsidRPr="006168F4" w:rsidRDefault="001500DD" w:rsidP="008802E4">
      <w:pPr>
        <w:spacing w:line="360" w:lineRule="auto"/>
        <w:rPr>
          <w:rFonts w:ascii="Arial" w:eastAsia="Times New Roman" w:hAnsi="Arial" w:cs="Arial"/>
          <w:sz w:val="24"/>
          <w:szCs w:val="24"/>
          <w:lang w:val="en-IN" w:eastAsia="en-IN"/>
        </w:rPr>
      </w:pPr>
      <w:r w:rsidRPr="006168F4">
        <w:rPr>
          <w:rFonts w:ascii="Arial" w:eastAsia="Times New Roman" w:hAnsi="Arial" w:cs="Arial"/>
          <w:b/>
          <w:bCs/>
          <w:sz w:val="24"/>
          <w:szCs w:val="24"/>
          <w:lang w:val="en-IN" w:eastAsia="en-IN"/>
        </w:rPr>
        <w:t>Atrill, P. and McLaney, E. (2023)</w:t>
      </w:r>
      <w:r w:rsidRPr="006168F4">
        <w:rPr>
          <w:rFonts w:ascii="Arial" w:eastAsia="Times New Roman" w:hAnsi="Arial" w:cs="Arial"/>
          <w:sz w:val="24"/>
          <w:szCs w:val="24"/>
          <w:lang w:val="en-IN" w:eastAsia="en-IN"/>
        </w:rPr>
        <w:t xml:space="preserve"> </w:t>
      </w:r>
      <w:r w:rsidRPr="006168F4">
        <w:rPr>
          <w:rFonts w:ascii="Arial" w:eastAsia="Times New Roman" w:hAnsi="Arial" w:cs="Arial"/>
          <w:i/>
          <w:iCs/>
          <w:sz w:val="24"/>
          <w:szCs w:val="24"/>
          <w:lang w:val="en-IN" w:eastAsia="en-IN"/>
        </w:rPr>
        <w:t>Financial accounting for decision makers.</w:t>
      </w:r>
      <w:r w:rsidRPr="006168F4">
        <w:rPr>
          <w:rFonts w:ascii="Arial" w:eastAsia="Times New Roman" w:hAnsi="Arial" w:cs="Arial"/>
          <w:sz w:val="24"/>
          <w:szCs w:val="24"/>
          <w:lang w:val="en-IN" w:eastAsia="en-IN"/>
        </w:rPr>
        <w:t xml:space="preserve"> 10th ed. Harlow: Pearson.</w:t>
      </w:r>
    </w:p>
    <w:p w:rsidR="001500DD" w:rsidRPr="006168F4" w:rsidRDefault="001500DD" w:rsidP="008802E4">
      <w:pPr>
        <w:spacing w:line="360" w:lineRule="auto"/>
        <w:rPr>
          <w:rFonts w:ascii="Arial" w:eastAsia="Times New Roman" w:hAnsi="Arial" w:cs="Arial"/>
          <w:sz w:val="24"/>
          <w:szCs w:val="24"/>
          <w:lang w:val="en-IN" w:eastAsia="en-IN"/>
        </w:rPr>
      </w:pPr>
      <w:r w:rsidRPr="006168F4">
        <w:rPr>
          <w:rFonts w:ascii="Arial" w:eastAsia="Times New Roman" w:hAnsi="Arial" w:cs="Arial"/>
          <w:b/>
          <w:bCs/>
          <w:sz w:val="24"/>
          <w:szCs w:val="24"/>
          <w:lang w:val="en-IN" w:eastAsia="en-IN"/>
        </w:rPr>
        <w:t>Brealey, R.A., Myers, S.C. and Allen, F. (2020)</w:t>
      </w:r>
      <w:r w:rsidRPr="006168F4">
        <w:rPr>
          <w:rFonts w:ascii="Arial" w:eastAsia="Times New Roman" w:hAnsi="Arial" w:cs="Arial"/>
          <w:sz w:val="24"/>
          <w:szCs w:val="24"/>
          <w:lang w:val="en-IN" w:eastAsia="en-IN"/>
        </w:rPr>
        <w:t xml:space="preserve"> </w:t>
      </w:r>
      <w:r w:rsidRPr="006168F4">
        <w:rPr>
          <w:rFonts w:ascii="Arial" w:eastAsia="Times New Roman" w:hAnsi="Arial" w:cs="Arial"/>
          <w:i/>
          <w:iCs/>
          <w:sz w:val="24"/>
          <w:szCs w:val="24"/>
          <w:lang w:val="en-IN" w:eastAsia="en-IN"/>
        </w:rPr>
        <w:t>Principles of corporate finance.</w:t>
      </w:r>
      <w:r w:rsidRPr="006168F4">
        <w:rPr>
          <w:rFonts w:ascii="Arial" w:eastAsia="Times New Roman" w:hAnsi="Arial" w:cs="Arial"/>
          <w:sz w:val="24"/>
          <w:szCs w:val="24"/>
          <w:lang w:val="en-IN" w:eastAsia="en-IN"/>
        </w:rPr>
        <w:t xml:space="preserve"> 13th ed. New York: McGraw-Hill Education.</w:t>
      </w:r>
    </w:p>
    <w:p w:rsidR="001500DD" w:rsidRPr="006168F4" w:rsidRDefault="001500DD" w:rsidP="008802E4">
      <w:pPr>
        <w:spacing w:line="360" w:lineRule="auto"/>
        <w:rPr>
          <w:rFonts w:ascii="Arial" w:eastAsia="Times New Roman" w:hAnsi="Arial" w:cs="Arial"/>
          <w:sz w:val="24"/>
          <w:szCs w:val="24"/>
          <w:lang w:val="en-IN" w:eastAsia="en-IN"/>
        </w:rPr>
      </w:pPr>
      <w:r w:rsidRPr="006168F4">
        <w:rPr>
          <w:rFonts w:ascii="Arial" w:eastAsia="Times New Roman" w:hAnsi="Arial" w:cs="Arial"/>
          <w:b/>
          <w:bCs/>
          <w:sz w:val="24"/>
          <w:szCs w:val="24"/>
          <w:lang w:val="en-IN" w:eastAsia="en-IN"/>
        </w:rPr>
        <w:t>Brigham, E.F. and Ehrhardt, M.C. (2022)</w:t>
      </w:r>
      <w:r w:rsidRPr="006168F4">
        <w:rPr>
          <w:rFonts w:ascii="Arial" w:eastAsia="Times New Roman" w:hAnsi="Arial" w:cs="Arial"/>
          <w:sz w:val="24"/>
          <w:szCs w:val="24"/>
          <w:lang w:val="en-IN" w:eastAsia="en-IN"/>
        </w:rPr>
        <w:t xml:space="preserve"> </w:t>
      </w:r>
      <w:r w:rsidRPr="006168F4">
        <w:rPr>
          <w:rFonts w:ascii="Arial" w:eastAsia="Times New Roman" w:hAnsi="Arial" w:cs="Arial"/>
          <w:i/>
          <w:iCs/>
          <w:sz w:val="24"/>
          <w:szCs w:val="24"/>
          <w:lang w:val="en-IN" w:eastAsia="en-IN"/>
        </w:rPr>
        <w:t>Financial management: Theory and practice.</w:t>
      </w:r>
      <w:r w:rsidRPr="006168F4">
        <w:rPr>
          <w:rFonts w:ascii="Arial" w:eastAsia="Times New Roman" w:hAnsi="Arial" w:cs="Arial"/>
          <w:sz w:val="24"/>
          <w:szCs w:val="24"/>
          <w:lang w:val="en-IN" w:eastAsia="en-IN"/>
        </w:rPr>
        <w:t xml:space="preserve"> 16th ed. Boston: Cengage Learning.</w:t>
      </w:r>
    </w:p>
    <w:p w:rsidR="001500DD" w:rsidRPr="006168F4" w:rsidRDefault="001500DD" w:rsidP="008802E4">
      <w:pPr>
        <w:spacing w:line="360" w:lineRule="auto"/>
        <w:rPr>
          <w:rFonts w:ascii="Arial" w:eastAsia="Times New Roman" w:hAnsi="Arial" w:cs="Arial"/>
          <w:sz w:val="24"/>
          <w:szCs w:val="24"/>
          <w:lang w:val="en-IN" w:eastAsia="en-IN"/>
        </w:rPr>
      </w:pPr>
      <w:r w:rsidRPr="006168F4">
        <w:rPr>
          <w:rFonts w:ascii="Arial" w:eastAsia="Times New Roman" w:hAnsi="Arial" w:cs="Arial"/>
          <w:b/>
          <w:bCs/>
          <w:sz w:val="24"/>
          <w:szCs w:val="24"/>
          <w:lang w:val="en-IN" w:eastAsia="en-IN"/>
        </w:rPr>
        <w:t>Crane, A. and Matten, D. (2022)</w:t>
      </w:r>
      <w:r w:rsidRPr="006168F4">
        <w:rPr>
          <w:rFonts w:ascii="Arial" w:eastAsia="Times New Roman" w:hAnsi="Arial" w:cs="Arial"/>
          <w:sz w:val="24"/>
          <w:szCs w:val="24"/>
          <w:lang w:val="en-IN" w:eastAsia="en-IN"/>
        </w:rPr>
        <w:t xml:space="preserve"> </w:t>
      </w:r>
      <w:r w:rsidRPr="006168F4">
        <w:rPr>
          <w:rFonts w:ascii="Arial" w:eastAsia="Times New Roman" w:hAnsi="Arial" w:cs="Arial"/>
          <w:i/>
          <w:iCs/>
          <w:sz w:val="24"/>
          <w:szCs w:val="24"/>
          <w:lang w:val="en-IN" w:eastAsia="en-IN"/>
        </w:rPr>
        <w:t>Business ethics: Managing corporate citizenship and sustainability in the age of globalization.</w:t>
      </w:r>
      <w:r w:rsidRPr="006168F4">
        <w:rPr>
          <w:rFonts w:ascii="Arial" w:eastAsia="Times New Roman" w:hAnsi="Arial" w:cs="Arial"/>
          <w:sz w:val="24"/>
          <w:szCs w:val="24"/>
          <w:lang w:val="en-IN" w:eastAsia="en-IN"/>
        </w:rPr>
        <w:t xml:space="preserve"> 6th ed. Oxford: Oxford University Press.</w:t>
      </w:r>
    </w:p>
    <w:p w:rsidR="001500DD" w:rsidRPr="006168F4" w:rsidRDefault="001500DD" w:rsidP="008802E4">
      <w:pPr>
        <w:spacing w:line="360" w:lineRule="auto"/>
        <w:rPr>
          <w:rFonts w:ascii="Arial" w:eastAsia="Times New Roman" w:hAnsi="Arial" w:cs="Arial"/>
          <w:sz w:val="24"/>
          <w:szCs w:val="24"/>
          <w:lang w:val="en-IN" w:eastAsia="en-IN"/>
        </w:rPr>
      </w:pPr>
      <w:r w:rsidRPr="006168F4">
        <w:rPr>
          <w:rFonts w:ascii="Arial" w:eastAsia="Times New Roman" w:hAnsi="Arial" w:cs="Arial"/>
          <w:b/>
          <w:bCs/>
          <w:sz w:val="24"/>
          <w:szCs w:val="24"/>
          <w:lang w:val="en-IN" w:eastAsia="en-IN"/>
        </w:rPr>
        <w:t>Grant, R.M. (2021)</w:t>
      </w:r>
      <w:r w:rsidRPr="006168F4">
        <w:rPr>
          <w:rFonts w:ascii="Arial" w:eastAsia="Times New Roman" w:hAnsi="Arial" w:cs="Arial"/>
          <w:sz w:val="24"/>
          <w:szCs w:val="24"/>
          <w:lang w:val="en-IN" w:eastAsia="en-IN"/>
        </w:rPr>
        <w:t xml:space="preserve"> </w:t>
      </w:r>
      <w:r w:rsidRPr="006168F4">
        <w:rPr>
          <w:rFonts w:ascii="Arial" w:eastAsia="Times New Roman" w:hAnsi="Arial" w:cs="Arial"/>
          <w:i/>
          <w:iCs/>
          <w:sz w:val="24"/>
          <w:szCs w:val="24"/>
          <w:lang w:val="en-IN" w:eastAsia="en-IN"/>
        </w:rPr>
        <w:t>Contemporary strategy analysis.</w:t>
      </w:r>
      <w:r w:rsidRPr="006168F4">
        <w:rPr>
          <w:rFonts w:ascii="Arial" w:eastAsia="Times New Roman" w:hAnsi="Arial" w:cs="Arial"/>
          <w:sz w:val="24"/>
          <w:szCs w:val="24"/>
          <w:lang w:val="en-IN" w:eastAsia="en-IN"/>
        </w:rPr>
        <w:t xml:space="preserve"> 11th ed. Hoboken: Wiley.</w:t>
      </w:r>
    </w:p>
    <w:p w:rsidR="001500DD" w:rsidRPr="006168F4" w:rsidRDefault="001500DD" w:rsidP="008802E4">
      <w:pPr>
        <w:spacing w:line="360" w:lineRule="auto"/>
        <w:rPr>
          <w:rFonts w:ascii="Arial" w:eastAsia="Times New Roman" w:hAnsi="Arial" w:cs="Arial"/>
          <w:sz w:val="24"/>
          <w:szCs w:val="24"/>
          <w:lang w:val="en-IN" w:eastAsia="en-IN"/>
        </w:rPr>
      </w:pPr>
      <w:r w:rsidRPr="006168F4">
        <w:rPr>
          <w:rFonts w:ascii="Arial" w:eastAsia="Times New Roman" w:hAnsi="Arial" w:cs="Arial"/>
          <w:b/>
          <w:bCs/>
          <w:sz w:val="24"/>
          <w:szCs w:val="24"/>
          <w:lang w:val="en-IN" w:eastAsia="en-IN"/>
        </w:rPr>
        <w:t>Hillier, D., Ross, S., Westerfield, R., Jaffe, J. and Jordan, B. (2021)</w:t>
      </w:r>
      <w:r w:rsidRPr="006168F4">
        <w:rPr>
          <w:rFonts w:ascii="Arial" w:eastAsia="Times New Roman" w:hAnsi="Arial" w:cs="Arial"/>
          <w:sz w:val="24"/>
          <w:szCs w:val="24"/>
          <w:lang w:val="en-IN" w:eastAsia="en-IN"/>
        </w:rPr>
        <w:t xml:space="preserve"> </w:t>
      </w:r>
      <w:r w:rsidRPr="006168F4">
        <w:rPr>
          <w:rFonts w:ascii="Arial" w:eastAsia="Times New Roman" w:hAnsi="Arial" w:cs="Arial"/>
          <w:i/>
          <w:iCs/>
          <w:sz w:val="24"/>
          <w:szCs w:val="24"/>
          <w:lang w:val="en-IN" w:eastAsia="en-IN"/>
        </w:rPr>
        <w:t>Corporate finance.</w:t>
      </w:r>
      <w:r w:rsidRPr="006168F4">
        <w:rPr>
          <w:rFonts w:ascii="Arial" w:eastAsia="Times New Roman" w:hAnsi="Arial" w:cs="Arial"/>
          <w:sz w:val="24"/>
          <w:szCs w:val="24"/>
          <w:lang w:val="en-IN" w:eastAsia="en-IN"/>
        </w:rPr>
        <w:t xml:space="preserve"> 4th European ed. Maidenhead: McGraw-Hill Education.</w:t>
      </w:r>
    </w:p>
    <w:p w:rsidR="001500DD" w:rsidRPr="006168F4" w:rsidRDefault="001500DD" w:rsidP="008802E4">
      <w:pPr>
        <w:spacing w:line="360" w:lineRule="auto"/>
        <w:rPr>
          <w:rFonts w:ascii="Arial" w:eastAsia="Times New Roman" w:hAnsi="Arial" w:cs="Arial"/>
          <w:sz w:val="24"/>
          <w:szCs w:val="24"/>
          <w:lang w:val="en-IN" w:eastAsia="en-IN"/>
        </w:rPr>
      </w:pPr>
      <w:r w:rsidRPr="006168F4">
        <w:rPr>
          <w:rFonts w:ascii="Arial" w:eastAsia="Times New Roman" w:hAnsi="Arial" w:cs="Arial"/>
          <w:b/>
          <w:bCs/>
          <w:sz w:val="24"/>
          <w:szCs w:val="24"/>
          <w:lang w:val="en-IN" w:eastAsia="en-IN"/>
        </w:rPr>
        <w:t>Markides, C. (2013)</w:t>
      </w:r>
      <w:r w:rsidRPr="006168F4">
        <w:rPr>
          <w:rFonts w:ascii="Arial" w:eastAsia="Times New Roman" w:hAnsi="Arial" w:cs="Arial"/>
          <w:sz w:val="24"/>
          <w:szCs w:val="24"/>
          <w:lang w:val="en-IN" w:eastAsia="en-IN"/>
        </w:rPr>
        <w:t xml:space="preserve"> </w:t>
      </w:r>
      <w:r w:rsidRPr="006168F4">
        <w:rPr>
          <w:rFonts w:ascii="Arial" w:eastAsia="Times New Roman" w:hAnsi="Arial" w:cs="Arial"/>
          <w:i/>
          <w:iCs/>
          <w:sz w:val="24"/>
          <w:szCs w:val="24"/>
          <w:lang w:val="en-IN" w:eastAsia="en-IN"/>
        </w:rPr>
        <w:t>Game-changing strategies: How to create new market space in established industries by breaking the rules.</w:t>
      </w:r>
      <w:r w:rsidRPr="006168F4">
        <w:rPr>
          <w:rFonts w:ascii="Arial" w:eastAsia="Times New Roman" w:hAnsi="Arial" w:cs="Arial"/>
          <w:sz w:val="24"/>
          <w:szCs w:val="24"/>
          <w:lang w:val="en-IN" w:eastAsia="en-IN"/>
        </w:rPr>
        <w:t xml:space="preserve"> San Francisco: Jossey-Bass.</w:t>
      </w:r>
    </w:p>
    <w:p w:rsidR="001500DD" w:rsidRPr="006168F4" w:rsidRDefault="001500DD" w:rsidP="008802E4">
      <w:pPr>
        <w:spacing w:line="360" w:lineRule="auto"/>
        <w:rPr>
          <w:rFonts w:ascii="Arial" w:eastAsia="Times New Roman" w:hAnsi="Arial" w:cs="Arial"/>
          <w:sz w:val="24"/>
          <w:szCs w:val="24"/>
          <w:lang w:val="en-IN" w:eastAsia="en-IN"/>
        </w:rPr>
      </w:pPr>
      <w:r w:rsidRPr="006168F4">
        <w:rPr>
          <w:rFonts w:ascii="Arial" w:eastAsia="Times New Roman" w:hAnsi="Arial" w:cs="Arial"/>
          <w:b/>
          <w:bCs/>
          <w:sz w:val="24"/>
          <w:szCs w:val="24"/>
          <w:lang w:val="en-IN" w:eastAsia="en-IN"/>
        </w:rPr>
        <w:t>Padachi, K. (2006)</w:t>
      </w:r>
      <w:r w:rsidRPr="006168F4">
        <w:rPr>
          <w:rFonts w:ascii="Arial" w:eastAsia="Times New Roman" w:hAnsi="Arial" w:cs="Arial"/>
          <w:sz w:val="24"/>
          <w:szCs w:val="24"/>
          <w:lang w:val="en-IN" w:eastAsia="en-IN"/>
        </w:rPr>
        <w:t xml:space="preserve"> ‘Trends in working capital management and its impact on firms’ performance: An analysis of Mauritian small manufacturing firms’, </w:t>
      </w:r>
      <w:r w:rsidRPr="006168F4">
        <w:rPr>
          <w:rFonts w:ascii="Arial" w:eastAsia="Times New Roman" w:hAnsi="Arial" w:cs="Arial"/>
          <w:i/>
          <w:iCs/>
          <w:sz w:val="24"/>
          <w:szCs w:val="24"/>
          <w:lang w:val="en-IN" w:eastAsia="en-IN"/>
        </w:rPr>
        <w:t>International Review of Business Research Papers</w:t>
      </w:r>
      <w:r w:rsidRPr="006168F4">
        <w:rPr>
          <w:rFonts w:ascii="Arial" w:eastAsia="Times New Roman" w:hAnsi="Arial" w:cs="Arial"/>
          <w:sz w:val="24"/>
          <w:szCs w:val="24"/>
          <w:lang w:val="en-IN" w:eastAsia="en-IN"/>
        </w:rPr>
        <w:t>, 2(2), pp. 45–58.</w:t>
      </w:r>
    </w:p>
    <w:p w:rsidR="001500DD" w:rsidRDefault="001500DD" w:rsidP="008802E4">
      <w:pPr>
        <w:spacing w:line="360" w:lineRule="auto"/>
        <w:rPr>
          <w:rFonts w:ascii="Arial" w:eastAsia="Times New Roman" w:hAnsi="Arial" w:cs="Arial"/>
          <w:sz w:val="24"/>
          <w:szCs w:val="24"/>
          <w:lang w:val="en-IN" w:eastAsia="en-IN"/>
        </w:rPr>
      </w:pPr>
      <w:r w:rsidRPr="006168F4">
        <w:rPr>
          <w:rFonts w:ascii="Arial" w:eastAsia="Times New Roman" w:hAnsi="Arial" w:cs="Arial"/>
          <w:b/>
          <w:bCs/>
          <w:sz w:val="24"/>
          <w:szCs w:val="24"/>
          <w:lang w:val="en-IN" w:eastAsia="en-IN"/>
        </w:rPr>
        <w:t>Pearce, J.A. and Robbins, D.K. (2008)</w:t>
      </w:r>
      <w:r w:rsidRPr="006168F4">
        <w:rPr>
          <w:rFonts w:ascii="Arial" w:eastAsia="Times New Roman" w:hAnsi="Arial" w:cs="Arial"/>
          <w:sz w:val="24"/>
          <w:szCs w:val="24"/>
          <w:lang w:val="en-IN" w:eastAsia="en-IN"/>
        </w:rPr>
        <w:t xml:space="preserve"> ‘Retrenchment remains a key strategy for turnaround’, </w:t>
      </w:r>
      <w:r w:rsidRPr="006168F4">
        <w:rPr>
          <w:rFonts w:ascii="Arial" w:eastAsia="Times New Roman" w:hAnsi="Arial" w:cs="Arial"/>
          <w:i/>
          <w:iCs/>
          <w:sz w:val="24"/>
          <w:szCs w:val="24"/>
          <w:lang w:val="en-IN" w:eastAsia="en-IN"/>
        </w:rPr>
        <w:t>Journal of Business Strategy</w:t>
      </w:r>
      <w:r w:rsidRPr="006168F4">
        <w:rPr>
          <w:rFonts w:ascii="Arial" w:eastAsia="Times New Roman" w:hAnsi="Arial" w:cs="Arial"/>
          <w:sz w:val="24"/>
          <w:szCs w:val="24"/>
          <w:lang w:val="en-IN" w:eastAsia="en-IN"/>
        </w:rPr>
        <w:t>, 29(2), pp. 19–28.</w:t>
      </w:r>
    </w:p>
    <w:p w:rsidR="008D2EE4" w:rsidRDefault="008D2EE4" w:rsidP="008D2EE4">
      <w:pPr>
        <w:spacing w:after="240" w:line="360" w:lineRule="auto"/>
        <w:rPr>
          <w:rFonts w:ascii="Arial" w:eastAsia="Times New Roman" w:hAnsi="Arial" w:cs="Arial"/>
          <w:sz w:val="24"/>
          <w:szCs w:val="24"/>
          <w:lang w:val="en-IN" w:eastAsia="en-IN"/>
        </w:rPr>
      </w:pPr>
      <w:r w:rsidRPr="008D2EE4">
        <w:rPr>
          <w:rFonts w:ascii="Arial" w:eastAsia="Times New Roman" w:hAnsi="Arial" w:cs="Arial"/>
          <w:b/>
          <w:sz w:val="24"/>
          <w:szCs w:val="24"/>
          <w:lang w:val="en-IN" w:eastAsia="en-IN"/>
        </w:rPr>
        <w:lastRenderedPageBreak/>
        <w:t>Bakri, A., Fifield, S. and Power, D. (2025).</w:t>
      </w:r>
      <w:r w:rsidRPr="008D2EE4">
        <w:rPr>
          <w:rFonts w:ascii="Arial" w:eastAsia="Times New Roman" w:hAnsi="Arial" w:cs="Arial"/>
          <w:sz w:val="24"/>
          <w:szCs w:val="24"/>
          <w:lang w:val="en-IN" w:eastAsia="en-IN"/>
        </w:rPr>
        <w:t xml:space="preserve"> </w:t>
      </w:r>
      <w:r w:rsidRPr="008D2EE4">
        <w:rPr>
          <w:rFonts w:ascii="Arial" w:eastAsia="Times New Roman" w:hAnsi="Arial" w:cs="Arial"/>
          <w:i/>
          <w:iCs/>
          <w:sz w:val="24"/>
          <w:szCs w:val="24"/>
          <w:lang w:val="en-IN" w:eastAsia="en-IN"/>
        </w:rPr>
        <w:t>Perceptions of capital budgeting and political risk among small- and medium-sized enterprises: evidence from Lebanon</w:t>
      </w:r>
      <w:r w:rsidRPr="008D2EE4">
        <w:rPr>
          <w:rFonts w:ascii="Arial" w:eastAsia="Times New Roman" w:hAnsi="Arial" w:cs="Arial"/>
          <w:sz w:val="24"/>
          <w:szCs w:val="24"/>
          <w:lang w:val="en-IN" w:eastAsia="en-IN"/>
        </w:rPr>
        <w:t>. [online] Research Gate. doi:https://doi.org/10.1108/IMEFM-07-2024-0357.</w:t>
      </w:r>
    </w:p>
    <w:p w:rsidR="00B96AF2" w:rsidRPr="008D2EE4" w:rsidRDefault="000B0A3A" w:rsidP="008D2EE4">
      <w:pPr>
        <w:spacing w:after="240" w:line="360" w:lineRule="auto"/>
        <w:rPr>
          <w:rFonts w:ascii="Arial" w:eastAsia="Times New Roman" w:hAnsi="Arial" w:cs="Arial"/>
          <w:sz w:val="24"/>
          <w:szCs w:val="24"/>
          <w:lang w:val="en-IN" w:eastAsia="en-IN"/>
        </w:rPr>
      </w:pPr>
      <w:r w:rsidRPr="008D2EE4">
        <w:rPr>
          <w:rFonts w:ascii="Arial" w:hAnsi="Arial" w:cs="Arial"/>
          <w:b/>
          <w:sz w:val="24"/>
          <w:szCs w:val="24"/>
        </w:rPr>
        <w:t>Gracheva, R. (2025).</w:t>
      </w:r>
      <w:r w:rsidRPr="006168F4">
        <w:rPr>
          <w:rFonts w:ascii="Arial" w:hAnsi="Arial" w:cs="Arial"/>
          <w:sz w:val="24"/>
          <w:szCs w:val="24"/>
        </w:rPr>
        <w:t xml:space="preserve"> Managing the Firm’s Financial Distress: The Bialetti Case. University of Padua. https://thesis.unipd.it/handle/20.500.12608/89419</w:t>
      </w:r>
      <w:r w:rsidRPr="006168F4">
        <w:rPr>
          <w:rFonts w:ascii="Arial" w:hAnsi="Arial" w:cs="Arial"/>
          <w:sz w:val="24"/>
          <w:szCs w:val="24"/>
        </w:rPr>
        <w:br/>
      </w:r>
      <w:r w:rsidRPr="008D2EE4">
        <w:rPr>
          <w:rFonts w:ascii="Arial" w:hAnsi="Arial" w:cs="Arial"/>
          <w:b/>
          <w:sz w:val="24"/>
          <w:szCs w:val="24"/>
        </w:rPr>
        <w:t>Githui, F. K., &amp; Nafula, F. (2024).</w:t>
      </w:r>
      <w:r w:rsidRPr="006168F4">
        <w:rPr>
          <w:rFonts w:ascii="Arial" w:hAnsi="Arial" w:cs="Arial"/>
          <w:sz w:val="24"/>
          <w:szCs w:val="24"/>
        </w:rPr>
        <w:t xml:space="preserve"> Turnaround Strategies Adopted by Banks in Kenya. Journal of Market Research. https://www.researchgate.net/publication/388940532</w:t>
      </w:r>
      <w:r w:rsidRPr="006168F4">
        <w:rPr>
          <w:rFonts w:ascii="Arial" w:hAnsi="Arial" w:cs="Arial"/>
          <w:sz w:val="24"/>
          <w:szCs w:val="24"/>
        </w:rPr>
        <w:br/>
      </w:r>
      <w:r w:rsidRPr="008D2EE4">
        <w:rPr>
          <w:rFonts w:ascii="Arial" w:hAnsi="Arial" w:cs="Arial"/>
          <w:b/>
          <w:sz w:val="24"/>
          <w:szCs w:val="24"/>
        </w:rPr>
        <w:t>Zhuang, T., &amp; Zhang, Y. (2025).</w:t>
      </w:r>
      <w:r w:rsidRPr="006168F4">
        <w:rPr>
          <w:rFonts w:ascii="Arial" w:hAnsi="Arial" w:cs="Arial"/>
          <w:sz w:val="24"/>
          <w:szCs w:val="24"/>
        </w:rPr>
        <w:t xml:space="preserve"> Turnaround or Crisis: Digital Transformation and Enterprise Financial Distress. Technology Analysis &amp; Strategic Management. https://doi.org/10.1080/09537325.2025.2464038</w:t>
      </w:r>
      <w:r w:rsidRPr="006168F4">
        <w:rPr>
          <w:rFonts w:ascii="Arial" w:hAnsi="Arial" w:cs="Arial"/>
          <w:sz w:val="24"/>
          <w:szCs w:val="24"/>
        </w:rPr>
        <w:br/>
      </w:r>
      <w:r w:rsidRPr="008D2EE4">
        <w:rPr>
          <w:rFonts w:ascii="Arial" w:hAnsi="Arial" w:cs="Arial"/>
          <w:b/>
          <w:sz w:val="24"/>
          <w:szCs w:val="24"/>
        </w:rPr>
        <w:t>Yahaya, O. A. (2025)</w:t>
      </w:r>
      <w:r w:rsidRPr="006168F4">
        <w:rPr>
          <w:rFonts w:ascii="Arial" w:hAnsi="Arial" w:cs="Arial"/>
          <w:sz w:val="24"/>
          <w:szCs w:val="24"/>
        </w:rPr>
        <w:t>. Could Boards Save Companies from Bankruptcy? SSRN. https://papers.ssrn.com/sol3/Delivery.cfm?abstractid=5159976</w:t>
      </w:r>
      <w:r w:rsidRPr="006168F4">
        <w:rPr>
          <w:rFonts w:ascii="Arial" w:hAnsi="Arial" w:cs="Arial"/>
          <w:sz w:val="24"/>
          <w:szCs w:val="24"/>
        </w:rPr>
        <w:br/>
      </w:r>
      <w:r w:rsidRPr="008D2EE4">
        <w:rPr>
          <w:rFonts w:ascii="Arial" w:hAnsi="Arial" w:cs="Arial"/>
          <w:b/>
          <w:sz w:val="24"/>
          <w:szCs w:val="24"/>
        </w:rPr>
        <w:t>Magri, C. (2025).</w:t>
      </w:r>
      <w:r w:rsidRPr="006168F4">
        <w:rPr>
          <w:rFonts w:ascii="Arial" w:hAnsi="Arial" w:cs="Arial"/>
          <w:sz w:val="24"/>
          <w:szCs w:val="24"/>
        </w:rPr>
        <w:t xml:space="preserve"> Essays on Financial Distress Resolution. University of Ferrara. https://sfera.unife.it/handle/11392/2587131</w:t>
      </w:r>
      <w:r w:rsidRPr="006168F4">
        <w:rPr>
          <w:rFonts w:ascii="Arial" w:hAnsi="Arial" w:cs="Arial"/>
          <w:sz w:val="24"/>
          <w:szCs w:val="24"/>
        </w:rPr>
        <w:br/>
      </w:r>
      <w:r w:rsidRPr="00B614A9">
        <w:rPr>
          <w:rFonts w:ascii="Arial" w:hAnsi="Arial" w:cs="Arial"/>
          <w:b/>
          <w:sz w:val="24"/>
          <w:szCs w:val="24"/>
        </w:rPr>
        <w:t>Michalkova, L., &amp; Ponisciakova, O. (2025).</w:t>
      </w:r>
      <w:r w:rsidRPr="006168F4">
        <w:rPr>
          <w:rFonts w:ascii="Arial" w:hAnsi="Arial" w:cs="Arial"/>
          <w:sz w:val="24"/>
          <w:szCs w:val="24"/>
        </w:rPr>
        <w:t xml:space="preserve"> Bankruptcy Prediction and Corporate Life Cycle. Administrative Sciences. https://www.mdpi.com/2076-3387/15/2/63</w:t>
      </w:r>
      <w:r w:rsidRPr="006168F4">
        <w:rPr>
          <w:rFonts w:ascii="Arial" w:hAnsi="Arial" w:cs="Arial"/>
          <w:sz w:val="24"/>
          <w:szCs w:val="24"/>
        </w:rPr>
        <w:br/>
      </w:r>
      <w:r w:rsidRPr="00B614A9">
        <w:rPr>
          <w:rFonts w:ascii="Arial" w:hAnsi="Arial" w:cs="Arial"/>
          <w:b/>
          <w:sz w:val="24"/>
          <w:szCs w:val="24"/>
        </w:rPr>
        <w:t>Forstner, F. F., Vassolo, R., &amp; Sevil, A. (2025).</w:t>
      </w:r>
      <w:r w:rsidRPr="006168F4">
        <w:rPr>
          <w:rFonts w:ascii="Arial" w:hAnsi="Arial" w:cs="Arial"/>
          <w:sz w:val="24"/>
          <w:szCs w:val="24"/>
        </w:rPr>
        <w:t xml:space="preserve"> SME Turnaround Strategies: A Review. Journal of Small Business Management. https://www.researchgate.net/publication/393953587</w:t>
      </w:r>
    </w:p>
    <w:sectPr w:rsidR="00B96AF2" w:rsidRPr="008D2EE4"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0973" w:rsidRDefault="008A0973" w:rsidP="0090544F">
      <w:pPr>
        <w:spacing w:after="0" w:line="240" w:lineRule="auto"/>
      </w:pPr>
      <w:r>
        <w:separator/>
      </w:r>
    </w:p>
  </w:endnote>
  <w:endnote w:type="continuationSeparator" w:id="0">
    <w:p w:rsidR="008A0973" w:rsidRDefault="008A0973" w:rsidP="00905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0973" w:rsidRDefault="008A0973" w:rsidP="0090544F">
      <w:pPr>
        <w:spacing w:after="0" w:line="240" w:lineRule="auto"/>
      </w:pPr>
      <w:r>
        <w:separator/>
      </w:r>
    </w:p>
  </w:footnote>
  <w:footnote w:type="continuationSeparator" w:id="0">
    <w:p w:rsidR="008A0973" w:rsidRDefault="008A0973" w:rsidP="009054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B12693A"/>
    <w:lvl w:ilvl="0">
      <w:start w:val="1"/>
      <w:numFmt w:val="decimal"/>
      <w:pStyle w:val="ListNumber3"/>
      <w:lvlText w:val="%1."/>
      <w:lvlJc w:val="left"/>
      <w:pPr>
        <w:tabs>
          <w:tab w:val="num" w:pos="720"/>
        </w:tabs>
        <w:ind w:left="72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312048D1"/>
    <w:multiLevelType w:val="multilevel"/>
    <w:tmpl w:val="8EA26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3955F0"/>
    <w:multiLevelType w:val="multilevel"/>
    <w:tmpl w:val="1C903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BE6959"/>
    <w:multiLevelType w:val="hybridMultilevel"/>
    <w:tmpl w:val="80EC42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F305F5C"/>
    <w:multiLevelType w:val="multilevel"/>
    <w:tmpl w:val="501E2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7"/>
  </w:num>
  <w:num w:numId="8">
    <w:abstractNumId w:val="6"/>
  </w:num>
  <w:num w:numId="9">
    <w:abstractNumId w:val="9"/>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0A9D"/>
    <w:rsid w:val="00024E4F"/>
    <w:rsid w:val="00034616"/>
    <w:rsid w:val="00056FA2"/>
    <w:rsid w:val="0006063C"/>
    <w:rsid w:val="00085E5D"/>
    <w:rsid w:val="000B0A3A"/>
    <w:rsid w:val="000C3AF4"/>
    <w:rsid w:val="000E5509"/>
    <w:rsid w:val="00116274"/>
    <w:rsid w:val="001244DF"/>
    <w:rsid w:val="001500DD"/>
    <w:rsid w:val="0015074B"/>
    <w:rsid w:val="00177535"/>
    <w:rsid w:val="001A2FA5"/>
    <w:rsid w:val="001C412F"/>
    <w:rsid w:val="001E2E14"/>
    <w:rsid w:val="00200BD7"/>
    <w:rsid w:val="0029639D"/>
    <w:rsid w:val="00296DB5"/>
    <w:rsid w:val="002A7184"/>
    <w:rsid w:val="002C0C59"/>
    <w:rsid w:val="00326F90"/>
    <w:rsid w:val="004406E2"/>
    <w:rsid w:val="00514D75"/>
    <w:rsid w:val="00542ED1"/>
    <w:rsid w:val="005D4F60"/>
    <w:rsid w:val="006168F4"/>
    <w:rsid w:val="006420F5"/>
    <w:rsid w:val="00661F60"/>
    <w:rsid w:val="0072533C"/>
    <w:rsid w:val="00731E24"/>
    <w:rsid w:val="00742C14"/>
    <w:rsid w:val="00774E3C"/>
    <w:rsid w:val="0079670D"/>
    <w:rsid w:val="00796D04"/>
    <w:rsid w:val="007A32F6"/>
    <w:rsid w:val="007D573A"/>
    <w:rsid w:val="007F185D"/>
    <w:rsid w:val="00821A9E"/>
    <w:rsid w:val="008802E4"/>
    <w:rsid w:val="00882A6C"/>
    <w:rsid w:val="0088551B"/>
    <w:rsid w:val="008A0973"/>
    <w:rsid w:val="008D2EE4"/>
    <w:rsid w:val="008D5D33"/>
    <w:rsid w:val="008E3A49"/>
    <w:rsid w:val="0090544F"/>
    <w:rsid w:val="00946F76"/>
    <w:rsid w:val="009709DF"/>
    <w:rsid w:val="00993ED0"/>
    <w:rsid w:val="00A53A82"/>
    <w:rsid w:val="00AA1D8D"/>
    <w:rsid w:val="00AB5A64"/>
    <w:rsid w:val="00AC313B"/>
    <w:rsid w:val="00B00088"/>
    <w:rsid w:val="00B24063"/>
    <w:rsid w:val="00B47730"/>
    <w:rsid w:val="00B614A9"/>
    <w:rsid w:val="00B950E3"/>
    <w:rsid w:val="00B96AF2"/>
    <w:rsid w:val="00BA00F2"/>
    <w:rsid w:val="00BA4D7D"/>
    <w:rsid w:val="00C21938"/>
    <w:rsid w:val="00C25C15"/>
    <w:rsid w:val="00C65B22"/>
    <w:rsid w:val="00C8549F"/>
    <w:rsid w:val="00CA70BB"/>
    <w:rsid w:val="00CB0664"/>
    <w:rsid w:val="00CF1467"/>
    <w:rsid w:val="00D043A6"/>
    <w:rsid w:val="00D40589"/>
    <w:rsid w:val="00D62017"/>
    <w:rsid w:val="00D82B15"/>
    <w:rsid w:val="00DF0411"/>
    <w:rsid w:val="00E02B51"/>
    <w:rsid w:val="00E42851"/>
    <w:rsid w:val="00E5552A"/>
    <w:rsid w:val="00EA3A72"/>
    <w:rsid w:val="00EA5DA8"/>
    <w:rsid w:val="00EB08ED"/>
    <w:rsid w:val="00ED6E24"/>
    <w:rsid w:val="00ED7393"/>
    <w:rsid w:val="00EF6880"/>
    <w:rsid w:val="00F05522"/>
    <w:rsid w:val="00F06F7A"/>
    <w:rsid w:val="00F14495"/>
    <w:rsid w:val="00F66E81"/>
    <w:rsid w:val="00F80AF0"/>
    <w:rsid w:val="00FB34F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4C8C1B"/>
  <w14:defaultImageDpi w14:val="300"/>
  <w15:docId w15:val="{F2A5DEC4-1CD5-448A-8842-A0CEB41EF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D82B15"/>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styleId="PlainTable1">
    <w:name w:val="Plain Table 1"/>
    <w:basedOn w:val="TableNormal"/>
    <w:uiPriority w:val="99"/>
    <w:rsid w:val="00AC313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relative">
    <w:name w:val="relative"/>
    <w:basedOn w:val="DefaultParagraphFont"/>
    <w:rsid w:val="001C412F"/>
  </w:style>
  <w:style w:type="paragraph" w:customStyle="1" w:styleId="not-prose">
    <w:name w:val="not-prose"/>
    <w:basedOn w:val="Normal"/>
    <w:rsid w:val="001C412F"/>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21108">
      <w:bodyDiv w:val="1"/>
      <w:marLeft w:val="0"/>
      <w:marRight w:val="0"/>
      <w:marTop w:val="0"/>
      <w:marBottom w:val="0"/>
      <w:divBdr>
        <w:top w:val="none" w:sz="0" w:space="0" w:color="auto"/>
        <w:left w:val="none" w:sz="0" w:space="0" w:color="auto"/>
        <w:bottom w:val="none" w:sz="0" w:space="0" w:color="auto"/>
        <w:right w:val="none" w:sz="0" w:space="0" w:color="auto"/>
      </w:divBdr>
    </w:div>
    <w:div w:id="152333460">
      <w:bodyDiv w:val="1"/>
      <w:marLeft w:val="0"/>
      <w:marRight w:val="0"/>
      <w:marTop w:val="0"/>
      <w:marBottom w:val="0"/>
      <w:divBdr>
        <w:top w:val="none" w:sz="0" w:space="0" w:color="auto"/>
        <w:left w:val="none" w:sz="0" w:space="0" w:color="auto"/>
        <w:bottom w:val="none" w:sz="0" w:space="0" w:color="auto"/>
        <w:right w:val="none" w:sz="0" w:space="0" w:color="auto"/>
      </w:divBdr>
    </w:div>
    <w:div w:id="158617861">
      <w:bodyDiv w:val="1"/>
      <w:marLeft w:val="0"/>
      <w:marRight w:val="0"/>
      <w:marTop w:val="0"/>
      <w:marBottom w:val="0"/>
      <w:divBdr>
        <w:top w:val="none" w:sz="0" w:space="0" w:color="auto"/>
        <w:left w:val="none" w:sz="0" w:space="0" w:color="auto"/>
        <w:bottom w:val="none" w:sz="0" w:space="0" w:color="auto"/>
        <w:right w:val="none" w:sz="0" w:space="0" w:color="auto"/>
      </w:divBdr>
    </w:div>
    <w:div w:id="194737830">
      <w:bodyDiv w:val="1"/>
      <w:marLeft w:val="0"/>
      <w:marRight w:val="0"/>
      <w:marTop w:val="0"/>
      <w:marBottom w:val="0"/>
      <w:divBdr>
        <w:top w:val="none" w:sz="0" w:space="0" w:color="auto"/>
        <w:left w:val="none" w:sz="0" w:space="0" w:color="auto"/>
        <w:bottom w:val="none" w:sz="0" w:space="0" w:color="auto"/>
        <w:right w:val="none" w:sz="0" w:space="0" w:color="auto"/>
      </w:divBdr>
    </w:div>
    <w:div w:id="285628438">
      <w:bodyDiv w:val="1"/>
      <w:marLeft w:val="0"/>
      <w:marRight w:val="0"/>
      <w:marTop w:val="0"/>
      <w:marBottom w:val="0"/>
      <w:divBdr>
        <w:top w:val="none" w:sz="0" w:space="0" w:color="auto"/>
        <w:left w:val="none" w:sz="0" w:space="0" w:color="auto"/>
        <w:bottom w:val="none" w:sz="0" w:space="0" w:color="auto"/>
        <w:right w:val="none" w:sz="0" w:space="0" w:color="auto"/>
      </w:divBdr>
    </w:div>
    <w:div w:id="322317367">
      <w:bodyDiv w:val="1"/>
      <w:marLeft w:val="0"/>
      <w:marRight w:val="0"/>
      <w:marTop w:val="0"/>
      <w:marBottom w:val="0"/>
      <w:divBdr>
        <w:top w:val="none" w:sz="0" w:space="0" w:color="auto"/>
        <w:left w:val="none" w:sz="0" w:space="0" w:color="auto"/>
        <w:bottom w:val="none" w:sz="0" w:space="0" w:color="auto"/>
        <w:right w:val="none" w:sz="0" w:space="0" w:color="auto"/>
      </w:divBdr>
    </w:div>
    <w:div w:id="328944906">
      <w:bodyDiv w:val="1"/>
      <w:marLeft w:val="0"/>
      <w:marRight w:val="0"/>
      <w:marTop w:val="0"/>
      <w:marBottom w:val="0"/>
      <w:divBdr>
        <w:top w:val="none" w:sz="0" w:space="0" w:color="auto"/>
        <w:left w:val="none" w:sz="0" w:space="0" w:color="auto"/>
        <w:bottom w:val="none" w:sz="0" w:space="0" w:color="auto"/>
        <w:right w:val="none" w:sz="0" w:space="0" w:color="auto"/>
      </w:divBdr>
    </w:div>
    <w:div w:id="334302452">
      <w:bodyDiv w:val="1"/>
      <w:marLeft w:val="0"/>
      <w:marRight w:val="0"/>
      <w:marTop w:val="0"/>
      <w:marBottom w:val="0"/>
      <w:divBdr>
        <w:top w:val="none" w:sz="0" w:space="0" w:color="auto"/>
        <w:left w:val="none" w:sz="0" w:space="0" w:color="auto"/>
        <w:bottom w:val="none" w:sz="0" w:space="0" w:color="auto"/>
        <w:right w:val="none" w:sz="0" w:space="0" w:color="auto"/>
      </w:divBdr>
    </w:div>
    <w:div w:id="336227698">
      <w:bodyDiv w:val="1"/>
      <w:marLeft w:val="0"/>
      <w:marRight w:val="0"/>
      <w:marTop w:val="0"/>
      <w:marBottom w:val="0"/>
      <w:divBdr>
        <w:top w:val="none" w:sz="0" w:space="0" w:color="auto"/>
        <w:left w:val="none" w:sz="0" w:space="0" w:color="auto"/>
        <w:bottom w:val="none" w:sz="0" w:space="0" w:color="auto"/>
        <w:right w:val="none" w:sz="0" w:space="0" w:color="auto"/>
      </w:divBdr>
    </w:div>
    <w:div w:id="346641404">
      <w:bodyDiv w:val="1"/>
      <w:marLeft w:val="0"/>
      <w:marRight w:val="0"/>
      <w:marTop w:val="0"/>
      <w:marBottom w:val="0"/>
      <w:divBdr>
        <w:top w:val="none" w:sz="0" w:space="0" w:color="auto"/>
        <w:left w:val="none" w:sz="0" w:space="0" w:color="auto"/>
        <w:bottom w:val="none" w:sz="0" w:space="0" w:color="auto"/>
        <w:right w:val="none" w:sz="0" w:space="0" w:color="auto"/>
      </w:divBdr>
    </w:div>
    <w:div w:id="455879938">
      <w:bodyDiv w:val="1"/>
      <w:marLeft w:val="0"/>
      <w:marRight w:val="0"/>
      <w:marTop w:val="0"/>
      <w:marBottom w:val="0"/>
      <w:divBdr>
        <w:top w:val="none" w:sz="0" w:space="0" w:color="auto"/>
        <w:left w:val="none" w:sz="0" w:space="0" w:color="auto"/>
        <w:bottom w:val="none" w:sz="0" w:space="0" w:color="auto"/>
        <w:right w:val="none" w:sz="0" w:space="0" w:color="auto"/>
      </w:divBdr>
    </w:div>
    <w:div w:id="497816838">
      <w:bodyDiv w:val="1"/>
      <w:marLeft w:val="0"/>
      <w:marRight w:val="0"/>
      <w:marTop w:val="0"/>
      <w:marBottom w:val="0"/>
      <w:divBdr>
        <w:top w:val="none" w:sz="0" w:space="0" w:color="auto"/>
        <w:left w:val="none" w:sz="0" w:space="0" w:color="auto"/>
        <w:bottom w:val="none" w:sz="0" w:space="0" w:color="auto"/>
        <w:right w:val="none" w:sz="0" w:space="0" w:color="auto"/>
      </w:divBdr>
    </w:div>
    <w:div w:id="513417751">
      <w:bodyDiv w:val="1"/>
      <w:marLeft w:val="0"/>
      <w:marRight w:val="0"/>
      <w:marTop w:val="0"/>
      <w:marBottom w:val="0"/>
      <w:divBdr>
        <w:top w:val="none" w:sz="0" w:space="0" w:color="auto"/>
        <w:left w:val="none" w:sz="0" w:space="0" w:color="auto"/>
        <w:bottom w:val="none" w:sz="0" w:space="0" w:color="auto"/>
        <w:right w:val="none" w:sz="0" w:space="0" w:color="auto"/>
      </w:divBdr>
    </w:div>
    <w:div w:id="604459843">
      <w:bodyDiv w:val="1"/>
      <w:marLeft w:val="0"/>
      <w:marRight w:val="0"/>
      <w:marTop w:val="0"/>
      <w:marBottom w:val="0"/>
      <w:divBdr>
        <w:top w:val="none" w:sz="0" w:space="0" w:color="auto"/>
        <w:left w:val="none" w:sz="0" w:space="0" w:color="auto"/>
        <w:bottom w:val="none" w:sz="0" w:space="0" w:color="auto"/>
        <w:right w:val="none" w:sz="0" w:space="0" w:color="auto"/>
      </w:divBdr>
    </w:div>
    <w:div w:id="615601402">
      <w:bodyDiv w:val="1"/>
      <w:marLeft w:val="0"/>
      <w:marRight w:val="0"/>
      <w:marTop w:val="0"/>
      <w:marBottom w:val="0"/>
      <w:divBdr>
        <w:top w:val="none" w:sz="0" w:space="0" w:color="auto"/>
        <w:left w:val="none" w:sz="0" w:space="0" w:color="auto"/>
        <w:bottom w:val="none" w:sz="0" w:space="0" w:color="auto"/>
        <w:right w:val="none" w:sz="0" w:space="0" w:color="auto"/>
      </w:divBdr>
      <w:divsChild>
        <w:div w:id="269440070">
          <w:marLeft w:val="0"/>
          <w:marRight w:val="0"/>
          <w:marTop w:val="0"/>
          <w:marBottom w:val="0"/>
          <w:divBdr>
            <w:top w:val="none" w:sz="0" w:space="0" w:color="auto"/>
            <w:left w:val="none" w:sz="0" w:space="0" w:color="auto"/>
            <w:bottom w:val="none" w:sz="0" w:space="0" w:color="auto"/>
            <w:right w:val="none" w:sz="0" w:space="0" w:color="auto"/>
          </w:divBdr>
        </w:div>
      </w:divsChild>
    </w:div>
    <w:div w:id="684676145">
      <w:bodyDiv w:val="1"/>
      <w:marLeft w:val="0"/>
      <w:marRight w:val="0"/>
      <w:marTop w:val="0"/>
      <w:marBottom w:val="0"/>
      <w:divBdr>
        <w:top w:val="none" w:sz="0" w:space="0" w:color="auto"/>
        <w:left w:val="none" w:sz="0" w:space="0" w:color="auto"/>
        <w:bottom w:val="none" w:sz="0" w:space="0" w:color="auto"/>
        <w:right w:val="none" w:sz="0" w:space="0" w:color="auto"/>
      </w:divBdr>
    </w:div>
    <w:div w:id="734276413">
      <w:bodyDiv w:val="1"/>
      <w:marLeft w:val="0"/>
      <w:marRight w:val="0"/>
      <w:marTop w:val="0"/>
      <w:marBottom w:val="0"/>
      <w:divBdr>
        <w:top w:val="none" w:sz="0" w:space="0" w:color="auto"/>
        <w:left w:val="none" w:sz="0" w:space="0" w:color="auto"/>
        <w:bottom w:val="none" w:sz="0" w:space="0" w:color="auto"/>
        <w:right w:val="none" w:sz="0" w:space="0" w:color="auto"/>
      </w:divBdr>
    </w:div>
    <w:div w:id="751774464">
      <w:bodyDiv w:val="1"/>
      <w:marLeft w:val="0"/>
      <w:marRight w:val="0"/>
      <w:marTop w:val="0"/>
      <w:marBottom w:val="0"/>
      <w:divBdr>
        <w:top w:val="none" w:sz="0" w:space="0" w:color="auto"/>
        <w:left w:val="none" w:sz="0" w:space="0" w:color="auto"/>
        <w:bottom w:val="none" w:sz="0" w:space="0" w:color="auto"/>
        <w:right w:val="none" w:sz="0" w:space="0" w:color="auto"/>
      </w:divBdr>
    </w:div>
    <w:div w:id="894048787">
      <w:bodyDiv w:val="1"/>
      <w:marLeft w:val="0"/>
      <w:marRight w:val="0"/>
      <w:marTop w:val="0"/>
      <w:marBottom w:val="0"/>
      <w:divBdr>
        <w:top w:val="none" w:sz="0" w:space="0" w:color="auto"/>
        <w:left w:val="none" w:sz="0" w:space="0" w:color="auto"/>
        <w:bottom w:val="none" w:sz="0" w:space="0" w:color="auto"/>
        <w:right w:val="none" w:sz="0" w:space="0" w:color="auto"/>
      </w:divBdr>
    </w:div>
    <w:div w:id="982390548">
      <w:bodyDiv w:val="1"/>
      <w:marLeft w:val="0"/>
      <w:marRight w:val="0"/>
      <w:marTop w:val="0"/>
      <w:marBottom w:val="0"/>
      <w:divBdr>
        <w:top w:val="none" w:sz="0" w:space="0" w:color="auto"/>
        <w:left w:val="none" w:sz="0" w:space="0" w:color="auto"/>
        <w:bottom w:val="none" w:sz="0" w:space="0" w:color="auto"/>
        <w:right w:val="none" w:sz="0" w:space="0" w:color="auto"/>
      </w:divBdr>
    </w:div>
    <w:div w:id="993219625">
      <w:bodyDiv w:val="1"/>
      <w:marLeft w:val="0"/>
      <w:marRight w:val="0"/>
      <w:marTop w:val="0"/>
      <w:marBottom w:val="0"/>
      <w:divBdr>
        <w:top w:val="none" w:sz="0" w:space="0" w:color="auto"/>
        <w:left w:val="none" w:sz="0" w:space="0" w:color="auto"/>
        <w:bottom w:val="none" w:sz="0" w:space="0" w:color="auto"/>
        <w:right w:val="none" w:sz="0" w:space="0" w:color="auto"/>
      </w:divBdr>
      <w:divsChild>
        <w:div w:id="1998411448">
          <w:marLeft w:val="0"/>
          <w:marRight w:val="0"/>
          <w:marTop w:val="0"/>
          <w:marBottom w:val="0"/>
          <w:divBdr>
            <w:top w:val="none" w:sz="0" w:space="0" w:color="auto"/>
            <w:left w:val="none" w:sz="0" w:space="0" w:color="auto"/>
            <w:bottom w:val="none" w:sz="0" w:space="0" w:color="auto"/>
            <w:right w:val="none" w:sz="0" w:space="0" w:color="auto"/>
          </w:divBdr>
          <w:divsChild>
            <w:div w:id="136317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885585">
      <w:bodyDiv w:val="1"/>
      <w:marLeft w:val="0"/>
      <w:marRight w:val="0"/>
      <w:marTop w:val="0"/>
      <w:marBottom w:val="0"/>
      <w:divBdr>
        <w:top w:val="none" w:sz="0" w:space="0" w:color="auto"/>
        <w:left w:val="none" w:sz="0" w:space="0" w:color="auto"/>
        <w:bottom w:val="none" w:sz="0" w:space="0" w:color="auto"/>
        <w:right w:val="none" w:sz="0" w:space="0" w:color="auto"/>
      </w:divBdr>
    </w:div>
    <w:div w:id="1026491756">
      <w:bodyDiv w:val="1"/>
      <w:marLeft w:val="0"/>
      <w:marRight w:val="0"/>
      <w:marTop w:val="0"/>
      <w:marBottom w:val="0"/>
      <w:divBdr>
        <w:top w:val="none" w:sz="0" w:space="0" w:color="auto"/>
        <w:left w:val="none" w:sz="0" w:space="0" w:color="auto"/>
        <w:bottom w:val="none" w:sz="0" w:space="0" w:color="auto"/>
        <w:right w:val="none" w:sz="0" w:space="0" w:color="auto"/>
      </w:divBdr>
    </w:div>
    <w:div w:id="1078283828">
      <w:bodyDiv w:val="1"/>
      <w:marLeft w:val="0"/>
      <w:marRight w:val="0"/>
      <w:marTop w:val="0"/>
      <w:marBottom w:val="0"/>
      <w:divBdr>
        <w:top w:val="none" w:sz="0" w:space="0" w:color="auto"/>
        <w:left w:val="none" w:sz="0" w:space="0" w:color="auto"/>
        <w:bottom w:val="none" w:sz="0" w:space="0" w:color="auto"/>
        <w:right w:val="none" w:sz="0" w:space="0" w:color="auto"/>
      </w:divBdr>
    </w:div>
    <w:div w:id="1089497143">
      <w:bodyDiv w:val="1"/>
      <w:marLeft w:val="0"/>
      <w:marRight w:val="0"/>
      <w:marTop w:val="0"/>
      <w:marBottom w:val="0"/>
      <w:divBdr>
        <w:top w:val="none" w:sz="0" w:space="0" w:color="auto"/>
        <w:left w:val="none" w:sz="0" w:space="0" w:color="auto"/>
        <w:bottom w:val="none" w:sz="0" w:space="0" w:color="auto"/>
        <w:right w:val="none" w:sz="0" w:space="0" w:color="auto"/>
      </w:divBdr>
    </w:div>
    <w:div w:id="1101680688">
      <w:bodyDiv w:val="1"/>
      <w:marLeft w:val="0"/>
      <w:marRight w:val="0"/>
      <w:marTop w:val="0"/>
      <w:marBottom w:val="0"/>
      <w:divBdr>
        <w:top w:val="none" w:sz="0" w:space="0" w:color="auto"/>
        <w:left w:val="none" w:sz="0" w:space="0" w:color="auto"/>
        <w:bottom w:val="none" w:sz="0" w:space="0" w:color="auto"/>
        <w:right w:val="none" w:sz="0" w:space="0" w:color="auto"/>
      </w:divBdr>
    </w:div>
    <w:div w:id="1102408603">
      <w:bodyDiv w:val="1"/>
      <w:marLeft w:val="0"/>
      <w:marRight w:val="0"/>
      <w:marTop w:val="0"/>
      <w:marBottom w:val="0"/>
      <w:divBdr>
        <w:top w:val="none" w:sz="0" w:space="0" w:color="auto"/>
        <w:left w:val="none" w:sz="0" w:space="0" w:color="auto"/>
        <w:bottom w:val="none" w:sz="0" w:space="0" w:color="auto"/>
        <w:right w:val="none" w:sz="0" w:space="0" w:color="auto"/>
      </w:divBdr>
    </w:div>
    <w:div w:id="1137918321">
      <w:bodyDiv w:val="1"/>
      <w:marLeft w:val="0"/>
      <w:marRight w:val="0"/>
      <w:marTop w:val="0"/>
      <w:marBottom w:val="0"/>
      <w:divBdr>
        <w:top w:val="none" w:sz="0" w:space="0" w:color="auto"/>
        <w:left w:val="none" w:sz="0" w:space="0" w:color="auto"/>
        <w:bottom w:val="none" w:sz="0" w:space="0" w:color="auto"/>
        <w:right w:val="none" w:sz="0" w:space="0" w:color="auto"/>
      </w:divBdr>
      <w:divsChild>
        <w:div w:id="2112121972">
          <w:marLeft w:val="0"/>
          <w:marRight w:val="0"/>
          <w:marTop w:val="0"/>
          <w:marBottom w:val="0"/>
          <w:divBdr>
            <w:top w:val="none" w:sz="0" w:space="0" w:color="auto"/>
            <w:left w:val="none" w:sz="0" w:space="0" w:color="auto"/>
            <w:bottom w:val="none" w:sz="0" w:space="0" w:color="auto"/>
            <w:right w:val="none" w:sz="0" w:space="0" w:color="auto"/>
          </w:divBdr>
          <w:divsChild>
            <w:div w:id="37816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95651">
      <w:bodyDiv w:val="1"/>
      <w:marLeft w:val="0"/>
      <w:marRight w:val="0"/>
      <w:marTop w:val="0"/>
      <w:marBottom w:val="0"/>
      <w:divBdr>
        <w:top w:val="none" w:sz="0" w:space="0" w:color="auto"/>
        <w:left w:val="none" w:sz="0" w:space="0" w:color="auto"/>
        <w:bottom w:val="none" w:sz="0" w:space="0" w:color="auto"/>
        <w:right w:val="none" w:sz="0" w:space="0" w:color="auto"/>
      </w:divBdr>
    </w:div>
    <w:div w:id="1214855776">
      <w:bodyDiv w:val="1"/>
      <w:marLeft w:val="0"/>
      <w:marRight w:val="0"/>
      <w:marTop w:val="0"/>
      <w:marBottom w:val="0"/>
      <w:divBdr>
        <w:top w:val="none" w:sz="0" w:space="0" w:color="auto"/>
        <w:left w:val="none" w:sz="0" w:space="0" w:color="auto"/>
        <w:bottom w:val="none" w:sz="0" w:space="0" w:color="auto"/>
        <w:right w:val="none" w:sz="0" w:space="0" w:color="auto"/>
      </w:divBdr>
    </w:div>
    <w:div w:id="1248420948">
      <w:bodyDiv w:val="1"/>
      <w:marLeft w:val="0"/>
      <w:marRight w:val="0"/>
      <w:marTop w:val="0"/>
      <w:marBottom w:val="0"/>
      <w:divBdr>
        <w:top w:val="none" w:sz="0" w:space="0" w:color="auto"/>
        <w:left w:val="none" w:sz="0" w:space="0" w:color="auto"/>
        <w:bottom w:val="none" w:sz="0" w:space="0" w:color="auto"/>
        <w:right w:val="none" w:sz="0" w:space="0" w:color="auto"/>
      </w:divBdr>
    </w:div>
    <w:div w:id="1266039934">
      <w:bodyDiv w:val="1"/>
      <w:marLeft w:val="0"/>
      <w:marRight w:val="0"/>
      <w:marTop w:val="0"/>
      <w:marBottom w:val="0"/>
      <w:divBdr>
        <w:top w:val="none" w:sz="0" w:space="0" w:color="auto"/>
        <w:left w:val="none" w:sz="0" w:space="0" w:color="auto"/>
        <w:bottom w:val="none" w:sz="0" w:space="0" w:color="auto"/>
        <w:right w:val="none" w:sz="0" w:space="0" w:color="auto"/>
      </w:divBdr>
    </w:div>
    <w:div w:id="1364675641">
      <w:bodyDiv w:val="1"/>
      <w:marLeft w:val="0"/>
      <w:marRight w:val="0"/>
      <w:marTop w:val="0"/>
      <w:marBottom w:val="0"/>
      <w:divBdr>
        <w:top w:val="none" w:sz="0" w:space="0" w:color="auto"/>
        <w:left w:val="none" w:sz="0" w:space="0" w:color="auto"/>
        <w:bottom w:val="none" w:sz="0" w:space="0" w:color="auto"/>
        <w:right w:val="none" w:sz="0" w:space="0" w:color="auto"/>
      </w:divBdr>
    </w:div>
    <w:div w:id="1464274496">
      <w:bodyDiv w:val="1"/>
      <w:marLeft w:val="0"/>
      <w:marRight w:val="0"/>
      <w:marTop w:val="0"/>
      <w:marBottom w:val="0"/>
      <w:divBdr>
        <w:top w:val="none" w:sz="0" w:space="0" w:color="auto"/>
        <w:left w:val="none" w:sz="0" w:space="0" w:color="auto"/>
        <w:bottom w:val="none" w:sz="0" w:space="0" w:color="auto"/>
        <w:right w:val="none" w:sz="0" w:space="0" w:color="auto"/>
      </w:divBdr>
    </w:div>
    <w:div w:id="1500196789">
      <w:bodyDiv w:val="1"/>
      <w:marLeft w:val="0"/>
      <w:marRight w:val="0"/>
      <w:marTop w:val="0"/>
      <w:marBottom w:val="0"/>
      <w:divBdr>
        <w:top w:val="none" w:sz="0" w:space="0" w:color="auto"/>
        <w:left w:val="none" w:sz="0" w:space="0" w:color="auto"/>
        <w:bottom w:val="none" w:sz="0" w:space="0" w:color="auto"/>
        <w:right w:val="none" w:sz="0" w:space="0" w:color="auto"/>
      </w:divBdr>
    </w:div>
    <w:div w:id="1501965216">
      <w:bodyDiv w:val="1"/>
      <w:marLeft w:val="0"/>
      <w:marRight w:val="0"/>
      <w:marTop w:val="0"/>
      <w:marBottom w:val="0"/>
      <w:divBdr>
        <w:top w:val="none" w:sz="0" w:space="0" w:color="auto"/>
        <w:left w:val="none" w:sz="0" w:space="0" w:color="auto"/>
        <w:bottom w:val="none" w:sz="0" w:space="0" w:color="auto"/>
        <w:right w:val="none" w:sz="0" w:space="0" w:color="auto"/>
      </w:divBdr>
    </w:div>
    <w:div w:id="1523083787">
      <w:bodyDiv w:val="1"/>
      <w:marLeft w:val="0"/>
      <w:marRight w:val="0"/>
      <w:marTop w:val="0"/>
      <w:marBottom w:val="0"/>
      <w:divBdr>
        <w:top w:val="none" w:sz="0" w:space="0" w:color="auto"/>
        <w:left w:val="none" w:sz="0" w:space="0" w:color="auto"/>
        <w:bottom w:val="none" w:sz="0" w:space="0" w:color="auto"/>
        <w:right w:val="none" w:sz="0" w:space="0" w:color="auto"/>
      </w:divBdr>
    </w:div>
    <w:div w:id="1566254844">
      <w:bodyDiv w:val="1"/>
      <w:marLeft w:val="0"/>
      <w:marRight w:val="0"/>
      <w:marTop w:val="0"/>
      <w:marBottom w:val="0"/>
      <w:divBdr>
        <w:top w:val="none" w:sz="0" w:space="0" w:color="auto"/>
        <w:left w:val="none" w:sz="0" w:space="0" w:color="auto"/>
        <w:bottom w:val="none" w:sz="0" w:space="0" w:color="auto"/>
        <w:right w:val="none" w:sz="0" w:space="0" w:color="auto"/>
      </w:divBdr>
    </w:div>
    <w:div w:id="1573462892">
      <w:bodyDiv w:val="1"/>
      <w:marLeft w:val="0"/>
      <w:marRight w:val="0"/>
      <w:marTop w:val="0"/>
      <w:marBottom w:val="0"/>
      <w:divBdr>
        <w:top w:val="none" w:sz="0" w:space="0" w:color="auto"/>
        <w:left w:val="none" w:sz="0" w:space="0" w:color="auto"/>
        <w:bottom w:val="none" w:sz="0" w:space="0" w:color="auto"/>
        <w:right w:val="none" w:sz="0" w:space="0" w:color="auto"/>
      </w:divBdr>
    </w:div>
    <w:div w:id="1575508310">
      <w:bodyDiv w:val="1"/>
      <w:marLeft w:val="0"/>
      <w:marRight w:val="0"/>
      <w:marTop w:val="0"/>
      <w:marBottom w:val="0"/>
      <w:divBdr>
        <w:top w:val="none" w:sz="0" w:space="0" w:color="auto"/>
        <w:left w:val="none" w:sz="0" w:space="0" w:color="auto"/>
        <w:bottom w:val="none" w:sz="0" w:space="0" w:color="auto"/>
        <w:right w:val="none" w:sz="0" w:space="0" w:color="auto"/>
      </w:divBdr>
    </w:div>
    <w:div w:id="1806703838">
      <w:bodyDiv w:val="1"/>
      <w:marLeft w:val="0"/>
      <w:marRight w:val="0"/>
      <w:marTop w:val="0"/>
      <w:marBottom w:val="0"/>
      <w:divBdr>
        <w:top w:val="none" w:sz="0" w:space="0" w:color="auto"/>
        <w:left w:val="none" w:sz="0" w:space="0" w:color="auto"/>
        <w:bottom w:val="none" w:sz="0" w:space="0" w:color="auto"/>
        <w:right w:val="none" w:sz="0" w:space="0" w:color="auto"/>
      </w:divBdr>
    </w:div>
    <w:div w:id="1882286037">
      <w:bodyDiv w:val="1"/>
      <w:marLeft w:val="0"/>
      <w:marRight w:val="0"/>
      <w:marTop w:val="0"/>
      <w:marBottom w:val="0"/>
      <w:divBdr>
        <w:top w:val="none" w:sz="0" w:space="0" w:color="auto"/>
        <w:left w:val="none" w:sz="0" w:space="0" w:color="auto"/>
        <w:bottom w:val="none" w:sz="0" w:space="0" w:color="auto"/>
        <w:right w:val="none" w:sz="0" w:space="0" w:color="auto"/>
      </w:divBdr>
    </w:div>
    <w:div w:id="1902786719">
      <w:bodyDiv w:val="1"/>
      <w:marLeft w:val="0"/>
      <w:marRight w:val="0"/>
      <w:marTop w:val="0"/>
      <w:marBottom w:val="0"/>
      <w:divBdr>
        <w:top w:val="none" w:sz="0" w:space="0" w:color="auto"/>
        <w:left w:val="none" w:sz="0" w:space="0" w:color="auto"/>
        <w:bottom w:val="none" w:sz="0" w:space="0" w:color="auto"/>
        <w:right w:val="none" w:sz="0" w:space="0" w:color="auto"/>
      </w:divBdr>
    </w:div>
    <w:div w:id="1985697727">
      <w:bodyDiv w:val="1"/>
      <w:marLeft w:val="0"/>
      <w:marRight w:val="0"/>
      <w:marTop w:val="0"/>
      <w:marBottom w:val="0"/>
      <w:divBdr>
        <w:top w:val="none" w:sz="0" w:space="0" w:color="auto"/>
        <w:left w:val="none" w:sz="0" w:space="0" w:color="auto"/>
        <w:bottom w:val="none" w:sz="0" w:space="0" w:color="auto"/>
        <w:right w:val="none" w:sz="0" w:space="0" w:color="auto"/>
      </w:divBdr>
    </w:div>
    <w:div w:id="1994212946">
      <w:bodyDiv w:val="1"/>
      <w:marLeft w:val="0"/>
      <w:marRight w:val="0"/>
      <w:marTop w:val="0"/>
      <w:marBottom w:val="0"/>
      <w:divBdr>
        <w:top w:val="none" w:sz="0" w:space="0" w:color="auto"/>
        <w:left w:val="none" w:sz="0" w:space="0" w:color="auto"/>
        <w:bottom w:val="none" w:sz="0" w:space="0" w:color="auto"/>
        <w:right w:val="none" w:sz="0" w:space="0" w:color="auto"/>
      </w:divBdr>
    </w:div>
    <w:div w:id="211748006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22005-6F38-478B-B8CA-B7657D2C2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41</Pages>
  <Words>5535</Words>
  <Characters>33100</Characters>
  <Application>Microsoft Office Word</Application>
  <DocSecurity>0</DocSecurity>
  <Lines>1379</Lines>
  <Paragraphs>965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37670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Mohammed Finas Pazhampillychira-seyed-mohamed (Student)</cp:lastModifiedBy>
  <cp:revision>33</cp:revision>
  <dcterms:created xsi:type="dcterms:W3CDTF">2025-11-22T19:49:00Z</dcterms:created>
  <dcterms:modified xsi:type="dcterms:W3CDTF">2025-11-24T13:42:00Z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476c82ca-ee2b-42b3-a678-e3386b782bce</vt:lpwstr>
  </property>
</Properties>
</file>