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FDA32" w14:textId="77777777" w:rsidR="00150B23" w:rsidRPr="00F93301" w:rsidRDefault="00150B23">
      <w:pPr>
        <w:spacing w:before="200" w:after="200" w:line="360" w:lineRule="auto"/>
        <w:jc w:val="center"/>
        <w:rPr>
          <w:b/>
          <w:bCs/>
          <w:sz w:val="32"/>
          <w:szCs w:val="32"/>
          <w:highlight w:val="white"/>
          <w:lang w:val="en-GB"/>
        </w:rPr>
      </w:pPr>
    </w:p>
    <w:p w14:paraId="4D9FDA33" w14:textId="77777777" w:rsidR="00150B23" w:rsidRPr="00F93301" w:rsidRDefault="00A17F42">
      <w:pPr>
        <w:spacing w:before="200" w:after="200" w:line="360" w:lineRule="auto"/>
        <w:jc w:val="center"/>
        <w:rPr>
          <w:b/>
          <w:bCs/>
          <w:sz w:val="32"/>
          <w:szCs w:val="32"/>
          <w:highlight w:val="white"/>
          <w:lang w:val="en-GB"/>
        </w:rPr>
      </w:pPr>
      <w:r w:rsidRPr="00F93301">
        <w:rPr>
          <w:b/>
          <w:bCs/>
          <w:noProof/>
          <w:sz w:val="32"/>
          <w:szCs w:val="32"/>
          <w:highlight w:val="white"/>
          <w:lang w:val="en-GB"/>
        </w:rPr>
        <w:drawing>
          <wp:inline distT="114300" distB="114300" distL="114300" distR="114300" wp14:anchorId="4D9FDB45" wp14:editId="4D9FDB46">
            <wp:extent cx="2886075" cy="11239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886075" cy="1123950"/>
                    </a:xfrm>
                    <a:prstGeom prst="rect">
                      <a:avLst/>
                    </a:prstGeom>
                    <a:ln/>
                  </pic:spPr>
                </pic:pic>
              </a:graphicData>
            </a:graphic>
          </wp:inline>
        </w:drawing>
      </w:r>
    </w:p>
    <w:p w14:paraId="4D9FDA34" w14:textId="77777777" w:rsidR="00150B23" w:rsidRPr="00F93301" w:rsidRDefault="00A17F42">
      <w:pPr>
        <w:spacing w:before="200" w:after="200" w:line="360" w:lineRule="auto"/>
        <w:jc w:val="center"/>
        <w:rPr>
          <w:b/>
          <w:bCs/>
          <w:sz w:val="32"/>
          <w:szCs w:val="32"/>
          <w:highlight w:val="white"/>
          <w:lang w:val="en-GB"/>
        </w:rPr>
      </w:pPr>
      <w:r w:rsidRPr="00F93301">
        <w:rPr>
          <w:b/>
          <w:bCs/>
          <w:sz w:val="32"/>
          <w:szCs w:val="32"/>
          <w:highlight w:val="white"/>
          <w:lang w:val="en-GB"/>
        </w:rPr>
        <w:t>Assessment component: Financial performance and management of General Electronics</w:t>
      </w:r>
    </w:p>
    <w:p w14:paraId="4D9FDA35" w14:textId="77777777"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t>Programme Name: Master of Business Administration</w:t>
      </w:r>
    </w:p>
    <w:p w14:paraId="4D9FDA36" w14:textId="77777777"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t>Module Name: Financial Management</w:t>
      </w:r>
    </w:p>
    <w:p w14:paraId="4D9FDA37" w14:textId="77777777" w:rsidR="00150B23" w:rsidRDefault="00A17F42">
      <w:pPr>
        <w:spacing w:before="200" w:after="200" w:line="360" w:lineRule="auto"/>
        <w:jc w:val="center"/>
        <w:rPr>
          <w:b/>
          <w:bCs/>
          <w:sz w:val="24"/>
          <w:szCs w:val="24"/>
          <w:highlight w:val="white"/>
          <w:lang w:val="en-GB"/>
        </w:rPr>
      </w:pPr>
      <w:r w:rsidRPr="00F93301">
        <w:rPr>
          <w:b/>
          <w:bCs/>
          <w:sz w:val="24"/>
          <w:szCs w:val="24"/>
          <w:highlight w:val="white"/>
          <w:lang w:val="en-GB"/>
        </w:rPr>
        <w:t>Module Code: LCMB7002</w:t>
      </w:r>
    </w:p>
    <w:p w14:paraId="66A05AE4" w14:textId="019DB444" w:rsidR="00A17F42" w:rsidRPr="00F93301" w:rsidRDefault="00A17F42">
      <w:pPr>
        <w:spacing w:before="200" w:after="200" w:line="360" w:lineRule="auto"/>
        <w:jc w:val="center"/>
        <w:rPr>
          <w:b/>
          <w:bCs/>
          <w:sz w:val="24"/>
          <w:szCs w:val="24"/>
          <w:highlight w:val="white"/>
          <w:lang w:val="en-GB"/>
        </w:rPr>
      </w:pPr>
      <w:r>
        <w:rPr>
          <w:b/>
          <w:bCs/>
          <w:sz w:val="24"/>
          <w:szCs w:val="24"/>
          <w:highlight w:val="white"/>
          <w:lang w:val="en-GB"/>
        </w:rPr>
        <w:t xml:space="preserve">Topic: </w:t>
      </w:r>
      <w:r w:rsidRPr="00A17F42">
        <w:rPr>
          <w:b/>
          <w:bCs/>
          <w:sz w:val="24"/>
          <w:szCs w:val="24"/>
          <w:lang w:val="en-GB"/>
        </w:rPr>
        <w:t>Strategic CFO Challenge</w:t>
      </w:r>
      <w:r>
        <w:rPr>
          <w:b/>
          <w:bCs/>
          <w:sz w:val="24"/>
          <w:szCs w:val="24"/>
          <w:lang w:val="en-GB"/>
        </w:rPr>
        <w:t xml:space="preserve"> -</w:t>
      </w:r>
      <w:r w:rsidRPr="00A17F42">
        <w:rPr>
          <w:b/>
          <w:bCs/>
          <w:sz w:val="24"/>
          <w:szCs w:val="24"/>
          <w:lang w:val="en-GB"/>
        </w:rPr>
        <w:t xml:space="preserve"> Saving a Failing Global Firm</w:t>
      </w:r>
    </w:p>
    <w:p w14:paraId="4D9FDA38" w14:textId="77777777"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t xml:space="preserve"> Lecturer’s Name: </w:t>
      </w:r>
      <w:proofErr w:type="spellStart"/>
      <w:r w:rsidRPr="00F93301">
        <w:rPr>
          <w:b/>
          <w:bCs/>
          <w:sz w:val="24"/>
          <w:szCs w:val="24"/>
          <w:highlight w:val="white"/>
          <w:lang w:val="en-GB"/>
        </w:rPr>
        <w:t>Shengfeng</w:t>
      </w:r>
      <w:proofErr w:type="spellEnd"/>
      <w:r w:rsidRPr="00F93301">
        <w:rPr>
          <w:b/>
          <w:bCs/>
          <w:sz w:val="24"/>
          <w:szCs w:val="24"/>
          <w:highlight w:val="white"/>
          <w:lang w:val="en-GB"/>
        </w:rPr>
        <w:t xml:space="preserve"> Mei (London)</w:t>
      </w:r>
    </w:p>
    <w:p w14:paraId="4D9FDA39" w14:textId="512CC1E4"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t>Student Name:</w:t>
      </w:r>
      <w:r w:rsidR="00E8794E">
        <w:rPr>
          <w:b/>
          <w:bCs/>
          <w:sz w:val="24"/>
          <w:szCs w:val="24"/>
          <w:highlight w:val="white"/>
          <w:lang w:val="en-GB"/>
        </w:rPr>
        <w:t xml:space="preserve"> Shubham Yadav </w:t>
      </w:r>
    </w:p>
    <w:p w14:paraId="4D9FDA3A" w14:textId="578AAEAA"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t>Student ID:</w:t>
      </w:r>
      <w:r w:rsidR="00E8794E">
        <w:rPr>
          <w:b/>
          <w:bCs/>
          <w:sz w:val="24"/>
          <w:szCs w:val="24"/>
          <w:highlight w:val="white"/>
          <w:lang w:val="en-GB"/>
        </w:rPr>
        <w:t xml:space="preserve"> 2504020</w:t>
      </w:r>
    </w:p>
    <w:p w14:paraId="4D9FDA3B" w14:textId="380253E4"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t>Word Count: 50</w:t>
      </w:r>
      <w:r w:rsidR="00C9596E" w:rsidRPr="00F93301">
        <w:rPr>
          <w:b/>
          <w:bCs/>
          <w:sz w:val="24"/>
          <w:szCs w:val="24"/>
          <w:highlight w:val="white"/>
          <w:lang w:val="en-GB"/>
        </w:rPr>
        <w:t>33</w:t>
      </w:r>
    </w:p>
    <w:p w14:paraId="4D9FDA3C" w14:textId="682EE942"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t>Submission Date:</w:t>
      </w:r>
      <w:r w:rsidR="00E8794E">
        <w:rPr>
          <w:b/>
          <w:bCs/>
          <w:sz w:val="24"/>
          <w:szCs w:val="24"/>
          <w:lang w:val="en-GB"/>
        </w:rPr>
        <w:t xml:space="preserve"> 22 Dec. 25</w:t>
      </w:r>
      <w:r w:rsidRPr="00F93301">
        <w:rPr>
          <w:lang w:val="en-GB"/>
        </w:rPr>
        <w:br w:type="page"/>
      </w:r>
    </w:p>
    <w:p w14:paraId="4D9FDA3D" w14:textId="77777777" w:rsidR="00150B23" w:rsidRPr="00F93301" w:rsidRDefault="00A17F42">
      <w:pPr>
        <w:spacing w:before="200" w:after="200" w:line="360" w:lineRule="auto"/>
        <w:jc w:val="center"/>
        <w:rPr>
          <w:b/>
          <w:bCs/>
          <w:sz w:val="24"/>
          <w:szCs w:val="24"/>
          <w:highlight w:val="white"/>
          <w:lang w:val="en-GB"/>
        </w:rPr>
      </w:pPr>
      <w:r w:rsidRPr="00F93301">
        <w:rPr>
          <w:b/>
          <w:bCs/>
          <w:sz w:val="24"/>
          <w:szCs w:val="24"/>
          <w:highlight w:val="white"/>
          <w:lang w:val="en-GB"/>
        </w:rPr>
        <w:lastRenderedPageBreak/>
        <w:t>Table of Contents</w:t>
      </w:r>
    </w:p>
    <w:sdt>
      <w:sdtPr>
        <w:rPr>
          <w:lang w:val="en-GB"/>
        </w:rPr>
        <w:id w:val="1267742153"/>
        <w:docPartObj>
          <w:docPartGallery w:val="Table of Contents"/>
          <w:docPartUnique/>
        </w:docPartObj>
      </w:sdtPr>
      <w:sdtContent>
        <w:p w14:paraId="2EF7FC87" w14:textId="50588EC4" w:rsidR="00DA145E" w:rsidRPr="00F93301" w:rsidRDefault="00A17F42" w:rsidP="00F93301">
          <w:pPr>
            <w:pStyle w:val="TOC1"/>
            <w:tabs>
              <w:tab w:val="right" w:pos="9350"/>
            </w:tabs>
            <w:spacing w:before="240" w:line="360" w:lineRule="auto"/>
            <w:rPr>
              <w:noProof/>
              <w:sz w:val="24"/>
              <w:szCs w:val="24"/>
            </w:rPr>
          </w:pPr>
          <w:r w:rsidRPr="00F93301">
            <w:rPr>
              <w:sz w:val="24"/>
              <w:szCs w:val="24"/>
              <w:lang w:val="en-GB"/>
            </w:rPr>
            <w:fldChar w:fldCharType="begin"/>
          </w:r>
          <w:r w:rsidRPr="00F93301">
            <w:rPr>
              <w:sz w:val="24"/>
              <w:szCs w:val="24"/>
              <w:lang w:val="en-GB"/>
            </w:rPr>
            <w:instrText xml:space="preserve"> TOC \h \u \z \t "Heading 1,1,Heading 2,2,Heading 3,3,Heading 4,4,Heading 5,5,Heading 6,6,"</w:instrText>
          </w:r>
          <w:r w:rsidRPr="00F93301">
            <w:rPr>
              <w:sz w:val="24"/>
              <w:szCs w:val="24"/>
              <w:lang w:val="en-GB"/>
            </w:rPr>
            <w:fldChar w:fldCharType="separate"/>
          </w:r>
          <w:hyperlink w:anchor="_Toc216975066" w:history="1">
            <w:r w:rsidR="00DA145E" w:rsidRPr="00F93301">
              <w:rPr>
                <w:rStyle w:val="Hyperlink"/>
                <w:noProof/>
                <w:color w:val="auto"/>
                <w:sz w:val="24"/>
                <w:szCs w:val="24"/>
                <w:lang w:val="en-GB"/>
              </w:rPr>
              <w:t>1. Introduction</w:t>
            </w:r>
            <w:r w:rsidR="00DA145E" w:rsidRPr="00F93301">
              <w:rPr>
                <w:noProof/>
                <w:webHidden/>
                <w:sz w:val="24"/>
                <w:szCs w:val="24"/>
              </w:rPr>
              <w:tab/>
            </w:r>
            <w:r w:rsidR="00DA145E" w:rsidRPr="00F93301">
              <w:rPr>
                <w:noProof/>
                <w:webHidden/>
                <w:sz w:val="24"/>
                <w:szCs w:val="24"/>
              </w:rPr>
              <w:fldChar w:fldCharType="begin"/>
            </w:r>
            <w:r w:rsidR="00DA145E" w:rsidRPr="00F93301">
              <w:rPr>
                <w:noProof/>
                <w:webHidden/>
                <w:sz w:val="24"/>
                <w:szCs w:val="24"/>
              </w:rPr>
              <w:instrText xml:space="preserve"> PAGEREF _Toc216975066 \h </w:instrText>
            </w:r>
            <w:r w:rsidR="00DA145E" w:rsidRPr="00F93301">
              <w:rPr>
                <w:noProof/>
                <w:webHidden/>
                <w:sz w:val="24"/>
                <w:szCs w:val="24"/>
              </w:rPr>
            </w:r>
            <w:r w:rsidR="00DA145E" w:rsidRPr="00F93301">
              <w:rPr>
                <w:noProof/>
                <w:webHidden/>
                <w:sz w:val="24"/>
                <w:szCs w:val="24"/>
              </w:rPr>
              <w:fldChar w:fldCharType="separate"/>
            </w:r>
            <w:r w:rsidR="00DA145E" w:rsidRPr="00F93301">
              <w:rPr>
                <w:noProof/>
                <w:webHidden/>
                <w:sz w:val="24"/>
                <w:szCs w:val="24"/>
              </w:rPr>
              <w:t>5</w:t>
            </w:r>
            <w:r w:rsidR="00DA145E" w:rsidRPr="00F93301">
              <w:rPr>
                <w:noProof/>
                <w:webHidden/>
                <w:sz w:val="24"/>
                <w:szCs w:val="24"/>
              </w:rPr>
              <w:fldChar w:fldCharType="end"/>
            </w:r>
          </w:hyperlink>
        </w:p>
        <w:p w14:paraId="7A9F86CE" w14:textId="24ABFC84" w:rsidR="00DA145E" w:rsidRPr="00F93301" w:rsidRDefault="00DA145E" w:rsidP="00F93301">
          <w:pPr>
            <w:pStyle w:val="TOC1"/>
            <w:tabs>
              <w:tab w:val="right" w:pos="9350"/>
            </w:tabs>
            <w:spacing w:before="240" w:line="360" w:lineRule="auto"/>
            <w:rPr>
              <w:noProof/>
              <w:sz w:val="24"/>
              <w:szCs w:val="24"/>
            </w:rPr>
          </w:pPr>
          <w:hyperlink w:anchor="_Toc216975067" w:history="1">
            <w:r w:rsidRPr="00F93301">
              <w:rPr>
                <w:rStyle w:val="Hyperlink"/>
                <w:noProof/>
                <w:color w:val="auto"/>
                <w:sz w:val="24"/>
                <w:szCs w:val="24"/>
                <w:lang w:val="en-GB"/>
              </w:rPr>
              <w:t>2. Financial Health Check</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_Toc216975067 \h </w:instrText>
            </w:r>
            <w:r w:rsidRPr="00F93301">
              <w:rPr>
                <w:noProof/>
                <w:webHidden/>
                <w:sz w:val="24"/>
                <w:szCs w:val="24"/>
              </w:rPr>
            </w:r>
            <w:r w:rsidRPr="00F93301">
              <w:rPr>
                <w:noProof/>
                <w:webHidden/>
                <w:sz w:val="24"/>
                <w:szCs w:val="24"/>
              </w:rPr>
              <w:fldChar w:fldCharType="separate"/>
            </w:r>
            <w:r w:rsidRPr="00F93301">
              <w:rPr>
                <w:noProof/>
                <w:webHidden/>
                <w:sz w:val="24"/>
                <w:szCs w:val="24"/>
              </w:rPr>
              <w:t>5</w:t>
            </w:r>
            <w:r w:rsidRPr="00F93301">
              <w:rPr>
                <w:noProof/>
                <w:webHidden/>
                <w:sz w:val="24"/>
                <w:szCs w:val="24"/>
              </w:rPr>
              <w:fldChar w:fldCharType="end"/>
            </w:r>
          </w:hyperlink>
        </w:p>
        <w:p w14:paraId="0D89A495" w14:textId="736CCCBC" w:rsidR="00DA145E" w:rsidRPr="00F93301" w:rsidRDefault="00DA145E" w:rsidP="00F93301">
          <w:pPr>
            <w:pStyle w:val="TOC2"/>
            <w:tabs>
              <w:tab w:val="right" w:pos="9350"/>
            </w:tabs>
            <w:spacing w:before="240" w:line="360" w:lineRule="auto"/>
            <w:rPr>
              <w:noProof/>
              <w:sz w:val="24"/>
              <w:szCs w:val="24"/>
            </w:rPr>
          </w:pPr>
          <w:hyperlink w:anchor="_Toc216975068" w:history="1">
            <w:r w:rsidRPr="00F93301">
              <w:rPr>
                <w:rStyle w:val="Hyperlink"/>
                <w:noProof/>
                <w:color w:val="auto"/>
                <w:sz w:val="24"/>
                <w:szCs w:val="24"/>
                <w:lang w:val="en-GB"/>
              </w:rPr>
              <w:t>I. Financial Statement Analysis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_Toc216975068 \h </w:instrText>
            </w:r>
            <w:r w:rsidRPr="00F93301">
              <w:rPr>
                <w:noProof/>
                <w:webHidden/>
                <w:sz w:val="24"/>
                <w:szCs w:val="24"/>
              </w:rPr>
            </w:r>
            <w:r w:rsidRPr="00F93301">
              <w:rPr>
                <w:noProof/>
                <w:webHidden/>
                <w:sz w:val="24"/>
                <w:szCs w:val="24"/>
              </w:rPr>
              <w:fldChar w:fldCharType="separate"/>
            </w:r>
            <w:r w:rsidRPr="00F93301">
              <w:rPr>
                <w:noProof/>
                <w:webHidden/>
                <w:sz w:val="24"/>
                <w:szCs w:val="24"/>
              </w:rPr>
              <w:t>5</w:t>
            </w:r>
            <w:r w:rsidRPr="00F93301">
              <w:rPr>
                <w:noProof/>
                <w:webHidden/>
                <w:sz w:val="24"/>
                <w:szCs w:val="24"/>
              </w:rPr>
              <w:fldChar w:fldCharType="end"/>
            </w:r>
          </w:hyperlink>
        </w:p>
        <w:p w14:paraId="323DE6B7" w14:textId="12A017E2" w:rsidR="00DA145E" w:rsidRPr="00F93301" w:rsidRDefault="00DA145E" w:rsidP="00F93301">
          <w:pPr>
            <w:pStyle w:val="TOC2"/>
            <w:tabs>
              <w:tab w:val="right" w:pos="9350"/>
            </w:tabs>
            <w:spacing w:before="240" w:line="360" w:lineRule="auto"/>
            <w:rPr>
              <w:noProof/>
              <w:sz w:val="24"/>
              <w:szCs w:val="24"/>
            </w:rPr>
          </w:pPr>
          <w:hyperlink w:anchor="_Toc216975072" w:history="1">
            <w:r w:rsidRPr="00F93301">
              <w:rPr>
                <w:rStyle w:val="Hyperlink"/>
                <w:noProof/>
                <w:color w:val="auto"/>
                <w:sz w:val="24"/>
                <w:szCs w:val="24"/>
                <w:lang w:val="en-GB"/>
              </w:rPr>
              <w:t>II. Ratio Analysis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_Toc216975072 \h </w:instrText>
            </w:r>
            <w:r w:rsidRPr="00F93301">
              <w:rPr>
                <w:noProof/>
                <w:webHidden/>
                <w:sz w:val="24"/>
                <w:szCs w:val="24"/>
              </w:rPr>
            </w:r>
            <w:r w:rsidRPr="00F93301">
              <w:rPr>
                <w:noProof/>
                <w:webHidden/>
                <w:sz w:val="24"/>
                <w:szCs w:val="24"/>
              </w:rPr>
              <w:fldChar w:fldCharType="separate"/>
            </w:r>
            <w:r w:rsidRPr="00F93301">
              <w:rPr>
                <w:noProof/>
                <w:webHidden/>
                <w:sz w:val="24"/>
                <w:szCs w:val="24"/>
              </w:rPr>
              <w:t>8</w:t>
            </w:r>
            <w:r w:rsidRPr="00F93301">
              <w:rPr>
                <w:noProof/>
                <w:webHidden/>
                <w:sz w:val="24"/>
                <w:szCs w:val="24"/>
              </w:rPr>
              <w:fldChar w:fldCharType="end"/>
            </w:r>
          </w:hyperlink>
        </w:p>
        <w:p w14:paraId="2F0DFE6D" w14:textId="5633BEB1" w:rsidR="00DA145E" w:rsidRPr="00F93301" w:rsidRDefault="00DA145E" w:rsidP="00F93301">
          <w:pPr>
            <w:pStyle w:val="TOC2"/>
            <w:tabs>
              <w:tab w:val="right" w:pos="9350"/>
            </w:tabs>
            <w:spacing w:before="240" w:line="360" w:lineRule="auto"/>
            <w:rPr>
              <w:noProof/>
              <w:sz w:val="24"/>
              <w:szCs w:val="24"/>
            </w:rPr>
          </w:pPr>
          <w:hyperlink w:anchor="_Toc216975079" w:history="1">
            <w:r w:rsidRPr="00F93301">
              <w:rPr>
                <w:rStyle w:val="Hyperlink"/>
                <w:noProof/>
                <w:color w:val="auto"/>
                <w:sz w:val="24"/>
                <w:szCs w:val="24"/>
                <w:lang w:val="en-GB"/>
              </w:rPr>
              <w:t>III. Trends, Strengths and Threats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_Toc216975079 \h </w:instrText>
            </w:r>
            <w:r w:rsidRPr="00F93301">
              <w:rPr>
                <w:noProof/>
                <w:webHidden/>
                <w:sz w:val="24"/>
                <w:szCs w:val="24"/>
              </w:rPr>
            </w:r>
            <w:r w:rsidRPr="00F93301">
              <w:rPr>
                <w:noProof/>
                <w:webHidden/>
                <w:sz w:val="24"/>
                <w:szCs w:val="24"/>
              </w:rPr>
              <w:fldChar w:fldCharType="separate"/>
            </w:r>
            <w:r w:rsidRPr="00F93301">
              <w:rPr>
                <w:noProof/>
                <w:webHidden/>
                <w:sz w:val="24"/>
                <w:szCs w:val="24"/>
              </w:rPr>
              <w:t>13</w:t>
            </w:r>
            <w:r w:rsidRPr="00F93301">
              <w:rPr>
                <w:noProof/>
                <w:webHidden/>
                <w:sz w:val="24"/>
                <w:szCs w:val="24"/>
              </w:rPr>
              <w:fldChar w:fldCharType="end"/>
            </w:r>
          </w:hyperlink>
        </w:p>
        <w:p w14:paraId="11E39EFC" w14:textId="0535258D" w:rsidR="00DA145E" w:rsidRPr="00F93301" w:rsidRDefault="00DA145E" w:rsidP="00F93301">
          <w:pPr>
            <w:pStyle w:val="TOC2"/>
            <w:tabs>
              <w:tab w:val="right" w:pos="9350"/>
            </w:tabs>
            <w:spacing w:before="240" w:line="360" w:lineRule="auto"/>
            <w:rPr>
              <w:noProof/>
              <w:sz w:val="24"/>
              <w:szCs w:val="24"/>
            </w:rPr>
          </w:pPr>
          <w:hyperlink w:anchor="_Toc216975081" w:history="1">
            <w:r w:rsidRPr="00F93301">
              <w:rPr>
                <w:rStyle w:val="Hyperlink"/>
                <w:noProof/>
                <w:color w:val="auto"/>
                <w:sz w:val="24"/>
                <w:szCs w:val="24"/>
                <w:lang w:val="en-GB"/>
              </w:rPr>
              <w:t>IV. Altman Z-Score for Default Risk</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_Toc216975081 \h </w:instrText>
            </w:r>
            <w:r w:rsidRPr="00F93301">
              <w:rPr>
                <w:noProof/>
                <w:webHidden/>
                <w:sz w:val="24"/>
                <w:szCs w:val="24"/>
              </w:rPr>
            </w:r>
            <w:r w:rsidRPr="00F93301">
              <w:rPr>
                <w:noProof/>
                <w:webHidden/>
                <w:sz w:val="24"/>
                <w:szCs w:val="24"/>
              </w:rPr>
              <w:fldChar w:fldCharType="separate"/>
            </w:r>
            <w:r w:rsidRPr="00F93301">
              <w:rPr>
                <w:noProof/>
                <w:webHidden/>
                <w:sz w:val="24"/>
                <w:szCs w:val="24"/>
              </w:rPr>
              <w:t>14</w:t>
            </w:r>
            <w:r w:rsidRPr="00F93301">
              <w:rPr>
                <w:noProof/>
                <w:webHidden/>
                <w:sz w:val="24"/>
                <w:szCs w:val="24"/>
              </w:rPr>
              <w:fldChar w:fldCharType="end"/>
            </w:r>
          </w:hyperlink>
        </w:p>
        <w:p w14:paraId="6456DCDF" w14:textId="01D1C7F5" w:rsidR="00DA145E" w:rsidRPr="00F93301" w:rsidRDefault="00DA145E" w:rsidP="00F93301">
          <w:pPr>
            <w:pStyle w:val="TOC1"/>
            <w:tabs>
              <w:tab w:val="right" w:pos="9350"/>
            </w:tabs>
            <w:spacing w:before="240" w:line="360" w:lineRule="auto"/>
            <w:rPr>
              <w:noProof/>
              <w:sz w:val="24"/>
              <w:szCs w:val="24"/>
            </w:rPr>
          </w:pPr>
          <w:hyperlink w:anchor="_Toc216975083" w:history="1">
            <w:r w:rsidRPr="00F93301">
              <w:rPr>
                <w:rStyle w:val="Hyperlink"/>
                <w:noProof/>
                <w:color w:val="auto"/>
                <w:sz w:val="24"/>
                <w:szCs w:val="24"/>
                <w:lang w:val="en-GB"/>
              </w:rPr>
              <w:t>3. Working Capital Management Analysis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_Toc216975083 \h </w:instrText>
            </w:r>
            <w:r w:rsidRPr="00F93301">
              <w:rPr>
                <w:noProof/>
                <w:webHidden/>
                <w:sz w:val="24"/>
                <w:szCs w:val="24"/>
              </w:rPr>
            </w:r>
            <w:r w:rsidRPr="00F93301">
              <w:rPr>
                <w:noProof/>
                <w:webHidden/>
                <w:sz w:val="24"/>
                <w:szCs w:val="24"/>
              </w:rPr>
              <w:fldChar w:fldCharType="separate"/>
            </w:r>
            <w:r w:rsidRPr="00F93301">
              <w:rPr>
                <w:noProof/>
                <w:webHidden/>
                <w:sz w:val="24"/>
                <w:szCs w:val="24"/>
              </w:rPr>
              <w:t>15</w:t>
            </w:r>
            <w:r w:rsidRPr="00F93301">
              <w:rPr>
                <w:noProof/>
                <w:webHidden/>
                <w:sz w:val="24"/>
                <w:szCs w:val="24"/>
              </w:rPr>
              <w:fldChar w:fldCharType="end"/>
            </w:r>
          </w:hyperlink>
        </w:p>
        <w:p w14:paraId="6822B0CD" w14:textId="58E7A184" w:rsidR="00DA145E" w:rsidRPr="00F93301" w:rsidRDefault="00DA145E" w:rsidP="00F93301">
          <w:pPr>
            <w:pStyle w:val="TOC2"/>
            <w:tabs>
              <w:tab w:val="right" w:pos="9350"/>
            </w:tabs>
            <w:spacing w:before="240" w:line="360" w:lineRule="auto"/>
            <w:rPr>
              <w:noProof/>
              <w:sz w:val="24"/>
              <w:szCs w:val="24"/>
            </w:rPr>
          </w:pPr>
          <w:hyperlink w:anchor="_Toc216975084" w:history="1">
            <w:r w:rsidRPr="00F93301">
              <w:rPr>
                <w:rStyle w:val="Hyperlink"/>
                <w:noProof/>
                <w:color w:val="auto"/>
                <w:sz w:val="24"/>
                <w:szCs w:val="24"/>
                <w:lang w:val="en-GB"/>
              </w:rPr>
              <w:t>I. Cash Operating Cycle</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_Toc216975084 \h </w:instrText>
            </w:r>
            <w:r w:rsidRPr="00F93301">
              <w:rPr>
                <w:noProof/>
                <w:webHidden/>
                <w:sz w:val="24"/>
                <w:szCs w:val="24"/>
              </w:rPr>
            </w:r>
            <w:r w:rsidRPr="00F93301">
              <w:rPr>
                <w:noProof/>
                <w:webHidden/>
                <w:sz w:val="24"/>
                <w:szCs w:val="24"/>
              </w:rPr>
              <w:fldChar w:fldCharType="separate"/>
            </w:r>
            <w:r w:rsidRPr="00F93301">
              <w:rPr>
                <w:noProof/>
                <w:webHidden/>
                <w:sz w:val="24"/>
                <w:szCs w:val="24"/>
              </w:rPr>
              <w:t>15</w:t>
            </w:r>
            <w:r w:rsidRPr="00F93301">
              <w:rPr>
                <w:noProof/>
                <w:webHidden/>
                <w:sz w:val="24"/>
                <w:szCs w:val="24"/>
              </w:rPr>
              <w:fldChar w:fldCharType="end"/>
            </w:r>
          </w:hyperlink>
        </w:p>
        <w:p w14:paraId="15E59C64" w14:textId="2C15B78B" w:rsidR="00DA145E" w:rsidRPr="00F93301" w:rsidRDefault="00DA145E" w:rsidP="00F93301">
          <w:pPr>
            <w:pStyle w:val="TOC2"/>
            <w:tabs>
              <w:tab w:val="right" w:pos="9350"/>
            </w:tabs>
            <w:spacing w:before="240" w:line="360" w:lineRule="auto"/>
            <w:rPr>
              <w:noProof/>
              <w:sz w:val="24"/>
              <w:szCs w:val="24"/>
            </w:rPr>
          </w:pPr>
          <w:hyperlink w:anchor="_Toc216975086" w:history="1">
            <w:r w:rsidRPr="00F93301">
              <w:rPr>
                <w:rStyle w:val="Hyperlink"/>
                <w:noProof/>
                <w:color w:val="auto"/>
                <w:sz w:val="24"/>
                <w:szCs w:val="24"/>
                <w:lang w:val="en-GB"/>
              </w:rPr>
              <w:t>II. Strategies to improve liquidity through working capital reforms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_Toc216975086 \h </w:instrText>
            </w:r>
            <w:r w:rsidRPr="00F93301">
              <w:rPr>
                <w:noProof/>
                <w:webHidden/>
                <w:sz w:val="24"/>
                <w:szCs w:val="24"/>
              </w:rPr>
            </w:r>
            <w:r w:rsidRPr="00F93301">
              <w:rPr>
                <w:noProof/>
                <w:webHidden/>
                <w:sz w:val="24"/>
                <w:szCs w:val="24"/>
              </w:rPr>
              <w:fldChar w:fldCharType="separate"/>
            </w:r>
            <w:r w:rsidRPr="00F93301">
              <w:rPr>
                <w:noProof/>
                <w:webHidden/>
                <w:sz w:val="24"/>
                <w:szCs w:val="24"/>
              </w:rPr>
              <w:t>16</w:t>
            </w:r>
            <w:r w:rsidRPr="00F93301">
              <w:rPr>
                <w:noProof/>
                <w:webHidden/>
                <w:sz w:val="24"/>
                <w:szCs w:val="24"/>
              </w:rPr>
              <w:fldChar w:fldCharType="end"/>
            </w:r>
          </w:hyperlink>
        </w:p>
        <w:p w14:paraId="24AD5BBB" w14:textId="2493B6F1" w:rsidR="00DA145E" w:rsidRPr="00F93301" w:rsidRDefault="00DA145E" w:rsidP="00F93301">
          <w:pPr>
            <w:pStyle w:val="TOC2"/>
            <w:tabs>
              <w:tab w:val="right" w:pos="9350"/>
            </w:tabs>
            <w:spacing w:before="240" w:line="360" w:lineRule="auto"/>
            <w:rPr>
              <w:noProof/>
              <w:sz w:val="24"/>
              <w:szCs w:val="24"/>
            </w:rPr>
          </w:pPr>
          <w:hyperlink w:anchor="_Toc216975087" w:history="1">
            <w:r w:rsidRPr="00F93301">
              <w:rPr>
                <w:rStyle w:val="Hyperlink"/>
                <w:noProof/>
                <w:color w:val="auto"/>
                <w:sz w:val="24"/>
                <w:szCs w:val="24"/>
                <w:lang w:val="en-GB"/>
              </w:rPr>
              <w:t>III. Short-Term vs Long-Term Financing Options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_Toc216975087 \h </w:instrText>
            </w:r>
            <w:r w:rsidRPr="00F93301">
              <w:rPr>
                <w:noProof/>
                <w:webHidden/>
                <w:sz w:val="24"/>
                <w:szCs w:val="24"/>
              </w:rPr>
            </w:r>
            <w:r w:rsidRPr="00F93301">
              <w:rPr>
                <w:noProof/>
                <w:webHidden/>
                <w:sz w:val="24"/>
                <w:szCs w:val="24"/>
              </w:rPr>
              <w:fldChar w:fldCharType="separate"/>
            </w:r>
            <w:r w:rsidRPr="00F93301">
              <w:rPr>
                <w:noProof/>
                <w:webHidden/>
                <w:sz w:val="24"/>
                <w:szCs w:val="24"/>
              </w:rPr>
              <w:t>17</w:t>
            </w:r>
            <w:r w:rsidRPr="00F93301">
              <w:rPr>
                <w:noProof/>
                <w:webHidden/>
                <w:sz w:val="24"/>
                <w:szCs w:val="24"/>
              </w:rPr>
              <w:fldChar w:fldCharType="end"/>
            </w:r>
          </w:hyperlink>
        </w:p>
        <w:p w14:paraId="29A4DFA4" w14:textId="4D216EF1" w:rsidR="00DA145E" w:rsidRPr="00F93301" w:rsidRDefault="00DA145E" w:rsidP="00F93301">
          <w:pPr>
            <w:pStyle w:val="TOC1"/>
            <w:tabs>
              <w:tab w:val="right" w:pos="9350"/>
            </w:tabs>
            <w:spacing w:before="240" w:line="360" w:lineRule="auto"/>
            <w:rPr>
              <w:noProof/>
              <w:sz w:val="24"/>
              <w:szCs w:val="24"/>
            </w:rPr>
          </w:pPr>
          <w:hyperlink w:anchor="_Toc216975088" w:history="1">
            <w:r w:rsidRPr="00F93301">
              <w:rPr>
                <w:rStyle w:val="Hyperlink"/>
                <w:noProof/>
                <w:color w:val="auto"/>
                <w:sz w:val="24"/>
                <w:szCs w:val="24"/>
                <w:lang w:val="en-GB"/>
              </w:rPr>
              <w:t>4. Strategic Financial Restructuring Plan</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_Toc216975088 \h </w:instrText>
            </w:r>
            <w:r w:rsidRPr="00F93301">
              <w:rPr>
                <w:noProof/>
                <w:webHidden/>
                <w:sz w:val="24"/>
                <w:szCs w:val="24"/>
              </w:rPr>
            </w:r>
            <w:r w:rsidRPr="00F93301">
              <w:rPr>
                <w:noProof/>
                <w:webHidden/>
                <w:sz w:val="24"/>
                <w:szCs w:val="24"/>
              </w:rPr>
              <w:fldChar w:fldCharType="separate"/>
            </w:r>
            <w:r w:rsidRPr="00F93301">
              <w:rPr>
                <w:noProof/>
                <w:webHidden/>
                <w:sz w:val="24"/>
                <w:szCs w:val="24"/>
              </w:rPr>
              <w:t>17</w:t>
            </w:r>
            <w:r w:rsidRPr="00F93301">
              <w:rPr>
                <w:noProof/>
                <w:webHidden/>
                <w:sz w:val="24"/>
                <w:szCs w:val="24"/>
              </w:rPr>
              <w:fldChar w:fldCharType="end"/>
            </w:r>
          </w:hyperlink>
        </w:p>
        <w:p w14:paraId="35244DBA" w14:textId="13046479" w:rsidR="00DA145E" w:rsidRPr="00F93301" w:rsidRDefault="00DA145E" w:rsidP="00F93301">
          <w:pPr>
            <w:pStyle w:val="TOC2"/>
            <w:tabs>
              <w:tab w:val="right" w:pos="9350"/>
            </w:tabs>
            <w:spacing w:before="240" w:line="360" w:lineRule="auto"/>
            <w:rPr>
              <w:noProof/>
              <w:sz w:val="24"/>
              <w:szCs w:val="24"/>
            </w:rPr>
          </w:pPr>
          <w:hyperlink w:anchor="_Toc216975089" w:history="1">
            <w:r w:rsidRPr="00F93301">
              <w:rPr>
                <w:rStyle w:val="Hyperlink"/>
                <w:noProof/>
                <w:color w:val="auto"/>
                <w:sz w:val="24"/>
                <w:szCs w:val="24"/>
                <w:lang w:val="en-GB"/>
              </w:rPr>
              <w:t>I. Financial Restructuring Options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_Toc216975089 \h </w:instrText>
            </w:r>
            <w:r w:rsidRPr="00F93301">
              <w:rPr>
                <w:noProof/>
                <w:webHidden/>
                <w:sz w:val="24"/>
                <w:szCs w:val="24"/>
              </w:rPr>
            </w:r>
            <w:r w:rsidRPr="00F93301">
              <w:rPr>
                <w:noProof/>
                <w:webHidden/>
                <w:sz w:val="24"/>
                <w:szCs w:val="24"/>
              </w:rPr>
              <w:fldChar w:fldCharType="separate"/>
            </w:r>
            <w:r w:rsidRPr="00F93301">
              <w:rPr>
                <w:noProof/>
                <w:webHidden/>
                <w:sz w:val="24"/>
                <w:szCs w:val="24"/>
              </w:rPr>
              <w:t>18</w:t>
            </w:r>
            <w:r w:rsidRPr="00F93301">
              <w:rPr>
                <w:noProof/>
                <w:webHidden/>
                <w:sz w:val="24"/>
                <w:szCs w:val="24"/>
              </w:rPr>
              <w:fldChar w:fldCharType="end"/>
            </w:r>
          </w:hyperlink>
        </w:p>
        <w:p w14:paraId="4CC6A66C" w14:textId="52F8A4B1" w:rsidR="00DA145E" w:rsidRPr="00F93301" w:rsidRDefault="00DA145E" w:rsidP="00F93301">
          <w:pPr>
            <w:pStyle w:val="TOC2"/>
            <w:tabs>
              <w:tab w:val="right" w:pos="9350"/>
            </w:tabs>
            <w:spacing w:before="240" w:line="360" w:lineRule="auto"/>
            <w:rPr>
              <w:noProof/>
              <w:sz w:val="24"/>
              <w:szCs w:val="24"/>
            </w:rPr>
          </w:pPr>
          <w:hyperlink w:anchor="_Toc216975090" w:history="1">
            <w:r w:rsidRPr="00F93301">
              <w:rPr>
                <w:rStyle w:val="Hyperlink"/>
                <w:noProof/>
                <w:color w:val="auto"/>
                <w:sz w:val="24"/>
                <w:szCs w:val="24"/>
                <w:lang w:val="en-GB"/>
              </w:rPr>
              <w:t>II. Impact of Financial Restructuring Options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_Toc216975090 \h </w:instrText>
            </w:r>
            <w:r w:rsidRPr="00F93301">
              <w:rPr>
                <w:noProof/>
                <w:webHidden/>
                <w:sz w:val="24"/>
                <w:szCs w:val="24"/>
              </w:rPr>
            </w:r>
            <w:r w:rsidRPr="00F93301">
              <w:rPr>
                <w:noProof/>
                <w:webHidden/>
                <w:sz w:val="24"/>
                <w:szCs w:val="24"/>
              </w:rPr>
              <w:fldChar w:fldCharType="separate"/>
            </w:r>
            <w:r w:rsidRPr="00F93301">
              <w:rPr>
                <w:noProof/>
                <w:webHidden/>
                <w:sz w:val="24"/>
                <w:szCs w:val="24"/>
              </w:rPr>
              <w:t>19</w:t>
            </w:r>
            <w:r w:rsidRPr="00F93301">
              <w:rPr>
                <w:noProof/>
                <w:webHidden/>
                <w:sz w:val="24"/>
                <w:szCs w:val="24"/>
              </w:rPr>
              <w:fldChar w:fldCharType="end"/>
            </w:r>
          </w:hyperlink>
        </w:p>
        <w:p w14:paraId="7BEB4C81" w14:textId="63A1F29A" w:rsidR="00DA145E" w:rsidRPr="00F93301" w:rsidRDefault="00DA145E" w:rsidP="00F93301">
          <w:pPr>
            <w:pStyle w:val="TOC2"/>
            <w:tabs>
              <w:tab w:val="right" w:pos="9350"/>
            </w:tabs>
            <w:spacing w:before="240" w:line="360" w:lineRule="auto"/>
            <w:rPr>
              <w:noProof/>
              <w:sz w:val="24"/>
              <w:szCs w:val="24"/>
            </w:rPr>
          </w:pPr>
          <w:hyperlink w:anchor="_Toc216975091" w:history="1">
            <w:r w:rsidRPr="00F93301">
              <w:rPr>
                <w:rStyle w:val="Hyperlink"/>
                <w:noProof/>
                <w:color w:val="auto"/>
                <w:sz w:val="24"/>
                <w:szCs w:val="24"/>
                <w:lang w:val="en-GB"/>
              </w:rPr>
              <w:t>III. International and ethical considerations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_Toc216975091 \h </w:instrText>
            </w:r>
            <w:r w:rsidRPr="00F93301">
              <w:rPr>
                <w:noProof/>
                <w:webHidden/>
                <w:sz w:val="24"/>
                <w:szCs w:val="24"/>
              </w:rPr>
            </w:r>
            <w:r w:rsidRPr="00F93301">
              <w:rPr>
                <w:noProof/>
                <w:webHidden/>
                <w:sz w:val="24"/>
                <w:szCs w:val="24"/>
              </w:rPr>
              <w:fldChar w:fldCharType="separate"/>
            </w:r>
            <w:r w:rsidRPr="00F93301">
              <w:rPr>
                <w:noProof/>
                <w:webHidden/>
                <w:sz w:val="24"/>
                <w:szCs w:val="24"/>
              </w:rPr>
              <w:t>20</w:t>
            </w:r>
            <w:r w:rsidRPr="00F93301">
              <w:rPr>
                <w:noProof/>
                <w:webHidden/>
                <w:sz w:val="24"/>
                <w:szCs w:val="24"/>
              </w:rPr>
              <w:fldChar w:fldCharType="end"/>
            </w:r>
          </w:hyperlink>
        </w:p>
        <w:p w14:paraId="0CE2F7D0" w14:textId="257BDD14" w:rsidR="00DA145E" w:rsidRPr="00F93301" w:rsidRDefault="00DA145E" w:rsidP="00F93301">
          <w:pPr>
            <w:pStyle w:val="TOC1"/>
            <w:tabs>
              <w:tab w:val="right" w:pos="9350"/>
            </w:tabs>
            <w:spacing w:before="240" w:line="360" w:lineRule="auto"/>
            <w:rPr>
              <w:noProof/>
              <w:sz w:val="24"/>
              <w:szCs w:val="24"/>
            </w:rPr>
          </w:pPr>
          <w:hyperlink w:anchor="_Toc216975092" w:history="1">
            <w:r w:rsidRPr="00F93301">
              <w:rPr>
                <w:rStyle w:val="Hyperlink"/>
                <w:noProof/>
                <w:color w:val="auto"/>
                <w:sz w:val="24"/>
                <w:szCs w:val="24"/>
                <w:lang w:val="en-GB"/>
              </w:rPr>
              <w:t>5. Investment Appraisal and Capital Budgeting</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_Toc216975092 \h </w:instrText>
            </w:r>
            <w:r w:rsidRPr="00F93301">
              <w:rPr>
                <w:noProof/>
                <w:webHidden/>
                <w:sz w:val="24"/>
                <w:szCs w:val="24"/>
              </w:rPr>
            </w:r>
            <w:r w:rsidRPr="00F93301">
              <w:rPr>
                <w:noProof/>
                <w:webHidden/>
                <w:sz w:val="24"/>
                <w:szCs w:val="24"/>
              </w:rPr>
              <w:fldChar w:fldCharType="separate"/>
            </w:r>
            <w:r w:rsidRPr="00F93301">
              <w:rPr>
                <w:noProof/>
                <w:webHidden/>
                <w:sz w:val="24"/>
                <w:szCs w:val="24"/>
              </w:rPr>
              <w:t>21</w:t>
            </w:r>
            <w:r w:rsidRPr="00F93301">
              <w:rPr>
                <w:noProof/>
                <w:webHidden/>
                <w:sz w:val="24"/>
                <w:szCs w:val="24"/>
              </w:rPr>
              <w:fldChar w:fldCharType="end"/>
            </w:r>
          </w:hyperlink>
        </w:p>
        <w:p w14:paraId="17AA7D7A" w14:textId="63E2972A" w:rsidR="00DA145E" w:rsidRPr="00F93301" w:rsidRDefault="00DA145E" w:rsidP="00F93301">
          <w:pPr>
            <w:pStyle w:val="TOC2"/>
            <w:tabs>
              <w:tab w:val="right" w:pos="9350"/>
            </w:tabs>
            <w:spacing w:before="240" w:line="360" w:lineRule="auto"/>
            <w:rPr>
              <w:noProof/>
              <w:sz w:val="24"/>
              <w:szCs w:val="24"/>
            </w:rPr>
          </w:pPr>
          <w:hyperlink w:anchor="_Toc216975093" w:history="1">
            <w:r w:rsidRPr="00F93301">
              <w:rPr>
                <w:rStyle w:val="Hyperlink"/>
                <w:noProof/>
                <w:color w:val="auto"/>
                <w:sz w:val="24"/>
                <w:szCs w:val="24"/>
                <w:lang w:val="en-GB"/>
              </w:rPr>
              <w:t>I. Calculation of Investment Appraisal Techniques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_Toc216975093 \h </w:instrText>
            </w:r>
            <w:r w:rsidRPr="00F93301">
              <w:rPr>
                <w:noProof/>
                <w:webHidden/>
                <w:sz w:val="24"/>
                <w:szCs w:val="24"/>
              </w:rPr>
            </w:r>
            <w:r w:rsidRPr="00F93301">
              <w:rPr>
                <w:noProof/>
                <w:webHidden/>
                <w:sz w:val="24"/>
                <w:szCs w:val="24"/>
              </w:rPr>
              <w:fldChar w:fldCharType="separate"/>
            </w:r>
            <w:r w:rsidRPr="00F93301">
              <w:rPr>
                <w:noProof/>
                <w:webHidden/>
                <w:sz w:val="24"/>
                <w:szCs w:val="24"/>
              </w:rPr>
              <w:t>21</w:t>
            </w:r>
            <w:r w:rsidRPr="00F93301">
              <w:rPr>
                <w:noProof/>
                <w:webHidden/>
                <w:sz w:val="24"/>
                <w:szCs w:val="24"/>
              </w:rPr>
              <w:fldChar w:fldCharType="end"/>
            </w:r>
          </w:hyperlink>
        </w:p>
        <w:p w14:paraId="029C7822" w14:textId="74C195ED" w:rsidR="00DA145E" w:rsidRPr="00F93301" w:rsidRDefault="00DA145E" w:rsidP="00F93301">
          <w:pPr>
            <w:pStyle w:val="TOC2"/>
            <w:tabs>
              <w:tab w:val="right" w:pos="9350"/>
            </w:tabs>
            <w:spacing w:before="240" w:line="360" w:lineRule="auto"/>
            <w:rPr>
              <w:noProof/>
              <w:sz w:val="24"/>
              <w:szCs w:val="24"/>
            </w:rPr>
          </w:pPr>
          <w:hyperlink w:anchor="_Toc216975099" w:history="1">
            <w:r w:rsidRPr="00F93301">
              <w:rPr>
                <w:rStyle w:val="Hyperlink"/>
                <w:noProof/>
                <w:color w:val="auto"/>
                <w:sz w:val="24"/>
                <w:szCs w:val="24"/>
                <w:lang w:val="en-GB"/>
              </w:rPr>
              <w:t>II. Selection of Project</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_Toc216975099 \h </w:instrText>
            </w:r>
            <w:r w:rsidRPr="00F93301">
              <w:rPr>
                <w:noProof/>
                <w:webHidden/>
                <w:sz w:val="24"/>
                <w:szCs w:val="24"/>
              </w:rPr>
            </w:r>
            <w:r w:rsidRPr="00F93301">
              <w:rPr>
                <w:noProof/>
                <w:webHidden/>
                <w:sz w:val="24"/>
                <w:szCs w:val="24"/>
              </w:rPr>
              <w:fldChar w:fldCharType="separate"/>
            </w:r>
            <w:r w:rsidRPr="00F93301">
              <w:rPr>
                <w:noProof/>
                <w:webHidden/>
                <w:sz w:val="24"/>
                <w:szCs w:val="24"/>
              </w:rPr>
              <w:t>24</w:t>
            </w:r>
            <w:r w:rsidRPr="00F93301">
              <w:rPr>
                <w:noProof/>
                <w:webHidden/>
                <w:sz w:val="24"/>
                <w:szCs w:val="24"/>
              </w:rPr>
              <w:fldChar w:fldCharType="end"/>
            </w:r>
          </w:hyperlink>
        </w:p>
        <w:p w14:paraId="47B9566A" w14:textId="7171CB2A" w:rsidR="00DA145E" w:rsidRPr="00F93301" w:rsidRDefault="00DA145E" w:rsidP="00F93301">
          <w:pPr>
            <w:pStyle w:val="TOC2"/>
            <w:tabs>
              <w:tab w:val="right" w:pos="9350"/>
            </w:tabs>
            <w:spacing w:before="240" w:line="360" w:lineRule="auto"/>
            <w:rPr>
              <w:noProof/>
              <w:sz w:val="24"/>
              <w:szCs w:val="24"/>
            </w:rPr>
          </w:pPr>
          <w:hyperlink w:anchor="_Toc216975100" w:history="1">
            <w:r w:rsidRPr="00F93301">
              <w:rPr>
                <w:rStyle w:val="Hyperlink"/>
                <w:noProof/>
                <w:color w:val="auto"/>
                <w:sz w:val="24"/>
                <w:szCs w:val="24"/>
                <w:lang w:val="en-GB"/>
              </w:rPr>
              <w:t>III. Recommendation via Capital Rationing</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_Toc216975100 \h </w:instrText>
            </w:r>
            <w:r w:rsidRPr="00F93301">
              <w:rPr>
                <w:noProof/>
                <w:webHidden/>
                <w:sz w:val="24"/>
                <w:szCs w:val="24"/>
              </w:rPr>
            </w:r>
            <w:r w:rsidRPr="00F93301">
              <w:rPr>
                <w:noProof/>
                <w:webHidden/>
                <w:sz w:val="24"/>
                <w:szCs w:val="24"/>
              </w:rPr>
              <w:fldChar w:fldCharType="separate"/>
            </w:r>
            <w:r w:rsidRPr="00F93301">
              <w:rPr>
                <w:noProof/>
                <w:webHidden/>
                <w:sz w:val="24"/>
                <w:szCs w:val="24"/>
              </w:rPr>
              <w:t>24</w:t>
            </w:r>
            <w:r w:rsidRPr="00F93301">
              <w:rPr>
                <w:noProof/>
                <w:webHidden/>
                <w:sz w:val="24"/>
                <w:szCs w:val="24"/>
              </w:rPr>
              <w:fldChar w:fldCharType="end"/>
            </w:r>
          </w:hyperlink>
        </w:p>
        <w:p w14:paraId="2C3504D7" w14:textId="57CACA94" w:rsidR="00DA145E" w:rsidRPr="00F93301" w:rsidRDefault="00DA145E" w:rsidP="00F93301">
          <w:pPr>
            <w:pStyle w:val="TOC2"/>
            <w:tabs>
              <w:tab w:val="right" w:pos="9350"/>
            </w:tabs>
            <w:spacing w:before="240" w:line="360" w:lineRule="auto"/>
            <w:rPr>
              <w:noProof/>
              <w:sz w:val="24"/>
              <w:szCs w:val="24"/>
            </w:rPr>
          </w:pPr>
          <w:hyperlink w:anchor="_Toc216975101" w:history="1">
            <w:r w:rsidRPr="00F93301">
              <w:rPr>
                <w:rStyle w:val="Hyperlink"/>
                <w:noProof/>
                <w:color w:val="auto"/>
                <w:sz w:val="24"/>
                <w:szCs w:val="24"/>
                <w:lang w:val="en-GB"/>
              </w:rPr>
              <w:t>IV. Justification Based on Financial Performance and Project Risk</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_Toc216975101 \h </w:instrText>
            </w:r>
            <w:r w:rsidRPr="00F93301">
              <w:rPr>
                <w:noProof/>
                <w:webHidden/>
                <w:sz w:val="24"/>
                <w:szCs w:val="24"/>
              </w:rPr>
            </w:r>
            <w:r w:rsidRPr="00F93301">
              <w:rPr>
                <w:noProof/>
                <w:webHidden/>
                <w:sz w:val="24"/>
                <w:szCs w:val="24"/>
              </w:rPr>
              <w:fldChar w:fldCharType="separate"/>
            </w:r>
            <w:r w:rsidRPr="00F93301">
              <w:rPr>
                <w:noProof/>
                <w:webHidden/>
                <w:sz w:val="24"/>
                <w:szCs w:val="24"/>
              </w:rPr>
              <w:t>25</w:t>
            </w:r>
            <w:r w:rsidRPr="00F93301">
              <w:rPr>
                <w:noProof/>
                <w:webHidden/>
                <w:sz w:val="24"/>
                <w:szCs w:val="24"/>
              </w:rPr>
              <w:fldChar w:fldCharType="end"/>
            </w:r>
          </w:hyperlink>
        </w:p>
        <w:p w14:paraId="09077EE8" w14:textId="04B55752" w:rsidR="00DA145E" w:rsidRPr="00F93301" w:rsidRDefault="00DA145E" w:rsidP="00F93301">
          <w:pPr>
            <w:pStyle w:val="TOC1"/>
            <w:tabs>
              <w:tab w:val="right" w:pos="9350"/>
            </w:tabs>
            <w:spacing w:before="240" w:line="360" w:lineRule="auto"/>
            <w:rPr>
              <w:noProof/>
              <w:sz w:val="24"/>
              <w:szCs w:val="24"/>
            </w:rPr>
          </w:pPr>
          <w:hyperlink w:anchor="_Toc216975102" w:history="1">
            <w:r w:rsidRPr="00F93301">
              <w:rPr>
                <w:rStyle w:val="Hyperlink"/>
                <w:noProof/>
                <w:color w:val="auto"/>
                <w:sz w:val="24"/>
                <w:szCs w:val="24"/>
                <w:lang w:val="en-GB"/>
              </w:rPr>
              <w:t>6. Conclusion</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_Toc216975102 \h </w:instrText>
            </w:r>
            <w:r w:rsidRPr="00F93301">
              <w:rPr>
                <w:noProof/>
                <w:webHidden/>
                <w:sz w:val="24"/>
                <w:szCs w:val="24"/>
              </w:rPr>
            </w:r>
            <w:r w:rsidRPr="00F93301">
              <w:rPr>
                <w:noProof/>
                <w:webHidden/>
                <w:sz w:val="24"/>
                <w:szCs w:val="24"/>
              </w:rPr>
              <w:fldChar w:fldCharType="separate"/>
            </w:r>
            <w:r w:rsidRPr="00F93301">
              <w:rPr>
                <w:noProof/>
                <w:webHidden/>
                <w:sz w:val="24"/>
                <w:szCs w:val="24"/>
              </w:rPr>
              <w:t>26</w:t>
            </w:r>
            <w:r w:rsidRPr="00F93301">
              <w:rPr>
                <w:noProof/>
                <w:webHidden/>
                <w:sz w:val="24"/>
                <w:szCs w:val="24"/>
              </w:rPr>
              <w:fldChar w:fldCharType="end"/>
            </w:r>
          </w:hyperlink>
        </w:p>
        <w:p w14:paraId="7F9C32BD" w14:textId="26C809B2" w:rsidR="00DA145E" w:rsidRPr="00F93301" w:rsidRDefault="00DA145E" w:rsidP="00F93301">
          <w:pPr>
            <w:pStyle w:val="TOC1"/>
            <w:tabs>
              <w:tab w:val="right" w:pos="9350"/>
            </w:tabs>
            <w:spacing w:before="240" w:line="360" w:lineRule="auto"/>
            <w:rPr>
              <w:noProof/>
              <w:sz w:val="24"/>
              <w:szCs w:val="24"/>
            </w:rPr>
          </w:pPr>
          <w:hyperlink w:anchor="_Toc216975103" w:history="1">
            <w:r w:rsidRPr="00F93301">
              <w:rPr>
                <w:rStyle w:val="Hyperlink"/>
                <w:noProof/>
                <w:color w:val="auto"/>
                <w:sz w:val="24"/>
                <w:szCs w:val="24"/>
                <w:lang w:val="en-GB"/>
              </w:rPr>
              <w:t>References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_Toc216975103 \h </w:instrText>
            </w:r>
            <w:r w:rsidRPr="00F93301">
              <w:rPr>
                <w:noProof/>
                <w:webHidden/>
                <w:sz w:val="24"/>
                <w:szCs w:val="24"/>
              </w:rPr>
            </w:r>
            <w:r w:rsidRPr="00F93301">
              <w:rPr>
                <w:noProof/>
                <w:webHidden/>
                <w:sz w:val="24"/>
                <w:szCs w:val="24"/>
              </w:rPr>
              <w:fldChar w:fldCharType="separate"/>
            </w:r>
            <w:r w:rsidRPr="00F93301">
              <w:rPr>
                <w:noProof/>
                <w:webHidden/>
                <w:sz w:val="24"/>
                <w:szCs w:val="24"/>
              </w:rPr>
              <w:t>27</w:t>
            </w:r>
            <w:r w:rsidRPr="00F93301">
              <w:rPr>
                <w:noProof/>
                <w:webHidden/>
                <w:sz w:val="24"/>
                <w:szCs w:val="24"/>
              </w:rPr>
              <w:fldChar w:fldCharType="end"/>
            </w:r>
          </w:hyperlink>
        </w:p>
        <w:p w14:paraId="26538029" w14:textId="2A14BF16" w:rsidR="00DA145E" w:rsidRPr="00F93301" w:rsidRDefault="00DA145E" w:rsidP="00F93301">
          <w:pPr>
            <w:pStyle w:val="TOC1"/>
            <w:tabs>
              <w:tab w:val="right" w:pos="9350"/>
            </w:tabs>
            <w:spacing w:before="240" w:line="360" w:lineRule="auto"/>
            <w:rPr>
              <w:noProof/>
              <w:sz w:val="24"/>
              <w:szCs w:val="24"/>
            </w:rPr>
          </w:pPr>
          <w:hyperlink w:anchor="_Toc216975104" w:history="1">
            <w:r w:rsidRPr="00F93301">
              <w:rPr>
                <w:rStyle w:val="Hyperlink"/>
                <w:noProof/>
                <w:color w:val="auto"/>
                <w:sz w:val="24"/>
                <w:szCs w:val="24"/>
                <w:lang w:val="en-GB"/>
              </w:rPr>
              <w:t>Appendices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_Toc216975104 \h </w:instrText>
            </w:r>
            <w:r w:rsidRPr="00F93301">
              <w:rPr>
                <w:noProof/>
                <w:webHidden/>
                <w:sz w:val="24"/>
                <w:szCs w:val="24"/>
              </w:rPr>
            </w:r>
            <w:r w:rsidRPr="00F93301">
              <w:rPr>
                <w:noProof/>
                <w:webHidden/>
                <w:sz w:val="24"/>
                <w:szCs w:val="24"/>
              </w:rPr>
              <w:fldChar w:fldCharType="separate"/>
            </w:r>
            <w:r w:rsidRPr="00F93301">
              <w:rPr>
                <w:noProof/>
                <w:webHidden/>
                <w:sz w:val="24"/>
                <w:szCs w:val="24"/>
              </w:rPr>
              <w:t>32</w:t>
            </w:r>
            <w:r w:rsidRPr="00F93301">
              <w:rPr>
                <w:noProof/>
                <w:webHidden/>
                <w:sz w:val="24"/>
                <w:szCs w:val="24"/>
              </w:rPr>
              <w:fldChar w:fldCharType="end"/>
            </w:r>
          </w:hyperlink>
        </w:p>
        <w:p w14:paraId="6C687657" w14:textId="30A192E4" w:rsidR="00DA145E" w:rsidRPr="00F93301" w:rsidRDefault="00DA145E" w:rsidP="00F93301">
          <w:pPr>
            <w:pStyle w:val="TOC2"/>
            <w:tabs>
              <w:tab w:val="right" w:pos="9350"/>
            </w:tabs>
            <w:spacing w:before="240" w:line="360" w:lineRule="auto"/>
            <w:rPr>
              <w:noProof/>
              <w:sz w:val="24"/>
              <w:szCs w:val="24"/>
            </w:rPr>
          </w:pPr>
          <w:hyperlink w:anchor="_Toc216975105" w:history="1">
            <w:r w:rsidRPr="00F93301">
              <w:rPr>
                <w:rStyle w:val="Hyperlink"/>
                <w:noProof/>
                <w:color w:val="auto"/>
                <w:sz w:val="24"/>
                <w:szCs w:val="24"/>
                <w:lang w:val="en-GB"/>
              </w:rPr>
              <w:t>Appendix 1: Ratios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_Toc216975105 \h </w:instrText>
            </w:r>
            <w:r w:rsidRPr="00F93301">
              <w:rPr>
                <w:noProof/>
                <w:webHidden/>
                <w:sz w:val="24"/>
                <w:szCs w:val="24"/>
              </w:rPr>
            </w:r>
            <w:r w:rsidRPr="00F93301">
              <w:rPr>
                <w:noProof/>
                <w:webHidden/>
                <w:sz w:val="24"/>
                <w:szCs w:val="24"/>
              </w:rPr>
              <w:fldChar w:fldCharType="separate"/>
            </w:r>
            <w:r w:rsidRPr="00F93301">
              <w:rPr>
                <w:noProof/>
                <w:webHidden/>
                <w:sz w:val="24"/>
                <w:szCs w:val="24"/>
              </w:rPr>
              <w:t>32</w:t>
            </w:r>
            <w:r w:rsidRPr="00F93301">
              <w:rPr>
                <w:noProof/>
                <w:webHidden/>
                <w:sz w:val="24"/>
                <w:szCs w:val="24"/>
              </w:rPr>
              <w:fldChar w:fldCharType="end"/>
            </w:r>
          </w:hyperlink>
        </w:p>
        <w:p w14:paraId="7E90D273" w14:textId="5881A9EF" w:rsidR="00DA145E" w:rsidRPr="00F93301" w:rsidRDefault="00DA145E" w:rsidP="00F93301">
          <w:pPr>
            <w:pStyle w:val="TOC2"/>
            <w:tabs>
              <w:tab w:val="right" w:pos="9350"/>
            </w:tabs>
            <w:spacing w:before="240" w:line="360" w:lineRule="auto"/>
            <w:rPr>
              <w:noProof/>
              <w:sz w:val="24"/>
              <w:szCs w:val="24"/>
            </w:rPr>
          </w:pPr>
          <w:hyperlink w:anchor="_Toc216975106" w:history="1">
            <w:r w:rsidRPr="00F93301">
              <w:rPr>
                <w:rStyle w:val="Hyperlink"/>
                <w:noProof/>
                <w:color w:val="auto"/>
                <w:sz w:val="24"/>
                <w:szCs w:val="24"/>
                <w:lang w:val="en-GB"/>
              </w:rPr>
              <w:t>Appendix 2: Altman Z-Score</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_Toc216975106 \h </w:instrText>
            </w:r>
            <w:r w:rsidRPr="00F93301">
              <w:rPr>
                <w:noProof/>
                <w:webHidden/>
                <w:sz w:val="24"/>
                <w:szCs w:val="24"/>
              </w:rPr>
            </w:r>
            <w:r w:rsidRPr="00F93301">
              <w:rPr>
                <w:noProof/>
                <w:webHidden/>
                <w:sz w:val="24"/>
                <w:szCs w:val="24"/>
              </w:rPr>
              <w:fldChar w:fldCharType="separate"/>
            </w:r>
            <w:r w:rsidRPr="00F93301">
              <w:rPr>
                <w:noProof/>
                <w:webHidden/>
                <w:sz w:val="24"/>
                <w:szCs w:val="24"/>
              </w:rPr>
              <w:t>33</w:t>
            </w:r>
            <w:r w:rsidRPr="00F93301">
              <w:rPr>
                <w:noProof/>
                <w:webHidden/>
                <w:sz w:val="24"/>
                <w:szCs w:val="24"/>
              </w:rPr>
              <w:fldChar w:fldCharType="end"/>
            </w:r>
          </w:hyperlink>
        </w:p>
        <w:p w14:paraId="14E686E2" w14:textId="05A2676A" w:rsidR="00DA145E" w:rsidRPr="00F93301" w:rsidRDefault="00DA145E" w:rsidP="00F93301">
          <w:pPr>
            <w:pStyle w:val="TOC2"/>
            <w:tabs>
              <w:tab w:val="right" w:pos="9350"/>
            </w:tabs>
            <w:spacing w:before="240" w:line="360" w:lineRule="auto"/>
            <w:rPr>
              <w:noProof/>
              <w:sz w:val="24"/>
              <w:szCs w:val="24"/>
            </w:rPr>
          </w:pPr>
          <w:hyperlink w:anchor="_Toc216975107" w:history="1">
            <w:r w:rsidRPr="00F93301">
              <w:rPr>
                <w:rStyle w:val="Hyperlink"/>
                <w:noProof/>
                <w:color w:val="auto"/>
                <w:sz w:val="24"/>
                <w:szCs w:val="24"/>
                <w:lang w:val="en-GB"/>
              </w:rPr>
              <w:t>Appendix 3: CCC</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_Toc216975107 \h </w:instrText>
            </w:r>
            <w:r w:rsidRPr="00F93301">
              <w:rPr>
                <w:noProof/>
                <w:webHidden/>
                <w:sz w:val="24"/>
                <w:szCs w:val="24"/>
              </w:rPr>
            </w:r>
            <w:r w:rsidRPr="00F93301">
              <w:rPr>
                <w:noProof/>
                <w:webHidden/>
                <w:sz w:val="24"/>
                <w:szCs w:val="24"/>
              </w:rPr>
              <w:fldChar w:fldCharType="separate"/>
            </w:r>
            <w:r w:rsidRPr="00F93301">
              <w:rPr>
                <w:noProof/>
                <w:webHidden/>
                <w:sz w:val="24"/>
                <w:szCs w:val="24"/>
              </w:rPr>
              <w:t>34</w:t>
            </w:r>
            <w:r w:rsidRPr="00F93301">
              <w:rPr>
                <w:noProof/>
                <w:webHidden/>
                <w:sz w:val="24"/>
                <w:szCs w:val="24"/>
              </w:rPr>
              <w:fldChar w:fldCharType="end"/>
            </w:r>
          </w:hyperlink>
        </w:p>
        <w:p w14:paraId="6AD13E60" w14:textId="5D7D2982" w:rsidR="00DA145E" w:rsidRPr="00F93301" w:rsidRDefault="00DA145E" w:rsidP="00F93301">
          <w:pPr>
            <w:pStyle w:val="TOC2"/>
            <w:tabs>
              <w:tab w:val="right" w:pos="9350"/>
            </w:tabs>
            <w:spacing w:before="240" w:line="360" w:lineRule="auto"/>
            <w:rPr>
              <w:noProof/>
              <w:sz w:val="24"/>
              <w:szCs w:val="24"/>
            </w:rPr>
          </w:pPr>
          <w:hyperlink w:anchor="_Toc216975108" w:history="1">
            <w:r w:rsidRPr="00F93301">
              <w:rPr>
                <w:rStyle w:val="Hyperlink"/>
                <w:noProof/>
                <w:color w:val="auto"/>
                <w:sz w:val="24"/>
                <w:szCs w:val="24"/>
                <w:lang w:val="en-GB"/>
              </w:rPr>
              <w:t>Appendix 4: Investment Appraisal Techniques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_Toc216975108 \h </w:instrText>
            </w:r>
            <w:r w:rsidRPr="00F93301">
              <w:rPr>
                <w:noProof/>
                <w:webHidden/>
                <w:sz w:val="24"/>
                <w:szCs w:val="24"/>
              </w:rPr>
            </w:r>
            <w:r w:rsidRPr="00F93301">
              <w:rPr>
                <w:noProof/>
                <w:webHidden/>
                <w:sz w:val="24"/>
                <w:szCs w:val="24"/>
              </w:rPr>
              <w:fldChar w:fldCharType="separate"/>
            </w:r>
            <w:r w:rsidRPr="00F93301">
              <w:rPr>
                <w:noProof/>
                <w:webHidden/>
                <w:sz w:val="24"/>
                <w:szCs w:val="24"/>
              </w:rPr>
              <w:t>35</w:t>
            </w:r>
            <w:r w:rsidRPr="00F93301">
              <w:rPr>
                <w:noProof/>
                <w:webHidden/>
                <w:sz w:val="24"/>
                <w:szCs w:val="24"/>
              </w:rPr>
              <w:fldChar w:fldCharType="end"/>
            </w:r>
          </w:hyperlink>
        </w:p>
        <w:p w14:paraId="4D9FDA52" w14:textId="7852E481" w:rsidR="00150B23" w:rsidRPr="00F93301" w:rsidRDefault="00A17F42" w:rsidP="00F93301">
          <w:pPr>
            <w:widowControl w:val="0"/>
            <w:tabs>
              <w:tab w:val="right" w:pos="9360"/>
            </w:tabs>
            <w:spacing w:before="240" w:after="200" w:line="360" w:lineRule="auto"/>
            <w:jc w:val="both"/>
            <w:rPr>
              <w:sz w:val="24"/>
              <w:szCs w:val="24"/>
              <w:lang w:val="en-GB"/>
            </w:rPr>
          </w:pPr>
          <w:r w:rsidRPr="00F93301">
            <w:rPr>
              <w:sz w:val="24"/>
              <w:szCs w:val="24"/>
              <w:lang w:val="en-GB"/>
            </w:rPr>
            <w:fldChar w:fldCharType="end"/>
          </w:r>
        </w:p>
      </w:sdtContent>
    </w:sdt>
    <w:p w14:paraId="4D9FDA53" w14:textId="77777777" w:rsidR="00150B23" w:rsidRPr="00F93301" w:rsidRDefault="00A17F42">
      <w:pPr>
        <w:spacing w:before="200" w:after="200" w:line="360" w:lineRule="auto"/>
        <w:jc w:val="center"/>
        <w:rPr>
          <w:b/>
          <w:bCs/>
          <w:sz w:val="24"/>
          <w:szCs w:val="24"/>
          <w:highlight w:val="white"/>
          <w:lang w:val="en-GB"/>
        </w:rPr>
      </w:pPr>
      <w:r w:rsidRPr="00F93301">
        <w:rPr>
          <w:lang w:val="en-GB"/>
        </w:rPr>
        <w:br w:type="page"/>
      </w:r>
    </w:p>
    <w:p w14:paraId="2FCEE894" w14:textId="77777777" w:rsidR="001F1F15" w:rsidRPr="00F93301" w:rsidRDefault="00A17F42">
      <w:pPr>
        <w:spacing w:before="200" w:after="200" w:line="360" w:lineRule="auto"/>
        <w:jc w:val="center"/>
        <w:rPr>
          <w:b/>
          <w:bCs/>
          <w:sz w:val="24"/>
          <w:szCs w:val="24"/>
          <w:lang w:val="en-GB"/>
        </w:rPr>
      </w:pPr>
      <w:r w:rsidRPr="00F93301">
        <w:rPr>
          <w:b/>
          <w:bCs/>
          <w:sz w:val="24"/>
          <w:szCs w:val="24"/>
          <w:highlight w:val="white"/>
          <w:lang w:val="en-GB"/>
        </w:rPr>
        <w:lastRenderedPageBreak/>
        <w:t>List of Figures</w:t>
      </w:r>
    </w:p>
    <w:p w14:paraId="0FC20E50" w14:textId="38865A76" w:rsidR="001F1F15" w:rsidRPr="00F93301" w:rsidRDefault="001F1F15" w:rsidP="001F1F15">
      <w:pPr>
        <w:pStyle w:val="TableofFigures"/>
        <w:tabs>
          <w:tab w:val="right" w:leader="dot" w:pos="9350"/>
        </w:tabs>
        <w:spacing w:before="240" w:after="240" w:line="360" w:lineRule="auto"/>
        <w:jc w:val="both"/>
        <w:rPr>
          <w:noProof/>
          <w:sz w:val="24"/>
          <w:szCs w:val="24"/>
        </w:rPr>
      </w:pPr>
      <w:r w:rsidRPr="00F93301">
        <w:rPr>
          <w:b/>
          <w:bCs/>
          <w:sz w:val="24"/>
          <w:szCs w:val="24"/>
          <w:highlight w:val="white"/>
          <w:lang w:val="en-GB"/>
        </w:rPr>
        <w:fldChar w:fldCharType="begin"/>
      </w:r>
      <w:r w:rsidRPr="00F93301">
        <w:rPr>
          <w:b/>
          <w:bCs/>
          <w:sz w:val="24"/>
          <w:szCs w:val="24"/>
          <w:highlight w:val="white"/>
          <w:lang w:val="en-GB"/>
        </w:rPr>
        <w:instrText xml:space="preserve"> TOC \h \z \t "Heading 4" \c </w:instrText>
      </w:r>
      <w:r w:rsidRPr="00F93301">
        <w:rPr>
          <w:b/>
          <w:bCs/>
          <w:sz w:val="24"/>
          <w:szCs w:val="24"/>
          <w:highlight w:val="white"/>
          <w:lang w:val="en-GB"/>
        </w:rPr>
        <w:fldChar w:fldCharType="separate"/>
      </w:r>
      <w:hyperlink w:anchor="_Toc216974940" w:history="1">
        <w:r w:rsidRPr="00F93301">
          <w:rPr>
            <w:rStyle w:val="Hyperlink"/>
            <w:noProof/>
            <w:color w:val="auto"/>
            <w:sz w:val="24"/>
            <w:szCs w:val="24"/>
            <w:highlight w:val="white"/>
          </w:rPr>
          <w:t>Figure 1: GE’s Income Statement</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_Toc216974940 \h </w:instrText>
        </w:r>
        <w:r w:rsidRPr="00F93301">
          <w:rPr>
            <w:noProof/>
            <w:webHidden/>
            <w:sz w:val="24"/>
            <w:szCs w:val="24"/>
          </w:rPr>
        </w:r>
        <w:r w:rsidRPr="00F93301">
          <w:rPr>
            <w:noProof/>
            <w:webHidden/>
            <w:sz w:val="24"/>
            <w:szCs w:val="24"/>
          </w:rPr>
          <w:fldChar w:fldCharType="separate"/>
        </w:r>
        <w:r w:rsidRPr="00F93301">
          <w:rPr>
            <w:noProof/>
            <w:webHidden/>
            <w:sz w:val="24"/>
            <w:szCs w:val="24"/>
          </w:rPr>
          <w:t>6</w:t>
        </w:r>
        <w:r w:rsidRPr="00F93301">
          <w:rPr>
            <w:noProof/>
            <w:webHidden/>
            <w:sz w:val="24"/>
            <w:szCs w:val="24"/>
          </w:rPr>
          <w:fldChar w:fldCharType="end"/>
        </w:r>
      </w:hyperlink>
    </w:p>
    <w:p w14:paraId="22ABBFA6" w14:textId="32952380"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1" w:history="1">
        <w:r w:rsidRPr="00F93301">
          <w:rPr>
            <w:rStyle w:val="Hyperlink"/>
            <w:noProof/>
            <w:color w:val="auto"/>
            <w:sz w:val="24"/>
            <w:szCs w:val="24"/>
            <w:highlight w:val="white"/>
          </w:rPr>
          <w:t>Figure 2: GE’s Balance Sheet</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_Toc216974941 \h </w:instrText>
        </w:r>
        <w:r w:rsidRPr="00F93301">
          <w:rPr>
            <w:noProof/>
            <w:webHidden/>
            <w:sz w:val="24"/>
            <w:szCs w:val="24"/>
          </w:rPr>
        </w:r>
        <w:r w:rsidRPr="00F93301">
          <w:rPr>
            <w:noProof/>
            <w:webHidden/>
            <w:sz w:val="24"/>
            <w:szCs w:val="24"/>
          </w:rPr>
          <w:fldChar w:fldCharType="separate"/>
        </w:r>
        <w:r w:rsidRPr="00F93301">
          <w:rPr>
            <w:noProof/>
            <w:webHidden/>
            <w:sz w:val="24"/>
            <w:szCs w:val="24"/>
          </w:rPr>
          <w:t>7</w:t>
        </w:r>
        <w:r w:rsidRPr="00F93301">
          <w:rPr>
            <w:noProof/>
            <w:webHidden/>
            <w:sz w:val="24"/>
            <w:szCs w:val="24"/>
          </w:rPr>
          <w:fldChar w:fldCharType="end"/>
        </w:r>
      </w:hyperlink>
    </w:p>
    <w:p w14:paraId="31E3F9B4" w14:textId="23BA16DA"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2" w:history="1">
        <w:r w:rsidRPr="00F93301">
          <w:rPr>
            <w:rStyle w:val="Hyperlink"/>
            <w:noProof/>
            <w:color w:val="auto"/>
            <w:sz w:val="24"/>
            <w:szCs w:val="24"/>
            <w:highlight w:val="white"/>
          </w:rPr>
          <w:t>Figure 3: GE’s Cash Flow Statement</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_Toc216974942 \h </w:instrText>
        </w:r>
        <w:r w:rsidRPr="00F93301">
          <w:rPr>
            <w:noProof/>
            <w:webHidden/>
            <w:sz w:val="24"/>
            <w:szCs w:val="24"/>
          </w:rPr>
        </w:r>
        <w:r w:rsidRPr="00F93301">
          <w:rPr>
            <w:noProof/>
            <w:webHidden/>
            <w:sz w:val="24"/>
            <w:szCs w:val="24"/>
          </w:rPr>
          <w:fldChar w:fldCharType="separate"/>
        </w:r>
        <w:r w:rsidRPr="00F93301">
          <w:rPr>
            <w:noProof/>
            <w:webHidden/>
            <w:sz w:val="24"/>
            <w:szCs w:val="24"/>
          </w:rPr>
          <w:t>8</w:t>
        </w:r>
        <w:r w:rsidRPr="00F93301">
          <w:rPr>
            <w:noProof/>
            <w:webHidden/>
            <w:sz w:val="24"/>
            <w:szCs w:val="24"/>
          </w:rPr>
          <w:fldChar w:fldCharType="end"/>
        </w:r>
      </w:hyperlink>
    </w:p>
    <w:p w14:paraId="11EF434A" w14:textId="123969C7"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3" w:history="1">
        <w:r w:rsidRPr="00F93301">
          <w:rPr>
            <w:rStyle w:val="Hyperlink"/>
            <w:noProof/>
            <w:color w:val="auto"/>
            <w:sz w:val="24"/>
            <w:szCs w:val="24"/>
            <w:highlight w:val="white"/>
          </w:rPr>
          <w:t>Figure 4: Profitability Ratios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_Toc216974943 \h </w:instrText>
        </w:r>
        <w:r w:rsidRPr="00F93301">
          <w:rPr>
            <w:noProof/>
            <w:webHidden/>
            <w:sz w:val="24"/>
            <w:szCs w:val="24"/>
          </w:rPr>
        </w:r>
        <w:r w:rsidRPr="00F93301">
          <w:rPr>
            <w:noProof/>
            <w:webHidden/>
            <w:sz w:val="24"/>
            <w:szCs w:val="24"/>
          </w:rPr>
          <w:fldChar w:fldCharType="separate"/>
        </w:r>
        <w:r w:rsidRPr="00F93301">
          <w:rPr>
            <w:noProof/>
            <w:webHidden/>
            <w:sz w:val="24"/>
            <w:szCs w:val="24"/>
          </w:rPr>
          <w:t>9</w:t>
        </w:r>
        <w:r w:rsidRPr="00F93301">
          <w:rPr>
            <w:noProof/>
            <w:webHidden/>
            <w:sz w:val="24"/>
            <w:szCs w:val="24"/>
          </w:rPr>
          <w:fldChar w:fldCharType="end"/>
        </w:r>
      </w:hyperlink>
    </w:p>
    <w:p w14:paraId="22F519A5" w14:textId="52605453"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4" w:history="1">
        <w:r w:rsidRPr="00F93301">
          <w:rPr>
            <w:rStyle w:val="Hyperlink"/>
            <w:noProof/>
            <w:color w:val="auto"/>
            <w:sz w:val="24"/>
            <w:szCs w:val="24"/>
            <w:highlight w:val="white"/>
          </w:rPr>
          <w:t>Figure 5: Liquidity Ratios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_Toc216974944 \h </w:instrText>
        </w:r>
        <w:r w:rsidRPr="00F93301">
          <w:rPr>
            <w:noProof/>
            <w:webHidden/>
            <w:sz w:val="24"/>
            <w:szCs w:val="24"/>
          </w:rPr>
        </w:r>
        <w:r w:rsidRPr="00F93301">
          <w:rPr>
            <w:noProof/>
            <w:webHidden/>
            <w:sz w:val="24"/>
            <w:szCs w:val="24"/>
          </w:rPr>
          <w:fldChar w:fldCharType="separate"/>
        </w:r>
        <w:r w:rsidRPr="00F93301">
          <w:rPr>
            <w:noProof/>
            <w:webHidden/>
            <w:sz w:val="24"/>
            <w:szCs w:val="24"/>
          </w:rPr>
          <w:t>9</w:t>
        </w:r>
        <w:r w:rsidRPr="00F93301">
          <w:rPr>
            <w:noProof/>
            <w:webHidden/>
            <w:sz w:val="24"/>
            <w:szCs w:val="24"/>
          </w:rPr>
          <w:fldChar w:fldCharType="end"/>
        </w:r>
      </w:hyperlink>
    </w:p>
    <w:p w14:paraId="2FE5856A" w14:textId="2B546128"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5" w:history="1">
        <w:r w:rsidRPr="00F93301">
          <w:rPr>
            <w:rStyle w:val="Hyperlink"/>
            <w:noProof/>
            <w:color w:val="auto"/>
            <w:sz w:val="24"/>
            <w:szCs w:val="24"/>
            <w:highlight w:val="white"/>
          </w:rPr>
          <w:t>Figure 6: Efficiency Ratios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_Toc216974945 \h </w:instrText>
        </w:r>
        <w:r w:rsidRPr="00F93301">
          <w:rPr>
            <w:noProof/>
            <w:webHidden/>
            <w:sz w:val="24"/>
            <w:szCs w:val="24"/>
          </w:rPr>
        </w:r>
        <w:r w:rsidRPr="00F93301">
          <w:rPr>
            <w:noProof/>
            <w:webHidden/>
            <w:sz w:val="24"/>
            <w:szCs w:val="24"/>
          </w:rPr>
          <w:fldChar w:fldCharType="separate"/>
        </w:r>
        <w:r w:rsidRPr="00F93301">
          <w:rPr>
            <w:noProof/>
            <w:webHidden/>
            <w:sz w:val="24"/>
            <w:szCs w:val="24"/>
          </w:rPr>
          <w:t>10</w:t>
        </w:r>
        <w:r w:rsidRPr="00F93301">
          <w:rPr>
            <w:noProof/>
            <w:webHidden/>
            <w:sz w:val="24"/>
            <w:szCs w:val="24"/>
          </w:rPr>
          <w:fldChar w:fldCharType="end"/>
        </w:r>
      </w:hyperlink>
    </w:p>
    <w:p w14:paraId="133C0F5F" w14:textId="67F5A7D4"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6" w:history="1">
        <w:r w:rsidRPr="00F93301">
          <w:rPr>
            <w:rStyle w:val="Hyperlink"/>
            <w:noProof/>
            <w:color w:val="auto"/>
            <w:sz w:val="24"/>
            <w:szCs w:val="24"/>
            <w:highlight w:val="white"/>
          </w:rPr>
          <w:t>Figure 7: Gearing Ratios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_Toc216974946 \h </w:instrText>
        </w:r>
        <w:r w:rsidRPr="00F93301">
          <w:rPr>
            <w:noProof/>
            <w:webHidden/>
            <w:sz w:val="24"/>
            <w:szCs w:val="24"/>
          </w:rPr>
        </w:r>
        <w:r w:rsidRPr="00F93301">
          <w:rPr>
            <w:noProof/>
            <w:webHidden/>
            <w:sz w:val="24"/>
            <w:szCs w:val="24"/>
          </w:rPr>
          <w:fldChar w:fldCharType="separate"/>
        </w:r>
        <w:r w:rsidRPr="00F93301">
          <w:rPr>
            <w:noProof/>
            <w:webHidden/>
            <w:sz w:val="24"/>
            <w:szCs w:val="24"/>
          </w:rPr>
          <w:t>11</w:t>
        </w:r>
        <w:r w:rsidRPr="00F93301">
          <w:rPr>
            <w:noProof/>
            <w:webHidden/>
            <w:sz w:val="24"/>
            <w:szCs w:val="24"/>
          </w:rPr>
          <w:fldChar w:fldCharType="end"/>
        </w:r>
      </w:hyperlink>
    </w:p>
    <w:p w14:paraId="02267D84" w14:textId="2F3BA5A5"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7" w:history="1">
        <w:r w:rsidRPr="00F93301">
          <w:rPr>
            <w:rStyle w:val="Hyperlink"/>
            <w:noProof/>
            <w:color w:val="auto"/>
            <w:sz w:val="24"/>
            <w:szCs w:val="24"/>
            <w:highlight w:val="white"/>
          </w:rPr>
          <w:t>Figure 8: Investment Ratios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_Toc216974947 \h </w:instrText>
        </w:r>
        <w:r w:rsidRPr="00F93301">
          <w:rPr>
            <w:noProof/>
            <w:webHidden/>
            <w:sz w:val="24"/>
            <w:szCs w:val="24"/>
          </w:rPr>
        </w:r>
        <w:r w:rsidRPr="00F93301">
          <w:rPr>
            <w:noProof/>
            <w:webHidden/>
            <w:sz w:val="24"/>
            <w:szCs w:val="24"/>
          </w:rPr>
          <w:fldChar w:fldCharType="separate"/>
        </w:r>
        <w:r w:rsidRPr="00F93301">
          <w:rPr>
            <w:noProof/>
            <w:webHidden/>
            <w:sz w:val="24"/>
            <w:szCs w:val="24"/>
          </w:rPr>
          <w:t>12</w:t>
        </w:r>
        <w:r w:rsidRPr="00F93301">
          <w:rPr>
            <w:noProof/>
            <w:webHidden/>
            <w:sz w:val="24"/>
            <w:szCs w:val="24"/>
          </w:rPr>
          <w:fldChar w:fldCharType="end"/>
        </w:r>
      </w:hyperlink>
    </w:p>
    <w:p w14:paraId="19A9E7CE" w14:textId="445D08EF"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8" w:history="1">
        <w:r w:rsidRPr="00F93301">
          <w:rPr>
            <w:rStyle w:val="Hyperlink"/>
            <w:noProof/>
            <w:color w:val="auto"/>
            <w:sz w:val="24"/>
            <w:szCs w:val="24"/>
            <w:highlight w:val="white"/>
          </w:rPr>
          <w:t>Figure 9: Cash Flows Ratios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_Toc216974948 \h </w:instrText>
        </w:r>
        <w:r w:rsidRPr="00F93301">
          <w:rPr>
            <w:noProof/>
            <w:webHidden/>
            <w:sz w:val="24"/>
            <w:szCs w:val="24"/>
          </w:rPr>
        </w:r>
        <w:r w:rsidRPr="00F93301">
          <w:rPr>
            <w:noProof/>
            <w:webHidden/>
            <w:sz w:val="24"/>
            <w:szCs w:val="24"/>
          </w:rPr>
          <w:fldChar w:fldCharType="separate"/>
        </w:r>
        <w:r w:rsidRPr="00F93301">
          <w:rPr>
            <w:noProof/>
            <w:webHidden/>
            <w:sz w:val="24"/>
            <w:szCs w:val="24"/>
          </w:rPr>
          <w:t>12</w:t>
        </w:r>
        <w:r w:rsidRPr="00F93301">
          <w:rPr>
            <w:noProof/>
            <w:webHidden/>
            <w:sz w:val="24"/>
            <w:szCs w:val="24"/>
          </w:rPr>
          <w:fldChar w:fldCharType="end"/>
        </w:r>
      </w:hyperlink>
    </w:p>
    <w:p w14:paraId="262E7BD1" w14:textId="07D862E2"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49" w:history="1">
        <w:r w:rsidRPr="00F93301">
          <w:rPr>
            <w:rStyle w:val="Hyperlink"/>
            <w:noProof/>
            <w:color w:val="auto"/>
            <w:sz w:val="24"/>
            <w:szCs w:val="24"/>
            <w:highlight w:val="white"/>
          </w:rPr>
          <w:t>Figure 10: Altman Z-Score for Default Risk</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_Toc216974949 \h </w:instrText>
        </w:r>
        <w:r w:rsidRPr="00F93301">
          <w:rPr>
            <w:noProof/>
            <w:webHidden/>
            <w:sz w:val="24"/>
            <w:szCs w:val="24"/>
          </w:rPr>
        </w:r>
        <w:r w:rsidRPr="00F93301">
          <w:rPr>
            <w:noProof/>
            <w:webHidden/>
            <w:sz w:val="24"/>
            <w:szCs w:val="24"/>
          </w:rPr>
          <w:fldChar w:fldCharType="separate"/>
        </w:r>
        <w:r w:rsidRPr="00F93301">
          <w:rPr>
            <w:noProof/>
            <w:webHidden/>
            <w:sz w:val="24"/>
            <w:szCs w:val="24"/>
          </w:rPr>
          <w:t>14</w:t>
        </w:r>
        <w:r w:rsidRPr="00F93301">
          <w:rPr>
            <w:noProof/>
            <w:webHidden/>
            <w:sz w:val="24"/>
            <w:szCs w:val="24"/>
          </w:rPr>
          <w:fldChar w:fldCharType="end"/>
        </w:r>
      </w:hyperlink>
    </w:p>
    <w:p w14:paraId="6050D152" w14:textId="6CBE53D5" w:rsidR="001F1F15" w:rsidRPr="00F93301" w:rsidRDefault="001F1F15" w:rsidP="001F1F15">
      <w:pPr>
        <w:pStyle w:val="TableofFigures"/>
        <w:tabs>
          <w:tab w:val="right" w:leader="dot" w:pos="9350"/>
        </w:tabs>
        <w:spacing w:before="240" w:after="240" w:line="360" w:lineRule="auto"/>
        <w:jc w:val="both"/>
        <w:rPr>
          <w:noProof/>
          <w:sz w:val="24"/>
          <w:szCs w:val="24"/>
        </w:rPr>
      </w:pPr>
      <w:hyperlink w:anchor="_Toc216974950" w:history="1">
        <w:r w:rsidRPr="00F93301">
          <w:rPr>
            <w:rStyle w:val="Hyperlink"/>
            <w:noProof/>
            <w:color w:val="auto"/>
            <w:sz w:val="24"/>
            <w:szCs w:val="24"/>
            <w:highlight w:val="white"/>
          </w:rPr>
          <w:t>Figure 11: Cash Operating Cycle</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_Toc216974950 \h </w:instrText>
        </w:r>
        <w:r w:rsidRPr="00F93301">
          <w:rPr>
            <w:noProof/>
            <w:webHidden/>
            <w:sz w:val="24"/>
            <w:szCs w:val="24"/>
          </w:rPr>
        </w:r>
        <w:r w:rsidRPr="00F93301">
          <w:rPr>
            <w:noProof/>
            <w:webHidden/>
            <w:sz w:val="24"/>
            <w:szCs w:val="24"/>
          </w:rPr>
          <w:fldChar w:fldCharType="separate"/>
        </w:r>
        <w:r w:rsidRPr="00F93301">
          <w:rPr>
            <w:noProof/>
            <w:webHidden/>
            <w:sz w:val="24"/>
            <w:szCs w:val="24"/>
          </w:rPr>
          <w:t>15</w:t>
        </w:r>
        <w:r w:rsidRPr="00F93301">
          <w:rPr>
            <w:noProof/>
            <w:webHidden/>
            <w:sz w:val="24"/>
            <w:szCs w:val="24"/>
          </w:rPr>
          <w:fldChar w:fldCharType="end"/>
        </w:r>
      </w:hyperlink>
    </w:p>
    <w:p w14:paraId="4D9FDA54" w14:textId="177B332C" w:rsidR="00150B23" w:rsidRPr="00F93301" w:rsidRDefault="001F1F15">
      <w:pPr>
        <w:spacing w:before="200" w:after="200" w:line="360" w:lineRule="auto"/>
        <w:jc w:val="center"/>
        <w:rPr>
          <w:b/>
          <w:bCs/>
          <w:sz w:val="24"/>
          <w:szCs w:val="24"/>
          <w:highlight w:val="white"/>
          <w:lang w:val="en-GB"/>
        </w:rPr>
      </w:pPr>
      <w:r w:rsidRPr="00F93301">
        <w:rPr>
          <w:b/>
          <w:bCs/>
          <w:sz w:val="24"/>
          <w:szCs w:val="24"/>
          <w:highlight w:val="white"/>
          <w:lang w:val="en-GB"/>
        </w:rPr>
        <w:fldChar w:fldCharType="end"/>
      </w:r>
      <w:r w:rsidR="00A17F42" w:rsidRPr="00F93301">
        <w:rPr>
          <w:lang w:val="en-GB"/>
        </w:rPr>
        <w:br w:type="page"/>
      </w:r>
    </w:p>
    <w:p w14:paraId="0B420342" w14:textId="77777777" w:rsidR="001F1F15" w:rsidRPr="00F93301" w:rsidRDefault="00A17F42">
      <w:pPr>
        <w:spacing w:before="200" w:after="200" w:line="360" w:lineRule="auto"/>
        <w:jc w:val="center"/>
        <w:rPr>
          <w:b/>
          <w:bCs/>
          <w:sz w:val="24"/>
          <w:szCs w:val="24"/>
          <w:lang w:val="en-GB"/>
        </w:rPr>
      </w:pPr>
      <w:r w:rsidRPr="00F93301">
        <w:rPr>
          <w:b/>
          <w:bCs/>
          <w:sz w:val="24"/>
          <w:szCs w:val="24"/>
          <w:highlight w:val="white"/>
          <w:lang w:val="en-GB"/>
        </w:rPr>
        <w:lastRenderedPageBreak/>
        <w:t>List of Tables</w:t>
      </w:r>
    </w:p>
    <w:p w14:paraId="40D13745" w14:textId="286F470F" w:rsidR="00DA145E" w:rsidRPr="00F93301" w:rsidRDefault="00DA145E" w:rsidP="00DA145E">
      <w:pPr>
        <w:pStyle w:val="TableofFigures"/>
        <w:tabs>
          <w:tab w:val="right" w:leader="dot" w:pos="9350"/>
        </w:tabs>
        <w:spacing w:before="240" w:after="240" w:line="360" w:lineRule="auto"/>
        <w:jc w:val="both"/>
        <w:rPr>
          <w:rFonts w:asciiTheme="minorHAnsi" w:eastAsiaTheme="minorEastAsia" w:hAnsiTheme="minorHAnsi" w:cstheme="minorBidi"/>
          <w:noProof/>
          <w:kern w:val="2"/>
          <w:sz w:val="28"/>
          <w:szCs w:val="28"/>
          <w:lang w:val="en-IN"/>
          <w14:ligatures w14:val="standardContextual"/>
        </w:rPr>
      </w:pPr>
      <w:r w:rsidRPr="00F93301">
        <w:rPr>
          <w:lang w:val="en-GB"/>
        </w:rPr>
        <w:fldChar w:fldCharType="begin"/>
      </w:r>
      <w:r w:rsidRPr="00F93301">
        <w:rPr>
          <w:lang w:val="en-GB"/>
        </w:rPr>
        <w:instrText xml:space="preserve"> TOC \h \z \t "Heading 5" \c </w:instrText>
      </w:r>
      <w:r w:rsidRPr="00F93301">
        <w:rPr>
          <w:lang w:val="en-GB"/>
        </w:rPr>
        <w:fldChar w:fldCharType="separate"/>
      </w:r>
      <w:hyperlink w:anchor="_Toc216974998" w:history="1">
        <w:r w:rsidRPr="00F93301">
          <w:rPr>
            <w:rStyle w:val="Hyperlink"/>
            <w:noProof/>
            <w:color w:val="auto"/>
            <w:sz w:val="24"/>
            <w:szCs w:val="24"/>
            <w:highlight w:val="white"/>
          </w:rPr>
          <w:t>Table 1: Trends, Strengths and Threats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_Toc216974998 \h </w:instrText>
        </w:r>
        <w:r w:rsidRPr="00F93301">
          <w:rPr>
            <w:noProof/>
            <w:webHidden/>
            <w:sz w:val="24"/>
            <w:szCs w:val="24"/>
          </w:rPr>
        </w:r>
        <w:r w:rsidRPr="00F93301">
          <w:rPr>
            <w:noProof/>
            <w:webHidden/>
            <w:sz w:val="24"/>
            <w:szCs w:val="24"/>
          </w:rPr>
          <w:fldChar w:fldCharType="separate"/>
        </w:r>
        <w:r w:rsidRPr="00F93301">
          <w:rPr>
            <w:noProof/>
            <w:webHidden/>
            <w:sz w:val="24"/>
            <w:szCs w:val="24"/>
          </w:rPr>
          <w:t>13</w:t>
        </w:r>
        <w:r w:rsidRPr="00F93301">
          <w:rPr>
            <w:noProof/>
            <w:webHidden/>
            <w:sz w:val="24"/>
            <w:szCs w:val="24"/>
          </w:rPr>
          <w:fldChar w:fldCharType="end"/>
        </w:r>
      </w:hyperlink>
    </w:p>
    <w:p w14:paraId="354226A9" w14:textId="07C139DC" w:rsidR="00DA145E" w:rsidRPr="00F93301" w:rsidRDefault="00DA145E" w:rsidP="00DA145E">
      <w:pPr>
        <w:pStyle w:val="TableofFigures"/>
        <w:tabs>
          <w:tab w:val="right" w:leader="dot" w:pos="9350"/>
        </w:tabs>
        <w:spacing w:before="240" w:after="240" w:line="360" w:lineRule="auto"/>
        <w:jc w:val="both"/>
        <w:rPr>
          <w:rFonts w:asciiTheme="minorHAnsi" w:eastAsiaTheme="minorEastAsia" w:hAnsiTheme="minorHAnsi" w:cstheme="minorBidi"/>
          <w:noProof/>
          <w:kern w:val="2"/>
          <w:sz w:val="28"/>
          <w:szCs w:val="28"/>
          <w:lang w:val="en-IN"/>
          <w14:ligatures w14:val="standardContextual"/>
        </w:rPr>
      </w:pPr>
      <w:hyperlink w:anchor="_Toc216974999" w:history="1">
        <w:r w:rsidRPr="00F93301">
          <w:rPr>
            <w:rStyle w:val="Hyperlink"/>
            <w:noProof/>
            <w:color w:val="auto"/>
            <w:sz w:val="24"/>
            <w:szCs w:val="24"/>
            <w:highlight w:val="white"/>
          </w:rPr>
          <w:t>Table 2: Payback Period for the 3 projects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_Toc216974999 \h </w:instrText>
        </w:r>
        <w:r w:rsidRPr="00F93301">
          <w:rPr>
            <w:noProof/>
            <w:webHidden/>
            <w:sz w:val="24"/>
            <w:szCs w:val="24"/>
          </w:rPr>
        </w:r>
        <w:r w:rsidRPr="00F93301">
          <w:rPr>
            <w:noProof/>
            <w:webHidden/>
            <w:sz w:val="24"/>
            <w:szCs w:val="24"/>
          </w:rPr>
          <w:fldChar w:fldCharType="separate"/>
        </w:r>
        <w:r w:rsidRPr="00F93301">
          <w:rPr>
            <w:noProof/>
            <w:webHidden/>
            <w:sz w:val="24"/>
            <w:szCs w:val="24"/>
          </w:rPr>
          <w:t>21</w:t>
        </w:r>
        <w:r w:rsidRPr="00F93301">
          <w:rPr>
            <w:noProof/>
            <w:webHidden/>
            <w:sz w:val="24"/>
            <w:szCs w:val="24"/>
          </w:rPr>
          <w:fldChar w:fldCharType="end"/>
        </w:r>
      </w:hyperlink>
    </w:p>
    <w:p w14:paraId="45D1FE02" w14:textId="065600F0" w:rsidR="00DA145E" w:rsidRPr="00F93301" w:rsidRDefault="00DA145E" w:rsidP="00DA145E">
      <w:pPr>
        <w:pStyle w:val="TableofFigures"/>
        <w:tabs>
          <w:tab w:val="right" w:leader="dot" w:pos="9350"/>
        </w:tabs>
        <w:spacing w:before="240" w:after="240" w:line="360" w:lineRule="auto"/>
        <w:jc w:val="both"/>
        <w:rPr>
          <w:rFonts w:asciiTheme="minorHAnsi" w:eastAsiaTheme="minorEastAsia" w:hAnsiTheme="minorHAnsi" w:cstheme="minorBidi"/>
          <w:noProof/>
          <w:kern w:val="2"/>
          <w:sz w:val="28"/>
          <w:szCs w:val="28"/>
          <w:lang w:val="en-IN"/>
          <w14:ligatures w14:val="standardContextual"/>
        </w:rPr>
      </w:pPr>
      <w:hyperlink w:anchor="_Toc216975000" w:history="1">
        <w:r w:rsidRPr="00F93301">
          <w:rPr>
            <w:rStyle w:val="Hyperlink"/>
            <w:noProof/>
            <w:color w:val="auto"/>
            <w:sz w:val="24"/>
            <w:szCs w:val="24"/>
            <w:highlight w:val="white"/>
          </w:rPr>
          <w:t>Table 3: ARR for the 3 projects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_Toc216975000 \h </w:instrText>
        </w:r>
        <w:r w:rsidRPr="00F93301">
          <w:rPr>
            <w:noProof/>
            <w:webHidden/>
            <w:sz w:val="24"/>
            <w:szCs w:val="24"/>
          </w:rPr>
        </w:r>
        <w:r w:rsidRPr="00F93301">
          <w:rPr>
            <w:noProof/>
            <w:webHidden/>
            <w:sz w:val="24"/>
            <w:szCs w:val="24"/>
          </w:rPr>
          <w:fldChar w:fldCharType="separate"/>
        </w:r>
        <w:r w:rsidRPr="00F93301">
          <w:rPr>
            <w:noProof/>
            <w:webHidden/>
            <w:sz w:val="24"/>
            <w:szCs w:val="24"/>
          </w:rPr>
          <w:t>22</w:t>
        </w:r>
        <w:r w:rsidRPr="00F93301">
          <w:rPr>
            <w:noProof/>
            <w:webHidden/>
            <w:sz w:val="24"/>
            <w:szCs w:val="24"/>
          </w:rPr>
          <w:fldChar w:fldCharType="end"/>
        </w:r>
      </w:hyperlink>
    </w:p>
    <w:p w14:paraId="240A59B0" w14:textId="2D6AC3DC" w:rsidR="00DA145E" w:rsidRPr="00F93301" w:rsidRDefault="00DA145E" w:rsidP="00DA145E">
      <w:pPr>
        <w:pStyle w:val="TableofFigures"/>
        <w:tabs>
          <w:tab w:val="right" w:leader="dot" w:pos="9350"/>
        </w:tabs>
        <w:spacing w:before="240" w:after="240" w:line="360" w:lineRule="auto"/>
        <w:jc w:val="both"/>
        <w:rPr>
          <w:rFonts w:asciiTheme="minorHAnsi" w:eastAsiaTheme="minorEastAsia" w:hAnsiTheme="minorHAnsi" w:cstheme="minorBidi"/>
          <w:noProof/>
          <w:kern w:val="2"/>
          <w:sz w:val="28"/>
          <w:szCs w:val="28"/>
          <w:lang w:val="en-IN"/>
          <w14:ligatures w14:val="standardContextual"/>
        </w:rPr>
      </w:pPr>
      <w:hyperlink w:anchor="_Toc216975001" w:history="1">
        <w:r w:rsidRPr="00F93301">
          <w:rPr>
            <w:rStyle w:val="Hyperlink"/>
            <w:noProof/>
            <w:color w:val="auto"/>
            <w:sz w:val="24"/>
            <w:szCs w:val="24"/>
            <w:highlight w:val="white"/>
          </w:rPr>
          <w:t>Table 4: NPV for the 3 projects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_Toc216975001 \h </w:instrText>
        </w:r>
        <w:r w:rsidRPr="00F93301">
          <w:rPr>
            <w:noProof/>
            <w:webHidden/>
            <w:sz w:val="24"/>
            <w:szCs w:val="24"/>
          </w:rPr>
        </w:r>
        <w:r w:rsidRPr="00F93301">
          <w:rPr>
            <w:noProof/>
            <w:webHidden/>
            <w:sz w:val="24"/>
            <w:szCs w:val="24"/>
          </w:rPr>
          <w:fldChar w:fldCharType="separate"/>
        </w:r>
        <w:r w:rsidRPr="00F93301">
          <w:rPr>
            <w:noProof/>
            <w:webHidden/>
            <w:sz w:val="24"/>
            <w:szCs w:val="24"/>
          </w:rPr>
          <w:t>23</w:t>
        </w:r>
        <w:r w:rsidRPr="00F93301">
          <w:rPr>
            <w:noProof/>
            <w:webHidden/>
            <w:sz w:val="24"/>
            <w:szCs w:val="24"/>
          </w:rPr>
          <w:fldChar w:fldCharType="end"/>
        </w:r>
      </w:hyperlink>
    </w:p>
    <w:p w14:paraId="3C1F68F0" w14:textId="3FD88FED" w:rsidR="00DA145E" w:rsidRPr="00F93301" w:rsidRDefault="00DA145E" w:rsidP="00DA145E">
      <w:pPr>
        <w:pStyle w:val="TableofFigures"/>
        <w:tabs>
          <w:tab w:val="right" w:leader="dot" w:pos="9350"/>
        </w:tabs>
        <w:spacing w:before="240" w:after="240" w:line="360" w:lineRule="auto"/>
        <w:jc w:val="both"/>
        <w:rPr>
          <w:rFonts w:asciiTheme="minorHAnsi" w:eastAsiaTheme="minorEastAsia" w:hAnsiTheme="minorHAnsi" w:cstheme="minorBidi"/>
          <w:noProof/>
          <w:kern w:val="2"/>
          <w:sz w:val="28"/>
          <w:szCs w:val="28"/>
          <w:lang w:val="en-IN"/>
          <w14:ligatures w14:val="standardContextual"/>
        </w:rPr>
      </w:pPr>
      <w:hyperlink w:anchor="_Toc216975002" w:history="1">
        <w:r w:rsidRPr="00F93301">
          <w:rPr>
            <w:rStyle w:val="Hyperlink"/>
            <w:noProof/>
            <w:color w:val="auto"/>
            <w:sz w:val="24"/>
            <w:szCs w:val="24"/>
            <w:highlight w:val="white"/>
          </w:rPr>
          <w:t>Table 5: Profitability Index for the 3 projects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_Toc216975002 \h </w:instrText>
        </w:r>
        <w:r w:rsidRPr="00F93301">
          <w:rPr>
            <w:noProof/>
            <w:webHidden/>
            <w:sz w:val="24"/>
            <w:szCs w:val="24"/>
          </w:rPr>
        </w:r>
        <w:r w:rsidRPr="00F93301">
          <w:rPr>
            <w:noProof/>
            <w:webHidden/>
            <w:sz w:val="24"/>
            <w:szCs w:val="24"/>
          </w:rPr>
          <w:fldChar w:fldCharType="separate"/>
        </w:r>
        <w:r w:rsidRPr="00F93301">
          <w:rPr>
            <w:noProof/>
            <w:webHidden/>
            <w:sz w:val="24"/>
            <w:szCs w:val="24"/>
          </w:rPr>
          <w:t>23</w:t>
        </w:r>
        <w:r w:rsidRPr="00F93301">
          <w:rPr>
            <w:noProof/>
            <w:webHidden/>
            <w:sz w:val="24"/>
            <w:szCs w:val="24"/>
          </w:rPr>
          <w:fldChar w:fldCharType="end"/>
        </w:r>
      </w:hyperlink>
    </w:p>
    <w:p w14:paraId="1C099B47" w14:textId="5C45E334" w:rsidR="00DA145E" w:rsidRPr="00F93301" w:rsidRDefault="00DA145E" w:rsidP="00DA145E">
      <w:pPr>
        <w:pStyle w:val="TableofFigures"/>
        <w:tabs>
          <w:tab w:val="right" w:leader="dot" w:pos="9350"/>
        </w:tabs>
        <w:spacing w:before="240" w:after="240" w:line="360" w:lineRule="auto"/>
        <w:jc w:val="both"/>
        <w:rPr>
          <w:rFonts w:asciiTheme="minorHAnsi" w:eastAsiaTheme="minorEastAsia" w:hAnsiTheme="minorHAnsi" w:cstheme="minorBidi"/>
          <w:noProof/>
          <w:kern w:val="2"/>
          <w:sz w:val="28"/>
          <w:szCs w:val="28"/>
          <w:lang w:val="en-IN"/>
          <w14:ligatures w14:val="standardContextual"/>
        </w:rPr>
      </w:pPr>
      <w:hyperlink w:anchor="_Toc216975003" w:history="1">
        <w:r w:rsidRPr="00F93301">
          <w:rPr>
            <w:rStyle w:val="Hyperlink"/>
            <w:noProof/>
            <w:color w:val="auto"/>
            <w:sz w:val="24"/>
            <w:szCs w:val="24"/>
            <w:highlight w:val="white"/>
          </w:rPr>
          <w:t>Table 6: IRR for the 3 projects</w:t>
        </w:r>
        <w:r w:rsidRPr="00F93301">
          <w:rPr>
            <w:noProof/>
            <w:webHidden/>
            <w:sz w:val="24"/>
            <w:szCs w:val="24"/>
          </w:rPr>
          <w:tab/>
        </w:r>
        <w:r w:rsidRPr="00F93301">
          <w:rPr>
            <w:noProof/>
            <w:webHidden/>
            <w:sz w:val="24"/>
            <w:szCs w:val="24"/>
          </w:rPr>
          <w:fldChar w:fldCharType="begin"/>
        </w:r>
        <w:r w:rsidRPr="00F93301">
          <w:rPr>
            <w:noProof/>
            <w:webHidden/>
            <w:sz w:val="24"/>
            <w:szCs w:val="24"/>
          </w:rPr>
          <w:instrText xml:space="preserve"> PAGEREF _Toc216975003 \h </w:instrText>
        </w:r>
        <w:r w:rsidRPr="00F93301">
          <w:rPr>
            <w:noProof/>
            <w:webHidden/>
            <w:sz w:val="24"/>
            <w:szCs w:val="24"/>
          </w:rPr>
        </w:r>
        <w:r w:rsidRPr="00F93301">
          <w:rPr>
            <w:noProof/>
            <w:webHidden/>
            <w:sz w:val="24"/>
            <w:szCs w:val="24"/>
          </w:rPr>
          <w:fldChar w:fldCharType="separate"/>
        </w:r>
        <w:r w:rsidRPr="00F93301">
          <w:rPr>
            <w:noProof/>
            <w:webHidden/>
            <w:sz w:val="24"/>
            <w:szCs w:val="24"/>
          </w:rPr>
          <w:t>24</w:t>
        </w:r>
        <w:r w:rsidRPr="00F93301">
          <w:rPr>
            <w:noProof/>
            <w:webHidden/>
            <w:sz w:val="24"/>
            <w:szCs w:val="24"/>
          </w:rPr>
          <w:fldChar w:fldCharType="end"/>
        </w:r>
      </w:hyperlink>
    </w:p>
    <w:p w14:paraId="4D9FDA55" w14:textId="3796AF56" w:rsidR="00150B23" w:rsidRPr="00F93301" w:rsidRDefault="00DA145E">
      <w:pPr>
        <w:spacing w:before="200" w:after="200" w:line="360" w:lineRule="auto"/>
        <w:jc w:val="center"/>
        <w:rPr>
          <w:b/>
          <w:bCs/>
          <w:sz w:val="24"/>
          <w:szCs w:val="24"/>
          <w:highlight w:val="white"/>
          <w:lang w:val="en-GB"/>
        </w:rPr>
      </w:pPr>
      <w:r w:rsidRPr="00F93301">
        <w:rPr>
          <w:lang w:val="en-GB"/>
        </w:rPr>
        <w:fldChar w:fldCharType="end"/>
      </w:r>
      <w:r w:rsidR="00A17F42" w:rsidRPr="00F93301">
        <w:rPr>
          <w:lang w:val="en-GB"/>
        </w:rPr>
        <w:br w:type="page"/>
      </w:r>
    </w:p>
    <w:p w14:paraId="4D9FDA56" w14:textId="77777777" w:rsidR="00150B23" w:rsidRPr="00F93301" w:rsidRDefault="00A17F42">
      <w:pPr>
        <w:pStyle w:val="Heading1"/>
        <w:rPr>
          <w:lang w:val="en-GB"/>
        </w:rPr>
      </w:pPr>
      <w:bookmarkStart w:id="0" w:name="_Toc216975066"/>
      <w:r w:rsidRPr="00F93301">
        <w:rPr>
          <w:lang w:val="en-GB"/>
        </w:rPr>
        <w:lastRenderedPageBreak/>
        <w:t>1. Introduction</w:t>
      </w:r>
      <w:bookmarkEnd w:id="0"/>
    </w:p>
    <w:p w14:paraId="4D9FDA57"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Financial management is an important operation that companies need to perform to be able to manage resources for achievement of organisational goals. The report aims at performing financial evaluation, corporate restructuring, investment appraisal and working capital management. Financial health of General Electronics has been evaluated using ratio analysis. The cash operating cycle of the company has been evaluated to determine its management of working capital. A plan has been prepared for strategic financial restructuring. Calculation has been included for investment appraisal of three projects to select the most profitable option. Final recommendation has been made for investment assuming capital rationing. </w:t>
      </w:r>
    </w:p>
    <w:p w14:paraId="4D9FDA58" w14:textId="77777777" w:rsidR="00150B23" w:rsidRPr="00F93301" w:rsidRDefault="00A17F42">
      <w:pPr>
        <w:pStyle w:val="Heading1"/>
        <w:rPr>
          <w:lang w:val="en-GB"/>
        </w:rPr>
      </w:pPr>
      <w:bookmarkStart w:id="1" w:name="_Toc216975067"/>
      <w:r w:rsidRPr="00F93301">
        <w:rPr>
          <w:lang w:val="en-GB"/>
        </w:rPr>
        <w:t>2. Financial Health Check</w:t>
      </w:r>
      <w:bookmarkEnd w:id="1"/>
      <w:r w:rsidRPr="00F93301">
        <w:rPr>
          <w:lang w:val="en-GB"/>
        </w:rPr>
        <w:t xml:space="preserve"> </w:t>
      </w:r>
    </w:p>
    <w:p w14:paraId="4D9FDA59" w14:textId="77777777" w:rsidR="00150B23" w:rsidRPr="00F93301" w:rsidRDefault="00A17F42">
      <w:pPr>
        <w:pStyle w:val="Heading2"/>
        <w:rPr>
          <w:lang w:val="en-GB"/>
        </w:rPr>
      </w:pPr>
      <w:bookmarkStart w:id="2" w:name="_Toc216975068"/>
      <w:r w:rsidRPr="00F93301">
        <w:rPr>
          <w:lang w:val="en-GB"/>
        </w:rPr>
        <w:t>I. Financial Statement Analysis</w:t>
      </w:r>
      <w:bookmarkEnd w:id="2"/>
    </w:p>
    <w:p w14:paraId="4D9FDA5A"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Analysis of financial statements is an important element of effective business decision-making as it offers valuable insights into financial performance and health of an organisation (Mishra, 2025). Analysis of three financial statements have been done below:</w:t>
      </w:r>
    </w:p>
    <w:p w14:paraId="4D9FDA5B"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Income Statement</w:t>
      </w:r>
    </w:p>
    <w:p w14:paraId="4D9FDA5C" w14:textId="06390524" w:rsidR="00150B23" w:rsidRPr="00F93301" w:rsidRDefault="00021FA6">
      <w:pPr>
        <w:spacing w:before="200" w:after="200" w:line="360" w:lineRule="auto"/>
        <w:jc w:val="both"/>
        <w:rPr>
          <w:b/>
          <w:bCs/>
          <w:i/>
          <w:iCs/>
          <w:sz w:val="24"/>
          <w:szCs w:val="24"/>
          <w:highlight w:val="white"/>
          <w:lang w:val="en-GB"/>
        </w:rPr>
      </w:pPr>
      <w:r w:rsidRPr="00021FA6">
        <w:rPr>
          <w:b/>
          <w:bCs/>
          <w:i/>
          <w:iCs/>
          <w:noProof/>
          <w:sz w:val="24"/>
          <w:szCs w:val="24"/>
          <w:lang w:val="en-GB"/>
        </w:rPr>
        <w:drawing>
          <wp:inline distT="0" distB="0" distL="0" distR="0" wp14:anchorId="5486F2FE" wp14:editId="209F63AE">
            <wp:extent cx="5943600" cy="2738120"/>
            <wp:effectExtent l="0" t="0" r="0" b="5080"/>
            <wp:docPr id="94461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15527" name=""/>
                    <pic:cNvPicPr/>
                  </pic:nvPicPr>
                  <pic:blipFill>
                    <a:blip r:embed="rId9"/>
                    <a:stretch>
                      <a:fillRect/>
                    </a:stretch>
                  </pic:blipFill>
                  <pic:spPr>
                    <a:xfrm>
                      <a:off x="0" y="0"/>
                      <a:ext cx="5943600" cy="2738120"/>
                    </a:xfrm>
                    <a:prstGeom prst="rect">
                      <a:avLst/>
                    </a:prstGeom>
                  </pic:spPr>
                </pic:pic>
              </a:graphicData>
            </a:graphic>
          </wp:inline>
        </w:drawing>
      </w:r>
    </w:p>
    <w:p w14:paraId="4D9FDA5D" w14:textId="77777777" w:rsidR="00150B23" w:rsidRPr="00F93301" w:rsidRDefault="00A17F42" w:rsidP="001F1F15">
      <w:pPr>
        <w:pStyle w:val="Heading4"/>
        <w:rPr>
          <w:highlight w:val="white"/>
        </w:rPr>
      </w:pPr>
      <w:bookmarkStart w:id="3" w:name="_Toc216974940"/>
      <w:bookmarkStart w:id="4" w:name="_Toc216975069"/>
      <w:r w:rsidRPr="00F93301">
        <w:rPr>
          <w:highlight w:val="white"/>
        </w:rPr>
        <w:lastRenderedPageBreak/>
        <w:t>Figure 1: GE’s Income Statement</w:t>
      </w:r>
      <w:bookmarkEnd w:id="3"/>
      <w:bookmarkEnd w:id="4"/>
    </w:p>
    <w:p w14:paraId="4D9FDA5E"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Assignment Briefings)</w:t>
      </w:r>
    </w:p>
    <w:p w14:paraId="4D9FDA5F"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GE reported net sales of 394879 million in 2024 showing a decrease from the previous year as mentioned in Figure 1. Gross profit also decreased to 113994 million in 2024 indicating poor profitability. On one hand, expenses are increasing and on the other hand, incomes are decreasing leading to lower profit. Operating profit of the business was negative in both 2023 and 2024 which means operating expenses are greater than gross profit. In the same way, net profit of the business was negative in 2023 and 2024 which is not desirable for the business. Negative returns at the end of the year show that non-operating expenses are greater than operating income of the business. Also, this reduces its ability to pay dividends. </w:t>
      </w:r>
    </w:p>
    <w:p w14:paraId="4D9FDA60"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Balance Sheet</w:t>
      </w:r>
    </w:p>
    <w:p w14:paraId="4D9FDA61" w14:textId="4419C1D9" w:rsidR="00150B23" w:rsidRPr="00F93301" w:rsidRDefault="005F4118">
      <w:pPr>
        <w:spacing w:before="200" w:after="200" w:line="360" w:lineRule="auto"/>
        <w:jc w:val="both"/>
        <w:rPr>
          <w:b/>
          <w:bCs/>
          <w:i/>
          <w:iCs/>
          <w:sz w:val="24"/>
          <w:szCs w:val="24"/>
          <w:highlight w:val="white"/>
          <w:lang w:val="en-GB"/>
        </w:rPr>
      </w:pPr>
      <w:r w:rsidRPr="005F4118">
        <w:rPr>
          <w:b/>
          <w:bCs/>
          <w:i/>
          <w:iCs/>
          <w:noProof/>
          <w:sz w:val="24"/>
          <w:szCs w:val="24"/>
          <w:lang w:val="en-GB"/>
        </w:rPr>
        <w:drawing>
          <wp:inline distT="0" distB="0" distL="0" distR="0" wp14:anchorId="2B2E6AD0" wp14:editId="133DF54B">
            <wp:extent cx="5943600" cy="4199255"/>
            <wp:effectExtent l="0" t="0" r="0" b="0"/>
            <wp:docPr id="196040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04656" name=""/>
                    <pic:cNvPicPr/>
                  </pic:nvPicPr>
                  <pic:blipFill>
                    <a:blip r:embed="rId10"/>
                    <a:stretch>
                      <a:fillRect/>
                    </a:stretch>
                  </pic:blipFill>
                  <pic:spPr>
                    <a:xfrm>
                      <a:off x="0" y="0"/>
                      <a:ext cx="5943600" cy="4199255"/>
                    </a:xfrm>
                    <a:prstGeom prst="rect">
                      <a:avLst/>
                    </a:prstGeom>
                  </pic:spPr>
                </pic:pic>
              </a:graphicData>
            </a:graphic>
          </wp:inline>
        </w:drawing>
      </w:r>
    </w:p>
    <w:p w14:paraId="4D9FDA62" w14:textId="70E3B720" w:rsidR="00150B23" w:rsidRPr="00F93301" w:rsidRDefault="00355BC7">
      <w:pPr>
        <w:spacing w:before="200" w:after="200" w:line="360" w:lineRule="auto"/>
        <w:jc w:val="both"/>
        <w:rPr>
          <w:b/>
          <w:bCs/>
          <w:i/>
          <w:iCs/>
          <w:sz w:val="24"/>
          <w:szCs w:val="24"/>
          <w:highlight w:val="white"/>
          <w:lang w:val="en-GB"/>
        </w:rPr>
      </w:pPr>
      <w:r w:rsidRPr="00355BC7">
        <w:rPr>
          <w:b/>
          <w:bCs/>
          <w:i/>
          <w:iCs/>
          <w:noProof/>
          <w:sz w:val="24"/>
          <w:szCs w:val="24"/>
          <w:lang w:val="en-GB"/>
        </w:rPr>
        <w:lastRenderedPageBreak/>
        <w:drawing>
          <wp:inline distT="0" distB="0" distL="0" distR="0" wp14:anchorId="6AF53358" wp14:editId="7C9B6B3D">
            <wp:extent cx="5943600" cy="1875790"/>
            <wp:effectExtent l="0" t="0" r="0" b="0"/>
            <wp:docPr id="562784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84179" name=""/>
                    <pic:cNvPicPr/>
                  </pic:nvPicPr>
                  <pic:blipFill>
                    <a:blip r:embed="rId11"/>
                    <a:stretch>
                      <a:fillRect/>
                    </a:stretch>
                  </pic:blipFill>
                  <pic:spPr>
                    <a:xfrm>
                      <a:off x="0" y="0"/>
                      <a:ext cx="5943600" cy="1875790"/>
                    </a:xfrm>
                    <a:prstGeom prst="rect">
                      <a:avLst/>
                    </a:prstGeom>
                  </pic:spPr>
                </pic:pic>
              </a:graphicData>
            </a:graphic>
          </wp:inline>
        </w:drawing>
      </w:r>
    </w:p>
    <w:p w14:paraId="4D9FDA63" w14:textId="77777777" w:rsidR="00150B23" w:rsidRPr="00F93301" w:rsidRDefault="00A17F42" w:rsidP="001F1F15">
      <w:pPr>
        <w:pStyle w:val="Heading4"/>
        <w:rPr>
          <w:highlight w:val="white"/>
        </w:rPr>
      </w:pPr>
      <w:bookmarkStart w:id="5" w:name="_Toc216974941"/>
      <w:bookmarkStart w:id="6" w:name="_Toc216975070"/>
      <w:r w:rsidRPr="00F93301">
        <w:rPr>
          <w:highlight w:val="white"/>
        </w:rPr>
        <w:t>Figure 2: GE’s Balance Sheet</w:t>
      </w:r>
      <w:bookmarkEnd w:id="5"/>
      <w:bookmarkEnd w:id="6"/>
    </w:p>
    <w:p w14:paraId="4D9FDA64"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Assignment Briefings)</w:t>
      </w:r>
    </w:p>
    <w:p w14:paraId="4D9FDA65"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The Balance Sheet prepared in Figure 2 shows that GE's assets were 323354 million in 2024. This shows a decrease from previous years which is bad for the company’s financial position. Total liabilities of the company were 170249 million in 2024 which is also decreasing but less compared to assets. Equity of GE was 153105 million in 2024 showing a decreasing trend from the previous years. The above trend makes it evident that the company is operating with decreasing resources which is not desirable for its financial position.</w:t>
      </w:r>
    </w:p>
    <w:p w14:paraId="4D9FDA66"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Cash Flow Statement</w:t>
      </w:r>
    </w:p>
    <w:p w14:paraId="4D9FDA67" w14:textId="2DE21EC6" w:rsidR="00150B23" w:rsidRPr="00F93301" w:rsidRDefault="00473EFC">
      <w:pPr>
        <w:spacing w:before="200" w:after="200" w:line="360" w:lineRule="auto"/>
        <w:jc w:val="both"/>
        <w:rPr>
          <w:b/>
          <w:bCs/>
          <w:i/>
          <w:iCs/>
          <w:sz w:val="24"/>
          <w:szCs w:val="24"/>
          <w:highlight w:val="white"/>
          <w:lang w:val="en-GB"/>
        </w:rPr>
      </w:pPr>
      <w:r w:rsidRPr="00473EFC">
        <w:rPr>
          <w:b/>
          <w:bCs/>
          <w:i/>
          <w:iCs/>
          <w:noProof/>
          <w:sz w:val="24"/>
          <w:szCs w:val="24"/>
          <w:lang w:val="en-GB"/>
        </w:rPr>
        <w:drawing>
          <wp:inline distT="0" distB="0" distL="0" distR="0" wp14:anchorId="56C35DD5" wp14:editId="5E04C9C9">
            <wp:extent cx="5943600" cy="2045970"/>
            <wp:effectExtent l="0" t="0" r="0" b="0"/>
            <wp:docPr id="43469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96984" name=""/>
                    <pic:cNvPicPr/>
                  </pic:nvPicPr>
                  <pic:blipFill>
                    <a:blip r:embed="rId12"/>
                    <a:stretch>
                      <a:fillRect/>
                    </a:stretch>
                  </pic:blipFill>
                  <pic:spPr>
                    <a:xfrm>
                      <a:off x="0" y="0"/>
                      <a:ext cx="5943600" cy="2045970"/>
                    </a:xfrm>
                    <a:prstGeom prst="rect">
                      <a:avLst/>
                    </a:prstGeom>
                  </pic:spPr>
                </pic:pic>
              </a:graphicData>
            </a:graphic>
          </wp:inline>
        </w:drawing>
      </w:r>
    </w:p>
    <w:p w14:paraId="4D9FDA68" w14:textId="7BA5B69E" w:rsidR="00150B23" w:rsidRPr="00F93301" w:rsidRDefault="00146A51">
      <w:pPr>
        <w:spacing w:before="200" w:after="200" w:line="360" w:lineRule="auto"/>
        <w:jc w:val="both"/>
        <w:rPr>
          <w:b/>
          <w:bCs/>
          <w:i/>
          <w:iCs/>
          <w:sz w:val="24"/>
          <w:szCs w:val="24"/>
          <w:highlight w:val="white"/>
          <w:lang w:val="en-GB"/>
        </w:rPr>
      </w:pPr>
      <w:r w:rsidRPr="00146A51">
        <w:rPr>
          <w:b/>
          <w:bCs/>
          <w:i/>
          <w:iCs/>
          <w:noProof/>
          <w:sz w:val="24"/>
          <w:szCs w:val="24"/>
          <w:lang w:val="en-GB"/>
        </w:rPr>
        <w:lastRenderedPageBreak/>
        <w:drawing>
          <wp:inline distT="0" distB="0" distL="0" distR="0" wp14:anchorId="1F5BBB0B" wp14:editId="588556DC">
            <wp:extent cx="5943600" cy="1847850"/>
            <wp:effectExtent l="0" t="0" r="0" b="0"/>
            <wp:docPr id="616302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02764" name=""/>
                    <pic:cNvPicPr/>
                  </pic:nvPicPr>
                  <pic:blipFill>
                    <a:blip r:embed="rId13"/>
                    <a:stretch>
                      <a:fillRect/>
                    </a:stretch>
                  </pic:blipFill>
                  <pic:spPr>
                    <a:xfrm>
                      <a:off x="0" y="0"/>
                      <a:ext cx="5943600" cy="1847850"/>
                    </a:xfrm>
                    <a:prstGeom prst="rect">
                      <a:avLst/>
                    </a:prstGeom>
                  </pic:spPr>
                </pic:pic>
              </a:graphicData>
            </a:graphic>
          </wp:inline>
        </w:drawing>
      </w:r>
    </w:p>
    <w:p w14:paraId="4D9FDA69" w14:textId="77777777" w:rsidR="00150B23" w:rsidRPr="00F93301" w:rsidRDefault="00A17F42" w:rsidP="001F1F15">
      <w:pPr>
        <w:pStyle w:val="Heading4"/>
        <w:rPr>
          <w:highlight w:val="white"/>
        </w:rPr>
      </w:pPr>
      <w:bookmarkStart w:id="7" w:name="_Toc216974942"/>
      <w:bookmarkStart w:id="8" w:name="_Toc216975071"/>
      <w:r w:rsidRPr="00F93301">
        <w:rPr>
          <w:highlight w:val="white"/>
        </w:rPr>
        <w:t>Figure 3: GE’s Cash Flow Statement</w:t>
      </w:r>
      <w:bookmarkEnd w:id="7"/>
      <w:bookmarkEnd w:id="8"/>
    </w:p>
    <w:p w14:paraId="4D9FDA6A"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Assignment Briefings)</w:t>
      </w:r>
    </w:p>
    <w:p w14:paraId="4D9FDA6B"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Operating cash of the business has decreased to 14822 million showing a significant decrease from that of 73392 million in 2020. This is because of a decrease in sales and other operating activities of the business. Investing cash of the business was negative in all the financial years but has decreased in 2024 showing less investment made by GE in the current year. Financing cash was also negative indicating that the company has repaid its debts. Cash balance at the end of the year also decreased significantly from 57153 million in 2020 to 26783 million in 2024. This decrease in balance of cash is not desirable for the company and its financial health.</w:t>
      </w:r>
    </w:p>
    <w:p w14:paraId="4D9FDA6C" w14:textId="77777777" w:rsidR="00150B23" w:rsidRPr="00F93301" w:rsidRDefault="00A17F42">
      <w:pPr>
        <w:pStyle w:val="Heading2"/>
        <w:rPr>
          <w:lang w:val="en-GB"/>
        </w:rPr>
      </w:pPr>
      <w:bookmarkStart w:id="9" w:name="_Toc216975072"/>
      <w:r w:rsidRPr="00F93301">
        <w:rPr>
          <w:lang w:val="en-GB"/>
        </w:rPr>
        <w:t>II. Ratio Analysis</w:t>
      </w:r>
      <w:bookmarkEnd w:id="9"/>
      <w:r w:rsidRPr="00F93301">
        <w:rPr>
          <w:lang w:val="en-GB"/>
        </w:rPr>
        <w:t xml:space="preserve"> </w:t>
      </w:r>
    </w:p>
    <w:p w14:paraId="4D9FDA6D"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Profitability</w:t>
      </w:r>
    </w:p>
    <w:p w14:paraId="4D9FDA6E" w14:textId="5ED37981"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Financial ratios have become important in explaining values in financial statements (</w:t>
      </w:r>
      <w:proofErr w:type="spellStart"/>
      <w:r w:rsidRPr="00F93301">
        <w:rPr>
          <w:sz w:val="24"/>
          <w:szCs w:val="24"/>
          <w:highlight w:val="white"/>
          <w:lang w:val="en-GB"/>
        </w:rPr>
        <w:t>Fadillah</w:t>
      </w:r>
      <w:proofErr w:type="spellEnd"/>
      <w:r w:rsidRPr="00F93301">
        <w:rPr>
          <w:sz w:val="24"/>
          <w:szCs w:val="24"/>
          <w:highlight w:val="white"/>
          <w:lang w:val="en-GB"/>
        </w:rPr>
        <w:t xml:space="preserve"> </w:t>
      </w:r>
      <w:r w:rsidRPr="00F93301">
        <w:rPr>
          <w:i/>
          <w:iCs/>
          <w:sz w:val="24"/>
          <w:szCs w:val="24"/>
          <w:highlight w:val="white"/>
          <w:lang w:val="en-GB"/>
        </w:rPr>
        <w:t xml:space="preserve">et al. </w:t>
      </w:r>
      <w:r w:rsidRPr="00F93301">
        <w:rPr>
          <w:sz w:val="24"/>
          <w:szCs w:val="24"/>
          <w:highlight w:val="white"/>
          <w:lang w:val="en-GB"/>
        </w:rPr>
        <w:t xml:space="preserve">2024). Figure </w:t>
      </w:r>
      <w:r w:rsidR="001F1F15" w:rsidRPr="00F93301">
        <w:rPr>
          <w:sz w:val="24"/>
          <w:szCs w:val="24"/>
          <w:highlight w:val="white"/>
          <w:lang w:val="en-GB"/>
        </w:rPr>
        <w:t>4</w:t>
      </w:r>
      <w:r w:rsidRPr="00F93301">
        <w:rPr>
          <w:sz w:val="24"/>
          <w:szCs w:val="24"/>
          <w:highlight w:val="white"/>
          <w:lang w:val="en-GB"/>
        </w:rPr>
        <w:t xml:space="preserve"> shows profitability ratios for GE indicating decreasing trends in all. GPR is 29% which is quite good but NPR is -6% and OPR is -4%. The negative ratios are an indication that expenses of the business are greater than income. This makes it difficult for the business to sustain competition within the industry. The ability of the business to pay dividends to its shareholders has decreased which is bad for its profitability performance. </w:t>
      </w:r>
    </w:p>
    <w:p w14:paraId="4D9FDA6F" w14:textId="224E85DE" w:rsidR="00150B23" w:rsidRPr="00F93301" w:rsidRDefault="00FF4EA2">
      <w:pPr>
        <w:spacing w:before="200" w:after="200" w:line="360" w:lineRule="auto"/>
        <w:jc w:val="center"/>
        <w:rPr>
          <w:b/>
          <w:bCs/>
          <w:i/>
          <w:iCs/>
          <w:sz w:val="24"/>
          <w:szCs w:val="24"/>
          <w:highlight w:val="white"/>
          <w:lang w:val="en-GB"/>
        </w:rPr>
      </w:pPr>
      <w:r>
        <w:rPr>
          <w:noProof/>
        </w:rPr>
        <w:lastRenderedPageBreak/>
        <w:drawing>
          <wp:inline distT="0" distB="0" distL="0" distR="0" wp14:anchorId="39725E54" wp14:editId="3D057555">
            <wp:extent cx="4572000" cy="2743200"/>
            <wp:effectExtent l="0" t="0" r="0" b="0"/>
            <wp:docPr id="227785191" name="Chart 1">
              <a:extLst xmlns:a="http://schemas.openxmlformats.org/drawingml/2006/main">
                <a:ext uri="{FF2B5EF4-FFF2-40B4-BE49-F238E27FC236}">
                  <a16:creationId xmlns:a16="http://schemas.microsoft.com/office/drawing/2014/main" id="{5F078C56-5E0F-1920-87BB-0FA4BFE8FF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9FDA70" w14:textId="7A6036E3" w:rsidR="00150B23" w:rsidRPr="00F93301" w:rsidRDefault="00A17F42" w:rsidP="001F1F15">
      <w:pPr>
        <w:pStyle w:val="Heading4"/>
        <w:rPr>
          <w:highlight w:val="white"/>
        </w:rPr>
      </w:pPr>
      <w:bookmarkStart w:id="10" w:name="_Toc216974943"/>
      <w:bookmarkStart w:id="11" w:name="_Toc216975073"/>
      <w:r w:rsidRPr="00F93301">
        <w:rPr>
          <w:highlight w:val="white"/>
        </w:rPr>
        <w:t xml:space="preserve">Figure </w:t>
      </w:r>
      <w:r w:rsidR="001F1F15" w:rsidRPr="00F93301">
        <w:rPr>
          <w:highlight w:val="white"/>
        </w:rPr>
        <w:t>4</w:t>
      </w:r>
      <w:r w:rsidRPr="00F93301">
        <w:rPr>
          <w:highlight w:val="white"/>
        </w:rPr>
        <w:t>: Profitability Ratios</w:t>
      </w:r>
      <w:bookmarkEnd w:id="10"/>
      <w:bookmarkEnd w:id="11"/>
    </w:p>
    <w:p w14:paraId="4D9FDA71"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72"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Liquidity </w:t>
      </w:r>
    </w:p>
    <w:p w14:paraId="4D9FDA73" w14:textId="541BB45A" w:rsidR="00150B23" w:rsidRPr="00F93301" w:rsidRDefault="003A6E3E">
      <w:pPr>
        <w:spacing w:before="200" w:after="200" w:line="360" w:lineRule="auto"/>
        <w:jc w:val="center"/>
        <w:rPr>
          <w:b/>
          <w:bCs/>
          <w:i/>
          <w:iCs/>
          <w:sz w:val="24"/>
          <w:szCs w:val="24"/>
          <w:highlight w:val="white"/>
          <w:lang w:val="en-GB"/>
        </w:rPr>
      </w:pPr>
      <w:r>
        <w:rPr>
          <w:noProof/>
        </w:rPr>
        <w:drawing>
          <wp:inline distT="0" distB="0" distL="0" distR="0" wp14:anchorId="45E2CC84" wp14:editId="39C7B206">
            <wp:extent cx="4572000" cy="2743200"/>
            <wp:effectExtent l="0" t="0" r="0" b="0"/>
            <wp:docPr id="1368560067" name="Chart 1">
              <a:extLst xmlns:a="http://schemas.openxmlformats.org/drawingml/2006/main">
                <a:ext uri="{FF2B5EF4-FFF2-40B4-BE49-F238E27FC236}">
                  <a16:creationId xmlns:a16="http://schemas.microsoft.com/office/drawing/2014/main" id="{C0EA99C7-68DA-74E3-9991-BF641E142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9FDA74" w14:textId="65DF73AE" w:rsidR="00150B23" w:rsidRPr="00F93301" w:rsidRDefault="00A17F42" w:rsidP="001F1F15">
      <w:pPr>
        <w:pStyle w:val="Heading4"/>
        <w:rPr>
          <w:highlight w:val="white"/>
        </w:rPr>
      </w:pPr>
      <w:bookmarkStart w:id="12" w:name="_Toc216974944"/>
      <w:bookmarkStart w:id="13" w:name="_Toc216975074"/>
      <w:r w:rsidRPr="00F93301">
        <w:rPr>
          <w:highlight w:val="white"/>
        </w:rPr>
        <w:t xml:space="preserve">Figure </w:t>
      </w:r>
      <w:r w:rsidR="001F1F15" w:rsidRPr="00F93301">
        <w:rPr>
          <w:highlight w:val="white"/>
        </w:rPr>
        <w:t>5</w:t>
      </w:r>
      <w:r w:rsidRPr="00F93301">
        <w:rPr>
          <w:highlight w:val="white"/>
        </w:rPr>
        <w:t>: Liquidity Ratios</w:t>
      </w:r>
      <w:bookmarkEnd w:id="12"/>
      <w:bookmarkEnd w:id="13"/>
    </w:p>
    <w:p w14:paraId="4D9FDA75"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76" w14:textId="568CF52C"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lastRenderedPageBreak/>
        <w:t xml:space="preserve">Liquidity ratios of GE are quite good indicating good financial performance in Figure </w:t>
      </w:r>
      <w:r w:rsidR="001F1F15" w:rsidRPr="00F93301">
        <w:rPr>
          <w:sz w:val="24"/>
          <w:szCs w:val="24"/>
          <w:highlight w:val="white"/>
          <w:lang w:val="en-GB"/>
        </w:rPr>
        <w:t>5</w:t>
      </w:r>
      <w:r w:rsidRPr="00F93301">
        <w:rPr>
          <w:sz w:val="24"/>
          <w:szCs w:val="24"/>
          <w:highlight w:val="white"/>
          <w:lang w:val="en-GB"/>
        </w:rPr>
        <w:t xml:space="preserve">. Current ratio being greater than 1 shows current assets being greater than current liabilities. Also, the quick ratio is greater than 1 indicating that GE possesses sufficient liquid assets to pay off current obligations of the business. However, the cash ratio is very low which means the balance of cash is not sufficient to repay short-term obligations of the business. The company is keeping its investors satisfied with such a strong liquidity position within the industry by paying dues on time. </w:t>
      </w:r>
    </w:p>
    <w:p w14:paraId="4D9FDA77"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Efficiency</w:t>
      </w:r>
    </w:p>
    <w:p w14:paraId="4D9FDA78" w14:textId="7C9E79B1" w:rsidR="00150B23" w:rsidRPr="00F93301" w:rsidRDefault="00E618C9">
      <w:pPr>
        <w:spacing w:before="200" w:after="200" w:line="360" w:lineRule="auto"/>
        <w:jc w:val="center"/>
        <w:rPr>
          <w:b/>
          <w:bCs/>
          <w:i/>
          <w:iCs/>
          <w:sz w:val="24"/>
          <w:szCs w:val="24"/>
          <w:highlight w:val="white"/>
          <w:lang w:val="en-GB"/>
        </w:rPr>
      </w:pPr>
      <w:r>
        <w:rPr>
          <w:noProof/>
        </w:rPr>
        <w:drawing>
          <wp:inline distT="0" distB="0" distL="0" distR="0" wp14:anchorId="66AF6459" wp14:editId="15731FF7">
            <wp:extent cx="4572000" cy="2743200"/>
            <wp:effectExtent l="0" t="0" r="0" b="0"/>
            <wp:docPr id="520627607" name="Chart 1">
              <a:extLst xmlns:a="http://schemas.openxmlformats.org/drawingml/2006/main">
                <a:ext uri="{FF2B5EF4-FFF2-40B4-BE49-F238E27FC236}">
                  <a16:creationId xmlns:a16="http://schemas.microsoft.com/office/drawing/2014/main" id="{BD9DD638-EE71-E183-0B95-ECA3BF7276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9FDA79" w14:textId="2672C499" w:rsidR="00150B23" w:rsidRPr="00F93301" w:rsidRDefault="00A17F42" w:rsidP="001F1F15">
      <w:pPr>
        <w:pStyle w:val="Heading4"/>
        <w:rPr>
          <w:highlight w:val="white"/>
        </w:rPr>
      </w:pPr>
      <w:bookmarkStart w:id="14" w:name="_Toc216974945"/>
      <w:bookmarkStart w:id="15" w:name="_Toc216975075"/>
      <w:r w:rsidRPr="00F93301">
        <w:rPr>
          <w:highlight w:val="white"/>
        </w:rPr>
        <w:t xml:space="preserve">Figure </w:t>
      </w:r>
      <w:r w:rsidR="001F1F15" w:rsidRPr="00F93301">
        <w:rPr>
          <w:highlight w:val="white"/>
        </w:rPr>
        <w:t>6</w:t>
      </w:r>
      <w:r w:rsidRPr="00F93301">
        <w:rPr>
          <w:highlight w:val="white"/>
        </w:rPr>
        <w:t>: Efficiency Ratios</w:t>
      </w:r>
      <w:bookmarkEnd w:id="14"/>
      <w:bookmarkEnd w:id="15"/>
    </w:p>
    <w:p w14:paraId="4D9FDA7A"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7B" w14:textId="4F1B9050"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The efficiency ratio of GE is decreasing and is very low compared to the idle ratio indicating poor performance in Figure </w:t>
      </w:r>
      <w:r w:rsidR="001F1F15" w:rsidRPr="00F93301">
        <w:rPr>
          <w:sz w:val="24"/>
          <w:szCs w:val="24"/>
          <w:highlight w:val="white"/>
          <w:lang w:val="en-GB"/>
        </w:rPr>
        <w:t>6</w:t>
      </w:r>
      <w:r w:rsidRPr="00F93301">
        <w:rPr>
          <w:sz w:val="24"/>
          <w:szCs w:val="24"/>
          <w:highlight w:val="white"/>
          <w:lang w:val="en-GB"/>
        </w:rPr>
        <w:t>. Stock turnover is 3.54 times which is indicating lesser sales made by the business. Inventories are not being converted into sales quickly which is leading to lower sales and also wastage of resources. Asset turnover is also very low at 1.22 times which shows that sufficient returns are not being earned through assets. Resources within the business show poor usage leading to low efficiency and wastage.</w:t>
      </w:r>
    </w:p>
    <w:p w14:paraId="4D9FDA7C"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Gearing</w:t>
      </w:r>
    </w:p>
    <w:p w14:paraId="4D9FDA7D" w14:textId="6E5D7A0C" w:rsidR="00150B23" w:rsidRPr="00F93301" w:rsidRDefault="00345BFF">
      <w:pPr>
        <w:spacing w:before="200" w:after="200" w:line="360" w:lineRule="auto"/>
        <w:jc w:val="center"/>
        <w:rPr>
          <w:b/>
          <w:bCs/>
          <w:i/>
          <w:iCs/>
          <w:sz w:val="24"/>
          <w:szCs w:val="24"/>
          <w:highlight w:val="white"/>
          <w:lang w:val="en-GB"/>
        </w:rPr>
      </w:pPr>
      <w:r>
        <w:rPr>
          <w:noProof/>
        </w:rPr>
        <w:lastRenderedPageBreak/>
        <w:drawing>
          <wp:inline distT="0" distB="0" distL="0" distR="0" wp14:anchorId="13201C9E" wp14:editId="51F68F6C">
            <wp:extent cx="4572000" cy="2743200"/>
            <wp:effectExtent l="0" t="0" r="0" b="0"/>
            <wp:docPr id="1075265990" name="Chart 1">
              <a:extLst xmlns:a="http://schemas.openxmlformats.org/drawingml/2006/main">
                <a:ext uri="{FF2B5EF4-FFF2-40B4-BE49-F238E27FC236}">
                  <a16:creationId xmlns:a16="http://schemas.microsoft.com/office/drawing/2014/main" id="{772050DF-878C-4FFF-9B25-8C8900C869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D9FDA7E" w14:textId="18E66F07" w:rsidR="00150B23" w:rsidRPr="00F93301" w:rsidRDefault="00A17F42" w:rsidP="001F1F15">
      <w:pPr>
        <w:pStyle w:val="Heading4"/>
        <w:rPr>
          <w:highlight w:val="white"/>
        </w:rPr>
      </w:pPr>
      <w:bookmarkStart w:id="16" w:name="_Toc216974946"/>
      <w:bookmarkStart w:id="17" w:name="_Toc216975076"/>
      <w:r w:rsidRPr="00F93301">
        <w:rPr>
          <w:highlight w:val="white"/>
        </w:rPr>
        <w:t xml:space="preserve">Figure </w:t>
      </w:r>
      <w:r w:rsidR="001F1F15" w:rsidRPr="00F93301">
        <w:rPr>
          <w:highlight w:val="white"/>
        </w:rPr>
        <w:t>7</w:t>
      </w:r>
      <w:r w:rsidRPr="00F93301">
        <w:rPr>
          <w:highlight w:val="white"/>
        </w:rPr>
        <w:t>: Gearing Ratios</w:t>
      </w:r>
      <w:bookmarkEnd w:id="16"/>
      <w:bookmarkEnd w:id="17"/>
    </w:p>
    <w:p w14:paraId="4D9FDA7F"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80" w14:textId="4F53537A"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Gearing ratio shows a poor financial position because the D/E ratio is very high as reflected in Figure </w:t>
      </w:r>
      <w:r w:rsidR="001F1F15" w:rsidRPr="00F93301">
        <w:rPr>
          <w:sz w:val="24"/>
          <w:szCs w:val="24"/>
          <w:highlight w:val="white"/>
          <w:lang w:val="en-GB"/>
        </w:rPr>
        <w:t>7</w:t>
      </w:r>
      <w:r w:rsidRPr="00F93301">
        <w:rPr>
          <w:sz w:val="24"/>
          <w:szCs w:val="24"/>
          <w:highlight w:val="white"/>
          <w:lang w:val="en-GB"/>
        </w:rPr>
        <w:t>. Debt capital is significantly high compared to equity showing a greater portion of assets being acquired through creditors which is not good. The company is subject to high leverage and risk. GE is enjoying greater tax shields but the risk of increasing cost of capital is very high. Also, interest coverage has decreased indicating a reduction in the ability of the business to pay interest expenses to the investors. Gearing performance requires attention so that the company achieves long-term sustainability.</w:t>
      </w:r>
    </w:p>
    <w:p w14:paraId="4D9FDA81"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Investment</w:t>
      </w:r>
    </w:p>
    <w:p w14:paraId="58853ED7" w14:textId="3BC1908F" w:rsidR="001F1F15" w:rsidRPr="00F93301" w:rsidRDefault="001F1F15" w:rsidP="001F1F15">
      <w:pPr>
        <w:spacing w:before="200" w:after="200" w:line="360" w:lineRule="auto"/>
        <w:jc w:val="both"/>
        <w:rPr>
          <w:sz w:val="24"/>
          <w:szCs w:val="24"/>
          <w:highlight w:val="white"/>
          <w:lang w:val="en-GB"/>
        </w:rPr>
      </w:pPr>
      <w:r w:rsidRPr="00F93301">
        <w:rPr>
          <w:sz w:val="24"/>
          <w:szCs w:val="24"/>
          <w:highlight w:val="white"/>
          <w:lang w:val="en-GB"/>
        </w:rPr>
        <w:t>EPS is an indicator of investment performance of a business because it shows returns that an organisation has earned over its outstanding shares. EPS was negative in 2023 and 2024 because of net loss earned by the company as reflected in Figure 8. The company is earning negative returns over its outstanding shares which is not good for its long-term sustainability. This is creating a negative impact on the shareholders of the company because it shows the inability of the business to earn returns.</w:t>
      </w:r>
    </w:p>
    <w:p w14:paraId="4D9FDA82" w14:textId="4647268D" w:rsidR="00150B23" w:rsidRPr="00F93301" w:rsidRDefault="00C932C5">
      <w:pPr>
        <w:spacing w:before="200" w:after="200" w:line="360" w:lineRule="auto"/>
        <w:jc w:val="center"/>
        <w:rPr>
          <w:b/>
          <w:bCs/>
          <w:i/>
          <w:iCs/>
          <w:sz w:val="24"/>
          <w:szCs w:val="24"/>
          <w:highlight w:val="white"/>
          <w:lang w:val="en-GB"/>
        </w:rPr>
      </w:pPr>
      <w:r>
        <w:rPr>
          <w:noProof/>
        </w:rPr>
        <w:lastRenderedPageBreak/>
        <w:drawing>
          <wp:inline distT="0" distB="0" distL="0" distR="0" wp14:anchorId="329ED726" wp14:editId="2A592AB2">
            <wp:extent cx="4572000" cy="2743200"/>
            <wp:effectExtent l="0" t="0" r="0" b="0"/>
            <wp:docPr id="1455554799" name="Chart 1">
              <a:extLst xmlns:a="http://schemas.openxmlformats.org/drawingml/2006/main">
                <a:ext uri="{FF2B5EF4-FFF2-40B4-BE49-F238E27FC236}">
                  <a16:creationId xmlns:a16="http://schemas.microsoft.com/office/drawing/2014/main" id="{02F0AC3F-99E1-20CD-2412-500B7F8EEA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9FDA83" w14:textId="495BC6C0" w:rsidR="00150B23" w:rsidRPr="00F93301" w:rsidRDefault="00A17F42" w:rsidP="001F1F15">
      <w:pPr>
        <w:pStyle w:val="Heading4"/>
        <w:rPr>
          <w:highlight w:val="white"/>
        </w:rPr>
      </w:pPr>
      <w:bookmarkStart w:id="18" w:name="_Toc216974947"/>
      <w:bookmarkStart w:id="19" w:name="_Toc216975077"/>
      <w:r w:rsidRPr="00F93301">
        <w:rPr>
          <w:highlight w:val="white"/>
        </w:rPr>
        <w:t xml:space="preserve">Figure </w:t>
      </w:r>
      <w:r w:rsidR="001F1F15" w:rsidRPr="00F93301">
        <w:rPr>
          <w:highlight w:val="white"/>
        </w:rPr>
        <w:t>8</w:t>
      </w:r>
      <w:r w:rsidRPr="00F93301">
        <w:rPr>
          <w:highlight w:val="white"/>
        </w:rPr>
        <w:t>: Investment Ratios</w:t>
      </w:r>
      <w:bookmarkEnd w:id="18"/>
      <w:bookmarkEnd w:id="19"/>
    </w:p>
    <w:p w14:paraId="4D9FDA84"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86"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Cash Flow</w:t>
      </w:r>
    </w:p>
    <w:p w14:paraId="4D9FDA88" w14:textId="2F4AB914" w:rsidR="00150B23" w:rsidRPr="00F93301" w:rsidRDefault="007B74E5">
      <w:pPr>
        <w:spacing w:before="200" w:after="200" w:line="360" w:lineRule="auto"/>
        <w:jc w:val="center"/>
        <w:rPr>
          <w:b/>
          <w:bCs/>
          <w:i/>
          <w:iCs/>
          <w:sz w:val="24"/>
          <w:szCs w:val="24"/>
          <w:highlight w:val="white"/>
          <w:lang w:val="en-GB"/>
        </w:rPr>
      </w:pPr>
      <w:r>
        <w:rPr>
          <w:noProof/>
        </w:rPr>
        <w:drawing>
          <wp:inline distT="0" distB="0" distL="0" distR="0" wp14:anchorId="60AB0350" wp14:editId="5B06AE4A">
            <wp:extent cx="4572000" cy="2743200"/>
            <wp:effectExtent l="0" t="0" r="0" b="0"/>
            <wp:docPr id="1922986844" name="Chart 1">
              <a:extLst xmlns:a="http://schemas.openxmlformats.org/drawingml/2006/main">
                <a:ext uri="{FF2B5EF4-FFF2-40B4-BE49-F238E27FC236}">
                  <a16:creationId xmlns:a16="http://schemas.microsoft.com/office/drawing/2014/main" id="{67AE63B6-B2C3-2A35-2F47-68FD296B96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9FDA89" w14:textId="0C9EF30C" w:rsidR="00150B23" w:rsidRPr="00F93301" w:rsidRDefault="00A17F42" w:rsidP="001F1F15">
      <w:pPr>
        <w:pStyle w:val="Heading4"/>
        <w:rPr>
          <w:highlight w:val="white"/>
        </w:rPr>
      </w:pPr>
      <w:bookmarkStart w:id="20" w:name="_Toc216974948"/>
      <w:bookmarkStart w:id="21" w:name="_Toc216975078"/>
      <w:r w:rsidRPr="00F93301">
        <w:rPr>
          <w:highlight w:val="white"/>
        </w:rPr>
        <w:t xml:space="preserve">Figure </w:t>
      </w:r>
      <w:r w:rsidR="001F1F15" w:rsidRPr="00F93301">
        <w:rPr>
          <w:highlight w:val="white"/>
        </w:rPr>
        <w:t>9</w:t>
      </w:r>
      <w:r w:rsidRPr="00F93301">
        <w:rPr>
          <w:highlight w:val="white"/>
        </w:rPr>
        <w:t>: Cash Flows Ratios</w:t>
      </w:r>
      <w:bookmarkEnd w:id="20"/>
      <w:bookmarkEnd w:id="21"/>
    </w:p>
    <w:p w14:paraId="4D9FDA8A"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1E5EB757" w14:textId="4D7F00D1" w:rsidR="001F1F15" w:rsidRPr="00F93301" w:rsidRDefault="001F1F15" w:rsidP="001F1F15">
      <w:pPr>
        <w:spacing w:before="200" w:after="200" w:line="360" w:lineRule="auto"/>
        <w:jc w:val="both"/>
        <w:rPr>
          <w:sz w:val="24"/>
          <w:szCs w:val="24"/>
          <w:highlight w:val="white"/>
          <w:lang w:val="en-GB"/>
        </w:rPr>
      </w:pPr>
      <w:r w:rsidRPr="00F93301">
        <w:rPr>
          <w:sz w:val="24"/>
          <w:szCs w:val="24"/>
          <w:highlight w:val="white"/>
          <w:lang w:val="en-GB"/>
        </w:rPr>
        <w:lastRenderedPageBreak/>
        <w:t>Cash Flow ratios have decreased and are very low as reflected in Figure 9. This is because both operating cash and closing cash balance of the company have decreased in 2024 compared to the previous years. This is creating a shortage of cash within the business which affects the ability of the business to perform operations and pay obligations. Financial health of the business is being negatively affected because of shortage of cash which is not desirable. It would become difficult for the business to pay expenses out of the existing cash balance.</w:t>
      </w:r>
    </w:p>
    <w:p w14:paraId="4D9FDA8B" w14:textId="77777777" w:rsidR="00150B23" w:rsidRPr="00F93301" w:rsidRDefault="00A17F42">
      <w:pPr>
        <w:pStyle w:val="Heading2"/>
        <w:rPr>
          <w:lang w:val="en-GB"/>
        </w:rPr>
      </w:pPr>
      <w:bookmarkStart w:id="22" w:name="_Toc216975079"/>
      <w:r w:rsidRPr="00F93301">
        <w:rPr>
          <w:lang w:val="en-GB"/>
        </w:rPr>
        <w:t>III. Trends, Strengths and Threats</w:t>
      </w:r>
      <w:bookmarkEnd w:id="22"/>
    </w:p>
    <w:p w14:paraId="4D9FDA8C"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Financial performance of a company is a critical indicator that is used for assessing financial health as well as operational efficiency of a commercial entity (</w:t>
      </w:r>
      <w:proofErr w:type="spellStart"/>
      <w:r w:rsidRPr="00F93301">
        <w:rPr>
          <w:sz w:val="24"/>
          <w:szCs w:val="24"/>
          <w:highlight w:val="white"/>
          <w:lang w:val="en-GB"/>
        </w:rPr>
        <w:t>Hasidi</w:t>
      </w:r>
      <w:proofErr w:type="spellEnd"/>
      <w:r w:rsidRPr="00F93301">
        <w:rPr>
          <w:sz w:val="24"/>
          <w:szCs w:val="24"/>
          <w:highlight w:val="white"/>
          <w:lang w:val="en-GB"/>
        </w:rPr>
        <w:t xml:space="preserve"> </w:t>
      </w:r>
      <w:r w:rsidRPr="00F93301">
        <w:rPr>
          <w:i/>
          <w:iCs/>
          <w:sz w:val="24"/>
          <w:szCs w:val="24"/>
          <w:highlight w:val="white"/>
          <w:lang w:val="en-GB"/>
        </w:rPr>
        <w:t xml:space="preserve">et al. </w:t>
      </w:r>
      <w:r w:rsidRPr="00F93301">
        <w:rPr>
          <w:sz w:val="24"/>
          <w:szCs w:val="24"/>
          <w:highlight w:val="white"/>
          <w:lang w:val="en-GB"/>
        </w:rPr>
        <w:t xml:space="preserve">2024). Based on ratio analysis, the below-listed strengths, threats and trends have been identified.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5"/>
        <w:gridCol w:w="2895"/>
        <w:gridCol w:w="3780"/>
      </w:tblGrid>
      <w:tr w:rsidR="00F93301" w:rsidRPr="00F93301" w14:paraId="4D9FDA90" w14:textId="77777777">
        <w:tc>
          <w:tcPr>
            <w:tcW w:w="2685" w:type="dxa"/>
            <w:tcMar>
              <w:top w:w="100" w:type="dxa"/>
              <w:left w:w="100" w:type="dxa"/>
              <w:bottom w:w="100" w:type="dxa"/>
              <w:right w:w="100" w:type="dxa"/>
            </w:tcMar>
          </w:tcPr>
          <w:p w14:paraId="4D9FDA8D" w14:textId="77777777" w:rsidR="00150B23" w:rsidRPr="00F93301" w:rsidRDefault="00A17F42">
            <w:pPr>
              <w:widowControl w:val="0"/>
              <w:pBdr>
                <w:top w:val="nil"/>
                <w:left w:val="nil"/>
                <w:bottom w:val="nil"/>
                <w:right w:val="nil"/>
                <w:between w:val="nil"/>
              </w:pBdr>
              <w:spacing w:line="360" w:lineRule="auto"/>
              <w:jc w:val="center"/>
              <w:rPr>
                <w:b/>
                <w:bCs/>
                <w:sz w:val="24"/>
                <w:szCs w:val="24"/>
                <w:highlight w:val="white"/>
                <w:lang w:val="en-GB"/>
              </w:rPr>
            </w:pPr>
            <w:r w:rsidRPr="00F93301">
              <w:rPr>
                <w:b/>
                <w:bCs/>
                <w:sz w:val="24"/>
                <w:szCs w:val="24"/>
                <w:highlight w:val="white"/>
                <w:lang w:val="en-GB"/>
              </w:rPr>
              <w:t>Trends</w:t>
            </w:r>
          </w:p>
        </w:tc>
        <w:tc>
          <w:tcPr>
            <w:tcW w:w="2895" w:type="dxa"/>
            <w:tcMar>
              <w:top w:w="100" w:type="dxa"/>
              <w:left w:w="100" w:type="dxa"/>
              <w:bottom w:w="100" w:type="dxa"/>
              <w:right w:w="100" w:type="dxa"/>
            </w:tcMar>
          </w:tcPr>
          <w:p w14:paraId="4D9FDA8E" w14:textId="77777777" w:rsidR="00150B23" w:rsidRPr="00F93301" w:rsidRDefault="00A17F42">
            <w:pPr>
              <w:widowControl w:val="0"/>
              <w:pBdr>
                <w:top w:val="nil"/>
                <w:left w:val="nil"/>
                <w:bottom w:val="nil"/>
                <w:right w:val="nil"/>
                <w:between w:val="nil"/>
              </w:pBdr>
              <w:spacing w:line="360" w:lineRule="auto"/>
              <w:jc w:val="center"/>
              <w:rPr>
                <w:b/>
                <w:bCs/>
                <w:sz w:val="24"/>
                <w:szCs w:val="24"/>
                <w:highlight w:val="white"/>
                <w:lang w:val="en-GB"/>
              </w:rPr>
            </w:pPr>
            <w:r w:rsidRPr="00F93301">
              <w:rPr>
                <w:b/>
                <w:bCs/>
                <w:sz w:val="24"/>
                <w:szCs w:val="24"/>
                <w:highlight w:val="white"/>
                <w:lang w:val="en-GB"/>
              </w:rPr>
              <w:t>Strengths</w:t>
            </w:r>
          </w:p>
        </w:tc>
        <w:tc>
          <w:tcPr>
            <w:tcW w:w="3780" w:type="dxa"/>
            <w:tcMar>
              <w:top w:w="100" w:type="dxa"/>
              <w:left w:w="100" w:type="dxa"/>
              <w:bottom w:w="100" w:type="dxa"/>
              <w:right w:w="100" w:type="dxa"/>
            </w:tcMar>
          </w:tcPr>
          <w:p w14:paraId="4D9FDA8F" w14:textId="77777777" w:rsidR="00150B23" w:rsidRPr="00F93301" w:rsidRDefault="00A17F42">
            <w:pPr>
              <w:widowControl w:val="0"/>
              <w:pBdr>
                <w:top w:val="nil"/>
                <w:left w:val="nil"/>
                <w:bottom w:val="nil"/>
                <w:right w:val="nil"/>
                <w:between w:val="nil"/>
              </w:pBdr>
              <w:spacing w:line="360" w:lineRule="auto"/>
              <w:jc w:val="center"/>
              <w:rPr>
                <w:b/>
                <w:bCs/>
                <w:sz w:val="24"/>
                <w:szCs w:val="24"/>
                <w:highlight w:val="white"/>
                <w:lang w:val="en-GB"/>
              </w:rPr>
            </w:pPr>
            <w:r w:rsidRPr="00F93301">
              <w:rPr>
                <w:b/>
                <w:bCs/>
                <w:sz w:val="24"/>
                <w:szCs w:val="24"/>
                <w:highlight w:val="white"/>
                <w:lang w:val="en-GB"/>
              </w:rPr>
              <w:t>Threats</w:t>
            </w:r>
          </w:p>
        </w:tc>
      </w:tr>
      <w:tr w:rsidR="00F93301" w:rsidRPr="00F93301" w14:paraId="4D9FDA9D" w14:textId="77777777">
        <w:tc>
          <w:tcPr>
            <w:tcW w:w="2685" w:type="dxa"/>
            <w:tcMar>
              <w:top w:w="100" w:type="dxa"/>
              <w:left w:w="100" w:type="dxa"/>
              <w:bottom w:w="100" w:type="dxa"/>
              <w:right w:w="100" w:type="dxa"/>
            </w:tcMar>
          </w:tcPr>
          <w:p w14:paraId="4D9FDA91" w14:textId="192B89A7" w:rsidR="00150B23" w:rsidRPr="00F93301" w:rsidRDefault="00A17F42">
            <w:pPr>
              <w:widowControl w:val="0"/>
              <w:numPr>
                <w:ilvl w:val="0"/>
                <w:numId w:val="1"/>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 xml:space="preserve">Financial position and performance mostly </w:t>
            </w:r>
            <w:r w:rsidR="00E2702D" w:rsidRPr="00F93301">
              <w:rPr>
                <w:sz w:val="24"/>
                <w:szCs w:val="24"/>
                <w:highlight w:val="white"/>
                <w:lang w:val="en-GB"/>
              </w:rPr>
              <w:t>reflect</w:t>
            </w:r>
            <w:r w:rsidRPr="00F93301">
              <w:rPr>
                <w:sz w:val="24"/>
                <w:szCs w:val="24"/>
                <w:highlight w:val="white"/>
                <w:lang w:val="en-GB"/>
              </w:rPr>
              <w:t xml:space="preserve"> negative or decreasing trends. </w:t>
            </w:r>
          </w:p>
          <w:p w14:paraId="4D9FDA92" w14:textId="77777777" w:rsidR="00150B23" w:rsidRPr="00F93301" w:rsidRDefault="00A17F42">
            <w:pPr>
              <w:widowControl w:val="0"/>
              <w:numPr>
                <w:ilvl w:val="0"/>
                <w:numId w:val="1"/>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Sales, assets, liabilities, equity, profits and EPS have reported negative trends in all five years.</w:t>
            </w:r>
          </w:p>
          <w:p w14:paraId="4D9FDA93" w14:textId="77777777" w:rsidR="00150B23" w:rsidRPr="00F93301" w:rsidRDefault="00A17F42">
            <w:pPr>
              <w:widowControl w:val="0"/>
              <w:numPr>
                <w:ilvl w:val="0"/>
                <w:numId w:val="1"/>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 xml:space="preserve">Buy back of shares were </w:t>
            </w:r>
            <w:r w:rsidRPr="00F93301">
              <w:rPr>
                <w:sz w:val="24"/>
                <w:szCs w:val="24"/>
                <w:highlight w:val="white"/>
                <w:lang w:val="en-GB"/>
              </w:rPr>
              <w:lastRenderedPageBreak/>
              <w:t>done in 2924.</w:t>
            </w:r>
          </w:p>
        </w:tc>
        <w:tc>
          <w:tcPr>
            <w:tcW w:w="2895" w:type="dxa"/>
            <w:tcMar>
              <w:top w:w="100" w:type="dxa"/>
              <w:left w:w="100" w:type="dxa"/>
              <w:bottom w:w="100" w:type="dxa"/>
              <w:right w:w="100" w:type="dxa"/>
            </w:tcMar>
          </w:tcPr>
          <w:p w14:paraId="4D9FDA94" w14:textId="77777777" w:rsidR="00150B23" w:rsidRPr="00F93301" w:rsidRDefault="00A17F42">
            <w:pPr>
              <w:widowControl w:val="0"/>
              <w:numPr>
                <w:ilvl w:val="0"/>
                <w:numId w:val="4"/>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lastRenderedPageBreak/>
              <w:t xml:space="preserve">Liquidity is very strong in all financial years. </w:t>
            </w:r>
          </w:p>
          <w:p w14:paraId="4D9FDA95" w14:textId="77777777" w:rsidR="00150B23" w:rsidRPr="00F93301" w:rsidRDefault="00A17F42">
            <w:pPr>
              <w:widowControl w:val="0"/>
              <w:numPr>
                <w:ilvl w:val="0"/>
                <w:numId w:val="4"/>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 xml:space="preserve">Working capital is positive indicating a proper balance between current liabilities and current assets. </w:t>
            </w:r>
          </w:p>
          <w:p w14:paraId="4D9FDA96" w14:textId="77777777" w:rsidR="00150B23" w:rsidRPr="00F93301" w:rsidRDefault="00A17F42">
            <w:pPr>
              <w:widowControl w:val="0"/>
              <w:numPr>
                <w:ilvl w:val="0"/>
                <w:numId w:val="4"/>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Operating cash balance is positive in all the years.</w:t>
            </w:r>
          </w:p>
          <w:p w14:paraId="4D9FDA97" w14:textId="77777777" w:rsidR="00150B23" w:rsidRPr="00F93301" w:rsidRDefault="00A17F42">
            <w:pPr>
              <w:widowControl w:val="0"/>
              <w:numPr>
                <w:ilvl w:val="0"/>
                <w:numId w:val="4"/>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Gross profit is positive in all the years</w:t>
            </w:r>
          </w:p>
        </w:tc>
        <w:tc>
          <w:tcPr>
            <w:tcW w:w="3780" w:type="dxa"/>
            <w:tcMar>
              <w:top w:w="100" w:type="dxa"/>
              <w:left w:w="100" w:type="dxa"/>
              <w:bottom w:w="100" w:type="dxa"/>
              <w:right w:w="100" w:type="dxa"/>
            </w:tcMar>
          </w:tcPr>
          <w:p w14:paraId="4D9FDA98" w14:textId="77777777" w:rsidR="00150B23" w:rsidRPr="00F93301" w:rsidRDefault="00A17F42">
            <w:pPr>
              <w:widowControl w:val="0"/>
              <w:numPr>
                <w:ilvl w:val="0"/>
                <w:numId w:val="3"/>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 xml:space="preserve">The biggest threat for the business is increasing competition which makes sustainability difficult. </w:t>
            </w:r>
          </w:p>
          <w:p w14:paraId="4D9FDA99" w14:textId="77777777" w:rsidR="00150B23" w:rsidRPr="00F93301" w:rsidRDefault="00A17F42">
            <w:pPr>
              <w:widowControl w:val="0"/>
              <w:numPr>
                <w:ilvl w:val="0"/>
                <w:numId w:val="3"/>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Amid rising competition, sales are decreasing which is worsening its condition.</w:t>
            </w:r>
          </w:p>
          <w:p w14:paraId="4D9FDA9A" w14:textId="77777777" w:rsidR="00150B23" w:rsidRPr="00F93301" w:rsidRDefault="00A17F42">
            <w:pPr>
              <w:widowControl w:val="0"/>
              <w:numPr>
                <w:ilvl w:val="0"/>
                <w:numId w:val="3"/>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 xml:space="preserve">EPS and net profit are negative. </w:t>
            </w:r>
          </w:p>
          <w:p w14:paraId="4D9FDA9B" w14:textId="77777777" w:rsidR="00150B23" w:rsidRPr="00F93301" w:rsidRDefault="00A17F42">
            <w:pPr>
              <w:widowControl w:val="0"/>
              <w:numPr>
                <w:ilvl w:val="0"/>
                <w:numId w:val="3"/>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Debt capital is very high, increasing leverage and risk.</w:t>
            </w:r>
          </w:p>
          <w:p w14:paraId="4D9FDA9C" w14:textId="77777777" w:rsidR="00150B23" w:rsidRPr="00F93301" w:rsidRDefault="00A17F42">
            <w:pPr>
              <w:widowControl w:val="0"/>
              <w:numPr>
                <w:ilvl w:val="0"/>
                <w:numId w:val="3"/>
              </w:numPr>
              <w:pBdr>
                <w:top w:val="nil"/>
                <w:left w:val="nil"/>
                <w:bottom w:val="nil"/>
                <w:right w:val="nil"/>
                <w:between w:val="nil"/>
              </w:pBdr>
              <w:spacing w:line="360" w:lineRule="auto"/>
              <w:jc w:val="both"/>
              <w:rPr>
                <w:sz w:val="24"/>
                <w:szCs w:val="24"/>
                <w:highlight w:val="white"/>
                <w:lang w:val="en-GB"/>
              </w:rPr>
            </w:pPr>
            <w:r w:rsidRPr="00F93301">
              <w:rPr>
                <w:sz w:val="24"/>
                <w:szCs w:val="24"/>
                <w:highlight w:val="white"/>
                <w:lang w:val="en-GB"/>
              </w:rPr>
              <w:t xml:space="preserve">A decreased cash balance is bad for the business in ensuring success. </w:t>
            </w:r>
          </w:p>
        </w:tc>
      </w:tr>
    </w:tbl>
    <w:p w14:paraId="4D9FDA9E" w14:textId="77777777" w:rsidR="00150B23" w:rsidRPr="00F93301" w:rsidRDefault="00A17F42" w:rsidP="001F1F15">
      <w:pPr>
        <w:pStyle w:val="Heading5"/>
        <w:rPr>
          <w:highlight w:val="white"/>
        </w:rPr>
      </w:pPr>
      <w:bookmarkStart w:id="23" w:name="_Toc216974998"/>
      <w:bookmarkStart w:id="24" w:name="_Toc216975080"/>
      <w:r w:rsidRPr="00F93301">
        <w:rPr>
          <w:highlight w:val="white"/>
        </w:rPr>
        <w:t>Table 1: Trends, Strengths and Threats</w:t>
      </w:r>
      <w:bookmarkEnd w:id="23"/>
      <w:bookmarkEnd w:id="24"/>
    </w:p>
    <w:p w14:paraId="4D9FDA9F"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A0" w14:textId="77777777" w:rsidR="00150B23" w:rsidRPr="00F93301" w:rsidRDefault="00A17F42">
      <w:pPr>
        <w:pStyle w:val="Heading2"/>
        <w:rPr>
          <w:lang w:val="en-GB"/>
        </w:rPr>
      </w:pPr>
      <w:bookmarkStart w:id="25" w:name="_Toc216975081"/>
      <w:r w:rsidRPr="00F93301">
        <w:rPr>
          <w:lang w:val="en-GB"/>
        </w:rPr>
        <w:t>IV. Altman Z-Score for Default Risk</w:t>
      </w:r>
      <w:bookmarkEnd w:id="25"/>
    </w:p>
    <w:p w14:paraId="4D9FDAA1" w14:textId="77777777" w:rsidR="00150B23" w:rsidRPr="00F93301" w:rsidRDefault="00A17F42">
      <w:pPr>
        <w:spacing w:before="200" w:after="200" w:line="360" w:lineRule="auto"/>
        <w:jc w:val="center"/>
        <w:rPr>
          <w:sz w:val="24"/>
          <w:szCs w:val="24"/>
          <w:highlight w:val="white"/>
          <w:lang w:val="en-GB"/>
        </w:rPr>
      </w:pPr>
      <w:r w:rsidRPr="00F93301">
        <w:rPr>
          <w:noProof/>
          <w:sz w:val="24"/>
          <w:szCs w:val="24"/>
          <w:highlight w:val="white"/>
          <w:lang w:val="en-GB"/>
        </w:rPr>
        <w:drawing>
          <wp:inline distT="114300" distB="114300" distL="114300" distR="114300" wp14:anchorId="4D9FDB5D" wp14:editId="4D9FDB5E">
            <wp:extent cx="4633913" cy="2790645"/>
            <wp:effectExtent l="0" t="0" r="0" b="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4633913" cy="2790645"/>
                    </a:xfrm>
                    <a:prstGeom prst="rect">
                      <a:avLst/>
                    </a:prstGeom>
                    <a:ln/>
                  </pic:spPr>
                </pic:pic>
              </a:graphicData>
            </a:graphic>
          </wp:inline>
        </w:drawing>
      </w:r>
    </w:p>
    <w:p w14:paraId="4D9FDAA2" w14:textId="5D5263B1" w:rsidR="00150B23" w:rsidRPr="00F93301" w:rsidRDefault="00A17F42" w:rsidP="001F1F15">
      <w:pPr>
        <w:pStyle w:val="Heading4"/>
        <w:rPr>
          <w:highlight w:val="white"/>
        </w:rPr>
      </w:pPr>
      <w:bookmarkStart w:id="26" w:name="_Toc216974949"/>
      <w:bookmarkStart w:id="27" w:name="_Toc216975082"/>
      <w:r w:rsidRPr="00F93301">
        <w:rPr>
          <w:highlight w:val="white"/>
        </w:rPr>
        <w:t xml:space="preserve">Figure </w:t>
      </w:r>
      <w:r w:rsidR="001F1F15" w:rsidRPr="00F93301">
        <w:rPr>
          <w:highlight w:val="white"/>
        </w:rPr>
        <w:t>10</w:t>
      </w:r>
      <w:r w:rsidRPr="00F93301">
        <w:rPr>
          <w:highlight w:val="white"/>
        </w:rPr>
        <w:t>: Altman Z-Score for Default Risk</w:t>
      </w:r>
      <w:bookmarkEnd w:id="26"/>
      <w:bookmarkEnd w:id="27"/>
    </w:p>
    <w:p w14:paraId="4D9FDAA3"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A4" w14:textId="5C2FD858"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Altman's Z-Score has come up as a prominent analytical instrument used in evaluating financial soundness of companies and, eventually, their possibilities of survival. In the views of Chishti </w:t>
      </w:r>
      <w:r w:rsidRPr="00F93301">
        <w:rPr>
          <w:i/>
          <w:iCs/>
          <w:sz w:val="24"/>
          <w:szCs w:val="24"/>
          <w:highlight w:val="white"/>
          <w:lang w:val="en-GB"/>
        </w:rPr>
        <w:t xml:space="preserve">et al. </w:t>
      </w:r>
      <w:r w:rsidRPr="00F93301">
        <w:rPr>
          <w:sz w:val="24"/>
          <w:szCs w:val="24"/>
          <w:highlight w:val="white"/>
          <w:lang w:val="en-GB"/>
        </w:rPr>
        <w:t xml:space="preserve">(2024), Z-Score can be defined as a measure of predicting corporate distress as introduced by ‘Edward I. Altman’ in late 1960s. The score was 3.15 times in 2024, 2.47 times in 2023, 2.74 times in 2022, 2.85 times in 2021 and 2.96 times in 2020. Figure 7 shows a moderate bankruptcy risk during 2021 to 2023 as the score ranges between 1.81 and 2.99. Since </w:t>
      </w:r>
      <w:r w:rsidR="00E2702D" w:rsidRPr="00F93301">
        <w:rPr>
          <w:sz w:val="24"/>
          <w:szCs w:val="24"/>
          <w:highlight w:val="white"/>
          <w:lang w:val="en-GB"/>
        </w:rPr>
        <w:t>then,</w:t>
      </w:r>
      <w:r w:rsidRPr="00F93301">
        <w:rPr>
          <w:sz w:val="24"/>
          <w:szCs w:val="24"/>
          <w:highlight w:val="white"/>
          <w:lang w:val="en-GB"/>
        </w:rPr>
        <w:t xml:space="preserve"> the company has enhanced its performance achieving a score of 2.99 in 2024. Currently, the company is not subject to bankruptcy even after having poor financial performance. The company possesses sufficient resources for performing business operations successfully which is efficient in preventing </w:t>
      </w:r>
      <w:r w:rsidRPr="00F93301">
        <w:rPr>
          <w:sz w:val="24"/>
          <w:szCs w:val="24"/>
          <w:highlight w:val="white"/>
          <w:lang w:val="en-GB"/>
        </w:rPr>
        <w:lastRenderedPageBreak/>
        <w:t xml:space="preserve">liquidation and bankruptcy for General Electronics ensuring long-term sustainability. Currently, the business is operating in a safe zone. </w:t>
      </w:r>
    </w:p>
    <w:p w14:paraId="4D9FDAA5" w14:textId="77777777" w:rsidR="00150B23" w:rsidRPr="00F93301" w:rsidRDefault="00A17F42">
      <w:pPr>
        <w:pStyle w:val="Heading1"/>
        <w:rPr>
          <w:lang w:val="en-GB"/>
        </w:rPr>
      </w:pPr>
      <w:bookmarkStart w:id="28" w:name="_Toc216975083"/>
      <w:r w:rsidRPr="00F93301">
        <w:rPr>
          <w:lang w:val="en-GB"/>
        </w:rPr>
        <w:t>3. Working Capital Management Analysis</w:t>
      </w:r>
      <w:bookmarkEnd w:id="28"/>
      <w:r w:rsidRPr="00F93301">
        <w:rPr>
          <w:lang w:val="en-GB"/>
        </w:rPr>
        <w:t xml:space="preserve"> </w:t>
      </w:r>
    </w:p>
    <w:p w14:paraId="4D9FDAA6" w14:textId="77777777" w:rsidR="00150B23" w:rsidRPr="00F93301" w:rsidRDefault="00A17F42">
      <w:pPr>
        <w:pStyle w:val="Heading2"/>
        <w:rPr>
          <w:lang w:val="en-GB"/>
        </w:rPr>
      </w:pPr>
      <w:bookmarkStart w:id="29" w:name="_Toc216975084"/>
      <w:r w:rsidRPr="00F93301">
        <w:rPr>
          <w:lang w:val="en-GB"/>
        </w:rPr>
        <w:t>I. Cash Operating Cycle</w:t>
      </w:r>
      <w:bookmarkEnd w:id="29"/>
    </w:p>
    <w:p w14:paraId="4D9FDAA7" w14:textId="3184F3B4" w:rsidR="00150B23" w:rsidRPr="00F93301" w:rsidRDefault="00D458EC">
      <w:pPr>
        <w:spacing w:before="200" w:after="200" w:line="360" w:lineRule="auto"/>
        <w:jc w:val="center"/>
        <w:rPr>
          <w:b/>
          <w:bCs/>
          <w:sz w:val="24"/>
          <w:szCs w:val="24"/>
          <w:highlight w:val="white"/>
          <w:lang w:val="en-GB"/>
        </w:rPr>
      </w:pPr>
      <w:r>
        <w:rPr>
          <w:noProof/>
        </w:rPr>
        <w:drawing>
          <wp:inline distT="0" distB="0" distL="0" distR="0" wp14:anchorId="54860061" wp14:editId="33C967B9">
            <wp:extent cx="4572000" cy="2743200"/>
            <wp:effectExtent l="0" t="0" r="0" b="0"/>
            <wp:docPr id="204223583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D9FDAA8" w14:textId="64EEA9CD" w:rsidR="00150B23" w:rsidRPr="00F93301" w:rsidRDefault="00A17F42" w:rsidP="001F1F15">
      <w:pPr>
        <w:pStyle w:val="Heading4"/>
        <w:rPr>
          <w:highlight w:val="white"/>
        </w:rPr>
      </w:pPr>
      <w:bookmarkStart w:id="30" w:name="_Toc216974950"/>
      <w:bookmarkStart w:id="31" w:name="_Toc216975085"/>
      <w:r w:rsidRPr="00F93301">
        <w:rPr>
          <w:highlight w:val="white"/>
        </w:rPr>
        <w:t xml:space="preserve">Figure </w:t>
      </w:r>
      <w:r w:rsidR="001F1F15" w:rsidRPr="00F93301">
        <w:rPr>
          <w:highlight w:val="white"/>
        </w:rPr>
        <w:t>11</w:t>
      </w:r>
      <w:r w:rsidRPr="00F93301">
        <w:rPr>
          <w:highlight w:val="white"/>
        </w:rPr>
        <w:t>: Cash Operating Cycle</w:t>
      </w:r>
      <w:bookmarkEnd w:id="30"/>
      <w:bookmarkEnd w:id="31"/>
    </w:p>
    <w:p w14:paraId="4D9FDAA9"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AA"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Working capital management or liquidity management is a critical choice in the short-term for any business. As commented by Karim </w:t>
      </w:r>
      <w:r w:rsidRPr="00F93301">
        <w:rPr>
          <w:i/>
          <w:iCs/>
          <w:sz w:val="24"/>
          <w:szCs w:val="24"/>
          <w:highlight w:val="white"/>
          <w:lang w:val="en-GB"/>
        </w:rPr>
        <w:t xml:space="preserve">et al. </w:t>
      </w:r>
      <w:r w:rsidRPr="00F93301">
        <w:rPr>
          <w:sz w:val="24"/>
          <w:szCs w:val="24"/>
          <w:highlight w:val="white"/>
          <w:lang w:val="en-GB"/>
        </w:rPr>
        <w:t xml:space="preserve">(2024), components of WCM such as CCC are the most significant variables to ensure liquidity, solvency as well as profitability of the business. The first element of CCC is inventory days which shows an increase in 2024 resulting in 103.12 days. This shows that the company requires 103.12 days to convert inventories into sales which is significantly high indicating poor performance. Also, inventory days are increasing in the last 5 years which is not desirable. The second element of CCC is receivable days which was 105.54 days in 2024. The ratio can be seen increasing which is not good for Working Capital Management. This indicates that the company is allowing customers with an extended period to clear off dues leading to shortage of cash within the business. This also increases the risk of the company to achieve bad debts. The last element of CCC involves payable days which was 93.60 days </w:t>
      </w:r>
      <w:r w:rsidRPr="00F93301">
        <w:rPr>
          <w:sz w:val="24"/>
          <w:szCs w:val="24"/>
          <w:highlight w:val="white"/>
          <w:lang w:val="en-GB"/>
        </w:rPr>
        <w:lastRenderedPageBreak/>
        <w:t>in 2024. The ratio is increasing indicating that the company is making late payments to the suppliers. CCC of GE was positive in all 5 years indicating poor management of working capital. In other words, the company is clearing payables sooner than receivables which leads to decrease in balance of cash. Therefore, it can be said that the Working Capital Management of the company is poor.</w:t>
      </w:r>
    </w:p>
    <w:p w14:paraId="4D9FDAAB" w14:textId="77777777" w:rsidR="00150B23" w:rsidRPr="00F93301" w:rsidRDefault="00A17F42">
      <w:pPr>
        <w:pStyle w:val="Heading2"/>
        <w:rPr>
          <w:lang w:val="en-GB"/>
        </w:rPr>
      </w:pPr>
      <w:bookmarkStart w:id="32" w:name="_Toc216975086"/>
      <w:r w:rsidRPr="00F93301">
        <w:rPr>
          <w:lang w:val="en-GB"/>
        </w:rPr>
        <w:t>II. Strategies to improve liquidity through working capital reforms</w:t>
      </w:r>
      <w:bookmarkEnd w:id="32"/>
    </w:p>
    <w:p w14:paraId="4D9FDAAC" w14:textId="2CAF377E"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Working capital is a lifeblood for a business which fuels regular operations and ensures </w:t>
      </w:r>
      <w:r w:rsidR="00E2702D" w:rsidRPr="00F93301">
        <w:rPr>
          <w:sz w:val="24"/>
          <w:szCs w:val="24"/>
          <w:highlight w:val="white"/>
          <w:lang w:val="en-GB"/>
        </w:rPr>
        <w:t>fulfilment</w:t>
      </w:r>
      <w:r w:rsidRPr="00F93301">
        <w:rPr>
          <w:sz w:val="24"/>
          <w:szCs w:val="24"/>
          <w:highlight w:val="white"/>
          <w:lang w:val="en-GB"/>
        </w:rPr>
        <w:t xml:space="preserve"> of financial obligations (JP Morgan, 2025). It helps in improving cash flow, increasing cash balance and achieving better position for the business. Working capital reforms that can be used for improving liquidity are: </w:t>
      </w:r>
    </w:p>
    <w:p w14:paraId="4D9FDAAD" w14:textId="77777777" w:rsidR="00150B23" w:rsidRPr="00F93301" w:rsidRDefault="00A17F42">
      <w:pPr>
        <w:numPr>
          <w:ilvl w:val="0"/>
          <w:numId w:val="2"/>
        </w:numPr>
        <w:spacing w:before="200" w:line="360" w:lineRule="auto"/>
        <w:jc w:val="both"/>
        <w:rPr>
          <w:sz w:val="24"/>
          <w:szCs w:val="24"/>
          <w:highlight w:val="white"/>
          <w:lang w:val="en-GB"/>
        </w:rPr>
      </w:pPr>
      <w:r w:rsidRPr="00F93301">
        <w:rPr>
          <w:sz w:val="24"/>
          <w:szCs w:val="24"/>
          <w:highlight w:val="white"/>
          <w:lang w:val="en-GB"/>
        </w:rPr>
        <w:t xml:space="preserve">Accelerating accounts receivable is the best way of improving liquidity and enhancing working capital of the business. This involves making customers clear off their dues as soon as possible against their purchase. In order to encourage customers for early payments, GE is required to offer them with early payment discounts and implement digital invoicing systems. </w:t>
      </w:r>
    </w:p>
    <w:p w14:paraId="4D9FDAAE" w14:textId="77777777" w:rsidR="00150B23" w:rsidRPr="00F93301" w:rsidRDefault="00A17F42">
      <w:pPr>
        <w:numPr>
          <w:ilvl w:val="0"/>
          <w:numId w:val="2"/>
        </w:numPr>
        <w:spacing w:line="360" w:lineRule="auto"/>
        <w:jc w:val="both"/>
        <w:rPr>
          <w:sz w:val="24"/>
          <w:szCs w:val="24"/>
          <w:highlight w:val="white"/>
          <w:lang w:val="en-GB"/>
        </w:rPr>
      </w:pPr>
      <w:r w:rsidRPr="00F93301">
        <w:rPr>
          <w:sz w:val="24"/>
          <w:szCs w:val="24"/>
          <w:highlight w:val="white"/>
          <w:lang w:val="en-GB"/>
        </w:rPr>
        <w:t xml:space="preserve">GE must tighten its accounts payable to optimize its working capital. This can be done by creating efficient payable processing through electronic workflows and negotiating favourable payment terms with the suppliers. Based on the views of Habib and </w:t>
      </w:r>
      <w:proofErr w:type="spellStart"/>
      <w:r w:rsidRPr="00F93301">
        <w:rPr>
          <w:sz w:val="24"/>
          <w:szCs w:val="24"/>
          <w:highlight w:val="white"/>
          <w:lang w:val="en-GB"/>
        </w:rPr>
        <w:t>Dalwai</w:t>
      </w:r>
      <w:proofErr w:type="spellEnd"/>
      <w:r w:rsidRPr="00F93301">
        <w:rPr>
          <w:sz w:val="24"/>
          <w:szCs w:val="24"/>
          <w:highlight w:val="white"/>
          <w:lang w:val="en-GB"/>
        </w:rPr>
        <w:t xml:space="preserve"> (2024), WCM includes management of payables, inventories, as well as receivables. Thus, the company must take advantage of early payment discounts.</w:t>
      </w:r>
    </w:p>
    <w:p w14:paraId="4D9FDAAF" w14:textId="77777777" w:rsidR="00150B23" w:rsidRPr="00F93301" w:rsidRDefault="00A17F42">
      <w:pPr>
        <w:numPr>
          <w:ilvl w:val="0"/>
          <w:numId w:val="2"/>
        </w:numPr>
        <w:spacing w:line="360" w:lineRule="auto"/>
        <w:jc w:val="both"/>
        <w:rPr>
          <w:sz w:val="24"/>
          <w:szCs w:val="24"/>
          <w:highlight w:val="white"/>
          <w:lang w:val="en-GB"/>
        </w:rPr>
      </w:pPr>
      <w:r w:rsidRPr="00F93301">
        <w:rPr>
          <w:sz w:val="24"/>
          <w:szCs w:val="24"/>
          <w:highlight w:val="white"/>
          <w:lang w:val="en-GB"/>
        </w:rPr>
        <w:t xml:space="preserve">Reduction in operating expenses would help in increasing working capital. This would require optimisation of processes, outsourcing particular functions and renegotiating contracts. </w:t>
      </w:r>
    </w:p>
    <w:p w14:paraId="4D9FDAB0" w14:textId="77777777" w:rsidR="00150B23" w:rsidRPr="00F93301" w:rsidRDefault="00A17F42">
      <w:pPr>
        <w:numPr>
          <w:ilvl w:val="0"/>
          <w:numId w:val="2"/>
        </w:numPr>
        <w:spacing w:line="360" w:lineRule="auto"/>
        <w:jc w:val="both"/>
        <w:rPr>
          <w:sz w:val="24"/>
          <w:szCs w:val="24"/>
          <w:highlight w:val="white"/>
          <w:lang w:val="en-GB"/>
        </w:rPr>
      </w:pPr>
      <w:r w:rsidRPr="00F93301">
        <w:rPr>
          <w:sz w:val="24"/>
          <w:szCs w:val="24"/>
          <w:highlight w:val="white"/>
          <w:lang w:val="en-GB"/>
        </w:rPr>
        <w:t xml:space="preserve">Controls and visibility must be improved by creating accurate forecasts of cash flow so that the company can plan for future cash requirements as well as use stock management tools for forecasting and tracking demand accurately. </w:t>
      </w:r>
    </w:p>
    <w:p w14:paraId="4D9FDAB1" w14:textId="77777777" w:rsidR="00150B23" w:rsidRPr="00F93301" w:rsidRDefault="00A17F42">
      <w:pPr>
        <w:numPr>
          <w:ilvl w:val="0"/>
          <w:numId w:val="2"/>
        </w:numPr>
        <w:spacing w:line="360" w:lineRule="auto"/>
        <w:jc w:val="both"/>
        <w:rPr>
          <w:sz w:val="24"/>
          <w:szCs w:val="24"/>
          <w:highlight w:val="white"/>
          <w:lang w:val="en-GB"/>
        </w:rPr>
      </w:pPr>
      <w:r w:rsidRPr="00F93301">
        <w:rPr>
          <w:sz w:val="24"/>
          <w:szCs w:val="24"/>
          <w:highlight w:val="white"/>
          <w:lang w:val="en-GB"/>
        </w:rPr>
        <w:t xml:space="preserve">GE is required to manage and measure working capital by tracking receivable and payable turnover along with cash conversion cycle, quick ratio and current ratio. In the views of Cosima </w:t>
      </w:r>
      <w:r w:rsidRPr="00F93301">
        <w:rPr>
          <w:i/>
          <w:iCs/>
          <w:sz w:val="24"/>
          <w:szCs w:val="24"/>
          <w:highlight w:val="white"/>
          <w:lang w:val="en-GB"/>
        </w:rPr>
        <w:t xml:space="preserve">et al. </w:t>
      </w:r>
      <w:r w:rsidRPr="00F93301">
        <w:rPr>
          <w:sz w:val="24"/>
          <w:szCs w:val="24"/>
          <w:highlight w:val="white"/>
          <w:lang w:val="en-GB"/>
        </w:rPr>
        <w:t xml:space="preserve">(2025), cash flow is generally maximized by decreasing </w:t>
      </w:r>
      <w:r w:rsidRPr="00F93301">
        <w:rPr>
          <w:sz w:val="24"/>
          <w:szCs w:val="24"/>
          <w:highlight w:val="white"/>
          <w:lang w:val="en-GB"/>
        </w:rPr>
        <w:lastRenderedPageBreak/>
        <w:t xml:space="preserve">CCC and improving efficiency. Measuring performance through these ratios would help the organisation in determining issues in Working Capital Management. </w:t>
      </w:r>
    </w:p>
    <w:p w14:paraId="4D9FDAB2" w14:textId="77777777" w:rsidR="00150B23" w:rsidRPr="00F93301" w:rsidRDefault="00A17F42">
      <w:pPr>
        <w:numPr>
          <w:ilvl w:val="0"/>
          <w:numId w:val="2"/>
        </w:numPr>
        <w:spacing w:after="200" w:line="360" w:lineRule="auto"/>
        <w:jc w:val="both"/>
        <w:rPr>
          <w:sz w:val="24"/>
          <w:szCs w:val="24"/>
          <w:highlight w:val="white"/>
          <w:lang w:val="en-GB"/>
        </w:rPr>
      </w:pPr>
      <w:r w:rsidRPr="00F93301">
        <w:rPr>
          <w:sz w:val="24"/>
          <w:szCs w:val="24"/>
          <w:highlight w:val="white"/>
          <w:lang w:val="en-GB"/>
        </w:rPr>
        <w:t>GE must consider financing options by decreasing dependence on external capital as well as improving prediction of actual requirements. Different financing and investment options must be considered such as term loans, lines of credit and invoice financing.</w:t>
      </w:r>
    </w:p>
    <w:p w14:paraId="4D9FDAB3" w14:textId="77777777" w:rsidR="00150B23" w:rsidRPr="00F93301" w:rsidRDefault="00A17F42">
      <w:pPr>
        <w:pStyle w:val="Heading2"/>
        <w:rPr>
          <w:lang w:val="en-GB"/>
        </w:rPr>
      </w:pPr>
      <w:bookmarkStart w:id="33" w:name="_Toc216975087"/>
      <w:r w:rsidRPr="00F93301">
        <w:rPr>
          <w:lang w:val="en-GB"/>
        </w:rPr>
        <w:t>III. Short-Term vs Long-Term Financing Options</w:t>
      </w:r>
      <w:bookmarkEnd w:id="33"/>
    </w:p>
    <w:p w14:paraId="4D9FDAB4" w14:textId="77777777" w:rsidR="00150B23" w:rsidRPr="00F93301" w:rsidRDefault="00A17F42">
      <w:pPr>
        <w:spacing w:before="200" w:after="200" w:line="360" w:lineRule="auto"/>
        <w:jc w:val="both"/>
        <w:rPr>
          <w:b/>
          <w:bCs/>
          <w:sz w:val="24"/>
          <w:szCs w:val="24"/>
          <w:highlight w:val="white"/>
          <w:lang w:val="en-GB"/>
        </w:rPr>
      </w:pPr>
      <w:r w:rsidRPr="00F93301">
        <w:rPr>
          <w:b/>
          <w:bCs/>
          <w:sz w:val="24"/>
          <w:szCs w:val="24"/>
          <w:highlight w:val="white"/>
          <w:lang w:val="en-GB"/>
        </w:rPr>
        <w:t>Short-Term Financing</w:t>
      </w:r>
    </w:p>
    <w:p w14:paraId="4D9FDAB5"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Short-term financing of GE is being done through lines of credit. Lines of credit were 36960 pounds million in 2024, 55000 million pounds in 2023, 88000 million pounds in 2022, 56000 million pounds in 2021 and 20000 million pounds in 2020. A decrease in balance can be seen indicating less funds being collected. Accounts Payable is offering GE with some time period to clear off dues instead of spot payment. </w:t>
      </w:r>
    </w:p>
    <w:p w14:paraId="4D9FDAB6" w14:textId="77777777" w:rsidR="00150B23" w:rsidRPr="00F93301" w:rsidRDefault="00A17F42">
      <w:pPr>
        <w:spacing w:before="200" w:after="200" w:line="360" w:lineRule="auto"/>
        <w:jc w:val="both"/>
        <w:rPr>
          <w:b/>
          <w:bCs/>
          <w:sz w:val="24"/>
          <w:szCs w:val="24"/>
          <w:highlight w:val="white"/>
          <w:lang w:val="en-GB"/>
        </w:rPr>
      </w:pPr>
      <w:r w:rsidRPr="00F93301">
        <w:rPr>
          <w:b/>
          <w:bCs/>
          <w:sz w:val="24"/>
          <w:szCs w:val="24"/>
          <w:highlight w:val="white"/>
          <w:lang w:val="en-GB"/>
        </w:rPr>
        <w:t>Long-Term Financing</w:t>
      </w:r>
    </w:p>
    <w:p w14:paraId="4D9FDAB7"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Long-term financing of the company is being done through debt and equity. Total shareholders' equity was 153105 million pounds in 2024, 178920 million pounds in 2023, 268406 million pounds in 2022, 275949 million pounds in 2021 and 313301 million pounds in 2020. The benefit of equity financing for the business involves no burden of repaying the principal value. Also, the business is earning loss due to which there is no obligation of paying dividends. On the contrary, total debt capital was 170249 million pounds in 2024, 176952 million pounds in 2023, 235757 million pounds in 2022, 234399 million pounds in 2021 and 196989 million pounds in 2020. The benefit of debt financing is reduction in tax that GE needs to pay to the shareholders. However, the capital structure of the business becomes risky. </w:t>
      </w:r>
    </w:p>
    <w:p w14:paraId="4D9FDAB8" w14:textId="77777777" w:rsidR="00150B23" w:rsidRPr="00F93301" w:rsidRDefault="00A17F42">
      <w:pPr>
        <w:pStyle w:val="Heading1"/>
        <w:rPr>
          <w:lang w:val="en-GB"/>
        </w:rPr>
      </w:pPr>
      <w:bookmarkStart w:id="34" w:name="_Toc216975088"/>
      <w:r w:rsidRPr="00F93301">
        <w:rPr>
          <w:lang w:val="en-GB"/>
        </w:rPr>
        <w:t>4. Strategic Financial Restructuring Plan</w:t>
      </w:r>
      <w:bookmarkEnd w:id="34"/>
      <w:r w:rsidRPr="00F93301">
        <w:rPr>
          <w:lang w:val="en-GB"/>
        </w:rPr>
        <w:t xml:space="preserve"> </w:t>
      </w:r>
    </w:p>
    <w:p w14:paraId="4D9FDAB9"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Three options of strategic financial restructuring can be recommended to GE which includes divestiture, merger as well as equity injection.</w:t>
      </w:r>
    </w:p>
    <w:p w14:paraId="4D9FDABA" w14:textId="77777777" w:rsidR="00150B23" w:rsidRPr="00F93301" w:rsidRDefault="00A17F42">
      <w:pPr>
        <w:pStyle w:val="Heading2"/>
        <w:rPr>
          <w:lang w:val="en-GB"/>
        </w:rPr>
      </w:pPr>
      <w:bookmarkStart w:id="35" w:name="_Toc216975089"/>
      <w:r w:rsidRPr="00F93301">
        <w:rPr>
          <w:lang w:val="en-GB"/>
        </w:rPr>
        <w:lastRenderedPageBreak/>
        <w:t>I. Financial Restructuring Options</w:t>
      </w:r>
      <w:bookmarkEnd w:id="35"/>
    </w:p>
    <w:p w14:paraId="4D9FDABB"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Divestiture: </w:t>
      </w:r>
      <w:r w:rsidRPr="00F93301">
        <w:rPr>
          <w:sz w:val="24"/>
          <w:szCs w:val="24"/>
          <w:highlight w:val="white"/>
          <w:lang w:val="en-GB"/>
        </w:rPr>
        <w:t xml:space="preserve">Divestiture is an option of financial restructuring which requires spinning off or selling business units as well as assets not aligning with core objectives of the organisation or with an aim of earning suboptimal returns. GE can consider this option for its poorly performing business units, especially those earning very low ROCE. With this strategy, the company would improve its working capital and liquidity due to the immediate inflow of cash. As commented by </w:t>
      </w:r>
      <w:proofErr w:type="spellStart"/>
      <w:r w:rsidRPr="00F93301">
        <w:rPr>
          <w:sz w:val="24"/>
          <w:szCs w:val="24"/>
          <w:highlight w:val="white"/>
          <w:lang w:val="en-GB"/>
        </w:rPr>
        <w:t>Colliard</w:t>
      </w:r>
      <w:proofErr w:type="spellEnd"/>
      <w:r w:rsidRPr="00F93301">
        <w:rPr>
          <w:sz w:val="24"/>
          <w:szCs w:val="24"/>
          <w:highlight w:val="white"/>
          <w:lang w:val="en-GB"/>
        </w:rPr>
        <w:t xml:space="preserve"> and </w:t>
      </w:r>
      <w:proofErr w:type="spellStart"/>
      <w:r w:rsidRPr="00F93301">
        <w:rPr>
          <w:sz w:val="24"/>
          <w:szCs w:val="24"/>
          <w:highlight w:val="white"/>
          <w:lang w:val="en-GB"/>
        </w:rPr>
        <w:t>Gromb</w:t>
      </w:r>
      <w:proofErr w:type="spellEnd"/>
      <w:r w:rsidRPr="00F93301">
        <w:rPr>
          <w:sz w:val="24"/>
          <w:szCs w:val="24"/>
          <w:highlight w:val="white"/>
          <w:lang w:val="en-GB"/>
        </w:rPr>
        <w:t xml:space="preserve"> (2025), ‘optimal capital structure’ creates a trade-off between cost of every instrument as well as its effect on restructuring delays. Along with this, the focus of management would shift towards activities of business generating higher profits. Operational complexity would decrease improving efficiency and cost control.</w:t>
      </w:r>
    </w:p>
    <w:p w14:paraId="4D9FDABC"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Merger: </w:t>
      </w:r>
      <w:r w:rsidRPr="00F93301">
        <w:rPr>
          <w:sz w:val="24"/>
          <w:szCs w:val="24"/>
          <w:highlight w:val="white"/>
          <w:lang w:val="en-GB"/>
        </w:rPr>
        <w:t xml:space="preserve">Merger is an option of financial restructuring which requires a company to collaborate with another operating in either similar industry or a different industry. In the views of </w:t>
      </w:r>
      <w:proofErr w:type="spellStart"/>
      <w:r w:rsidRPr="00F93301">
        <w:rPr>
          <w:sz w:val="24"/>
          <w:szCs w:val="24"/>
          <w:highlight w:val="white"/>
          <w:lang w:val="en-GB"/>
        </w:rPr>
        <w:t>Udeoji</w:t>
      </w:r>
      <w:proofErr w:type="spellEnd"/>
      <w:r w:rsidRPr="00F93301">
        <w:rPr>
          <w:sz w:val="24"/>
          <w:szCs w:val="24"/>
          <w:highlight w:val="white"/>
          <w:lang w:val="en-GB"/>
        </w:rPr>
        <w:t xml:space="preserve"> and </w:t>
      </w:r>
      <w:proofErr w:type="spellStart"/>
      <w:r w:rsidRPr="00F93301">
        <w:rPr>
          <w:sz w:val="24"/>
          <w:szCs w:val="24"/>
          <w:highlight w:val="white"/>
          <w:lang w:val="en-GB"/>
        </w:rPr>
        <w:t>Udeoji</w:t>
      </w:r>
      <w:proofErr w:type="spellEnd"/>
      <w:r w:rsidRPr="00F93301">
        <w:rPr>
          <w:sz w:val="24"/>
          <w:szCs w:val="24"/>
          <w:highlight w:val="white"/>
          <w:lang w:val="en-GB"/>
        </w:rPr>
        <w:t xml:space="preserve"> (2025), the incentive of restructuring mostly arises due to market value of a</w:t>
      </w:r>
      <w:r w:rsidRPr="00F93301">
        <w:rPr>
          <w:lang w:val="en-GB"/>
        </w:rPr>
        <w:t xml:space="preserve"> </w:t>
      </w:r>
      <w:r w:rsidRPr="00F93301">
        <w:rPr>
          <w:sz w:val="24"/>
          <w:szCs w:val="24"/>
          <w:highlight w:val="white"/>
          <w:lang w:val="en-GB"/>
        </w:rPr>
        <w:t>firm falling significantly below its intrinsic value or full potential. Merger would provide GE with the ability to access capital of the company it is merging with. With the help of this strategy, the company will be able to improve its profitability and acquire more resources. The company would also get access to knowledge and expertise present in the firm it is merging with, without any significant investment. An improvement in Goodwill of the business can also be seen post-merger.</w:t>
      </w:r>
    </w:p>
    <w:p w14:paraId="4D9FDABD" w14:textId="58F0B676"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Equity Injection: </w:t>
      </w:r>
      <w:r w:rsidRPr="00F93301">
        <w:rPr>
          <w:sz w:val="24"/>
          <w:szCs w:val="24"/>
          <w:highlight w:val="white"/>
          <w:lang w:val="en-GB"/>
        </w:rPr>
        <w:t xml:space="preserve">Equity Injection is an option of financial restructuring which requires rights issues to increase equity balance. GE can also look for strategic investors who can improve the capital base of the company without contributing to debt obligations. However, as argued by Shem and </w:t>
      </w:r>
      <w:proofErr w:type="spellStart"/>
      <w:r w:rsidRPr="00F93301">
        <w:rPr>
          <w:sz w:val="24"/>
          <w:szCs w:val="24"/>
          <w:highlight w:val="white"/>
          <w:lang w:val="en-GB"/>
        </w:rPr>
        <w:t>Mupa</w:t>
      </w:r>
      <w:proofErr w:type="spellEnd"/>
      <w:r w:rsidRPr="00F93301">
        <w:rPr>
          <w:sz w:val="24"/>
          <w:szCs w:val="24"/>
          <w:highlight w:val="white"/>
          <w:lang w:val="en-GB"/>
        </w:rPr>
        <w:t xml:space="preserve"> (2024), legal challenges, such as litigation, creditor disputes, and regulatory issues can complicate the process of restructuring. This option would be very suitable for the company because of strict credit situations and increasing interest rates in the market. In this way, the company would improve its creditworthiness and create a better balance between equity and debt. In addition, the ability of the firm to finance international expansion, digital transformation and innovation would improve.</w:t>
      </w:r>
    </w:p>
    <w:p w14:paraId="4D9FDABE" w14:textId="77777777" w:rsidR="00150B23" w:rsidRPr="00F93301" w:rsidRDefault="00A17F42">
      <w:pPr>
        <w:pStyle w:val="Heading2"/>
        <w:rPr>
          <w:lang w:val="en-GB"/>
        </w:rPr>
      </w:pPr>
      <w:bookmarkStart w:id="36" w:name="_Toc216975090"/>
      <w:r w:rsidRPr="00F93301">
        <w:rPr>
          <w:lang w:val="en-GB"/>
        </w:rPr>
        <w:lastRenderedPageBreak/>
        <w:t>II. Impact of Financial Restructuring Options</w:t>
      </w:r>
      <w:bookmarkEnd w:id="36"/>
    </w:p>
    <w:p w14:paraId="4D9FDABF"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Shareholder Value: Divestiture</w:t>
      </w:r>
      <w:r w:rsidRPr="00F93301">
        <w:rPr>
          <w:sz w:val="24"/>
          <w:szCs w:val="24"/>
          <w:highlight w:val="white"/>
          <w:lang w:val="en-GB"/>
        </w:rPr>
        <w:t xml:space="preserve"> would create value for shareholders via taking out capital from low-return assets as well as reallocating the same towards activities with opportunity of higher growth. As suggested by Akinsola and Kingsley Onu (2024), corporate spin-offs, and divestitures are important strategic initiatives to be used by companies in adapting to market demands, unlocking shareholder value and streamlining operations. </w:t>
      </w:r>
      <w:r w:rsidRPr="00F93301">
        <w:rPr>
          <w:b/>
          <w:bCs/>
          <w:i/>
          <w:iCs/>
          <w:sz w:val="24"/>
          <w:szCs w:val="24"/>
          <w:highlight w:val="white"/>
          <w:lang w:val="en-GB"/>
        </w:rPr>
        <w:t>Mergers</w:t>
      </w:r>
      <w:r w:rsidRPr="00F93301">
        <w:rPr>
          <w:sz w:val="24"/>
          <w:szCs w:val="24"/>
          <w:highlight w:val="white"/>
          <w:lang w:val="en-GB"/>
        </w:rPr>
        <w:t xml:space="preserve"> would also create value for shareholders because of the increase in price of shares along with enhanced goodwill. </w:t>
      </w:r>
      <w:r w:rsidRPr="00F93301">
        <w:rPr>
          <w:b/>
          <w:bCs/>
          <w:i/>
          <w:iCs/>
          <w:sz w:val="24"/>
          <w:szCs w:val="24"/>
          <w:highlight w:val="white"/>
          <w:lang w:val="en-GB"/>
        </w:rPr>
        <w:t xml:space="preserve">Injection of equity </w:t>
      </w:r>
      <w:r w:rsidRPr="00F93301">
        <w:rPr>
          <w:sz w:val="24"/>
          <w:szCs w:val="24"/>
          <w:highlight w:val="white"/>
          <w:lang w:val="en-GB"/>
        </w:rPr>
        <w:t xml:space="preserve">might dilute current shareholdings for a short time period but the impact on long-term value would be positive significantly if the collected capital earns returns greater than cost of equity. </w:t>
      </w:r>
    </w:p>
    <w:p w14:paraId="4D9FDAC0" w14:textId="680044A9"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Debt Structure: Divestiture </w:t>
      </w:r>
      <w:r w:rsidRPr="00F93301">
        <w:rPr>
          <w:sz w:val="24"/>
          <w:szCs w:val="24"/>
          <w:highlight w:val="white"/>
          <w:lang w:val="en-GB"/>
        </w:rPr>
        <w:t xml:space="preserve">would generate proceeds which can be successfully used in retiring debt with high cost. This in-turn would decrease risk of interest coverage and leverage ratios. This option of financial restructuring is very beneficial when it comes to creating a balance between debt and equity as well as managing cost of capital. As per the views of Erl </w:t>
      </w:r>
      <w:r w:rsidRPr="00F93301">
        <w:rPr>
          <w:i/>
          <w:iCs/>
          <w:sz w:val="24"/>
          <w:szCs w:val="24"/>
          <w:highlight w:val="white"/>
          <w:lang w:val="en-GB"/>
        </w:rPr>
        <w:t xml:space="preserve">et al. </w:t>
      </w:r>
      <w:r w:rsidRPr="00F93301">
        <w:rPr>
          <w:sz w:val="24"/>
          <w:szCs w:val="24"/>
          <w:highlight w:val="white"/>
          <w:lang w:val="en-GB"/>
        </w:rPr>
        <w:t xml:space="preserve">(2025), divestiture is a main strategic tool for companies willing to streamline operations as well as enhance financial performance. </w:t>
      </w:r>
      <w:r w:rsidRPr="00F93301">
        <w:rPr>
          <w:b/>
          <w:bCs/>
          <w:i/>
          <w:iCs/>
          <w:sz w:val="24"/>
          <w:szCs w:val="24"/>
          <w:highlight w:val="white"/>
          <w:lang w:val="en-GB"/>
        </w:rPr>
        <w:t>Merger</w:t>
      </w:r>
      <w:r w:rsidRPr="00F93301">
        <w:rPr>
          <w:sz w:val="24"/>
          <w:szCs w:val="24"/>
          <w:highlight w:val="white"/>
          <w:lang w:val="en-GB"/>
        </w:rPr>
        <w:t xml:space="preserve"> would help the company in combining both debt and equity of both companies. If the other company possesses a lower level of debt capital in its capital </w:t>
      </w:r>
      <w:r w:rsidR="008D3293" w:rsidRPr="00F93301">
        <w:rPr>
          <w:sz w:val="24"/>
          <w:szCs w:val="24"/>
          <w:highlight w:val="white"/>
          <w:lang w:val="en-GB"/>
        </w:rPr>
        <w:t>structure,</w:t>
      </w:r>
      <w:r w:rsidRPr="00F93301">
        <w:rPr>
          <w:sz w:val="24"/>
          <w:szCs w:val="24"/>
          <w:highlight w:val="white"/>
          <w:lang w:val="en-GB"/>
        </w:rPr>
        <w:t xml:space="preserve"> then GE will be able to improve its debt structure. </w:t>
      </w:r>
      <w:r w:rsidRPr="00F93301">
        <w:rPr>
          <w:b/>
          <w:bCs/>
          <w:i/>
          <w:iCs/>
          <w:sz w:val="24"/>
          <w:szCs w:val="24"/>
          <w:highlight w:val="white"/>
          <w:lang w:val="en-GB"/>
        </w:rPr>
        <w:t>Equity injection</w:t>
      </w:r>
      <w:r w:rsidRPr="00F93301">
        <w:rPr>
          <w:sz w:val="24"/>
          <w:szCs w:val="24"/>
          <w:highlight w:val="white"/>
          <w:lang w:val="en-GB"/>
        </w:rPr>
        <w:t xml:space="preserve"> would decrease financial leverage, burden of interest as well as bankruptcy risk. The company would not be subject to the pressure of repaying shareholders with the collected funds.</w:t>
      </w:r>
    </w:p>
    <w:p w14:paraId="4D9FDAC1"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Operational Flexibility: Divestiture</w:t>
      </w:r>
      <w:r w:rsidRPr="00F93301">
        <w:rPr>
          <w:sz w:val="24"/>
          <w:szCs w:val="24"/>
          <w:highlight w:val="white"/>
          <w:lang w:val="en-GB"/>
        </w:rPr>
        <w:t xml:space="preserve"> would ensure operational flexibility by creating a strong balance sheet as well as improving borrowing capacity in the future. Management of limited resources would also improve because of this financial restructuring option. As commented by Nguyen </w:t>
      </w:r>
      <w:r w:rsidRPr="00F93301">
        <w:rPr>
          <w:i/>
          <w:iCs/>
          <w:sz w:val="24"/>
          <w:szCs w:val="24"/>
          <w:highlight w:val="white"/>
          <w:lang w:val="en-GB"/>
        </w:rPr>
        <w:t xml:space="preserve">et al. </w:t>
      </w:r>
      <w:r w:rsidRPr="00F93301">
        <w:rPr>
          <w:sz w:val="24"/>
          <w:szCs w:val="24"/>
          <w:highlight w:val="white"/>
          <w:lang w:val="en-GB"/>
        </w:rPr>
        <w:t xml:space="preserve">(2025), restructuring is inevitable for driving sustainability of companies and economic landscape. </w:t>
      </w:r>
      <w:r w:rsidRPr="00F93301">
        <w:rPr>
          <w:b/>
          <w:bCs/>
          <w:i/>
          <w:iCs/>
          <w:sz w:val="24"/>
          <w:szCs w:val="24"/>
          <w:highlight w:val="white"/>
          <w:lang w:val="en-GB"/>
        </w:rPr>
        <w:t>Equity injection</w:t>
      </w:r>
      <w:r w:rsidRPr="00F93301">
        <w:rPr>
          <w:sz w:val="24"/>
          <w:szCs w:val="24"/>
          <w:highlight w:val="white"/>
          <w:lang w:val="en-GB"/>
        </w:rPr>
        <w:t xml:space="preserve"> would provide better operational flexibility to GE by ensuring that the management focuses on strategic initiatives in place of breaching liquidity constraints or debt covenants. </w:t>
      </w:r>
      <w:r w:rsidRPr="00F93301">
        <w:rPr>
          <w:b/>
          <w:bCs/>
          <w:i/>
          <w:iCs/>
          <w:sz w:val="24"/>
          <w:szCs w:val="24"/>
          <w:highlight w:val="white"/>
          <w:lang w:val="en-GB"/>
        </w:rPr>
        <w:t>Merger</w:t>
      </w:r>
      <w:r w:rsidRPr="00F93301">
        <w:rPr>
          <w:sz w:val="24"/>
          <w:szCs w:val="24"/>
          <w:highlight w:val="white"/>
          <w:lang w:val="en-GB"/>
        </w:rPr>
        <w:t xml:space="preserve"> improves operational flexibility by improving capital structure and resource base. The company will be able to acquire skilled workforce for performing business operations.</w:t>
      </w:r>
    </w:p>
    <w:p w14:paraId="4D9FDAC2" w14:textId="77777777" w:rsidR="00150B23" w:rsidRPr="00F93301" w:rsidRDefault="00A17F42">
      <w:pPr>
        <w:pStyle w:val="Heading2"/>
        <w:rPr>
          <w:lang w:val="en-GB"/>
        </w:rPr>
      </w:pPr>
      <w:bookmarkStart w:id="37" w:name="_Toc216975091"/>
      <w:r w:rsidRPr="00F93301">
        <w:rPr>
          <w:lang w:val="en-GB"/>
        </w:rPr>
        <w:lastRenderedPageBreak/>
        <w:t>III. International and ethical considerations</w:t>
      </w:r>
      <w:bookmarkEnd w:id="37"/>
    </w:p>
    <w:p w14:paraId="4D9FDAC3"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Taxation: </w:t>
      </w:r>
      <w:r w:rsidRPr="00F93301">
        <w:rPr>
          <w:sz w:val="24"/>
          <w:szCs w:val="24"/>
          <w:highlight w:val="white"/>
          <w:lang w:val="en-GB"/>
        </w:rPr>
        <w:t xml:space="preserve">Equity injection and international divestiture has been found to trigger tax liabilities internationally which includes transfer pricing scrutiny, withholding tax and capital gain tax. GE would have to comply with the changing international regulations associated with taxation. Along with this, tax-efficient jurisdictions must be used to reduce regulatory and reputational risks ensuring achievement of the desired benefits. </w:t>
      </w:r>
    </w:p>
    <w:p w14:paraId="4D9FDAC4"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Currency Risk: </w:t>
      </w:r>
      <w:r w:rsidRPr="00F93301">
        <w:rPr>
          <w:sz w:val="24"/>
          <w:szCs w:val="24"/>
          <w:highlight w:val="white"/>
          <w:lang w:val="en-GB"/>
        </w:rPr>
        <w:t>Companies with international operations are subject to currency risk if they decide to restructure their business financially. This is why GE is required to consider volatility of foreign exchange. Exchange losses or gains can be crystallized with foreign asset divestment. On the other hand, debt denominated in foreign currency makes the firm subject to risk of repayment. In this situation, GE must consider hedging strategies to be able to control the impact of fluctuating exchange rates.</w:t>
      </w:r>
    </w:p>
    <w:p w14:paraId="4D9FDAC5"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Inflation: </w:t>
      </w:r>
      <w:r w:rsidRPr="00F93301">
        <w:rPr>
          <w:sz w:val="24"/>
          <w:szCs w:val="24"/>
          <w:highlight w:val="white"/>
          <w:lang w:val="en-GB"/>
        </w:rPr>
        <w:t xml:space="preserve">In the views of Adriana </w:t>
      </w:r>
      <w:r w:rsidRPr="00F93301">
        <w:rPr>
          <w:i/>
          <w:iCs/>
          <w:sz w:val="24"/>
          <w:szCs w:val="24"/>
          <w:highlight w:val="white"/>
          <w:lang w:val="en-GB"/>
        </w:rPr>
        <w:t xml:space="preserve">et al. </w:t>
      </w:r>
      <w:r w:rsidRPr="00F93301">
        <w:rPr>
          <w:sz w:val="24"/>
          <w:szCs w:val="24"/>
          <w:highlight w:val="white"/>
          <w:lang w:val="en-GB"/>
        </w:rPr>
        <w:t>(2024), market boundaries have been found to influence the decision of a firm to exit via divestiture spin-off. Interest and inflation rates increase cost of financing for a business along with decreasing returns. In this situation, equity financing becomes more attractive as the cost and risk remains lower compared to debt. GE must consider instruments that are inflation-indexed or fixed-rate so that the cash flows can be stabilized in the future.</w:t>
      </w:r>
    </w:p>
    <w:p w14:paraId="4D9FDAC6"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CSR: </w:t>
      </w:r>
      <w:r w:rsidRPr="00F93301">
        <w:rPr>
          <w:sz w:val="24"/>
          <w:szCs w:val="24"/>
          <w:highlight w:val="white"/>
          <w:lang w:val="en-GB"/>
        </w:rPr>
        <w:t xml:space="preserve">It is important to consider the CSR aspects while taking the decision to perform financial restructuring. Strong ethical framework is required for maintaining sustainability and stakeholder trust in the long-term while performing financial restructuring. As analysed by </w:t>
      </w:r>
      <w:proofErr w:type="spellStart"/>
      <w:r w:rsidRPr="00F93301">
        <w:rPr>
          <w:sz w:val="24"/>
          <w:szCs w:val="24"/>
          <w:highlight w:val="white"/>
          <w:lang w:val="en-GB"/>
        </w:rPr>
        <w:t>Malapur</w:t>
      </w:r>
      <w:proofErr w:type="spellEnd"/>
      <w:r w:rsidRPr="00F93301">
        <w:rPr>
          <w:sz w:val="24"/>
          <w:szCs w:val="24"/>
          <w:highlight w:val="white"/>
          <w:lang w:val="en-GB"/>
        </w:rPr>
        <w:t xml:space="preserve"> (2024), CSR programs have been found to possess a huge impact on reputation as well as perception of a company, drawing in socially-conscious customers and investors while boosting brand loyalty. Equity investors have been found to prefer ESG performance which means GE must take initiatives to become a responsible citizen. Restructuring plans must incorporate practices which support value creation in the long-term, ethical governance and sustainable operations to be able to attract institutional investors as well as decrease cost of capital of the firm.</w:t>
      </w:r>
    </w:p>
    <w:p w14:paraId="4D9FDAC7" w14:textId="77777777" w:rsidR="00150B23" w:rsidRPr="00F93301" w:rsidRDefault="00A17F42">
      <w:pPr>
        <w:pStyle w:val="Heading1"/>
        <w:rPr>
          <w:lang w:val="en-GB"/>
        </w:rPr>
      </w:pPr>
      <w:bookmarkStart w:id="38" w:name="_Toc216975092"/>
      <w:r w:rsidRPr="00F93301">
        <w:rPr>
          <w:lang w:val="en-GB"/>
        </w:rPr>
        <w:lastRenderedPageBreak/>
        <w:t>5. Investment Appraisal and Capital Budgeting</w:t>
      </w:r>
      <w:bookmarkEnd w:id="38"/>
      <w:r w:rsidRPr="00F93301">
        <w:rPr>
          <w:lang w:val="en-GB"/>
        </w:rPr>
        <w:t xml:space="preserve"> </w:t>
      </w:r>
    </w:p>
    <w:p w14:paraId="4D9FDAC8" w14:textId="77777777" w:rsidR="00150B23" w:rsidRPr="00F93301" w:rsidRDefault="00A17F42">
      <w:pPr>
        <w:pStyle w:val="Heading2"/>
        <w:rPr>
          <w:lang w:val="en-GB"/>
        </w:rPr>
      </w:pPr>
      <w:bookmarkStart w:id="39" w:name="_Toc216975093"/>
      <w:r w:rsidRPr="00F93301">
        <w:rPr>
          <w:lang w:val="en-GB"/>
        </w:rPr>
        <w:t>I. Calculation of Investment Appraisal Techniques</w:t>
      </w:r>
      <w:bookmarkEnd w:id="39"/>
    </w:p>
    <w:p w14:paraId="4D9FDAC9"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It is given that:</w:t>
      </w:r>
    </w:p>
    <w:p w14:paraId="4D9FDACA" w14:textId="77777777" w:rsidR="00150B23" w:rsidRPr="00F93301" w:rsidRDefault="00A17F42">
      <w:pPr>
        <w:numPr>
          <w:ilvl w:val="0"/>
          <w:numId w:val="5"/>
        </w:numPr>
        <w:spacing w:before="200" w:line="360" w:lineRule="auto"/>
        <w:jc w:val="both"/>
        <w:rPr>
          <w:sz w:val="24"/>
          <w:szCs w:val="24"/>
          <w:highlight w:val="white"/>
          <w:lang w:val="en-GB"/>
        </w:rPr>
      </w:pPr>
      <w:r w:rsidRPr="00F93301">
        <w:rPr>
          <w:sz w:val="24"/>
          <w:szCs w:val="24"/>
          <w:highlight w:val="white"/>
          <w:lang w:val="en-GB"/>
        </w:rPr>
        <w:t>Project A has initial investment of £40m along with Year 1 to Year 5 net cash inflows of £10m, £12m, £14m, £10m, and £8m.</w:t>
      </w:r>
    </w:p>
    <w:p w14:paraId="4D9FDACB" w14:textId="77777777" w:rsidR="00150B23" w:rsidRPr="00F93301" w:rsidRDefault="00A17F42">
      <w:pPr>
        <w:numPr>
          <w:ilvl w:val="0"/>
          <w:numId w:val="5"/>
        </w:numPr>
        <w:spacing w:line="360" w:lineRule="auto"/>
        <w:jc w:val="both"/>
        <w:rPr>
          <w:sz w:val="24"/>
          <w:szCs w:val="24"/>
          <w:highlight w:val="white"/>
          <w:lang w:val="en-GB"/>
        </w:rPr>
      </w:pPr>
      <w:r w:rsidRPr="00F93301">
        <w:rPr>
          <w:sz w:val="24"/>
          <w:szCs w:val="24"/>
          <w:highlight w:val="white"/>
          <w:lang w:val="en-GB"/>
        </w:rPr>
        <w:t>Project B has initial investment of £30m along with Year 1 to Year 5 net cash inflows of £6m.</w:t>
      </w:r>
    </w:p>
    <w:p w14:paraId="4D9FDACC" w14:textId="77777777" w:rsidR="00150B23" w:rsidRPr="00F93301" w:rsidRDefault="00A17F42">
      <w:pPr>
        <w:numPr>
          <w:ilvl w:val="0"/>
          <w:numId w:val="5"/>
        </w:numPr>
        <w:spacing w:after="200" w:line="360" w:lineRule="auto"/>
        <w:jc w:val="both"/>
        <w:rPr>
          <w:sz w:val="24"/>
          <w:szCs w:val="24"/>
          <w:highlight w:val="white"/>
          <w:lang w:val="en-GB"/>
        </w:rPr>
      </w:pPr>
      <w:r w:rsidRPr="00F93301">
        <w:rPr>
          <w:sz w:val="24"/>
          <w:szCs w:val="24"/>
          <w:highlight w:val="white"/>
          <w:lang w:val="en-GB"/>
        </w:rPr>
        <w:t xml:space="preserve">Project C has initial investment of £50m along with Year 1 to Year 5 net cash inflows of £5m, £10m, £20m, £25m, and £15m. </w:t>
      </w:r>
    </w:p>
    <w:p w14:paraId="4D9FDACD"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PBP:</w:t>
      </w:r>
    </w:p>
    <w:p w14:paraId="4D9FDACE"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Based on the views of Adriana </w:t>
      </w:r>
      <w:r w:rsidRPr="00F93301">
        <w:rPr>
          <w:i/>
          <w:iCs/>
          <w:sz w:val="24"/>
          <w:szCs w:val="24"/>
          <w:highlight w:val="white"/>
          <w:lang w:val="en-GB"/>
        </w:rPr>
        <w:t xml:space="preserve">et al. </w:t>
      </w:r>
      <w:r w:rsidRPr="00F93301">
        <w:rPr>
          <w:sz w:val="24"/>
          <w:szCs w:val="24"/>
          <w:highlight w:val="white"/>
          <w:lang w:val="en-GB"/>
        </w:rPr>
        <w:t xml:space="preserve">(2024), payback period offers the time it is required for projects to return invested capital. It has been computed using the equation: </w:t>
      </w:r>
      <w:r w:rsidRPr="00F93301">
        <w:rPr>
          <w:i/>
          <w:iCs/>
          <w:sz w:val="24"/>
          <w:szCs w:val="24"/>
          <w:highlight w:val="white"/>
          <w:lang w:val="en-GB"/>
        </w:rPr>
        <w:t xml:space="preserve">“Initial investment / average annual cashflow” </w:t>
      </w:r>
      <w:r w:rsidRPr="00F93301">
        <w:rPr>
          <w:sz w:val="24"/>
          <w:szCs w:val="24"/>
          <w:highlight w:val="white"/>
          <w:lang w:val="en-GB"/>
        </w:rPr>
        <w:t xml:space="preserve">for Project B as it had regular cash flows. For other two projects with irregular cash flows, the formula used is </w:t>
      </w:r>
      <w:r w:rsidRPr="00F93301">
        <w:rPr>
          <w:i/>
          <w:iCs/>
          <w:sz w:val="24"/>
          <w:szCs w:val="24"/>
          <w:highlight w:val="white"/>
          <w:lang w:val="en-GB"/>
        </w:rPr>
        <w:t>“Years prior-breakeven + Unrecovered Cost / Recovery Year Cash Flows”</w:t>
      </w:r>
      <w:r w:rsidRPr="00F93301">
        <w:rPr>
          <w:sz w:val="24"/>
          <w:szCs w:val="24"/>
          <w:highlight w:val="white"/>
          <w:lang w:val="en-GB"/>
        </w:rPr>
        <w:t>. It is a non-discounting technique of decision making because of which scholars do not consider payback as an effective technique of selecting projects. Thus, it is used as a complimentary tool for NPV indicating liquidity. A project with the shortest payback period is good for selection because it indicates that the investor will be able to re-earn the initial investment. Projects with longer payback periods must not be selected because their liquidity is low. Table 2 shows that project a has a payback of 3.4 years, project B has 5 years and projects C has 3.6 years. Project A has the highest liquidity whereas project B has the lowest liquidity making the former more feasible for investment.</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93301" w:rsidRPr="00F93301" w14:paraId="4D9FDAD3" w14:textId="77777777">
        <w:trPr>
          <w:trHeight w:val="128"/>
        </w:trPr>
        <w:tc>
          <w:tcPr>
            <w:tcW w:w="2340" w:type="dxa"/>
            <w:tcMar>
              <w:top w:w="100" w:type="dxa"/>
              <w:left w:w="100" w:type="dxa"/>
              <w:bottom w:w="100" w:type="dxa"/>
              <w:right w:w="100" w:type="dxa"/>
            </w:tcMar>
          </w:tcPr>
          <w:p w14:paraId="4D9FDACF" w14:textId="77777777" w:rsidR="00150B23" w:rsidRPr="00F93301" w:rsidRDefault="00150B23">
            <w:pPr>
              <w:widowControl w:val="0"/>
              <w:pBdr>
                <w:top w:val="nil"/>
                <w:left w:val="nil"/>
                <w:bottom w:val="nil"/>
                <w:right w:val="nil"/>
                <w:between w:val="nil"/>
              </w:pBdr>
              <w:spacing w:line="360" w:lineRule="auto"/>
              <w:jc w:val="center"/>
              <w:rPr>
                <w:b/>
                <w:bCs/>
                <w:sz w:val="24"/>
                <w:szCs w:val="24"/>
                <w:highlight w:val="white"/>
                <w:lang w:val="en-GB"/>
              </w:rPr>
            </w:pPr>
          </w:p>
        </w:tc>
        <w:tc>
          <w:tcPr>
            <w:tcW w:w="2340" w:type="dxa"/>
            <w:tcMar>
              <w:top w:w="100" w:type="dxa"/>
              <w:left w:w="100" w:type="dxa"/>
              <w:bottom w:w="100" w:type="dxa"/>
              <w:right w:w="100" w:type="dxa"/>
            </w:tcMar>
          </w:tcPr>
          <w:p w14:paraId="4D9FDAD0" w14:textId="77777777" w:rsidR="00150B23" w:rsidRPr="00F93301" w:rsidRDefault="00A17F42">
            <w:pPr>
              <w:widowControl w:val="0"/>
              <w:pBdr>
                <w:top w:val="nil"/>
                <w:left w:val="nil"/>
                <w:bottom w:val="nil"/>
                <w:right w:val="nil"/>
                <w:between w:val="nil"/>
              </w:pBdr>
              <w:spacing w:line="360" w:lineRule="auto"/>
              <w:jc w:val="center"/>
              <w:rPr>
                <w:b/>
                <w:bCs/>
                <w:sz w:val="24"/>
                <w:szCs w:val="24"/>
                <w:highlight w:val="white"/>
                <w:lang w:val="en-GB"/>
              </w:rPr>
            </w:pPr>
            <w:r w:rsidRPr="00F93301">
              <w:rPr>
                <w:b/>
                <w:bCs/>
                <w:sz w:val="24"/>
                <w:szCs w:val="24"/>
                <w:highlight w:val="white"/>
                <w:lang w:val="en-GB"/>
              </w:rPr>
              <w:t>Project A</w:t>
            </w:r>
          </w:p>
        </w:tc>
        <w:tc>
          <w:tcPr>
            <w:tcW w:w="2340" w:type="dxa"/>
            <w:tcMar>
              <w:top w:w="100" w:type="dxa"/>
              <w:left w:w="100" w:type="dxa"/>
              <w:bottom w:w="100" w:type="dxa"/>
              <w:right w:w="100" w:type="dxa"/>
            </w:tcMar>
          </w:tcPr>
          <w:p w14:paraId="4D9FDAD1" w14:textId="77777777" w:rsidR="00150B23" w:rsidRPr="00F93301" w:rsidRDefault="00A17F42">
            <w:pPr>
              <w:widowControl w:val="0"/>
              <w:pBdr>
                <w:top w:val="nil"/>
                <w:left w:val="nil"/>
                <w:bottom w:val="nil"/>
                <w:right w:val="nil"/>
                <w:between w:val="nil"/>
              </w:pBdr>
              <w:spacing w:line="360" w:lineRule="auto"/>
              <w:jc w:val="center"/>
              <w:rPr>
                <w:b/>
                <w:bCs/>
                <w:sz w:val="24"/>
                <w:szCs w:val="24"/>
                <w:highlight w:val="white"/>
                <w:lang w:val="en-GB"/>
              </w:rPr>
            </w:pPr>
            <w:r w:rsidRPr="00F93301">
              <w:rPr>
                <w:b/>
                <w:bCs/>
                <w:sz w:val="24"/>
                <w:szCs w:val="24"/>
                <w:highlight w:val="white"/>
                <w:lang w:val="en-GB"/>
              </w:rPr>
              <w:t>Project B</w:t>
            </w:r>
          </w:p>
        </w:tc>
        <w:tc>
          <w:tcPr>
            <w:tcW w:w="2340" w:type="dxa"/>
            <w:tcMar>
              <w:top w:w="100" w:type="dxa"/>
              <w:left w:w="100" w:type="dxa"/>
              <w:bottom w:w="100" w:type="dxa"/>
              <w:right w:w="100" w:type="dxa"/>
            </w:tcMar>
          </w:tcPr>
          <w:p w14:paraId="4D9FDAD2" w14:textId="77777777" w:rsidR="00150B23" w:rsidRPr="00F93301" w:rsidRDefault="00A17F42">
            <w:pPr>
              <w:widowControl w:val="0"/>
              <w:pBdr>
                <w:top w:val="nil"/>
                <w:left w:val="nil"/>
                <w:bottom w:val="nil"/>
                <w:right w:val="nil"/>
                <w:between w:val="nil"/>
              </w:pBdr>
              <w:spacing w:line="360" w:lineRule="auto"/>
              <w:jc w:val="center"/>
              <w:rPr>
                <w:b/>
                <w:bCs/>
                <w:sz w:val="24"/>
                <w:szCs w:val="24"/>
                <w:highlight w:val="white"/>
                <w:lang w:val="en-GB"/>
              </w:rPr>
            </w:pPr>
            <w:r w:rsidRPr="00F93301">
              <w:rPr>
                <w:b/>
                <w:bCs/>
                <w:sz w:val="24"/>
                <w:szCs w:val="24"/>
                <w:highlight w:val="white"/>
                <w:lang w:val="en-GB"/>
              </w:rPr>
              <w:t>Project C</w:t>
            </w:r>
          </w:p>
        </w:tc>
      </w:tr>
      <w:tr w:rsidR="00F93301" w:rsidRPr="00F93301" w14:paraId="4D9FDAD8" w14:textId="77777777">
        <w:tc>
          <w:tcPr>
            <w:tcW w:w="2340" w:type="dxa"/>
            <w:tcMar>
              <w:top w:w="100" w:type="dxa"/>
              <w:left w:w="100" w:type="dxa"/>
              <w:bottom w:w="100" w:type="dxa"/>
              <w:right w:w="100" w:type="dxa"/>
            </w:tcMar>
          </w:tcPr>
          <w:p w14:paraId="4D9FDAD4" w14:textId="77777777" w:rsidR="00150B23" w:rsidRPr="00F93301" w:rsidRDefault="00A17F42">
            <w:pPr>
              <w:widowControl w:val="0"/>
              <w:pBdr>
                <w:top w:val="nil"/>
                <w:left w:val="nil"/>
                <w:bottom w:val="nil"/>
                <w:right w:val="nil"/>
                <w:between w:val="nil"/>
              </w:pBdr>
              <w:spacing w:line="360" w:lineRule="auto"/>
              <w:rPr>
                <w:sz w:val="24"/>
                <w:szCs w:val="24"/>
                <w:highlight w:val="white"/>
                <w:lang w:val="en-GB"/>
              </w:rPr>
            </w:pPr>
            <w:r w:rsidRPr="00F93301">
              <w:rPr>
                <w:sz w:val="24"/>
                <w:szCs w:val="24"/>
                <w:highlight w:val="white"/>
                <w:lang w:val="en-GB"/>
              </w:rPr>
              <w:t>Payback Period</w:t>
            </w:r>
          </w:p>
        </w:tc>
        <w:tc>
          <w:tcPr>
            <w:tcW w:w="2340" w:type="dxa"/>
            <w:tcMar>
              <w:top w:w="100" w:type="dxa"/>
              <w:left w:w="100" w:type="dxa"/>
              <w:bottom w:w="100" w:type="dxa"/>
              <w:right w:w="100" w:type="dxa"/>
            </w:tcMar>
          </w:tcPr>
          <w:p w14:paraId="4D9FDAD5" w14:textId="77777777" w:rsidR="00150B23" w:rsidRPr="00F93301" w:rsidRDefault="00A17F42">
            <w:pPr>
              <w:widowControl w:val="0"/>
              <w:pBdr>
                <w:top w:val="nil"/>
                <w:left w:val="nil"/>
                <w:bottom w:val="nil"/>
                <w:right w:val="nil"/>
                <w:between w:val="nil"/>
              </w:pBdr>
              <w:spacing w:line="360" w:lineRule="auto"/>
              <w:jc w:val="right"/>
              <w:rPr>
                <w:sz w:val="24"/>
                <w:szCs w:val="24"/>
                <w:highlight w:val="white"/>
                <w:lang w:val="en-GB"/>
              </w:rPr>
            </w:pPr>
            <w:r w:rsidRPr="00F93301">
              <w:rPr>
                <w:sz w:val="24"/>
                <w:szCs w:val="24"/>
                <w:highlight w:val="white"/>
                <w:lang w:val="en-GB"/>
              </w:rPr>
              <w:t>3.4 years</w:t>
            </w:r>
          </w:p>
        </w:tc>
        <w:tc>
          <w:tcPr>
            <w:tcW w:w="2340" w:type="dxa"/>
            <w:tcMar>
              <w:top w:w="100" w:type="dxa"/>
              <w:left w:w="100" w:type="dxa"/>
              <w:bottom w:w="100" w:type="dxa"/>
              <w:right w:w="100" w:type="dxa"/>
            </w:tcMar>
          </w:tcPr>
          <w:p w14:paraId="4D9FDAD6" w14:textId="77777777" w:rsidR="00150B23" w:rsidRPr="00F93301" w:rsidRDefault="00A17F42">
            <w:pPr>
              <w:widowControl w:val="0"/>
              <w:pBdr>
                <w:top w:val="nil"/>
                <w:left w:val="nil"/>
                <w:bottom w:val="nil"/>
                <w:right w:val="nil"/>
                <w:between w:val="nil"/>
              </w:pBdr>
              <w:spacing w:line="360" w:lineRule="auto"/>
              <w:jc w:val="right"/>
              <w:rPr>
                <w:sz w:val="24"/>
                <w:szCs w:val="24"/>
                <w:highlight w:val="white"/>
                <w:lang w:val="en-GB"/>
              </w:rPr>
            </w:pPr>
            <w:r w:rsidRPr="00F93301">
              <w:rPr>
                <w:sz w:val="24"/>
                <w:szCs w:val="24"/>
                <w:highlight w:val="white"/>
                <w:lang w:val="en-GB"/>
              </w:rPr>
              <w:t>5 years</w:t>
            </w:r>
          </w:p>
        </w:tc>
        <w:tc>
          <w:tcPr>
            <w:tcW w:w="2340" w:type="dxa"/>
            <w:tcMar>
              <w:top w:w="100" w:type="dxa"/>
              <w:left w:w="100" w:type="dxa"/>
              <w:bottom w:w="100" w:type="dxa"/>
              <w:right w:w="100" w:type="dxa"/>
            </w:tcMar>
          </w:tcPr>
          <w:p w14:paraId="4D9FDAD7" w14:textId="77777777" w:rsidR="00150B23" w:rsidRPr="00F93301" w:rsidRDefault="00A17F42">
            <w:pPr>
              <w:widowControl w:val="0"/>
              <w:pBdr>
                <w:top w:val="nil"/>
                <w:left w:val="nil"/>
                <w:bottom w:val="nil"/>
                <w:right w:val="nil"/>
                <w:between w:val="nil"/>
              </w:pBdr>
              <w:spacing w:line="360" w:lineRule="auto"/>
              <w:jc w:val="right"/>
              <w:rPr>
                <w:sz w:val="24"/>
                <w:szCs w:val="24"/>
                <w:highlight w:val="white"/>
                <w:lang w:val="en-GB"/>
              </w:rPr>
            </w:pPr>
            <w:r w:rsidRPr="00F93301">
              <w:rPr>
                <w:sz w:val="24"/>
                <w:szCs w:val="24"/>
                <w:highlight w:val="white"/>
                <w:lang w:val="en-GB"/>
              </w:rPr>
              <w:t>3.6 years</w:t>
            </w:r>
          </w:p>
        </w:tc>
      </w:tr>
    </w:tbl>
    <w:p w14:paraId="4D9FDAD9" w14:textId="77777777" w:rsidR="00150B23" w:rsidRPr="00F93301" w:rsidRDefault="00A17F42" w:rsidP="001F1F15">
      <w:pPr>
        <w:pStyle w:val="Heading5"/>
        <w:rPr>
          <w:highlight w:val="white"/>
        </w:rPr>
      </w:pPr>
      <w:bookmarkStart w:id="40" w:name="_Toc216974999"/>
      <w:bookmarkStart w:id="41" w:name="_Toc216975094"/>
      <w:r w:rsidRPr="00F93301">
        <w:rPr>
          <w:highlight w:val="white"/>
        </w:rPr>
        <w:t>Table 2: Payback Period for the 3 projects</w:t>
      </w:r>
      <w:bookmarkEnd w:id="40"/>
      <w:bookmarkEnd w:id="41"/>
    </w:p>
    <w:p w14:paraId="4D9FDADA"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lastRenderedPageBreak/>
        <w:t>(Source: Self-Created)</w:t>
      </w:r>
    </w:p>
    <w:p w14:paraId="4D9FDADB"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ARR:</w:t>
      </w:r>
    </w:p>
    <w:p w14:paraId="4D9FDADC"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ARR offers yearly accounting profits that arise from an investment and is represented in the form of a percentage of total investment made (ACCA Global, 2025). It has been computed using the equation: </w:t>
      </w:r>
      <w:r w:rsidRPr="00F93301">
        <w:rPr>
          <w:i/>
          <w:iCs/>
          <w:sz w:val="24"/>
          <w:szCs w:val="24"/>
          <w:highlight w:val="white"/>
          <w:lang w:val="en-GB"/>
        </w:rPr>
        <w:t>“average annual accounting profits / investment) x 100%”</w:t>
      </w:r>
      <w:r w:rsidRPr="00F93301">
        <w:rPr>
          <w:sz w:val="24"/>
          <w:szCs w:val="24"/>
          <w:highlight w:val="white"/>
          <w:lang w:val="en-GB"/>
        </w:rPr>
        <w:t xml:space="preserve">. ARR is a non-discounting technique of investment appraisal just like payback because of which scholars do not consider it as an effective technique of selecting projects. Thus, it is used as a complimentary tool for NPV indicating accounting profit. ARR is an indication of accounting profit because of which the project with highest percentage must be selected whereas that with the lowest percentage should be rejected. ARR of project A is 14%, of project B is 0% and project C is 20%. On the basis of ARR, project C is the most profitable option whereas project B is the least profitable option. </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93301" w:rsidRPr="00F93301" w14:paraId="4D9FDAE1" w14:textId="77777777">
        <w:tc>
          <w:tcPr>
            <w:tcW w:w="2340" w:type="dxa"/>
            <w:tcMar>
              <w:top w:w="100" w:type="dxa"/>
              <w:left w:w="100" w:type="dxa"/>
              <w:bottom w:w="100" w:type="dxa"/>
              <w:right w:w="100" w:type="dxa"/>
            </w:tcMar>
          </w:tcPr>
          <w:p w14:paraId="4D9FDADD" w14:textId="77777777" w:rsidR="00150B23" w:rsidRPr="00F93301" w:rsidRDefault="00150B23">
            <w:pPr>
              <w:widowControl w:val="0"/>
              <w:spacing w:line="360" w:lineRule="auto"/>
              <w:jc w:val="center"/>
              <w:rPr>
                <w:b/>
                <w:bCs/>
                <w:sz w:val="24"/>
                <w:szCs w:val="24"/>
                <w:highlight w:val="white"/>
                <w:lang w:val="en-GB"/>
              </w:rPr>
            </w:pPr>
          </w:p>
        </w:tc>
        <w:tc>
          <w:tcPr>
            <w:tcW w:w="2340" w:type="dxa"/>
            <w:tcMar>
              <w:top w:w="100" w:type="dxa"/>
              <w:left w:w="100" w:type="dxa"/>
              <w:bottom w:w="100" w:type="dxa"/>
              <w:right w:w="100" w:type="dxa"/>
            </w:tcMar>
          </w:tcPr>
          <w:p w14:paraId="4D9FDADE"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A</w:t>
            </w:r>
          </w:p>
        </w:tc>
        <w:tc>
          <w:tcPr>
            <w:tcW w:w="2340" w:type="dxa"/>
            <w:tcMar>
              <w:top w:w="100" w:type="dxa"/>
              <w:left w:w="100" w:type="dxa"/>
              <w:bottom w:w="100" w:type="dxa"/>
              <w:right w:w="100" w:type="dxa"/>
            </w:tcMar>
          </w:tcPr>
          <w:p w14:paraId="4D9FDADF"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B</w:t>
            </w:r>
          </w:p>
        </w:tc>
        <w:tc>
          <w:tcPr>
            <w:tcW w:w="2340" w:type="dxa"/>
            <w:tcMar>
              <w:top w:w="100" w:type="dxa"/>
              <w:left w:w="100" w:type="dxa"/>
              <w:bottom w:w="100" w:type="dxa"/>
              <w:right w:w="100" w:type="dxa"/>
            </w:tcMar>
          </w:tcPr>
          <w:p w14:paraId="4D9FDAE0"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C</w:t>
            </w:r>
          </w:p>
        </w:tc>
      </w:tr>
      <w:tr w:rsidR="00F93301" w:rsidRPr="00F93301" w14:paraId="4D9FDAE6" w14:textId="77777777">
        <w:tc>
          <w:tcPr>
            <w:tcW w:w="2340" w:type="dxa"/>
            <w:tcMar>
              <w:top w:w="100" w:type="dxa"/>
              <w:left w:w="100" w:type="dxa"/>
              <w:bottom w:w="100" w:type="dxa"/>
              <w:right w:w="100" w:type="dxa"/>
            </w:tcMar>
          </w:tcPr>
          <w:p w14:paraId="4D9FDAE2" w14:textId="77777777" w:rsidR="00150B23" w:rsidRPr="00F93301" w:rsidRDefault="00A17F42">
            <w:pPr>
              <w:widowControl w:val="0"/>
              <w:spacing w:line="360" w:lineRule="auto"/>
              <w:rPr>
                <w:sz w:val="24"/>
                <w:szCs w:val="24"/>
                <w:highlight w:val="white"/>
                <w:lang w:val="en-GB"/>
              </w:rPr>
            </w:pPr>
            <w:r w:rsidRPr="00F93301">
              <w:rPr>
                <w:sz w:val="24"/>
                <w:szCs w:val="24"/>
                <w:highlight w:val="white"/>
                <w:lang w:val="en-GB"/>
              </w:rPr>
              <w:t>ARR</w:t>
            </w:r>
          </w:p>
        </w:tc>
        <w:tc>
          <w:tcPr>
            <w:tcW w:w="2340" w:type="dxa"/>
            <w:tcMar>
              <w:top w:w="100" w:type="dxa"/>
              <w:left w:w="100" w:type="dxa"/>
              <w:bottom w:w="100" w:type="dxa"/>
              <w:right w:w="100" w:type="dxa"/>
            </w:tcMar>
          </w:tcPr>
          <w:p w14:paraId="4D9FDAE3"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14%</w:t>
            </w:r>
          </w:p>
        </w:tc>
        <w:tc>
          <w:tcPr>
            <w:tcW w:w="2340" w:type="dxa"/>
            <w:tcMar>
              <w:top w:w="100" w:type="dxa"/>
              <w:left w:w="100" w:type="dxa"/>
              <w:bottom w:w="100" w:type="dxa"/>
              <w:right w:w="100" w:type="dxa"/>
            </w:tcMar>
          </w:tcPr>
          <w:p w14:paraId="4D9FDAE4"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0%</w:t>
            </w:r>
          </w:p>
        </w:tc>
        <w:tc>
          <w:tcPr>
            <w:tcW w:w="2340" w:type="dxa"/>
            <w:tcMar>
              <w:top w:w="100" w:type="dxa"/>
              <w:left w:w="100" w:type="dxa"/>
              <w:bottom w:w="100" w:type="dxa"/>
              <w:right w:w="100" w:type="dxa"/>
            </w:tcMar>
          </w:tcPr>
          <w:p w14:paraId="4D9FDAE5"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20%</w:t>
            </w:r>
          </w:p>
        </w:tc>
      </w:tr>
    </w:tbl>
    <w:p w14:paraId="4D9FDAE7" w14:textId="77777777" w:rsidR="00150B23" w:rsidRPr="00F93301" w:rsidRDefault="00A17F42" w:rsidP="001F1F15">
      <w:pPr>
        <w:pStyle w:val="Heading5"/>
        <w:rPr>
          <w:highlight w:val="white"/>
        </w:rPr>
      </w:pPr>
      <w:bookmarkStart w:id="42" w:name="_Toc216975000"/>
      <w:bookmarkStart w:id="43" w:name="_Toc216975095"/>
      <w:r w:rsidRPr="00F93301">
        <w:rPr>
          <w:highlight w:val="white"/>
        </w:rPr>
        <w:t>Table 3: ARR for the 3 projects</w:t>
      </w:r>
      <w:bookmarkEnd w:id="42"/>
      <w:bookmarkEnd w:id="43"/>
    </w:p>
    <w:p w14:paraId="4D9FDAE8"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E9"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NPV:</w:t>
      </w:r>
    </w:p>
    <w:p w14:paraId="4D9FDAEA"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NPV is a technique where PV of future gains and costs are compared to determine feasibility of projects. As per the ideas of Ridwan </w:t>
      </w:r>
      <w:r w:rsidRPr="00F93301">
        <w:rPr>
          <w:i/>
          <w:iCs/>
          <w:sz w:val="24"/>
          <w:szCs w:val="24"/>
          <w:highlight w:val="white"/>
          <w:lang w:val="en-GB"/>
        </w:rPr>
        <w:t xml:space="preserve">et al. </w:t>
      </w:r>
      <w:r w:rsidRPr="00F93301">
        <w:rPr>
          <w:sz w:val="24"/>
          <w:szCs w:val="24"/>
          <w:highlight w:val="white"/>
          <w:lang w:val="en-GB"/>
        </w:rPr>
        <w:t xml:space="preserve">(2025), NPV is computed using ‘estimated net cash flows’ and an ‘estimated cost of capital’. It has been computed using the equation: </w:t>
      </w:r>
      <w:r w:rsidRPr="00F93301">
        <w:rPr>
          <w:i/>
          <w:iCs/>
          <w:sz w:val="24"/>
          <w:szCs w:val="24"/>
          <w:highlight w:val="white"/>
          <w:lang w:val="en-GB"/>
        </w:rPr>
        <w:t>“-CF0 + CF1 x (1/1+</w:t>
      </w:r>
      <w:proofErr w:type="gramStart"/>
      <w:r w:rsidRPr="00F93301">
        <w:rPr>
          <w:i/>
          <w:iCs/>
          <w:sz w:val="24"/>
          <w:szCs w:val="24"/>
          <w:highlight w:val="white"/>
          <w:lang w:val="en-GB"/>
        </w:rPr>
        <w:t>r)^</w:t>
      </w:r>
      <w:proofErr w:type="gramEnd"/>
      <w:r w:rsidRPr="00F93301">
        <w:rPr>
          <w:i/>
          <w:iCs/>
          <w:sz w:val="24"/>
          <w:szCs w:val="24"/>
          <w:highlight w:val="white"/>
          <w:lang w:val="en-GB"/>
        </w:rPr>
        <w:t>1 + CF2 x (1/1+</w:t>
      </w:r>
      <w:proofErr w:type="gramStart"/>
      <w:r w:rsidRPr="00F93301">
        <w:rPr>
          <w:i/>
          <w:iCs/>
          <w:sz w:val="24"/>
          <w:szCs w:val="24"/>
          <w:highlight w:val="white"/>
          <w:lang w:val="en-GB"/>
        </w:rPr>
        <w:t>r)^</w:t>
      </w:r>
      <w:proofErr w:type="gramEnd"/>
      <w:r w:rsidRPr="00F93301">
        <w:rPr>
          <w:i/>
          <w:iCs/>
          <w:sz w:val="24"/>
          <w:szCs w:val="24"/>
          <w:highlight w:val="white"/>
          <w:lang w:val="en-GB"/>
        </w:rPr>
        <w:t>2 + CF3 x (1/1+</w:t>
      </w:r>
      <w:proofErr w:type="gramStart"/>
      <w:r w:rsidRPr="00F93301">
        <w:rPr>
          <w:i/>
          <w:iCs/>
          <w:sz w:val="24"/>
          <w:szCs w:val="24"/>
          <w:highlight w:val="white"/>
          <w:lang w:val="en-GB"/>
        </w:rPr>
        <w:t>r)^</w:t>
      </w:r>
      <w:proofErr w:type="gramEnd"/>
      <w:r w:rsidRPr="00F93301">
        <w:rPr>
          <w:i/>
          <w:iCs/>
          <w:sz w:val="24"/>
          <w:szCs w:val="24"/>
          <w:highlight w:val="white"/>
          <w:lang w:val="en-GB"/>
        </w:rPr>
        <w:t>3 + CF4 x (1/1+</w:t>
      </w:r>
      <w:proofErr w:type="gramStart"/>
      <w:r w:rsidRPr="00F93301">
        <w:rPr>
          <w:i/>
          <w:iCs/>
          <w:sz w:val="24"/>
          <w:szCs w:val="24"/>
          <w:highlight w:val="white"/>
          <w:lang w:val="en-GB"/>
        </w:rPr>
        <w:t>r)^</w:t>
      </w:r>
      <w:proofErr w:type="gramEnd"/>
      <w:r w:rsidRPr="00F93301">
        <w:rPr>
          <w:i/>
          <w:iCs/>
          <w:sz w:val="24"/>
          <w:szCs w:val="24"/>
          <w:highlight w:val="white"/>
          <w:lang w:val="en-GB"/>
        </w:rPr>
        <w:t>4 + CF5 x (1/1+</w:t>
      </w:r>
      <w:proofErr w:type="gramStart"/>
      <w:r w:rsidRPr="00F93301">
        <w:rPr>
          <w:i/>
          <w:iCs/>
          <w:sz w:val="24"/>
          <w:szCs w:val="24"/>
          <w:highlight w:val="white"/>
          <w:lang w:val="en-GB"/>
        </w:rPr>
        <w:t>r)^</w:t>
      </w:r>
      <w:proofErr w:type="gramEnd"/>
      <w:r w:rsidRPr="00F93301">
        <w:rPr>
          <w:i/>
          <w:iCs/>
          <w:sz w:val="24"/>
          <w:szCs w:val="24"/>
          <w:highlight w:val="white"/>
          <w:lang w:val="en-GB"/>
        </w:rPr>
        <w:t>5”</w:t>
      </w:r>
      <w:r w:rsidRPr="00F93301">
        <w:rPr>
          <w:sz w:val="24"/>
          <w:szCs w:val="24"/>
          <w:highlight w:val="white"/>
          <w:lang w:val="en-GB"/>
        </w:rPr>
        <w:t xml:space="preserve">. NPV is one of the most important investment appraisal techniques because of its accuracy in determining feasibility of investment. It is a discounting technique of decision making considering ‘time value of money’ because of which scholars support NPV as an effective technique of selecting projects. Projects with negative NPV are rejected whereas those with positive NPV are selected. NPV of project A is 1.32 million pounds, project B is -7.26 million pounds and project C is 4.23 million </w:t>
      </w:r>
      <w:r w:rsidRPr="00F93301">
        <w:rPr>
          <w:sz w:val="24"/>
          <w:szCs w:val="24"/>
          <w:highlight w:val="white"/>
          <w:lang w:val="en-GB"/>
        </w:rPr>
        <w:lastRenderedPageBreak/>
        <w:t>pounds. Table 3 shows that based on NPV, project C is the most feasible option whereas project B is the least feasible option.</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2625"/>
        <w:gridCol w:w="2550"/>
        <w:gridCol w:w="2340"/>
      </w:tblGrid>
      <w:tr w:rsidR="00F93301" w:rsidRPr="00F93301" w14:paraId="4D9FDAEF" w14:textId="77777777">
        <w:tc>
          <w:tcPr>
            <w:tcW w:w="1845" w:type="dxa"/>
            <w:tcMar>
              <w:top w:w="100" w:type="dxa"/>
              <w:left w:w="100" w:type="dxa"/>
              <w:bottom w:w="100" w:type="dxa"/>
              <w:right w:w="100" w:type="dxa"/>
            </w:tcMar>
          </w:tcPr>
          <w:p w14:paraId="4D9FDAEB" w14:textId="77777777" w:rsidR="00150B23" w:rsidRPr="00F93301" w:rsidRDefault="00150B23">
            <w:pPr>
              <w:widowControl w:val="0"/>
              <w:spacing w:line="360" w:lineRule="auto"/>
              <w:jc w:val="center"/>
              <w:rPr>
                <w:b/>
                <w:bCs/>
                <w:sz w:val="24"/>
                <w:szCs w:val="24"/>
                <w:highlight w:val="white"/>
                <w:lang w:val="en-GB"/>
              </w:rPr>
            </w:pPr>
          </w:p>
        </w:tc>
        <w:tc>
          <w:tcPr>
            <w:tcW w:w="2625" w:type="dxa"/>
            <w:tcMar>
              <w:top w:w="100" w:type="dxa"/>
              <w:left w:w="100" w:type="dxa"/>
              <w:bottom w:w="100" w:type="dxa"/>
              <w:right w:w="100" w:type="dxa"/>
            </w:tcMar>
          </w:tcPr>
          <w:p w14:paraId="4D9FDAEC"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A</w:t>
            </w:r>
          </w:p>
        </w:tc>
        <w:tc>
          <w:tcPr>
            <w:tcW w:w="2550" w:type="dxa"/>
            <w:tcMar>
              <w:top w:w="100" w:type="dxa"/>
              <w:left w:w="100" w:type="dxa"/>
              <w:bottom w:w="100" w:type="dxa"/>
              <w:right w:w="100" w:type="dxa"/>
            </w:tcMar>
          </w:tcPr>
          <w:p w14:paraId="4D9FDAED"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B</w:t>
            </w:r>
          </w:p>
        </w:tc>
        <w:tc>
          <w:tcPr>
            <w:tcW w:w="2340" w:type="dxa"/>
            <w:tcMar>
              <w:top w:w="100" w:type="dxa"/>
              <w:left w:w="100" w:type="dxa"/>
              <w:bottom w:w="100" w:type="dxa"/>
              <w:right w:w="100" w:type="dxa"/>
            </w:tcMar>
          </w:tcPr>
          <w:p w14:paraId="4D9FDAEE"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C</w:t>
            </w:r>
          </w:p>
        </w:tc>
      </w:tr>
      <w:tr w:rsidR="00F93301" w:rsidRPr="00F93301" w14:paraId="4D9FDAF4" w14:textId="77777777">
        <w:tc>
          <w:tcPr>
            <w:tcW w:w="1845" w:type="dxa"/>
            <w:tcMar>
              <w:top w:w="100" w:type="dxa"/>
              <w:left w:w="100" w:type="dxa"/>
              <w:bottom w:w="100" w:type="dxa"/>
              <w:right w:w="100" w:type="dxa"/>
            </w:tcMar>
          </w:tcPr>
          <w:p w14:paraId="4D9FDAF0" w14:textId="77777777" w:rsidR="00150B23" w:rsidRPr="00F93301" w:rsidRDefault="00A17F42">
            <w:pPr>
              <w:widowControl w:val="0"/>
              <w:spacing w:line="360" w:lineRule="auto"/>
              <w:rPr>
                <w:sz w:val="24"/>
                <w:szCs w:val="24"/>
                <w:highlight w:val="white"/>
                <w:lang w:val="en-GB"/>
              </w:rPr>
            </w:pPr>
            <w:r w:rsidRPr="00F93301">
              <w:rPr>
                <w:sz w:val="24"/>
                <w:szCs w:val="24"/>
                <w:highlight w:val="white"/>
                <w:lang w:val="en-GB"/>
              </w:rPr>
              <w:t>NPV</w:t>
            </w:r>
          </w:p>
        </w:tc>
        <w:tc>
          <w:tcPr>
            <w:tcW w:w="2625" w:type="dxa"/>
            <w:tcMar>
              <w:top w:w="100" w:type="dxa"/>
              <w:left w:w="100" w:type="dxa"/>
              <w:bottom w:w="100" w:type="dxa"/>
              <w:right w:w="100" w:type="dxa"/>
            </w:tcMar>
          </w:tcPr>
          <w:p w14:paraId="4D9FDAF1"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1.32 million pounds</w:t>
            </w:r>
          </w:p>
        </w:tc>
        <w:tc>
          <w:tcPr>
            <w:tcW w:w="2550" w:type="dxa"/>
            <w:tcMar>
              <w:top w:w="100" w:type="dxa"/>
              <w:left w:w="100" w:type="dxa"/>
              <w:bottom w:w="100" w:type="dxa"/>
              <w:right w:w="100" w:type="dxa"/>
            </w:tcMar>
          </w:tcPr>
          <w:p w14:paraId="4D9FDAF2"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-7.26 million pounds</w:t>
            </w:r>
          </w:p>
        </w:tc>
        <w:tc>
          <w:tcPr>
            <w:tcW w:w="2340" w:type="dxa"/>
            <w:tcMar>
              <w:top w:w="100" w:type="dxa"/>
              <w:left w:w="100" w:type="dxa"/>
              <w:bottom w:w="100" w:type="dxa"/>
              <w:right w:w="100" w:type="dxa"/>
            </w:tcMar>
          </w:tcPr>
          <w:p w14:paraId="4D9FDAF3"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4.23 million pounds</w:t>
            </w:r>
          </w:p>
        </w:tc>
      </w:tr>
    </w:tbl>
    <w:p w14:paraId="4D9FDAF5" w14:textId="77777777" w:rsidR="00150B23" w:rsidRPr="00F93301" w:rsidRDefault="00A17F42" w:rsidP="001F1F15">
      <w:pPr>
        <w:pStyle w:val="Heading5"/>
        <w:rPr>
          <w:highlight w:val="white"/>
        </w:rPr>
      </w:pPr>
      <w:bookmarkStart w:id="44" w:name="_Toc216975001"/>
      <w:bookmarkStart w:id="45" w:name="_Toc216975096"/>
      <w:r w:rsidRPr="00F93301">
        <w:rPr>
          <w:highlight w:val="white"/>
        </w:rPr>
        <w:t>Table 4: NPV for the 3 projects</w:t>
      </w:r>
      <w:bookmarkEnd w:id="44"/>
      <w:bookmarkEnd w:id="45"/>
    </w:p>
    <w:p w14:paraId="4D9FDAF6"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AF7"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PI:</w:t>
      </w:r>
    </w:p>
    <w:p w14:paraId="4D9FDAF8"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Profitability Index is a measurement of a proposed project's benefits and costs by dividing ‘projected capital inflows’ by cost of investment. PI must be chosen if a possibility of decrease in future cash flow is there (Sokolov, 2024). It has been computed using the equation: </w:t>
      </w:r>
      <w:r w:rsidRPr="00F93301">
        <w:rPr>
          <w:i/>
          <w:iCs/>
          <w:sz w:val="24"/>
          <w:szCs w:val="24"/>
          <w:highlight w:val="white"/>
          <w:lang w:val="en-GB"/>
        </w:rPr>
        <w:t>“Projected Capital Inflows / Cost of Investment”</w:t>
      </w:r>
      <w:r w:rsidRPr="00F93301">
        <w:rPr>
          <w:sz w:val="24"/>
          <w:szCs w:val="24"/>
          <w:highlight w:val="white"/>
          <w:lang w:val="en-GB"/>
        </w:rPr>
        <w:t>. It is a discounting technique of decision making because of which scholars consider PI as an effective technique of selecting projects. It is used as a complimentary tool for NPV indicating profitability. PI indicates profitability because of which the projects with highest value must be selected and projects with the lowest value must be rejected. PI of project A is 1.03, project B is 0.76 and project C is 1.08. PI of project C is the highest whereas that of project B is the lowest.</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93301" w:rsidRPr="00F93301" w14:paraId="4D9FDAFD" w14:textId="77777777">
        <w:tc>
          <w:tcPr>
            <w:tcW w:w="2340" w:type="dxa"/>
            <w:tcMar>
              <w:top w:w="100" w:type="dxa"/>
              <w:left w:w="100" w:type="dxa"/>
              <w:bottom w:w="100" w:type="dxa"/>
              <w:right w:w="100" w:type="dxa"/>
            </w:tcMar>
          </w:tcPr>
          <w:p w14:paraId="4D9FDAF9" w14:textId="77777777" w:rsidR="00150B23" w:rsidRPr="00F93301" w:rsidRDefault="00150B23">
            <w:pPr>
              <w:widowControl w:val="0"/>
              <w:spacing w:line="360" w:lineRule="auto"/>
              <w:jc w:val="center"/>
              <w:rPr>
                <w:b/>
                <w:bCs/>
                <w:sz w:val="24"/>
                <w:szCs w:val="24"/>
                <w:highlight w:val="white"/>
                <w:lang w:val="en-GB"/>
              </w:rPr>
            </w:pPr>
          </w:p>
        </w:tc>
        <w:tc>
          <w:tcPr>
            <w:tcW w:w="2340" w:type="dxa"/>
            <w:tcMar>
              <w:top w:w="100" w:type="dxa"/>
              <w:left w:w="100" w:type="dxa"/>
              <w:bottom w:w="100" w:type="dxa"/>
              <w:right w:w="100" w:type="dxa"/>
            </w:tcMar>
          </w:tcPr>
          <w:p w14:paraId="4D9FDAFA"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A</w:t>
            </w:r>
          </w:p>
        </w:tc>
        <w:tc>
          <w:tcPr>
            <w:tcW w:w="2340" w:type="dxa"/>
            <w:tcMar>
              <w:top w:w="100" w:type="dxa"/>
              <w:left w:w="100" w:type="dxa"/>
              <w:bottom w:w="100" w:type="dxa"/>
              <w:right w:w="100" w:type="dxa"/>
            </w:tcMar>
          </w:tcPr>
          <w:p w14:paraId="4D9FDAFB"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B</w:t>
            </w:r>
          </w:p>
        </w:tc>
        <w:tc>
          <w:tcPr>
            <w:tcW w:w="2340" w:type="dxa"/>
            <w:tcMar>
              <w:top w:w="100" w:type="dxa"/>
              <w:left w:w="100" w:type="dxa"/>
              <w:bottom w:w="100" w:type="dxa"/>
              <w:right w:w="100" w:type="dxa"/>
            </w:tcMar>
          </w:tcPr>
          <w:p w14:paraId="4D9FDAFC"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C</w:t>
            </w:r>
          </w:p>
        </w:tc>
      </w:tr>
      <w:tr w:rsidR="00F93301" w:rsidRPr="00F93301" w14:paraId="4D9FDB02" w14:textId="77777777">
        <w:tc>
          <w:tcPr>
            <w:tcW w:w="2340" w:type="dxa"/>
            <w:tcMar>
              <w:top w:w="100" w:type="dxa"/>
              <w:left w:w="100" w:type="dxa"/>
              <w:bottom w:w="100" w:type="dxa"/>
              <w:right w:w="100" w:type="dxa"/>
            </w:tcMar>
          </w:tcPr>
          <w:p w14:paraId="4D9FDAFE" w14:textId="77777777" w:rsidR="00150B23" w:rsidRPr="00F93301" w:rsidRDefault="00A17F42">
            <w:pPr>
              <w:widowControl w:val="0"/>
              <w:spacing w:line="360" w:lineRule="auto"/>
              <w:rPr>
                <w:sz w:val="24"/>
                <w:szCs w:val="24"/>
                <w:highlight w:val="white"/>
                <w:lang w:val="en-GB"/>
              </w:rPr>
            </w:pPr>
            <w:r w:rsidRPr="00F93301">
              <w:rPr>
                <w:sz w:val="24"/>
                <w:szCs w:val="24"/>
                <w:highlight w:val="white"/>
                <w:lang w:val="en-GB"/>
              </w:rPr>
              <w:t>PI</w:t>
            </w:r>
          </w:p>
        </w:tc>
        <w:tc>
          <w:tcPr>
            <w:tcW w:w="2340" w:type="dxa"/>
            <w:tcMar>
              <w:top w:w="100" w:type="dxa"/>
              <w:left w:w="100" w:type="dxa"/>
              <w:bottom w:w="100" w:type="dxa"/>
              <w:right w:w="100" w:type="dxa"/>
            </w:tcMar>
          </w:tcPr>
          <w:p w14:paraId="4D9FDAFF"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1.03</w:t>
            </w:r>
          </w:p>
        </w:tc>
        <w:tc>
          <w:tcPr>
            <w:tcW w:w="2340" w:type="dxa"/>
            <w:tcMar>
              <w:top w:w="100" w:type="dxa"/>
              <w:left w:w="100" w:type="dxa"/>
              <w:bottom w:w="100" w:type="dxa"/>
              <w:right w:w="100" w:type="dxa"/>
            </w:tcMar>
          </w:tcPr>
          <w:p w14:paraId="4D9FDB00"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0.76</w:t>
            </w:r>
          </w:p>
        </w:tc>
        <w:tc>
          <w:tcPr>
            <w:tcW w:w="2340" w:type="dxa"/>
            <w:tcMar>
              <w:top w:w="100" w:type="dxa"/>
              <w:left w:w="100" w:type="dxa"/>
              <w:bottom w:w="100" w:type="dxa"/>
              <w:right w:w="100" w:type="dxa"/>
            </w:tcMar>
          </w:tcPr>
          <w:p w14:paraId="4D9FDB01"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1.08</w:t>
            </w:r>
          </w:p>
        </w:tc>
      </w:tr>
    </w:tbl>
    <w:p w14:paraId="4D9FDB03" w14:textId="77777777" w:rsidR="00150B23" w:rsidRPr="00F93301" w:rsidRDefault="00A17F42" w:rsidP="001F1F15">
      <w:pPr>
        <w:pStyle w:val="Heading5"/>
        <w:rPr>
          <w:highlight w:val="white"/>
        </w:rPr>
      </w:pPr>
      <w:bookmarkStart w:id="46" w:name="_Toc216975002"/>
      <w:bookmarkStart w:id="47" w:name="_Toc216975097"/>
      <w:r w:rsidRPr="00F93301">
        <w:rPr>
          <w:highlight w:val="white"/>
        </w:rPr>
        <w:t>Table 5: Profitability Index for the 3 projects</w:t>
      </w:r>
      <w:bookmarkEnd w:id="46"/>
      <w:bookmarkEnd w:id="47"/>
    </w:p>
    <w:p w14:paraId="4D9FDB04"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B05" w14:textId="77777777" w:rsidR="00150B23" w:rsidRPr="00F93301" w:rsidRDefault="00A17F42">
      <w:pPr>
        <w:spacing w:before="200" w:after="200" w:line="360" w:lineRule="auto"/>
        <w:jc w:val="both"/>
        <w:rPr>
          <w:b/>
          <w:bCs/>
          <w:i/>
          <w:iCs/>
          <w:sz w:val="24"/>
          <w:szCs w:val="24"/>
          <w:highlight w:val="white"/>
          <w:lang w:val="en-GB"/>
        </w:rPr>
      </w:pPr>
      <w:r w:rsidRPr="00F93301">
        <w:rPr>
          <w:b/>
          <w:bCs/>
          <w:i/>
          <w:iCs/>
          <w:sz w:val="24"/>
          <w:szCs w:val="24"/>
          <w:highlight w:val="white"/>
          <w:lang w:val="en-GB"/>
        </w:rPr>
        <w:t>IRR:</w:t>
      </w:r>
    </w:p>
    <w:p w14:paraId="4D9FDB06"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A discount rate reducing NPV of a project to 0 is IRR (</w:t>
      </w:r>
      <w:proofErr w:type="spellStart"/>
      <w:r w:rsidRPr="00F93301">
        <w:rPr>
          <w:sz w:val="24"/>
          <w:szCs w:val="24"/>
          <w:highlight w:val="white"/>
          <w:lang w:val="en-GB"/>
        </w:rPr>
        <w:t>Rugthaicharoencheep</w:t>
      </w:r>
      <w:proofErr w:type="spellEnd"/>
      <w:r w:rsidRPr="00F93301">
        <w:rPr>
          <w:sz w:val="24"/>
          <w:szCs w:val="24"/>
          <w:highlight w:val="white"/>
          <w:lang w:val="en-GB"/>
        </w:rPr>
        <w:t xml:space="preserve"> </w:t>
      </w:r>
      <w:r w:rsidRPr="00F93301">
        <w:rPr>
          <w:i/>
          <w:iCs/>
          <w:sz w:val="24"/>
          <w:szCs w:val="24"/>
          <w:highlight w:val="white"/>
          <w:lang w:val="en-GB"/>
        </w:rPr>
        <w:t xml:space="preserve">et al. </w:t>
      </w:r>
      <w:r w:rsidRPr="00F93301">
        <w:rPr>
          <w:sz w:val="24"/>
          <w:szCs w:val="24"/>
          <w:highlight w:val="white"/>
          <w:lang w:val="en-GB"/>
        </w:rPr>
        <w:t xml:space="preserve">2024). It has been computed using the equation: </w:t>
      </w:r>
      <w:r w:rsidRPr="00F93301">
        <w:rPr>
          <w:i/>
          <w:iCs/>
          <w:sz w:val="24"/>
          <w:szCs w:val="24"/>
          <w:highlight w:val="white"/>
          <w:lang w:val="en-GB"/>
        </w:rPr>
        <w:t>“0 = CF₀ + CF₁ / (1+</w:t>
      </w:r>
      <w:proofErr w:type="gramStart"/>
      <w:r w:rsidRPr="00F93301">
        <w:rPr>
          <w:i/>
          <w:iCs/>
          <w:sz w:val="24"/>
          <w:szCs w:val="24"/>
          <w:highlight w:val="white"/>
          <w:lang w:val="en-GB"/>
        </w:rPr>
        <w:t>IRR)¹</w:t>
      </w:r>
      <w:proofErr w:type="gramEnd"/>
      <w:r w:rsidRPr="00F93301">
        <w:rPr>
          <w:i/>
          <w:iCs/>
          <w:sz w:val="24"/>
          <w:szCs w:val="24"/>
          <w:highlight w:val="white"/>
          <w:lang w:val="en-GB"/>
        </w:rPr>
        <w:t xml:space="preserve"> + CF₂ / (1+</w:t>
      </w:r>
      <w:proofErr w:type="gramStart"/>
      <w:r w:rsidRPr="00F93301">
        <w:rPr>
          <w:i/>
          <w:iCs/>
          <w:sz w:val="24"/>
          <w:szCs w:val="24"/>
          <w:highlight w:val="white"/>
          <w:lang w:val="en-GB"/>
        </w:rPr>
        <w:t>IRR)²</w:t>
      </w:r>
      <w:proofErr w:type="gramEnd"/>
      <w:r w:rsidRPr="00F93301">
        <w:rPr>
          <w:i/>
          <w:iCs/>
          <w:sz w:val="24"/>
          <w:szCs w:val="24"/>
          <w:highlight w:val="white"/>
          <w:lang w:val="en-GB"/>
        </w:rPr>
        <w:t xml:space="preserve"> + </w:t>
      </w:r>
      <w:r w:rsidRPr="00F93301">
        <w:rPr>
          <w:i/>
          <w:iCs/>
          <w:sz w:val="24"/>
          <w:szCs w:val="24"/>
          <w:highlight w:val="white"/>
          <w:lang w:val="en-GB"/>
        </w:rPr>
        <w:lastRenderedPageBreak/>
        <w:t>CF₃ / (1+</w:t>
      </w:r>
      <w:proofErr w:type="gramStart"/>
      <w:r w:rsidRPr="00F93301">
        <w:rPr>
          <w:i/>
          <w:iCs/>
          <w:sz w:val="24"/>
          <w:szCs w:val="24"/>
          <w:highlight w:val="white"/>
          <w:lang w:val="en-GB"/>
        </w:rPr>
        <w:t>IRR)³</w:t>
      </w:r>
      <w:proofErr w:type="gramEnd"/>
      <w:r w:rsidRPr="00F93301">
        <w:rPr>
          <w:i/>
          <w:iCs/>
          <w:sz w:val="24"/>
          <w:szCs w:val="24"/>
          <w:highlight w:val="white"/>
          <w:lang w:val="en-GB"/>
        </w:rPr>
        <w:t xml:space="preserve"> + CF</w:t>
      </w:r>
      <w:r w:rsidRPr="00F93301">
        <w:rPr>
          <w:i/>
          <w:iCs/>
          <w:sz w:val="24"/>
          <w:szCs w:val="24"/>
          <w:highlight w:val="white"/>
          <w:vertAlign w:val="subscript"/>
          <w:lang w:val="en-GB"/>
        </w:rPr>
        <w:t>4</w:t>
      </w:r>
      <w:r w:rsidRPr="00F93301">
        <w:rPr>
          <w:i/>
          <w:iCs/>
          <w:sz w:val="24"/>
          <w:szCs w:val="24"/>
          <w:highlight w:val="white"/>
          <w:lang w:val="en-GB"/>
        </w:rPr>
        <w:t xml:space="preserve"> / (1+IRR)</w:t>
      </w:r>
      <w:r w:rsidRPr="00F93301">
        <w:rPr>
          <w:i/>
          <w:iCs/>
          <w:sz w:val="24"/>
          <w:szCs w:val="24"/>
          <w:highlight w:val="white"/>
          <w:vertAlign w:val="superscript"/>
          <w:lang w:val="en-GB"/>
        </w:rPr>
        <w:t>4</w:t>
      </w:r>
      <w:r w:rsidRPr="00F93301">
        <w:rPr>
          <w:i/>
          <w:iCs/>
          <w:sz w:val="24"/>
          <w:szCs w:val="24"/>
          <w:highlight w:val="white"/>
          <w:lang w:val="en-GB"/>
        </w:rPr>
        <w:t xml:space="preserve"> + CF</w:t>
      </w:r>
      <w:r w:rsidRPr="00F93301">
        <w:rPr>
          <w:i/>
          <w:iCs/>
          <w:sz w:val="24"/>
          <w:szCs w:val="24"/>
          <w:highlight w:val="white"/>
          <w:vertAlign w:val="subscript"/>
          <w:lang w:val="en-GB"/>
        </w:rPr>
        <w:t>5</w:t>
      </w:r>
      <w:r w:rsidRPr="00F93301">
        <w:rPr>
          <w:i/>
          <w:iCs/>
          <w:sz w:val="24"/>
          <w:szCs w:val="24"/>
          <w:highlight w:val="white"/>
          <w:lang w:val="en-GB"/>
        </w:rPr>
        <w:t xml:space="preserve"> / (1+IRR)</w:t>
      </w:r>
      <w:r w:rsidRPr="00F93301">
        <w:rPr>
          <w:i/>
          <w:iCs/>
          <w:sz w:val="24"/>
          <w:szCs w:val="24"/>
          <w:highlight w:val="white"/>
          <w:vertAlign w:val="superscript"/>
          <w:lang w:val="en-GB"/>
        </w:rPr>
        <w:t>5</w:t>
      </w:r>
      <w:r w:rsidRPr="00F93301">
        <w:rPr>
          <w:i/>
          <w:iCs/>
          <w:sz w:val="24"/>
          <w:szCs w:val="24"/>
          <w:highlight w:val="white"/>
          <w:lang w:val="en-GB"/>
        </w:rPr>
        <w:t>”</w:t>
      </w:r>
      <w:r w:rsidRPr="00F93301">
        <w:rPr>
          <w:sz w:val="24"/>
          <w:szCs w:val="24"/>
          <w:highlight w:val="white"/>
          <w:lang w:val="en-GB"/>
        </w:rPr>
        <w:t xml:space="preserve">. It is a discounting technique of decision making because of which scholars consider IRR as an effective technique of selecting projects in support of NPV. Projects with greatest IRR are selected whereas projects with lowest IRR are rejected. It is important that IRR is greater than the cost of capital of the project. IRR of project A is 11%, project B is 0% and project C is 13%. As IRR of project C is greatest, the same must be selected. </w:t>
      </w: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93301" w:rsidRPr="00F93301" w14:paraId="4D9FDB0B" w14:textId="77777777">
        <w:tc>
          <w:tcPr>
            <w:tcW w:w="2340" w:type="dxa"/>
            <w:tcMar>
              <w:top w:w="100" w:type="dxa"/>
              <w:left w:w="100" w:type="dxa"/>
              <w:bottom w:w="100" w:type="dxa"/>
              <w:right w:w="100" w:type="dxa"/>
            </w:tcMar>
          </w:tcPr>
          <w:p w14:paraId="4D9FDB07" w14:textId="77777777" w:rsidR="00150B23" w:rsidRPr="00F93301" w:rsidRDefault="00150B23">
            <w:pPr>
              <w:widowControl w:val="0"/>
              <w:spacing w:line="360" w:lineRule="auto"/>
              <w:jc w:val="center"/>
              <w:rPr>
                <w:b/>
                <w:bCs/>
                <w:sz w:val="24"/>
                <w:szCs w:val="24"/>
                <w:highlight w:val="white"/>
                <w:lang w:val="en-GB"/>
              </w:rPr>
            </w:pPr>
          </w:p>
        </w:tc>
        <w:tc>
          <w:tcPr>
            <w:tcW w:w="2340" w:type="dxa"/>
            <w:tcMar>
              <w:top w:w="100" w:type="dxa"/>
              <w:left w:w="100" w:type="dxa"/>
              <w:bottom w:w="100" w:type="dxa"/>
              <w:right w:w="100" w:type="dxa"/>
            </w:tcMar>
          </w:tcPr>
          <w:p w14:paraId="4D9FDB08"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A</w:t>
            </w:r>
          </w:p>
        </w:tc>
        <w:tc>
          <w:tcPr>
            <w:tcW w:w="2340" w:type="dxa"/>
            <w:tcMar>
              <w:top w:w="100" w:type="dxa"/>
              <w:left w:w="100" w:type="dxa"/>
              <w:bottom w:w="100" w:type="dxa"/>
              <w:right w:w="100" w:type="dxa"/>
            </w:tcMar>
          </w:tcPr>
          <w:p w14:paraId="4D9FDB09"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B</w:t>
            </w:r>
          </w:p>
        </w:tc>
        <w:tc>
          <w:tcPr>
            <w:tcW w:w="2340" w:type="dxa"/>
            <w:tcMar>
              <w:top w:w="100" w:type="dxa"/>
              <w:left w:w="100" w:type="dxa"/>
              <w:bottom w:w="100" w:type="dxa"/>
              <w:right w:w="100" w:type="dxa"/>
            </w:tcMar>
          </w:tcPr>
          <w:p w14:paraId="4D9FDB0A" w14:textId="77777777" w:rsidR="00150B23" w:rsidRPr="00F93301" w:rsidRDefault="00A17F42">
            <w:pPr>
              <w:widowControl w:val="0"/>
              <w:spacing w:line="360" w:lineRule="auto"/>
              <w:jc w:val="center"/>
              <w:rPr>
                <w:b/>
                <w:bCs/>
                <w:sz w:val="24"/>
                <w:szCs w:val="24"/>
                <w:highlight w:val="white"/>
                <w:lang w:val="en-GB"/>
              </w:rPr>
            </w:pPr>
            <w:r w:rsidRPr="00F93301">
              <w:rPr>
                <w:b/>
                <w:bCs/>
                <w:sz w:val="24"/>
                <w:szCs w:val="24"/>
                <w:highlight w:val="white"/>
                <w:lang w:val="en-GB"/>
              </w:rPr>
              <w:t>Project C</w:t>
            </w:r>
          </w:p>
        </w:tc>
      </w:tr>
      <w:tr w:rsidR="00F93301" w:rsidRPr="00F93301" w14:paraId="4D9FDB10" w14:textId="77777777">
        <w:tc>
          <w:tcPr>
            <w:tcW w:w="2340" w:type="dxa"/>
            <w:tcMar>
              <w:top w:w="100" w:type="dxa"/>
              <w:left w:w="100" w:type="dxa"/>
              <w:bottom w:w="100" w:type="dxa"/>
              <w:right w:w="100" w:type="dxa"/>
            </w:tcMar>
          </w:tcPr>
          <w:p w14:paraId="4D9FDB0C" w14:textId="77777777" w:rsidR="00150B23" w:rsidRPr="00F93301" w:rsidRDefault="00A17F42">
            <w:pPr>
              <w:widowControl w:val="0"/>
              <w:spacing w:line="360" w:lineRule="auto"/>
              <w:rPr>
                <w:sz w:val="24"/>
                <w:szCs w:val="24"/>
                <w:highlight w:val="white"/>
                <w:lang w:val="en-GB"/>
              </w:rPr>
            </w:pPr>
            <w:r w:rsidRPr="00F93301">
              <w:rPr>
                <w:sz w:val="24"/>
                <w:szCs w:val="24"/>
                <w:highlight w:val="white"/>
                <w:lang w:val="en-GB"/>
              </w:rPr>
              <w:t>IRR</w:t>
            </w:r>
          </w:p>
        </w:tc>
        <w:tc>
          <w:tcPr>
            <w:tcW w:w="2340" w:type="dxa"/>
            <w:tcMar>
              <w:top w:w="100" w:type="dxa"/>
              <w:left w:w="100" w:type="dxa"/>
              <w:bottom w:w="100" w:type="dxa"/>
              <w:right w:w="100" w:type="dxa"/>
            </w:tcMar>
          </w:tcPr>
          <w:p w14:paraId="4D9FDB0D"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11%</w:t>
            </w:r>
          </w:p>
        </w:tc>
        <w:tc>
          <w:tcPr>
            <w:tcW w:w="2340" w:type="dxa"/>
            <w:tcMar>
              <w:top w:w="100" w:type="dxa"/>
              <w:left w:w="100" w:type="dxa"/>
              <w:bottom w:w="100" w:type="dxa"/>
              <w:right w:w="100" w:type="dxa"/>
            </w:tcMar>
          </w:tcPr>
          <w:p w14:paraId="4D9FDB0E"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0%</w:t>
            </w:r>
          </w:p>
        </w:tc>
        <w:tc>
          <w:tcPr>
            <w:tcW w:w="2340" w:type="dxa"/>
            <w:tcMar>
              <w:top w:w="100" w:type="dxa"/>
              <w:left w:w="100" w:type="dxa"/>
              <w:bottom w:w="100" w:type="dxa"/>
              <w:right w:w="100" w:type="dxa"/>
            </w:tcMar>
          </w:tcPr>
          <w:p w14:paraId="4D9FDB0F" w14:textId="77777777" w:rsidR="00150B23" w:rsidRPr="00F93301" w:rsidRDefault="00A17F42">
            <w:pPr>
              <w:widowControl w:val="0"/>
              <w:spacing w:line="360" w:lineRule="auto"/>
              <w:jc w:val="right"/>
              <w:rPr>
                <w:sz w:val="24"/>
                <w:szCs w:val="24"/>
                <w:highlight w:val="white"/>
                <w:lang w:val="en-GB"/>
              </w:rPr>
            </w:pPr>
            <w:r w:rsidRPr="00F93301">
              <w:rPr>
                <w:sz w:val="24"/>
                <w:szCs w:val="24"/>
                <w:highlight w:val="white"/>
                <w:lang w:val="en-GB"/>
              </w:rPr>
              <w:t>13%</w:t>
            </w:r>
          </w:p>
        </w:tc>
      </w:tr>
    </w:tbl>
    <w:p w14:paraId="4D9FDB11" w14:textId="77777777" w:rsidR="00150B23" w:rsidRPr="00F93301" w:rsidRDefault="00A17F42" w:rsidP="001F1F15">
      <w:pPr>
        <w:pStyle w:val="Heading5"/>
        <w:rPr>
          <w:highlight w:val="white"/>
        </w:rPr>
      </w:pPr>
      <w:bookmarkStart w:id="48" w:name="_Toc216975003"/>
      <w:bookmarkStart w:id="49" w:name="_Toc216975098"/>
      <w:r w:rsidRPr="00F93301">
        <w:rPr>
          <w:highlight w:val="white"/>
        </w:rPr>
        <w:t>Table 6: IRR for the 3 projects</w:t>
      </w:r>
      <w:bookmarkEnd w:id="48"/>
      <w:bookmarkEnd w:id="49"/>
    </w:p>
    <w:p w14:paraId="4D9FDB12" w14:textId="77777777" w:rsidR="00150B23" w:rsidRPr="00F93301" w:rsidRDefault="00A17F42">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4D9FDB13" w14:textId="77777777" w:rsidR="00150B23" w:rsidRPr="00F93301" w:rsidRDefault="00A17F42">
      <w:pPr>
        <w:pStyle w:val="Heading2"/>
        <w:rPr>
          <w:lang w:val="en-GB"/>
        </w:rPr>
      </w:pPr>
      <w:bookmarkStart w:id="50" w:name="_Toc216975099"/>
      <w:r w:rsidRPr="00F93301">
        <w:rPr>
          <w:lang w:val="en-GB"/>
        </w:rPr>
        <w:t>II. Selection of Project</w:t>
      </w:r>
      <w:bookmarkEnd w:id="50"/>
    </w:p>
    <w:p w14:paraId="4D9FDB14"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Out of all the options, project 3 must be selected because of highest NPV, IRR PI and ARR. The above discussion shows that project 3 is profitable because cash inflows are greater than cash outflows as shown by NPV. Along with this, ARR is the greatest which means the company would generate the highest percentage of accounting profit even after deducting non-cash expenses like depreciation. IRR of project 3 is the highest indicating that the return rate is greater compared to the discounting rate. PI also supports that project 3 is the most profitable option for investment purposes. However, the payback period of this project is the highest. As NPV is the most reliable technique of decision making, project 3 must be selected.</w:t>
      </w:r>
    </w:p>
    <w:p w14:paraId="4D9FDB15" w14:textId="77777777" w:rsidR="00150B23" w:rsidRPr="00F93301" w:rsidRDefault="00A17F42">
      <w:pPr>
        <w:pStyle w:val="Heading2"/>
        <w:rPr>
          <w:lang w:val="en-GB"/>
        </w:rPr>
      </w:pPr>
      <w:bookmarkStart w:id="51" w:name="_Toc216975100"/>
      <w:r w:rsidRPr="00F93301">
        <w:rPr>
          <w:lang w:val="en-GB"/>
        </w:rPr>
        <w:t>III. Recommendation via Capital Rationing</w:t>
      </w:r>
      <w:bookmarkEnd w:id="51"/>
    </w:p>
    <w:p w14:paraId="4D9FDB16"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Capital rationing is a process of allocating investment in different projects if investors have limited funds to invest. As per the views put forward by Sekhar (2025), companies facing capital rationing might favour Payback Period despite conceptual rigor of NPV. The company has 60 million pounds which can be invested in the three projects. Project A has initial investment of £40m, Project B has initial investment of £30m and Project C has initial investment of £50m. If Project A and Project B are combined then initial investment </w:t>
      </w:r>
      <w:r w:rsidRPr="00F93301">
        <w:rPr>
          <w:sz w:val="24"/>
          <w:szCs w:val="24"/>
          <w:highlight w:val="white"/>
          <w:lang w:val="en-GB"/>
        </w:rPr>
        <w:lastRenderedPageBreak/>
        <w:t xml:space="preserve">required would be £ 70 million which is greater than £ 60 million. Thus, this option is not feasible. Similarly, if Project A and Project C are combined then initial investment would be £ 90 million which is greater than £ 70 million making this option not feasible. In the same way, if Project B and Project C are combined then initial investment required would be £ 80 million which is greater than £ 70 million making it not feasible. This means the company can invest in only one project at a time and thus investment must be done in project C with the highest NPV. </w:t>
      </w:r>
    </w:p>
    <w:p w14:paraId="4D9FDB17" w14:textId="77777777" w:rsidR="00150B23" w:rsidRPr="00F93301" w:rsidRDefault="00A17F42">
      <w:pPr>
        <w:pStyle w:val="Heading2"/>
        <w:rPr>
          <w:lang w:val="en-GB"/>
        </w:rPr>
      </w:pPr>
      <w:bookmarkStart w:id="52" w:name="_Toc216975101"/>
      <w:r w:rsidRPr="00F93301">
        <w:rPr>
          <w:lang w:val="en-GB"/>
        </w:rPr>
        <w:t>IV. Justification Based on Financial Performance and Project Risk</w:t>
      </w:r>
      <w:bookmarkEnd w:id="52"/>
    </w:p>
    <w:p w14:paraId="4D9FDB18"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 xml:space="preserve">Calculation of investment appraisal techniques help businesses in considering quantitative factors such as profitability. However, there are other factors that require equal importance at the time of decision making. </w:t>
      </w:r>
    </w:p>
    <w:p w14:paraId="4D9FDB19"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Profitability: </w:t>
      </w:r>
      <w:r w:rsidRPr="00F93301">
        <w:rPr>
          <w:sz w:val="24"/>
          <w:szCs w:val="24"/>
          <w:highlight w:val="white"/>
          <w:lang w:val="en-GB"/>
        </w:rPr>
        <w:t>One of the most important aims behind performing investment involves increasing profitability. In other words, profitability is one of the most attractive factors when it comes to investment. Profitability of GE currently is very low because of which the company is in the requirement of profitable investment options. Projects with greatest return earning potential would be suitable for the company to be able to improve with existing profitability. Based on this factor, project C is the best option for the business.</w:t>
      </w:r>
    </w:p>
    <w:p w14:paraId="4D9FDB1A"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Liquidity: </w:t>
      </w:r>
      <w:r w:rsidRPr="00F93301">
        <w:rPr>
          <w:sz w:val="24"/>
          <w:szCs w:val="24"/>
          <w:highlight w:val="white"/>
          <w:lang w:val="en-GB"/>
        </w:rPr>
        <w:t>Liquidity</w:t>
      </w:r>
      <w:r w:rsidRPr="00F93301">
        <w:rPr>
          <w:b/>
          <w:bCs/>
          <w:i/>
          <w:iCs/>
          <w:sz w:val="24"/>
          <w:szCs w:val="24"/>
          <w:highlight w:val="white"/>
          <w:lang w:val="en-GB"/>
        </w:rPr>
        <w:t xml:space="preserve"> </w:t>
      </w:r>
      <w:r w:rsidRPr="00F93301">
        <w:rPr>
          <w:sz w:val="24"/>
          <w:szCs w:val="24"/>
          <w:highlight w:val="white"/>
          <w:lang w:val="en-GB"/>
        </w:rPr>
        <w:t>of an investment is associated with the ability of the investors to earn back the investment. Liquidity of GE currently is good which means the company possesses sufficient liquid assets that can be invested in clearing dues. As the liquidity performance is already strong, GE is not required to consider investment options with greater liquidity. Based on this perspective, the company must proceed with project C.</w:t>
      </w:r>
    </w:p>
    <w:p w14:paraId="4D9FDB1B" w14:textId="77777777" w:rsidR="00150B23" w:rsidRPr="00F93301" w:rsidRDefault="00A17F42">
      <w:pPr>
        <w:spacing w:before="200" w:after="200" w:line="360" w:lineRule="auto"/>
        <w:jc w:val="both"/>
        <w:rPr>
          <w:sz w:val="24"/>
          <w:szCs w:val="24"/>
          <w:highlight w:val="white"/>
          <w:lang w:val="en-GB"/>
        </w:rPr>
      </w:pPr>
      <w:r w:rsidRPr="00F93301">
        <w:rPr>
          <w:b/>
          <w:bCs/>
          <w:i/>
          <w:iCs/>
          <w:sz w:val="24"/>
          <w:szCs w:val="24"/>
          <w:highlight w:val="white"/>
          <w:lang w:val="en-GB"/>
        </w:rPr>
        <w:t xml:space="preserve">Project risk characteristics - cash flow volatility: </w:t>
      </w:r>
      <w:r w:rsidRPr="00F93301">
        <w:rPr>
          <w:sz w:val="24"/>
          <w:szCs w:val="24"/>
          <w:highlight w:val="white"/>
          <w:lang w:val="en-GB"/>
        </w:rPr>
        <w:t>Volatility of cash flows is an important factor to be considered at the time of decision making. It is important that the company is investing funds in projects with lowest volatility of cash flows. Project B has the least amount of volatility in the cash flows which makes it suitable for the purpose of investment. However, cash flow volatility cannot become a sole decision maker when it comes to selecting investment projects. Project B does not satisfy other criteria of selection.</w:t>
      </w:r>
    </w:p>
    <w:p w14:paraId="4D9FDB1C" w14:textId="77777777" w:rsidR="00150B23" w:rsidRPr="00F93301" w:rsidRDefault="00A17F42">
      <w:pPr>
        <w:pStyle w:val="Heading1"/>
        <w:rPr>
          <w:lang w:val="en-GB"/>
        </w:rPr>
      </w:pPr>
      <w:bookmarkStart w:id="53" w:name="_Toc216975102"/>
      <w:r w:rsidRPr="00F93301">
        <w:rPr>
          <w:lang w:val="en-GB"/>
        </w:rPr>
        <w:lastRenderedPageBreak/>
        <w:t>6. Conclusion</w:t>
      </w:r>
      <w:bookmarkEnd w:id="53"/>
    </w:p>
    <w:p w14:paraId="4D9FDB1D" w14:textId="77777777" w:rsidR="00150B23" w:rsidRPr="00F93301" w:rsidRDefault="00A17F42">
      <w:pPr>
        <w:spacing w:before="200" w:after="200" w:line="360" w:lineRule="auto"/>
        <w:jc w:val="both"/>
        <w:rPr>
          <w:sz w:val="24"/>
          <w:szCs w:val="24"/>
          <w:highlight w:val="white"/>
          <w:lang w:val="en-GB"/>
        </w:rPr>
      </w:pPr>
      <w:r w:rsidRPr="00F93301">
        <w:rPr>
          <w:sz w:val="24"/>
          <w:szCs w:val="24"/>
          <w:highlight w:val="white"/>
          <w:lang w:val="en-GB"/>
        </w:rPr>
        <w:t>GE has reported very poor financial performance in terms of profitability, efficiency, gearing, cash flows, and investment. The company is earning losses and reduction in cash balance can be identified creating a negative impact on its sustainability. However, liquidity of the business is very strong leading to satisfied investors. Risk of bankruptcy is absent but working capital management requires improvement. Financial restructuring options must be considered by the company for improving its financial performance. Calculation of investment appraisal helps in concluding that project 3 must be chosen. Capital rationing concludes that the company can invest only in one project.</w:t>
      </w:r>
    </w:p>
    <w:p w14:paraId="4D9FDB1E" w14:textId="77777777" w:rsidR="00150B23" w:rsidRPr="00F93301" w:rsidRDefault="00150B23">
      <w:pPr>
        <w:spacing w:before="200" w:after="200" w:line="360" w:lineRule="auto"/>
        <w:jc w:val="both"/>
        <w:rPr>
          <w:b/>
          <w:bCs/>
          <w:sz w:val="24"/>
          <w:szCs w:val="24"/>
          <w:highlight w:val="white"/>
          <w:lang w:val="en-GB"/>
        </w:rPr>
      </w:pPr>
    </w:p>
    <w:p w14:paraId="4D9FDB1F" w14:textId="77777777" w:rsidR="00150B23" w:rsidRPr="00F93301" w:rsidRDefault="00150B23">
      <w:pPr>
        <w:spacing w:before="200" w:after="200" w:line="360" w:lineRule="auto"/>
        <w:jc w:val="both"/>
        <w:rPr>
          <w:b/>
          <w:bCs/>
          <w:sz w:val="24"/>
          <w:szCs w:val="24"/>
          <w:highlight w:val="white"/>
          <w:lang w:val="en-GB"/>
        </w:rPr>
      </w:pPr>
    </w:p>
    <w:p w14:paraId="4D9FDB20" w14:textId="77777777" w:rsidR="00150B23" w:rsidRPr="00F93301" w:rsidRDefault="00A17F42">
      <w:pPr>
        <w:spacing w:before="200" w:after="200" w:line="360" w:lineRule="auto"/>
        <w:jc w:val="both"/>
        <w:rPr>
          <w:b/>
          <w:bCs/>
          <w:sz w:val="24"/>
          <w:szCs w:val="24"/>
          <w:highlight w:val="white"/>
          <w:lang w:val="en-GB"/>
        </w:rPr>
      </w:pPr>
      <w:r w:rsidRPr="00F93301">
        <w:rPr>
          <w:lang w:val="en-GB"/>
        </w:rPr>
        <w:br w:type="page"/>
      </w:r>
    </w:p>
    <w:p w14:paraId="4D9FDB21" w14:textId="77777777" w:rsidR="00150B23" w:rsidRPr="00F93301" w:rsidRDefault="00A17F42">
      <w:pPr>
        <w:pStyle w:val="Heading1"/>
        <w:rPr>
          <w:lang w:val="en-GB"/>
        </w:rPr>
      </w:pPr>
      <w:bookmarkStart w:id="54" w:name="_Toc216975103"/>
      <w:r w:rsidRPr="00F93301">
        <w:rPr>
          <w:lang w:val="en-GB"/>
        </w:rPr>
        <w:lastRenderedPageBreak/>
        <w:t>References</w:t>
      </w:r>
      <w:bookmarkEnd w:id="54"/>
    </w:p>
    <w:p w14:paraId="518AFEB9"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ACCA Global (2025). </w:t>
      </w:r>
      <w:r w:rsidRPr="00F93301">
        <w:rPr>
          <w:i/>
          <w:iCs/>
          <w:sz w:val="24"/>
          <w:szCs w:val="24"/>
          <w:highlight w:val="white"/>
          <w:lang w:val="en-GB"/>
        </w:rPr>
        <w:t>Accounting rate of return</w:t>
      </w:r>
      <w:r w:rsidRPr="00F93301">
        <w:rPr>
          <w:sz w:val="24"/>
          <w:szCs w:val="24"/>
          <w:highlight w:val="white"/>
          <w:lang w:val="en-GB"/>
        </w:rPr>
        <w:t xml:space="preserve">. Available at: </w:t>
      </w:r>
      <w:hyperlink r:id="rId22">
        <w:r w:rsidRPr="00F93301">
          <w:rPr>
            <w:sz w:val="24"/>
            <w:szCs w:val="24"/>
            <w:highlight w:val="white"/>
            <w:u w:val="single"/>
            <w:lang w:val="en-GB"/>
          </w:rPr>
          <w:t>https://www.accaglobal.com/in/en/student/exam-support-resources/foundation-level-study-resources/ffm/ffm-technical-articles/rate-return.html</w:t>
        </w:r>
      </w:hyperlink>
      <w:r w:rsidRPr="00F93301">
        <w:rPr>
          <w:sz w:val="24"/>
          <w:szCs w:val="24"/>
          <w:highlight w:val="white"/>
          <w:lang w:val="en-GB"/>
        </w:rPr>
        <w:t xml:space="preserve"> [Accessed on 15th December 2025] </w:t>
      </w:r>
    </w:p>
    <w:p w14:paraId="5C5ADD77"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Adriana, D., </w:t>
      </w:r>
      <w:proofErr w:type="spellStart"/>
      <w:r w:rsidRPr="00F93301">
        <w:rPr>
          <w:sz w:val="24"/>
          <w:szCs w:val="24"/>
          <w:highlight w:val="white"/>
          <w:lang w:val="en-GB"/>
        </w:rPr>
        <w:t>Hartoyo</w:t>
      </w:r>
      <w:proofErr w:type="spellEnd"/>
      <w:r w:rsidRPr="00F93301">
        <w:rPr>
          <w:sz w:val="24"/>
          <w:szCs w:val="24"/>
          <w:highlight w:val="white"/>
          <w:lang w:val="en-GB"/>
        </w:rPr>
        <w:t xml:space="preserve">, H., </w:t>
      </w:r>
      <w:proofErr w:type="spellStart"/>
      <w:r w:rsidRPr="00F93301">
        <w:rPr>
          <w:sz w:val="24"/>
          <w:szCs w:val="24"/>
          <w:highlight w:val="white"/>
          <w:lang w:val="en-GB"/>
        </w:rPr>
        <w:t>Syarief</w:t>
      </w:r>
      <w:proofErr w:type="spellEnd"/>
      <w:r w:rsidRPr="00F93301">
        <w:rPr>
          <w:sz w:val="24"/>
          <w:szCs w:val="24"/>
          <w:highlight w:val="white"/>
          <w:lang w:val="en-GB"/>
        </w:rPr>
        <w:t xml:space="preserve">, R. and </w:t>
      </w:r>
      <w:proofErr w:type="spellStart"/>
      <w:r w:rsidRPr="00F93301">
        <w:rPr>
          <w:sz w:val="24"/>
          <w:szCs w:val="24"/>
          <w:highlight w:val="white"/>
          <w:lang w:val="en-GB"/>
        </w:rPr>
        <w:t>Anggraeni</w:t>
      </w:r>
      <w:proofErr w:type="spellEnd"/>
      <w:r w:rsidRPr="00F93301">
        <w:rPr>
          <w:sz w:val="24"/>
          <w:szCs w:val="24"/>
          <w:highlight w:val="white"/>
          <w:lang w:val="en-GB"/>
        </w:rPr>
        <w:t xml:space="preserve">, E., (2024). Revisiting Causes of Firm Exit for Divestiture Spin-Off in the Last Five Years: A Systematic Literature Review. </w:t>
      </w:r>
      <w:proofErr w:type="spellStart"/>
      <w:r w:rsidRPr="00F93301">
        <w:rPr>
          <w:i/>
          <w:iCs/>
          <w:sz w:val="24"/>
          <w:szCs w:val="24"/>
          <w:highlight w:val="white"/>
          <w:lang w:val="en-GB"/>
        </w:rPr>
        <w:t>Aptisi</w:t>
      </w:r>
      <w:proofErr w:type="spellEnd"/>
      <w:r w:rsidRPr="00F93301">
        <w:rPr>
          <w:i/>
          <w:iCs/>
          <w:sz w:val="24"/>
          <w:szCs w:val="24"/>
          <w:highlight w:val="white"/>
          <w:lang w:val="en-GB"/>
        </w:rPr>
        <w:t xml:space="preserve"> Transactions on </w:t>
      </w:r>
      <w:proofErr w:type="spellStart"/>
      <w:r w:rsidRPr="00F93301">
        <w:rPr>
          <w:i/>
          <w:iCs/>
          <w:sz w:val="24"/>
          <w:szCs w:val="24"/>
          <w:highlight w:val="white"/>
          <w:lang w:val="en-GB"/>
        </w:rPr>
        <w:t>Technopreneurship</w:t>
      </w:r>
      <w:proofErr w:type="spellEnd"/>
      <w:r w:rsidRPr="00F93301">
        <w:rPr>
          <w:i/>
          <w:iCs/>
          <w:sz w:val="24"/>
          <w:szCs w:val="24"/>
          <w:highlight w:val="white"/>
          <w:lang w:val="en-GB"/>
        </w:rPr>
        <w:t xml:space="preserve"> (ATT)</w:t>
      </w:r>
      <w:r w:rsidRPr="00F93301">
        <w:rPr>
          <w:sz w:val="24"/>
          <w:szCs w:val="24"/>
          <w:highlight w:val="white"/>
          <w:lang w:val="en-GB"/>
        </w:rPr>
        <w:t xml:space="preserve">, </w:t>
      </w:r>
      <w:r w:rsidRPr="00F93301">
        <w:rPr>
          <w:i/>
          <w:iCs/>
          <w:sz w:val="24"/>
          <w:szCs w:val="24"/>
          <w:highlight w:val="white"/>
          <w:lang w:val="en-GB"/>
        </w:rPr>
        <w:t>6</w:t>
      </w:r>
      <w:r w:rsidRPr="00F93301">
        <w:rPr>
          <w:sz w:val="24"/>
          <w:szCs w:val="24"/>
          <w:highlight w:val="white"/>
          <w:lang w:val="en-GB"/>
        </w:rPr>
        <w:t xml:space="preserve">(3), pp.458-467. Available at: </w:t>
      </w:r>
      <w:hyperlink r:id="rId23">
        <w:r w:rsidRPr="00F93301">
          <w:rPr>
            <w:sz w:val="24"/>
            <w:szCs w:val="24"/>
            <w:highlight w:val="white"/>
            <w:u w:val="single"/>
            <w:lang w:val="en-GB"/>
          </w:rPr>
          <w:t>https://att.aptisi.or.id/index.php/att/article/download/447/288</w:t>
        </w:r>
      </w:hyperlink>
      <w:r w:rsidRPr="00F93301">
        <w:rPr>
          <w:sz w:val="24"/>
          <w:szCs w:val="24"/>
          <w:highlight w:val="white"/>
          <w:lang w:val="en-GB"/>
        </w:rPr>
        <w:t xml:space="preserve"> [Accessed on 15th December 2025] </w:t>
      </w:r>
    </w:p>
    <w:p w14:paraId="24EF0B67"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Akinsola, O.K. and Kingsley </w:t>
      </w:r>
      <w:proofErr w:type="gramStart"/>
      <w:r w:rsidRPr="00F93301">
        <w:rPr>
          <w:sz w:val="24"/>
          <w:szCs w:val="24"/>
          <w:highlight w:val="white"/>
          <w:lang w:val="en-GB"/>
        </w:rPr>
        <w:t>Onu,  D.Y.O.</w:t>
      </w:r>
      <w:proofErr w:type="gramEnd"/>
      <w:r w:rsidRPr="00F93301">
        <w:rPr>
          <w:sz w:val="24"/>
          <w:szCs w:val="24"/>
          <w:highlight w:val="white"/>
          <w:lang w:val="en-GB"/>
        </w:rPr>
        <w:t xml:space="preserve">, (2024), Legal Implications of Corporate Spin-Offs, Divestitures, and Corporate Restructuring: Key Considerations for Business Leaders and Legal Counsel. Available at: </w:t>
      </w:r>
      <w:hyperlink r:id="rId24">
        <w:r w:rsidRPr="00F93301">
          <w:rPr>
            <w:sz w:val="24"/>
            <w:szCs w:val="24"/>
            <w:highlight w:val="white"/>
            <w:u w:val="single"/>
            <w:lang w:val="en-GB"/>
          </w:rPr>
          <w:t>https://www.researchgate.net/profile/Beauden-John/publication/388659649_Legal_Implications_of_Corporate_Spin-Offs_Divestitures_and_Corporate_Restructuring_Key_Considerations_for_Business_Leaders_and_Legal_Counsel/links/67a19499645ef274a4664f72/Legal-Implications-of-Corporate-Spin-Offs-Divestitures-and-Corporate-Restructuring-Key-Considerations-for-Business-Leaders-and-Legal-Counsel.pdf</w:t>
        </w:r>
      </w:hyperlink>
      <w:r w:rsidRPr="00F93301">
        <w:rPr>
          <w:sz w:val="24"/>
          <w:szCs w:val="24"/>
          <w:highlight w:val="white"/>
          <w:lang w:val="en-GB"/>
        </w:rPr>
        <w:t xml:space="preserve"> [Accessed on 15th December 2025] </w:t>
      </w:r>
    </w:p>
    <w:p w14:paraId="01953AD9"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Chishti, M.F., Rao, M., Raffat, M.W. and Rafi, S., (2024). Estimating Corporate Risk and Corporate Value </w:t>
      </w:r>
      <w:proofErr w:type="gramStart"/>
      <w:r w:rsidRPr="00F93301">
        <w:rPr>
          <w:sz w:val="24"/>
          <w:szCs w:val="24"/>
          <w:highlight w:val="white"/>
          <w:lang w:val="en-GB"/>
        </w:rPr>
        <w:t>An</w:t>
      </w:r>
      <w:proofErr w:type="gramEnd"/>
      <w:r w:rsidRPr="00F93301">
        <w:rPr>
          <w:sz w:val="24"/>
          <w:szCs w:val="24"/>
          <w:highlight w:val="white"/>
          <w:lang w:val="en-GB"/>
        </w:rPr>
        <w:t xml:space="preserve"> Application </w:t>
      </w:r>
      <w:proofErr w:type="gramStart"/>
      <w:r w:rsidRPr="00F93301">
        <w:rPr>
          <w:sz w:val="24"/>
          <w:szCs w:val="24"/>
          <w:highlight w:val="white"/>
          <w:lang w:val="en-GB"/>
        </w:rPr>
        <w:t>Of</w:t>
      </w:r>
      <w:proofErr w:type="gramEnd"/>
      <w:r w:rsidRPr="00F93301">
        <w:rPr>
          <w:sz w:val="24"/>
          <w:szCs w:val="24"/>
          <w:highlight w:val="white"/>
          <w:lang w:val="en-GB"/>
        </w:rPr>
        <w:t xml:space="preserve"> Altman's Z-Score </w:t>
      </w:r>
      <w:proofErr w:type="gramStart"/>
      <w:r w:rsidRPr="00F93301">
        <w:rPr>
          <w:sz w:val="24"/>
          <w:szCs w:val="24"/>
          <w:highlight w:val="white"/>
          <w:lang w:val="en-GB"/>
        </w:rPr>
        <w:t>On</w:t>
      </w:r>
      <w:proofErr w:type="gramEnd"/>
      <w:r w:rsidRPr="00F93301">
        <w:rPr>
          <w:sz w:val="24"/>
          <w:szCs w:val="24"/>
          <w:highlight w:val="white"/>
          <w:lang w:val="en-GB"/>
        </w:rPr>
        <w:t xml:space="preserve"> </w:t>
      </w:r>
      <w:proofErr w:type="gramStart"/>
      <w:r w:rsidRPr="00F93301">
        <w:rPr>
          <w:sz w:val="24"/>
          <w:szCs w:val="24"/>
          <w:highlight w:val="white"/>
          <w:lang w:val="en-GB"/>
        </w:rPr>
        <w:t>The</w:t>
      </w:r>
      <w:proofErr w:type="gramEnd"/>
      <w:r w:rsidRPr="00F93301">
        <w:rPr>
          <w:sz w:val="24"/>
          <w:szCs w:val="24"/>
          <w:highlight w:val="white"/>
          <w:lang w:val="en-GB"/>
        </w:rPr>
        <w:t xml:space="preserve"> Kse-30 Index. </w:t>
      </w:r>
      <w:r w:rsidRPr="00F93301">
        <w:rPr>
          <w:i/>
          <w:iCs/>
          <w:sz w:val="24"/>
          <w:szCs w:val="24"/>
          <w:highlight w:val="white"/>
          <w:lang w:val="en-GB"/>
        </w:rPr>
        <w:t>International Journal of Contemporary Issues in Social Sciences</w:t>
      </w:r>
      <w:r w:rsidRPr="00F93301">
        <w:rPr>
          <w:sz w:val="24"/>
          <w:szCs w:val="24"/>
          <w:highlight w:val="white"/>
          <w:lang w:val="en-GB"/>
        </w:rPr>
        <w:t xml:space="preserve">, </w:t>
      </w:r>
      <w:r w:rsidRPr="00F93301">
        <w:rPr>
          <w:i/>
          <w:iCs/>
          <w:sz w:val="24"/>
          <w:szCs w:val="24"/>
          <w:highlight w:val="white"/>
          <w:lang w:val="en-GB"/>
        </w:rPr>
        <w:t>3</w:t>
      </w:r>
      <w:r w:rsidRPr="00F93301">
        <w:rPr>
          <w:sz w:val="24"/>
          <w:szCs w:val="24"/>
          <w:highlight w:val="white"/>
          <w:lang w:val="en-GB"/>
        </w:rPr>
        <w:t xml:space="preserve">(2), pp.2833-2841. Available at: </w:t>
      </w:r>
      <w:hyperlink r:id="rId25">
        <w:r w:rsidRPr="00F93301">
          <w:rPr>
            <w:sz w:val="24"/>
            <w:szCs w:val="24"/>
            <w:highlight w:val="white"/>
            <w:u w:val="single"/>
            <w:lang w:val="en-GB"/>
          </w:rPr>
          <w:t>https://www.researchgate.net/profile/Mazhar-Farid-2/publication/382692938_ESTIMATING_CORPORATE_RISK_AND_CORPORATE_VALUE_AN_APPLICATION_OF_ALTMAN'S_Z-SCORE_ON_THE_KSE-30_INDEX_Corresponding_Author/links/66a9b545c6e41359a84d856e/ESTIMATING-CORPORATE-RISK-AND-CORPORATE-VALUE-AN-APPLICATION-OF-ALTMANS-Z-SCORE-ON-THE-KSE-30-INDEX-Corresponding-Author.pdf</w:t>
        </w:r>
      </w:hyperlink>
      <w:r w:rsidRPr="00F93301">
        <w:rPr>
          <w:sz w:val="24"/>
          <w:szCs w:val="24"/>
          <w:highlight w:val="white"/>
          <w:lang w:val="en-GB"/>
        </w:rPr>
        <w:t xml:space="preserve"> [Accessed on 15th December 2025] </w:t>
      </w:r>
    </w:p>
    <w:p w14:paraId="54FF54CC" w14:textId="77777777" w:rsidR="008D3293" w:rsidRPr="00F93301" w:rsidRDefault="008D3293">
      <w:pPr>
        <w:spacing w:before="200" w:after="200" w:line="360" w:lineRule="auto"/>
        <w:jc w:val="both"/>
        <w:rPr>
          <w:sz w:val="24"/>
          <w:szCs w:val="24"/>
          <w:highlight w:val="white"/>
          <w:lang w:val="en-GB"/>
        </w:rPr>
      </w:pPr>
      <w:proofErr w:type="spellStart"/>
      <w:r w:rsidRPr="00F93301">
        <w:rPr>
          <w:sz w:val="24"/>
          <w:szCs w:val="24"/>
          <w:highlight w:val="white"/>
          <w:lang w:val="en-GB"/>
        </w:rPr>
        <w:lastRenderedPageBreak/>
        <w:t>Colliard</w:t>
      </w:r>
      <w:proofErr w:type="spellEnd"/>
      <w:r w:rsidRPr="00F93301">
        <w:rPr>
          <w:sz w:val="24"/>
          <w:szCs w:val="24"/>
          <w:highlight w:val="white"/>
          <w:lang w:val="en-GB"/>
        </w:rPr>
        <w:t xml:space="preserve">, J.E. and </w:t>
      </w:r>
      <w:proofErr w:type="spellStart"/>
      <w:r w:rsidRPr="00F93301">
        <w:rPr>
          <w:sz w:val="24"/>
          <w:szCs w:val="24"/>
          <w:highlight w:val="white"/>
          <w:lang w:val="en-GB"/>
        </w:rPr>
        <w:t>Gromb</w:t>
      </w:r>
      <w:proofErr w:type="spellEnd"/>
      <w:r w:rsidRPr="00F93301">
        <w:rPr>
          <w:sz w:val="24"/>
          <w:szCs w:val="24"/>
          <w:highlight w:val="white"/>
          <w:lang w:val="en-GB"/>
        </w:rPr>
        <w:t xml:space="preserve">, D., (2025). Financial restructuring and resolution of banks. </w:t>
      </w:r>
      <w:r w:rsidRPr="00F93301">
        <w:rPr>
          <w:i/>
          <w:iCs/>
          <w:sz w:val="24"/>
          <w:szCs w:val="24"/>
          <w:highlight w:val="white"/>
          <w:lang w:val="en-GB"/>
        </w:rPr>
        <w:t>HEC Paris Research Paper No. FIN-2018-1272</w:t>
      </w:r>
      <w:r w:rsidRPr="00F93301">
        <w:rPr>
          <w:sz w:val="24"/>
          <w:szCs w:val="24"/>
          <w:highlight w:val="white"/>
          <w:lang w:val="en-GB"/>
        </w:rPr>
        <w:t xml:space="preserve">. Available at: </w:t>
      </w:r>
      <w:hyperlink r:id="rId26">
        <w:r w:rsidRPr="00F93301">
          <w:rPr>
            <w:sz w:val="24"/>
            <w:szCs w:val="24"/>
            <w:highlight w:val="white"/>
            <w:u w:val="single"/>
            <w:lang w:val="en-GB"/>
          </w:rPr>
          <w:t>https://papers.ssrn.com/sol3/Delivery.cfm?abstractid=3183777</w:t>
        </w:r>
      </w:hyperlink>
      <w:r w:rsidRPr="00F93301">
        <w:rPr>
          <w:sz w:val="24"/>
          <w:szCs w:val="24"/>
          <w:highlight w:val="white"/>
          <w:lang w:val="en-GB"/>
        </w:rPr>
        <w:t xml:space="preserve"> [Accessed on 15th December 2025] </w:t>
      </w:r>
    </w:p>
    <w:p w14:paraId="6264F844"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Cosima, T., Ahmed, E.M. and </w:t>
      </w:r>
      <w:proofErr w:type="spellStart"/>
      <w:r w:rsidRPr="00F93301">
        <w:rPr>
          <w:sz w:val="24"/>
          <w:szCs w:val="24"/>
          <w:highlight w:val="white"/>
          <w:lang w:val="en-GB"/>
        </w:rPr>
        <w:t>Elfaki</w:t>
      </w:r>
      <w:proofErr w:type="spellEnd"/>
      <w:r w:rsidRPr="00F93301">
        <w:rPr>
          <w:sz w:val="24"/>
          <w:szCs w:val="24"/>
          <w:highlight w:val="white"/>
          <w:lang w:val="en-GB"/>
        </w:rPr>
        <w:t xml:space="preserve">, K.E., (2025). Working capital management impact on Zimbabwe’s listed consumer services firms’ profitability and the influence of external factors via governance policy. </w:t>
      </w:r>
      <w:r w:rsidRPr="00F93301">
        <w:rPr>
          <w:i/>
          <w:iCs/>
          <w:sz w:val="24"/>
          <w:szCs w:val="24"/>
          <w:highlight w:val="white"/>
          <w:lang w:val="en-GB"/>
        </w:rPr>
        <w:t>Quality &amp; Quantity</w:t>
      </w:r>
      <w:r w:rsidRPr="00F93301">
        <w:rPr>
          <w:sz w:val="24"/>
          <w:szCs w:val="24"/>
          <w:highlight w:val="white"/>
          <w:lang w:val="en-GB"/>
        </w:rPr>
        <w:t xml:space="preserve">, pp.1-24. Available at: </w:t>
      </w:r>
      <w:hyperlink r:id="rId27">
        <w:r w:rsidRPr="00F93301">
          <w:rPr>
            <w:sz w:val="24"/>
            <w:szCs w:val="24"/>
            <w:highlight w:val="white"/>
            <w:u w:val="single"/>
            <w:lang w:val="en-GB"/>
          </w:rPr>
          <w:t>https://link.springer.com/content/pdf/10.1007/s11135-025-02250-3.pdf</w:t>
        </w:r>
      </w:hyperlink>
      <w:r w:rsidRPr="00F93301">
        <w:rPr>
          <w:sz w:val="24"/>
          <w:szCs w:val="24"/>
          <w:highlight w:val="white"/>
          <w:lang w:val="en-GB"/>
        </w:rPr>
        <w:t xml:space="preserve"> [Accessed on 15th December 2025] </w:t>
      </w:r>
    </w:p>
    <w:p w14:paraId="56952C0F"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Erl, L., Kiesel, F. and </w:t>
      </w:r>
      <w:proofErr w:type="spellStart"/>
      <w:r w:rsidRPr="00F93301">
        <w:rPr>
          <w:sz w:val="24"/>
          <w:szCs w:val="24"/>
          <w:highlight w:val="white"/>
          <w:lang w:val="en-GB"/>
        </w:rPr>
        <w:t>Schiereck</w:t>
      </w:r>
      <w:proofErr w:type="spellEnd"/>
      <w:r w:rsidRPr="00F93301">
        <w:rPr>
          <w:sz w:val="24"/>
          <w:szCs w:val="24"/>
          <w:highlight w:val="white"/>
          <w:lang w:val="en-GB"/>
        </w:rPr>
        <w:t xml:space="preserve">, D., (2025). The diversity of divestiture–stock market reactions around the announcements of divestiture programs. </w:t>
      </w:r>
      <w:r w:rsidRPr="00F93301">
        <w:rPr>
          <w:i/>
          <w:iCs/>
          <w:sz w:val="24"/>
          <w:szCs w:val="24"/>
          <w:highlight w:val="white"/>
          <w:lang w:val="en-GB"/>
        </w:rPr>
        <w:t>Review of Managerial Science</w:t>
      </w:r>
      <w:r w:rsidRPr="00F93301">
        <w:rPr>
          <w:sz w:val="24"/>
          <w:szCs w:val="24"/>
          <w:highlight w:val="white"/>
          <w:lang w:val="en-GB"/>
        </w:rPr>
        <w:t xml:space="preserve">, </w:t>
      </w:r>
      <w:r w:rsidRPr="00F93301">
        <w:rPr>
          <w:i/>
          <w:iCs/>
          <w:sz w:val="24"/>
          <w:szCs w:val="24"/>
          <w:highlight w:val="white"/>
          <w:lang w:val="en-GB"/>
        </w:rPr>
        <w:t>19</w:t>
      </w:r>
      <w:r w:rsidRPr="00F93301">
        <w:rPr>
          <w:sz w:val="24"/>
          <w:szCs w:val="24"/>
          <w:highlight w:val="white"/>
          <w:lang w:val="en-GB"/>
        </w:rPr>
        <w:t xml:space="preserve">(9), pp.2729-2773. Available at: </w:t>
      </w:r>
      <w:hyperlink r:id="rId28">
        <w:r w:rsidRPr="00F93301">
          <w:rPr>
            <w:sz w:val="24"/>
            <w:szCs w:val="24"/>
            <w:highlight w:val="white"/>
            <w:u w:val="single"/>
            <w:lang w:val="en-GB"/>
          </w:rPr>
          <w:t>https://link.springer.com/content/pdf/10.1007/s11846-024-00830-5.pdf</w:t>
        </w:r>
      </w:hyperlink>
      <w:r w:rsidRPr="00F93301">
        <w:rPr>
          <w:sz w:val="24"/>
          <w:szCs w:val="24"/>
          <w:highlight w:val="white"/>
          <w:lang w:val="en-GB"/>
        </w:rPr>
        <w:t xml:space="preserve"> [Accessed on 15th December 2025] </w:t>
      </w:r>
    </w:p>
    <w:p w14:paraId="33C80FBF"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Fadillah, I.R., Nadiyah, N., </w:t>
      </w:r>
      <w:proofErr w:type="spellStart"/>
      <w:r w:rsidRPr="00F93301">
        <w:rPr>
          <w:sz w:val="24"/>
          <w:szCs w:val="24"/>
          <w:highlight w:val="white"/>
          <w:lang w:val="en-GB"/>
        </w:rPr>
        <w:t>Rohmah</w:t>
      </w:r>
      <w:proofErr w:type="spellEnd"/>
      <w:r w:rsidRPr="00F93301">
        <w:rPr>
          <w:sz w:val="24"/>
          <w:szCs w:val="24"/>
          <w:highlight w:val="white"/>
          <w:lang w:val="en-GB"/>
        </w:rPr>
        <w:t xml:space="preserve">, L., Haryadi, D. and Wahyudi, W., (2024). Profitability ratio analysis to assess the financial performance. </w:t>
      </w:r>
      <w:r w:rsidRPr="00F93301">
        <w:rPr>
          <w:i/>
          <w:iCs/>
          <w:sz w:val="24"/>
          <w:szCs w:val="24"/>
          <w:highlight w:val="white"/>
          <w:lang w:val="en-GB"/>
        </w:rPr>
        <w:t>International Journal of Applied Finance and Business Studies</w:t>
      </w:r>
      <w:r w:rsidRPr="00F93301">
        <w:rPr>
          <w:sz w:val="24"/>
          <w:szCs w:val="24"/>
          <w:highlight w:val="white"/>
          <w:lang w:val="en-GB"/>
        </w:rPr>
        <w:t xml:space="preserve">, </w:t>
      </w:r>
      <w:r w:rsidRPr="00F93301">
        <w:rPr>
          <w:i/>
          <w:iCs/>
          <w:sz w:val="24"/>
          <w:szCs w:val="24"/>
          <w:highlight w:val="white"/>
          <w:lang w:val="en-GB"/>
        </w:rPr>
        <w:t>11</w:t>
      </w:r>
      <w:r w:rsidRPr="00F93301">
        <w:rPr>
          <w:sz w:val="24"/>
          <w:szCs w:val="24"/>
          <w:highlight w:val="white"/>
          <w:lang w:val="en-GB"/>
        </w:rPr>
        <w:t xml:space="preserve">(4), pp.964-969. Available at: </w:t>
      </w:r>
      <w:hyperlink r:id="rId29">
        <w:r w:rsidRPr="00F93301">
          <w:rPr>
            <w:sz w:val="24"/>
            <w:szCs w:val="24"/>
            <w:highlight w:val="white"/>
            <w:u w:val="single"/>
            <w:lang w:val="en-GB"/>
          </w:rPr>
          <w:t>https://ijafibs.pelnus.ac.id/index.php/ijafibs/article/download/243/190</w:t>
        </w:r>
      </w:hyperlink>
      <w:r w:rsidRPr="00F93301">
        <w:rPr>
          <w:sz w:val="24"/>
          <w:szCs w:val="24"/>
          <w:highlight w:val="white"/>
          <w:lang w:val="en-GB"/>
        </w:rPr>
        <w:t xml:space="preserve"> [Accessed on 15th December 2025] </w:t>
      </w:r>
    </w:p>
    <w:p w14:paraId="1D10D321"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Habib, A.M. and </w:t>
      </w:r>
      <w:proofErr w:type="spellStart"/>
      <w:r w:rsidRPr="00F93301">
        <w:rPr>
          <w:sz w:val="24"/>
          <w:szCs w:val="24"/>
          <w:highlight w:val="white"/>
          <w:lang w:val="en-GB"/>
        </w:rPr>
        <w:t>Dalwai</w:t>
      </w:r>
      <w:proofErr w:type="spellEnd"/>
      <w:r w:rsidRPr="00F93301">
        <w:rPr>
          <w:sz w:val="24"/>
          <w:szCs w:val="24"/>
          <w:highlight w:val="white"/>
          <w:lang w:val="en-GB"/>
        </w:rPr>
        <w:t xml:space="preserve">, T., (2024). Does the efficiency of a firm’s intellectual capital and working capital management affect its </w:t>
      </w:r>
      <w:proofErr w:type="gramStart"/>
      <w:r w:rsidRPr="00F93301">
        <w:rPr>
          <w:sz w:val="24"/>
          <w:szCs w:val="24"/>
          <w:highlight w:val="white"/>
          <w:lang w:val="en-GB"/>
        </w:rPr>
        <w:t>performance?.</w:t>
      </w:r>
      <w:proofErr w:type="gramEnd"/>
      <w:r w:rsidRPr="00F93301">
        <w:rPr>
          <w:sz w:val="24"/>
          <w:szCs w:val="24"/>
          <w:highlight w:val="white"/>
          <w:lang w:val="en-GB"/>
        </w:rPr>
        <w:t xml:space="preserve"> </w:t>
      </w:r>
      <w:r w:rsidRPr="00F93301">
        <w:rPr>
          <w:i/>
          <w:iCs/>
          <w:sz w:val="24"/>
          <w:szCs w:val="24"/>
          <w:highlight w:val="white"/>
          <w:lang w:val="en-GB"/>
        </w:rPr>
        <w:t>Journal of the Knowledge Economy</w:t>
      </w:r>
      <w:r w:rsidRPr="00F93301">
        <w:rPr>
          <w:sz w:val="24"/>
          <w:szCs w:val="24"/>
          <w:highlight w:val="white"/>
          <w:lang w:val="en-GB"/>
        </w:rPr>
        <w:t xml:space="preserve">, </w:t>
      </w:r>
      <w:r w:rsidRPr="00F93301">
        <w:rPr>
          <w:i/>
          <w:iCs/>
          <w:sz w:val="24"/>
          <w:szCs w:val="24"/>
          <w:highlight w:val="white"/>
          <w:lang w:val="en-GB"/>
        </w:rPr>
        <w:t>15</w:t>
      </w:r>
      <w:r w:rsidRPr="00F93301">
        <w:rPr>
          <w:sz w:val="24"/>
          <w:szCs w:val="24"/>
          <w:highlight w:val="white"/>
          <w:lang w:val="en-GB"/>
        </w:rPr>
        <w:t xml:space="preserve">(1), pp.3202-3238. Available at: </w:t>
      </w:r>
      <w:hyperlink r:id="rId30">
        <w:r w:rsidRPr="00F93301">
          <w:rPr>
            <w:sz w:val="24"/>
            <w:szCs w:val="24"/>
            <w:highlight w:val="white"/>
            <w:u w:val="single"/>
            <w:lang w:val="en-GB"/>
          </w:rPr>
          <w:t>https://pmc.ncbi.nlm.nih.gov/articles/PMC10028330/pdf/13132_2023_Article_1138.pdf</w:t>
        </w:r>
      </w:hyperlink>
      <w:r w:rsidRPr="00F93301">
        <w:rPr>
          <w:sz w:val="24"/>
          <w:szCs w:val="24"/>
          <w:highlight w:val="white"/>
          <w:lang w:val="en-GB"/>
        </w:rPr>
        <w:t xml:space="preserve"> [Accessed on 15th December 2025] </w:t>
      </w:r>
    </w:p>
    <w:p w14:paraId="29804A11" w14:textId="77777777" w:rsidR="008D3293" w:rsidRPr="00F93301" w:rsidRDefault="008D3293">
      <w:pPr>
        <w:spacing w:before="200" w:after="200" w:line="360" w:lineRule="auto"/>
        <w:jc w:val="both"/>
        <w:rPr>
          <w:sz w:val="24"/>
          <w:szCs w:val="24"/>
          <w:highlight w:val="white"/>
          <w:lang w:val="en-GB"/>
        </w:rPr>
      </w:pPr>
      <w:proofErr w:type="spellStart"/>
      <w:r w:rsidRPr="00F93301">
        <w:rPr>
          <w:sz w:val="24"/>
          <w:szCs w:val="24"/>
          <w:highlight w:val="white"/>
          <w:lang w:val="en-GB"/>
        </w:rPr>
        <w:t>Hasidi</w:t>
      </w:r>
      <w:proofErr w:type="spellEnd"/>
      <w:r w:rsidRPr="00F93301">
        <w:rPr>
          <w:sz w:val="24"/>
          <w:szCs w:val="24"/>
          <w:highlight w:val="white"/>
          <w:lang w:val="en-GB"/>
        </w:rPr>
        <w:t xml:space="preserve">, M.H., </w:t>
      </w:r>
      <w:proofErr w:type="spellStart"/>
      <w:r w:rsidRPr="00F93301">
        <w:rPr>
          <w:sz w:val="24"/>
          <w:szCs w:val="24"/>
          <w:highlight w:val="white"/>
          <w:lang w:val="en-GB"/>
        </w:rPr>
        <w:t>Baheri</w:t>
      </w:r>
      <w:proofErr w:type="spellEnd"/>
      <w:r w:rsidRPr="00F93301">
        <w:rPr>
          <w:sz w:val="24"/>
          <w:szCs w:val="24"/>
          <w:highlight w:val="white"/>
          <w:lang w:val="en-GB"/>
        </w:rPr>
        <w:t xml:space="preserve">, J. and Hajar, K.I., (2024). Financial performance evaluation using profitability and liquidity ratio analysis. Available at: </w:t>
      </w:r>
      <w:hyperlink r:id="rId31">
        <w:r w:rsidRPr="00F93301">
          <w:rPr>
            <w:sz w:val="24"/>
            <w:szCs w:val="24"/>
            <w:highlight w:val="white"/>
            <w:u w:val="single"/>
            <w:lang w:val="en-GB"/>
          </w:rPr>
          <w:t>https://jurnal.ibik.ac.id/index.php/jimkes/article/download/2742/1966</w:t>
        </w:r>
      </w:hyperlink>
      <w:r w:rsidRPr="00F93301">
        <w:rPr>
          <w:sz w:val="24"/>
          <w:szCs w:val="24"/>
          <w:highlight w:val="white"/>
          <w:lang w:val="en-GB"/>
        </w:rPr>
        <w:t xml:space="preserve"> [Accessed on 15th December 2025] </w:t>
      </w:r>
    </w:p>
    <w:p w14:paraId="39A6470B"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lastRenderedPageBreak/>
        <w:t xml:space="preserve">JP Morgan (2025). </w:t>
      </w:r>
      <w:r w:rsidRPr="00F93301">
        <w:rPr>
          <w:i/>
          <w:iCs/>
          <w:sz w:val="24"/>
          <w:szCs w:val="24"/>
          <w:highlight w:val="white"/>
          <w:lang w:val="en-GB"/>
        </w:rPr>
        <w:t xml:space="preserve">6 ways to improve working capital. </w:t>
      </w:r>
      <w:r w:rsidRPr="00F93301">
        <w:rPr>
          <w:sz w:val="24"/>
          <w:szCs w:val="24"/>
          <w:highlight w:val="white"/>
          <w:lang w:val="en-GB"/>
        </w:rPr>
        <w:t xml:space="preserve">Available at: </w:t>
      </w:r>
      <w:hyperlink r:id="rId32">
        <w:r w:rsidRPr="00F93301">
          <w:rPr>
            <w:sz w:val="24"/>
            <w:szCs w:val="24"/>
            <w:highlight w:val="white"/>
            <w:u w:val="single"/>
            <w:lang w:val="en-GB"/>
          </w:rPr>
          <w:t>https://www.jpmorgan.com/insights/treasury/treasury-management/6-ways-to-increase-working-capital</w:t>
        </w:r>
      </w:hyperlink>
      <w:r w:rsidRPr="00F93301">
        <w:rPr>
          <w:sz w:val="24"/>
          <w:szCs w:val="24"/>
          <w:highlight w:val="white"/>
          <w:lang w:val="en-GB"/>
        </w:rPr>
        <w:t xml:space="preserve"> [Accessed on 15th December 2025] </w:t>
      </w:r>
    </w:p>
    <w:p w14:paraId="3B0034CF"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Karim, R., Mamun, M.A.A. and </w:t>
      </w:r>
      <w:proofErr w:type="spellStart"/>
      <w:r w:rsidRPr="00F93301">
        <w:rPr>
          <w:sz w:val="24"/>
          <w:szCs w:val="24"/>
          <w:highlight w:val="white"/>
          <w:lang w:val="en-GB"/>
        </w:rPr>
        <w:t>Kamruzzaman</w:t>
      </w:r>
      <w:proofErr w:type="spellEnd"/>
      <w:r w:rsidRPr="00F93301">
        <w:rPr>
          <w:sz w:val="24"/>
          <w:szCs w:val="24"/>
          <w:highlight w:val="white"/>
          <w:lang w:val="en-GB"/>
        </w:rPr>
        <w:t xml:space="preserve">, A.S.M., (2024). Cash conversion cycle and financial performance: evidence from manufacturing firms of Bangladesh. </w:t>
      </w:r>
      <w:r w:rsidRPr="00F93301">
        <w:rPr>
          <w:i/>
          <w:iCs/>
          <w:sz w:val="24"/>
          <w:szCs w:val="24"/>
          <w:highlight w:val="white"/>
          <w:lang w:val="en-GB"/>
        </w:rPr>
        <w:t>Asian Journal of Economics and Banking</w:t>
      </w:r>
      <w:r w:rsidRPr="00F93301">
        <w:rPr>
          <w:sz w:val="24"/>
          <w:szCs w:val="24"/>
          <w:highlight w:val="white"/>
          <w:lang w:val="en-GB"/>
        </w:rPr>
        <w:t xml:space="preserve">, </w:t>
      </w:r>
      <w:r w:rsidRPr="00F93301">
        <w:rPr>
          <w:i/>
          <w:iCs/>
          <w:sz w:val="24"/>
          <w:szCs w:val="24"/>
          <w:highlight w:val="white"/>
          <w:lang w:val="en-GB"/>
        </w:rPr>
        <w:t>8</w:t>
      </w:r>
      <w:r w:rsidRPr="00F93301">
        <w:rPr>
          <w:sz w:val="24"/>
          <w:szCs w:val="24"/>
          <w:highlight w:val="white"/>
          <w:lang w:val="en-GB"/>
        </w:rPr>
        <w:t xml:space="preserve">(1), pp.67-82. Available at: </w:t>
      </w:r>
      <w:hyperlink r:id="rId33">
        <w:r w:rsidRPr="00F93301">
          <w:rPr>
            <w:sz w:val="24"/>
            <w:szCs w:val="24"/>
            <w:highlight w:val="white"/>
            <w:u w:val="single"/>
            <w:lang w:val="en-GB"/>
          </w:rPr>
          <w:t>https://www.emerald.com/ajeb/article-pdf/8/1/67/9525823/ajeb-03-2022-0033.pdf</w:t>
        </w:r>
      </w:hyperlink>
      <w:r w:rsidRPr="00F93301">
        <w:rPr>
          <w:sz w:val="24"/>
          <w:szCs w:val="24"/>
          <w:highlight w:val="white"/>
          <w:lang w:val="en-GB"/>
        </w:rPr>
        <w:t xml:space="preserve"> [Accessed on 15th December 2025] </w:t>
      </w:r>
    </w:p>
    <w:p w14:paraId="11F6AB70" w14:textId="77777777" w:rsidR="008D3293" w:rsidRPr="00F93301" w:rsidRDefault="008D3293">
      <w:pPr>
        <w:spacing w:before="200" w:after="200" w:line="360" w:lineRule="auto"/>
        <w:jc w:val="both"/>
        <w:rPr>
          <w:sz w:val="24"/>
          <w:szCs w:val="24"/>
          <w:highlight w:val="white"/>
          <w:lang w:val="en-GB"/>
        </w:rPr>
      </w:pPr>
      <w:proofErr w:type="spellStart"/>
      <w:r w:rsidRPr="00F93301">
        <w:rPr>
          <w:sz w:val="24"/>
          <w:szCs w:val="24"/>
          <w:highlight w:val="white"/>
          <w:lang w:val="en-GB"/>
        </w:rPr>
        <w:t>Malapur</w:t>
      </w:r>
      <w:proofErr w:type="spellEnd"/>
      <w:r w:rsidRPr="00F93301">
        <w:rPr>
          <w:sz w:val="24"/>
          <w:szCs w:val="24"/>
          <w:highlight w:val="white"/>
          <w:lang w:val="en-GB"/>
        </w:rPr>
        <w:t xml:space="preserve">, S.K.S., (2024). Corporate Social Responsibility Integration </w:t>
      </w:r>
      <w:proofErr w:type="gramStart"/>
      <w:r w:rsidRPr="00F93301">
        <w:rPr>
          <w:sz w:val="24"/>
          <w:szCs w:val="24"/>
          <w:highlight w:val="white"/>
          <w:lang w:val="en-GB"/>
        </w:rPr>
        <w:t>In</w:t>
      </w:r>
      <w:proofErr w:type="gramEnd"/>
      <w:r w:rsidRPr="00F93301">
        <w:rPr>
          <w:sz w:val="24"/>
          <w:szCs w:val="24"/>
          <w:highlight w:val="white"/>
          <w:lang w:val="en-GB"/>
        </w:rPr>
        <w:t xml:space="preserve"> Corporate Restructuring: A Pathway </w:t>
      </w:r>
      <w:proofErr w:type="gramStart"/>
      <w:r w:rsidRPr="00F93301">
        <w:rPr>
          <w:sz w:val="24"/>
          <w:szCs w:val="24"/>
          <w:highlight w:val="white"/>
          <w:lang w:val="en-GB"/>
        </w:rPr>
        <w:t>To</w:t>
      </w:r>
      <w:proofErr w:type="gramEnd"/>
      <w:r w:rsidRPr="00F93301">
        <w:rPr>
          <w:sz w:val="24"/>
          <w:szCs w:val="24"/>
          <w:highlight w:val="white"/>
          <w:lang w:val="en-GB"/>
        </w:rPr>
        <w:t xml:space="preserve"> Sustainable Growth. Available at: </w:t>
      </w:r>
      <w:hyperlink r:id="rId34">
        <w:r w:rsidRPr="00F93301">
          <w:rPr>
            <w:sz w:val="24"/>
            <w:szCs w:val="24"/>
            <w:highlight w:val="white"/>
            <w:u w:val="single"/>
            <w:lang w:val="en-GB"/>
          </w:rPr>
          <w:t>https://d1wqtxts1xzle7.cloudfront.net/116962190/E2603083342-libre.pdf?1721655611=&amp;response-content-disposition=inline%3B+filename%3DCorporate_Social_Responsibility_Integrat.pdf&amp;Expires=1766059943&amp;Signature=GVZ8qi7-yPq3-q3qHNA4DN~Tb5E-71R4FK38aFefD1JpyuDxcmQPiMMJAZ991aJX3KnsaB4d8v5t0i0HdxtKhJiN1NaI34mcRSgV1KNy0N8wDveyO4qBcJeozxba54STzH9b~IbN~cEuWyf53Aej1Ft8EfRukclRSL83LIID938ITkOZhVT4PwbD9U~FT0NMhEL9IliaGUltdUVADniJ03l2JiKCH-xBH-jen0OV93d8hd3dNVppPvWpPipsUP3lO6iIVgxjgv~8nsus~Eruf63GUBitN00EZgdHmvNTVbtHipFPYaXahjDWkGOAK8kMHtRr3779J5N~MG48y6~~ZQ__&amp;Key-Pair-Id=APKAJLOHF5GGSLRBV4ZA</w:t>
        </w:r>
      </w:hyperlink>
      <w:r w:rsidRPr="00F93301">
        <w:rPr>
          <w:sz w:val="24"/>
          <w:szCs w:val="24"/>
          <w:highlight w:val="white"/>
          <w:lang w:val="en-GB"/>
        </w:rPr>
        <w:t xml:space="preserve"> [Accessed on 15th December 2025] </w:t>
      </w:r>
    </w:p>
    <w:p w14:paraId="3F1BB10B"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Mishra, R., (2025). FINANCIAL STATEMENT ANALYSIS AS A TOOL FOR BUSINESS DECISION-MAKING. </w:t>
      </w:r>
      <w:r w:rsidRPr="00F93301">
        <w:rPr>
          <w:i/>
          <w:iCs/>
          <w:sz w:val="24"/>
          <w:szCs w:val="24"/>
          <w:highlight w:val="white"/>
          <w:lang w:val="en-GB"/>
        </w:rPr>
        <w:t xml:space="preserve">Journal of Advanced Interdisciplinary Studies-p-ISSN 3050-8924 </w:t>
      </w:r>
      <w:proofErr w:type="spellStart"/>
      <w:r w:rsidRPr="00F93301">
        <w:rPr>
          <w:i/>
          <w:iCs/>
          <w:sz w:val="24"/>
          <w:szCs w:val="24"/>
          <w:highlight w:val="white"/>
          <w:lang w:val="en-GB"/>
        </w:rPr>
        <w:t>en</w:t>
      </w:r>
      <w:proofErr w:type="spellEnd"/>
      <w:r w:rsidRPr="00F93301">
        <w:rPr>
          <w:i/>
          <w:iCs/>
          <w:sz w:val="24"/>
          <w:szCs w:val="24"/>
          <w:highlight w:val="white"/>
          <w:lang w:val="en-GB"/>
        </w:rPr>
        <w:t xml:space="preserve"> e-ISSN 3050-8932</w:t>
      </w:r>
      <w:r w:rsidRPr="00F93301">
        <w:rPr>
          <w:sz w:val="24"/>
          <w:szCs w:val="24"/>
          <w:highlight w:val="white"/>
          <w:lang w:val="en-GB"/>
        </w:rPr>
        <w:t xml:space="preserve">, </w:t>
      </w:r>
      <w:r w:rsidRPr="00F93301">
        <w:rPr>
          <w:i/>
          <w:iCs/>
          <w:sz w:val="24"/>
          <w:szCs w:val="24"/>
          <w:highlight w:val="white"/>
          <w:lang w:val="en-GB"/>
        </w:rPr>
        <w:t>1</w:t>
      </w:r>
      <w:r w:rsidRPr="00F93301">
        <w:rPr>
          <w:sz w:val="24"/>
          <w:szCs w:val="24"/>
          <w:highlight w:val="white"/>
          <w:lang w:val="en-GB"/>
        </w:rPr>
        <w:t xml:space="preserve">(7), pp.20-24. Available at: </w:t>
      </w:r>
      <w:hyperlink r:id="rId35">
        <w:r w:rsidRPr="00F93301">
          <w:rPr>
            <w:sz w:val="24"/>
            <w:szCs w:val="24"/>
            <w:highlight w:val="white"/>
            <w:u w:val="single"/>
            <w:lang w:val="en-GB"/>
          </w:rPr>
          <w:t>https://journals.eduacademic.co.in/index.php/jais/article/download/254/221</w:t>
        </w:r>
      </w:hyperlink>
      <w:r w:rsidRPr="00F93301">
        <w:rPr>
          <w:sz w:val="24"/>
          <w:szCs w:val="24"/>
          <w:highlight w:val="white"/>
          <w:lang w:val="en-GB"/>
        </w:rPr>
        <w:t xml:space="preserve"> [Accessed on 15th December 2025] </w:t>
      </w:r>
    </w:p>
    <w:p w14:paraId="2463C62B"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Nguyen </w:t>
      </w:r>
      <w:proofErr w:type="spellStart"/>
      <w:r w:rsidRPr="00F93301">
        <w:rPr>
          <w:sz w:val="24"/>
          <w:szCs w:val="24"/>
          <w:highlight w:val="white"/>
          <w:lang w:val="en-GB"/>
        </w:rPr>
        <w:t>Thi</w:t>
      </w:r>
      <w:proofErr w:type="spellEnd"/>
      <w:r w:rsidRPr="00F93301">
        <w:rPr>
          <w:sz w:val="24"/>
          <w:szCs w:val="24"/>
          <w:highlight w:val="white"/>
          <w:lang w:val="en-GB"/>
        </w:rPr>
        <w:t xml:space="preserve">, C., Anh, K.T. and Tran, K.B.N., (2025). Corporate distress and financial restructuring decisions in different stages of life cycle. </w:t>
      </w:r>
      <w:r w:rsidRPr="00F93301">
        <w:rPr>
          <w:i/>
          <w:iCs/>
          <w:sz w:val="24"/>
          <w:szCs w:val="24"/>
          <w:highlight w:val="white"/>
          <w:lang w:val="en-GB"/>
        </w:rPr>
        <w:t>Journal of Economics and Development</w:t>
      </w:r>
      <w:r w:rsidRPr="00F93301">
        <w:rPr>
          <w:sz w:val="24"/>
          <w:szCs w:val="24"/>
          <w:highlight w:val="white"/>
          <w:lang w:val="en-GB"/>
        </w:rPr>
        <w:t xml:space="preserve">, </w:t>
      </w:r>
      <w:r w:rsidRPr="00F93301">
        <w:rPr>
          <w:i/>
          <w:iCs/>
          <w:sz w:val="24"/>
          <w:szCs w:val="24"/>
          <w:highlight w:val="white"/>
          <w:lang w:val="en-GB"/>
        </w:rPr>
        <w:t>27</w:t>
      </w:r>
      <w:r w:rsidRPr="00F93301">
        <w:rPr>
          <w:sz w:val="24"/>
          <w:szCs w:val="24"/>
          <w:highlight w:val="white"/>
          <w:lang w:val="en-GB"/>
        </w:rPr>
        <w:t xml:space="preserve">(3), pp.264-276. Available at: </w:t>
      </w:r>
      <w:hyperlink r:id="rId36">
        <w:r w:rsidRPr="00F93301">
          <w:rPr>
            <w:sz w:val="24"/>
            <w:szCs w:val="24"/>
            <w:highlight w:val="white"/>
            <w:u w:val="single"/>
            <w:lang w:val="en-GB"/>
          </w:rPr>
          <w:t>https://www.emerald.com/jed/article-pdf/27/3/264/10079017/jed-08-2024-0281en.pdf</w:t>
        </w:r>
      </w:hyperlink>
      <w:r w:rsidRPr="00F93301">
        <w:rPr>
          <w:sz w:val="24"/>
          <w:szCs w:val="24"/>
          <w:highlight w:val="white"/>
          <w:lang w:val="en-GB"/>
        </w:rPr>
        <w:t xml:space="preserve"> [Accessed on 15th December 2025] </w:t>
      </w:r>
    </w:p>
    <w:p w14:paraId="22B62AED"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lastRenderedPageBreak/>
        <w:t xml:space="preserve">Ridwan, S., Syah, T.Y.R., </w:t>
      </w:r>
      <w:proofErr w:type="spellStart"/>
      <w:r w:rsidRPr="00F93301">
        <w:rPr>
          <w:sz w:val="24"/>
          <w:szCs w:val="24"/>
          <w:highlight w:val="white"/>
          <w:lang w:val="en-GB"/>
        </w:rPr>
        <w:t>Kustiawan</w:t>
      </w:r>
      <w:proofErr w:type="spellEnd"/>
      <w:r w:rsidRPr="00F93301">
        <w:rPr>
          <w:sz w:val="24"/>
          <w:szCs w:val="24"/>
          <w:highlight w:val="white"/>
          <w:lang w:val="en-GB"/>
        </w:rPr>
        <w:t xml:space="preserve">, U. and </w:t>
      </w:r>
      <w:proofErr w:type="spellStart"/>
      <w:r w:rsidRPr="00F93301">
        <w:rPr>
          <w:sz w:val="24"/>
          <w:szCs w:val="24"/>
          <w:highlight w:val="white"/>
          <w:lang w:val="en-GB"/>
        </w:rPr>
        <w:t>Nofierni</w:t>
      </w:r>
      <w:proofErr w:type="spellEnd"/>
      <w:r w:rsidRPr="00F93301">
        <w:rPr>
          <w:sz w:val="24"/>
          <w:szCs w:val="24"/>
          <w:highlight w:val="white"/>
          <w:lang w:val="en-GB"/>
        </w:rPr>
        <w:t xml:space="preserve">, N., (2025). Financial planning and investment feasibility analysis based on five-year projections using ROI, NPV, IRR, and financial ratios. </w:t>
      </w:r>
      <w:r w:rsidRPr="00F93301">
        <w:rPr>
          <w:i/>
          <w:iCs/>
          <w:sz w:val="24"/>
          <w:szCs w:val="24"/>
          <w:highlight w:val="white"/>
          <w:lang w:val="en-GB"/>
        </w:rPr>
        <w:t xml:space="preserve">Journal La </w:t>
      </w:r>
      <w:proofErr w:type="spellStart"/>
      <w:r w:rsidRPr="00F93301">
        <w:rPr>
          <w:i/>
          <w:iCs/>
          <w:sz w:val="24"/>
          <w:szCs w:val="24"/>
          <w:highlight w:val="white"/>
          <w:lang w:val="en-GB"/>
        </w:rPr>
        <w:t>Bisecoman</w:t>
      </w:r>
      <w:proofErr w:type="spellEnd"/>
      <w:r w:rsidRPr="00F93301">
        <w:rPr>
          <w:sz w:val="24"/>
          <w:szCs w:val="24"/>
          <w:highlight w:val="white"/>
          <w:lang w:val="en-GB"/>
        </w:rPr>
        <w:t xml:space="preserve">, </w:t>
      </w:r>
      <w:r w:rsidRPr="00F93301">
        <w:rPr>
          <w:i/>
          <w:iCs/>
          <w:sz w:val="24"/>
          <w:szCs w:val="24"/>
          <w:highlight w:val="white"/>
          <w:lang w:val="en-GB"/>
        </w:rPr>
        <w:t>6</w:t>
      </w:r>
      <w:r w:rsidRPr="00F93301">
        <w:rPr>
          <w:sz w:val="24"/>
          <w:szCs w:val="24"/>
          <w:highlight w:val="white"/>
          <w:lang w:val="en-GB"/>
        </w:rPr>
        <w:t xml:space="preserve">(2), pp.489-506. Available at: </w:t>
      </w:r>
      <w:hyperlink r:id="rId37">
        <w:r w:rsidRPr="00F93301">
          <w:rPr>
            <w:sz w:val="24"/>
            <w:szCs w:val="24"/>
            <w:highlight w:val="white"/>
            <w:u w:val="single"/>
            <w:lang w:val="en-GB"/>
          </w:rPr>
          <w:t>https://mail.newinera.com/index.php/JournalLaBisecoman/article/download/1970/1958</w:t>
        </w:r>
      </w:hyperlink>
      <w:r w:rsidRPr="00F93301">
        <w:rPr>
          <w:sz w:val="24"/>
          <w:szCs w:val="24"/>
          <w:highlight w:val="white"/>
          <w:lang w:val="en-GB"/>
        </w:rPr>
        <w:t xml:space="preserve"> [Accessed on 15th December 2025] </w:t>
      </w:r>
    </w:p>
    <w:p w14:paraId="41998EA1" w14:textId="77777777" w:rsidR="008D3293" w:rsidRPr="00F93301" w:rsidRDefault="008D3293">
      <w:pPr>
        <w:spacing w:before="200" w:after="200" w:line="360" w:lineRule="auto"/>
        <w:jc w:val="both"/>
        <w:rPr>
          <w:sz w:val="24"/>
          <w:szCs w:val="24"/>
          <w:highlight w:val="white"/>
          <w:lang w:val="en-GB"/>
        </w:rPr>
      </w:pPr>
      <w:proofErr w:type="spellStart"/>
      <w:r w:rsidRPr="00F93301">
        <w:rPr>
          <w:sz w:val="24"/>
          <w:szCs w:val="24"/>
          <w:highlight w:val="white"/>
          <w:lang w:val="en-GB"/>
        </w:rPr>
        <w:t>Rugthaicharoencheep</w:t>
      </w:r>
      <w:proofErr w:type="spellEnd"/>
      <w:r w:rsidRPr="00F93301">
        <w:rPr>
          <w:sz w:val="24"/>
          <w:szCs w:val="24"/>
          <w:highlight w:val="white"/>
          <w:lang w:val="en-GB"/>
        </w:rPr>
        <w:t xml:space="preserve">, N., </w:t>
      </w:r>
      <w:proofErr w:type="spellStart"/>
      <w:r w:rsidRPr="00F93301">
        <w:rPr>
          <w:sz w:val="24"/>
          <w:szCs w:val="24"/>
          <w:highlight w:val="white"/>
          <w:lang w:val="en-GB"/>
        </w:rPr>
        <w:t>Ruangsap</w:t>
      </w:r>
      <w:proofErr w:type="spellEnd"/>
      <w:r w:rsidRPr="00F93301">
        <w:rPr>
          <w:sz w:val="24"/>
          <w:szCs w:val="24"/>
          <w:highlight w:val="white"/>
          <w:lang w:val="en-GB"/>
        </w:rPr>
        <w:t xml:space="preserve">, N. and </w:t>
      </w:r>
      <w:proofErr w:type="spellStart"/>
      <w:r w:rsidRPr="00F93301">
        <w:rPr>
          <w:sz w:val="24"/>
          <w:szCs w:val="24"/>
          <w:highlight w:val="white"/>
          <w:lang w:val="en-GB"/>
        </w:rPr>
        <w:t>Nedphokaew</w:t>
      </w:r>
      <w:proofErr w:type="spellEnd"/>
      <w:r w:rsidRPr="00F93301">
        <w:rPr>
          <w:sz w:val="24"/>
          <w:szCs w:val="24"/>
          <w:highlight w:val="white"/>
          <w:lang w:val="en-GB"/>
        </w:rPr>
        <w:t xml:space="preserve">, S., (2024). Shortening the payback period of greenhouse gas reduction benefits from photovoltaic rooftop systems. </w:t>
      </w:r>
      <w:r w:rsidRPr="00F93301">
        <w:rPr>
          <w:i/>
          <w:iCs/>
          <w:sz w:val="24"/>
          <w:szCs w:val="24"/>
          <w:highlight w:val="white"/>
          <w:lang w:val="en-GB"/>
        </w:rPr>
        <w:t>Energies</w:t>
      </w:r>
      <w:r w:rsidRPr="00F93301">
        <w:rPr>
          <w:sz w:val="24"/>
          <w:szCs w:val="24"/>
          <w:highlight w:val="white"/>
          <w:lang w:val="en-GB"/>
        </w:rPr>
        <w:t xml:space="preserve">, </w:t>
      </w:r>
      <w:r w:rsidRPr="00F93301">
        <w:rPr>
          <w:i/>
          <w:iCs/>
          <w:sz w:val="24"/>
          <w:szCs w:val="24"/>
          <w:highlight w:val="white"/>
          <w:lang w:val="en-GB"/>
        </w:rPr>
        <w:t>17</w:t>
      </w:r>
      <w:r w:rsidRPr="00F93301">
        <w:rPr>
          <w:sz w:val="24"/>
          <w:szCs w:val="24"/>
          <w:highlight w:val="white"/>
          <w:lang w:val="en-GB"/>
        </w:rPr>
        <w:t xml:space="preserve">(23), p.6159. Available at: </w:t>
      </w:r>
      <w:hyperlink r:id="rId38">
        <w:r w:rsidRPr="00F93301">
          <w:rPr>
            <w:sz w:val="24"/>
            <w:szCs w:val="24"/>
            <w:highlight w:val="white"/>
            <w:u w:val="single"/>
            <w:lang w:val="en-GB"/>
          </w:rPr>
          <w:t>https://www.mdpi.com/1996-1073/17/23/6159</w:t>
        </w:r>
      </w:hyperlink>
      <w:r w:rsidRPr="00F93301">
        <w:rPr>
          <w:sz w:val="24"/>
          <w:szCs w:val="24"/>
          <w:highlight w:val="white"/>
          <w:lang w:val="en-GB"/>
        </w:rPr>
        <w:t xml:space="preserve"> [Accessed on 15th December 2025] </w:t>
      </w:r>
    </w:p>
    <w:p w14:paraId="3B0189BC"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Sekhar, S.C., (2025). Reassessing The Role </w:t>
      </w:r>
      <w:proofErr w:type="gramStart"/>
      <w:r w:rsidRPr="00F93301">
        <w:rPr>
          <w:sz w:val="24"/>
          <w:szCs w:val="24"/>
          <w:highlight w:val="white"/>
          <w:lang w:val="en-GB"/>
        </w:rPr>
        <w:t>Of</w:t>
      </w:r>
      <w:proofErr w:type="gramEnd"/>
      <w:r w:rsidRPr="00F93301">
        <w:rPr>
          <w:sz w:val="24"/>
          <w:szCs w:val="24"/>
          <w:highlight w:val="white"/>
          <w:lang w:val="en-GB"/>
        </w:rPr>
        <w:t xml:space="preserve"> Net Present Value </w:t>
      </w:r>
      <w:proofErr w:type="gramStart"/>
      <w:r w:rsidRPr="00F93301">
        <w:rPr>
          <w:sz w:val="24"/>
          <w:szCs w:val="24"/>
          <w:highlight w:val="white"/>
          <w:lang w:val="en-GB"/>
        </w:rPr>
        <w:t>In</w:t>
      </w:r>
      <w:proofErr w:type="gramEnd"/>
      <w:r w:rsidRPr="00F93301">
        <w:rPr>
          <w:sz w:val="24"/>
          <w:szCs w:val="24"/>
          <w:highlight w:val="white"/>
          <w:lang w:val="en-GB"/>
        </w:rPr>
        <w:t xml:space="preserve"> Capital Budgeting Decisions. </w:t>
      </w:r>
      <w:r w:rsidRPr="00F93301">
        <w:rPr>
          <w:i/>
          <w:iCs/>
          <w:sz w:val="24"/>
          <w:szCs w:val="24"/>
          <w:highlight w:val="white"/>
          <w:lang w:val="en-GB"/>
        </w:rPr>
        <w:t>International Journal of Research and Analytical Reviews</w:t>
      </w:r>
      <w:r w:rsidRPr="00F93301">
        <w:rPr>
          <w:sz w:val="24"/>
          <w:szCs w:val="24"/>
          <w:highlight w:val="white"/>
          <w:lang w:val="en-GB"/>
        </w:rPr>
        <w:t xml:space="preserve">. Available at: </w:t>
      </w:r>
      <w:hyperlink r:id="rId39">
        <w:r w:rsidRPr="00F93301">
          <w:rPr>
            <w:sz w:val="24"/>
            <w:szCs w:val="24"/>
            <w:highlight w:val="white"/>
            <w:u w:val="single"/>
            <w:lang w:val="en-GB"/>
          </w:rPr>
          <w:t>https://d1wqtxts1xzle7.cloudfront.net/124979573/28_2025_IJRAR-libre.pdf?1760351561=&amp;response-content-disposition=inline%3B+filename%3DReassessing_The_Role_Of_Net_Present_Valu.pdf&amp;Expires=1766063668&amp;Signature=LYCZzvfeSwFWxhe~0QcZZ~3Ists4vH3nsvWzwW3ObKVMrGn4fRvPmWst3NWaH26mZ0PoH7O~CKak2uwdJN-iMcQqDGBzlMareOqWB0VKBERjvuuMkl8eeBZDo3yj8I0KRlqAS8OIarmScuHYOvwK2pV-muq98hLgWmq8scnlF~g0xq-7FF5QRcafp1igkoVSLn6qzh2Y7korYTb4h5QBBWKqh3GYi7m74o6wSlle~DCqkxln9qOpoIAx2L3IFF8UqeGElUaLeQdkuSlVposxUAnjq6I7ClyEWQ4mh2sCegJEyi8U~CDI0Dn1dVOgSqt2BK3q2sF0hsy5-sHejACVQw__&amp;Key-Pair-Id=APKAJLOHF5GGSLRBV4ZA</w:t>
        </w:r>
      </w:hyperlink>
      <w:r w:rsidRPr="00F93301">
        <w:rPr>
          <w:sz w:val="24"/>
          <w:szCs w:val="24"/>
          <w:highlight w:val="white"/>
          <w:lang w:val="en-GB"/>
        </w:rPr>
        <w:t xml:space="preserve"> [Accessed on 15th December 2025]</w:t>
      </w:r>
    </w:p>
    <w:p w14:paraId="450DC391"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Shem, A.M. and </w:t>
      </w:r>
      <w:proofErr w:type="spellStart"/>
      <w:r w:rsidRPr="00F93301">
        <w:rPr>
          <w:sz w:val="24"/>
          <w:szCs w:val="24"/>
          <w:highlight w:val="white"/>
          <w:lang w:val="en-GB"/>
        </w:rPr>
        <w:t>Mupa</w:t>
      </w:r>
      <w:proofErr w:type="spellEnd"/>
      <w:r w:rsidRPr="00F93301">
        <w:rPr>
          <w:sz w:val="24"/>
          <w:szCs w:val="24"/>
          <w:highlight w:val="white"/>
          <w:lang w:val="en-GB"/>
        </w:rPr>
        <w:t xml:space="preserve">, M.N., (2024). </w:t>
      </w:r>
      <w:r w:rsidRPr="00F93301">
        <w:rPr>
          <w:i/>
          <w:iCs/>
          <w:sz w:val="24"/>
          <w:szCs w:val="24"/>
          <w:highlight w:val="white"/>
          <w:lang w:val="en-GB"/>
        </w:rPr>
        <w:t>Turnaround Financing: Legal and Financial Considerations for Distressed Companies</w:t>
      </w:r>
      <w:r w:rsidRPr="00F93301">
        <w:rPr>
          <w:sz w:val="24"/>
          <w:szCs w:val="24"/>
          <w:highlight w:val="white"/>
          <w:lang w:val="en-GB"/>
        </w:rPr>
        <w:t xml:space="preserve"> [online] </w:t>
      </w:r>
      <w:hyperlink r:id="rId40">
        <w:r w:rsidRPr="00F93301">
          <w:rPr>
            <w:sz w:val="24"/>
            <w:szCs w:val="24"/>
            <w:highlight w:val="white"/>
            <w:u w:val="single"/>
            <w:lang w:val="en-GB"/>
          </w:rPr>
          <w:t>https://www.researchgate.net/profile/Munashe-Naphtali-Mupa/publication/384735379_Turnaround_Financing_Legal_and_Financial_Considerations_for_Distressed_Companies/links/6705d4e34cb01e6ec78177c2/Turnaround-Financing-Legal-and-Financial-Considerations-for-Distressed-Companies.pdf</w:t>
        </w:r>
      </w:hyperlink>
      <w:r w:rsidRPr="00F93301">
        <w:rPr>
          <w:sz w:val="24"/>
          <w:szCs w:val="24"/>
          <w:highlight w:val="white"/>
          <w:lang w:val="en-GB"/>
        </w:rPr>
        <w:t xml:space="preserve"> [Accessed on 15th December 2025] </w:t>
      </w:r>
    </w:p>
    <w:p w14:paraId="3C147C73"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lastRenderedPageBreak/>
        <w:t xml:space="preserve">Sokolov, M.V., (2024). NPV, IRR, PI, PP, and DPP: A unified view. </w:t>
      </w:r>
      <w:r w:rsidRPr="00F93301">
        <w:rPr>
          <w:i/>
          <w:iCs/>
          <w:sz w:val="24"/>
          <w:szCs w:val="24"/>
          <w:highlight w:val="white"/>
          <w:lang w:val="en-GB"/>
        </w:rPr>
        <w:t>Journal of Mathematical Economics</w:t>
      </w:r>
      <w:r w:rsidRPr="00F93301">
        <w:rPr>
          <w:sz w:val="24"/>
          <w:szCs w:val="24"/>
          <w:highlight w:val="white"/>
          <w:lang w:val="en-GB"/>
        </w:rPr>
        <w:t xml:space="preserve">, </w:t>
      </w:r>
      <w:r w:rsidRPr="00F93301">
        <w:rPr>
          <w:i/>
          <w:iCs/>
          <w:sz w:val="24"/>
          <w:szCs w:val="24"/>
          <w:highlight w:val="white"/>
          <w:lang w:val="en-GB"/>
        </w:rPr>
        <w:t>114</w:t>
      </w:r>
      <w:r w:rsidRPr="00F93301">
        <w:rPr>
          <w:sz w:val="24"/>
          <w:szCs w:val="24"/>
          <w:highlight w:val="white"/>
          <w:lang w:val="en-GB"/>
        </w:rPr>
        <w:t xml:space="preserve">, p.102992. Available at: </w:t>
      </w:r>
      <w:hyperlink r:id="rId41">
        <w:r w:rsidRPr="00F93301">
          <w:rPr>
            <w:sz w:val="24"/>
            <w:szCs w:val="24"/>
            <w:highlight w:val="white"/>
            <w:u w:val="single"/>
            <w:lang w:val="en-GB"/>
          </w:rPr>
          <w:t>https://arxiv.org/pdf/2302.02875</w:t>
        </w:r>
      </w:hyperlink>
      <w:r w:rsidRPr="00F93301">
        <w:rPr>
          <w:sz w:val="24"/>
          <w:szCs w:val="24"/>
          <w:highlight w:val="white"/>
          <w:lang w:val="en-GB"/>
        </w:rPr>
        <w:t xml:space="preserve"> [Accessed on 15th December 2025] </w:t>
      </w:r>
    </w:p>
    <w:p w14:paraId="78F71B65" w14:textId="77777777" w:rsidR="008D3293" w:rsidRPr="00F93301" w:rsidRDefault="008D3293">
      <w:pPr>
        <w:spacing w:before="200" w:after="200" w:line="360" w:lineRule="auto"/>
        <w:jc w:val="both"/>
        <w:rPr>
          <w:sz w:val="24"/>
          <w:szCs w:val="24"/>
          <w:highlight w:val="white"/>
          <w:lang w:val="en-GB"/>
        </w:rPr>
      </w:pPr>
      <w:r w:rsidRPr="00F93301">
        <w:rPr>
          <w:sz w:val="24"/>
          <w:szCs w:val="24"/>
          <w:highlight w:val="white"/>
          <w:lang w:val="en-GB"/>
        </w:rPr>
        <w:t xml:space="preserve">Udeoji, R.O. and Udeoji, N.N., (2025). A Comparative Analysis of Corporate Restructuring in Nigeria. </w:t>
      </w:r>
      <w:r w:rsidRPr="00F93301">
        <w:rPr>
          <w:i/>
          <w:iCs/>
          <w:sz w:val="24"/>
          <w:szCs w:val="24"/>
          <w:highlight w:val="white"/>
          <w:lang w:val="en-GB"/>
        </w:rPr>
        <w:t>Journal of Refugee Law and International Criminal Justice</w:t>
      </w:r>
      <w:r w:rsidRPr="00F93301">
        <w:rPr>
          <w:sz w:val="24"/>
          <w:szCs w:val="24"/>
          <w:highlight w:val="white"/>
          <w:lang w:val="en-GB"/>
        </w:rPr>
        <w:t xml:space="preserve">, </w:t>
      </w:r>
      <w:r w:rsidRPr="00F93301">
        <w:rPr>
          <w:i/>
          <w:iCs/>
          <w:sz w:val="24"/>
          <w:szCs w:val="24"/>
          <w:highlight w:val="white"/>
          <w:lang w:val="en-GB"/>
        </w:rPr>
        <w:t>3</w:t>
      </w:r>
      <w:r w:rsidRPr="00F93301">
        <w:rPr>
          <w:sz w:val="24"/>
          <w:szCs w:val="24"/>
          <w:highlight w:val="white"/>
          <w:lang w:val="en-GB"/>
        </w:rPr>
        <w:t xml:space="preserve">(1). Available at: </w:t>
      </w:r>
      <w:hyperlink r:id="rId42">
        <w:r w:rsidRPr="00F93301">
          <w:rPr>
            <w:sz w:val="24"/>
            <w:szCs w:val="24"/>
            <w:highlight w:val="white"/>
            <w:u w:val="single"/>
            <w:lang w:val="en-GB"/>
          </w:rPr>
          <w:t>https://ezenwaohaetorc.org/journals/index.php/JORLAWICJ/article/download/3054/3184</w:t>
        </w:r>
      </w:hyperlink>
      <w:r w:rsidRPr="00F93301">
        <w:rPr>
          <w:sz w:val="24"/>
          <w:szCs w:val="24"/>
          <w:highlight w:val="white"/>
          <w:lang w:val="en-GB"/>
        </w:rPr>
        <w:t xml:space="preserve"> [Accessed on 15th December 2025] </w:t>
      </w:r>
    </w:p>
    <w:p w14:paraId="4D9FDB37" w14:textId="77777777" w:rsidR="00150B23" w:rsidRPr="00F93301" w:rsidRDefault="00A17F42">
      <w:pPr>
        <w:spacing w:before="200" w:after="200" w:line="360" w:lineRule="auto"/>
        <w:jc w:val="both"/>
        <w:rPr>
          <w:b/>
          <w:bCs/>
          <w:sz w:val="24"/>
          <w:szCs w:val="24"/>
          <w:highlight w:val="white"/>
          <w:lang w:val="en-GB"/>
        </w:rPr>
      </w:pPr>
      <w:r w:rsidRPr="00F93301">
        <w:rPr>
          <w:lang w:val="en-GB"/>
        </w:rPr>
        <w:br w:type="page"/>
      </w:r>
    </w:p>
    <w:p w14:paraId="4D9FDB38" w14:textId="77777777" w:rsidR="00150B23" w:rsidRPr="00F93301" w:rsidRDefault="00A17F42" w:rsidP="00DA145E">
      <w:pPr>
        <w:pStyle w:val="Heading1"/>
        <w:rPr>
          <w:lang w:val="en-GB"/>
        </w:rPr>
      </w:pPr>
      <w:bookmarkStart w:id="55" w:name="_Toc216975104"/>
      <w:r w:rsidRPr="00F93301">
        <w:rPr>
          <w:lang w:val="en-GB"/>
        </w:rPr>
        <w:lastRenderedPageBreak/>
        <w:t>Appendices</w:t>
      </w:r>
      <w:bookmarkEnd w:id="55"/>
    </w:p>
    <w:p w14:paraId="4D9FDB39" w14:textId="77777777" w:rsidR="00150B23" w:rsidRPr="00F93301" w:rsidRDefault="00A17F42" w:rsidP="00DA145E">
      <w:pPr>
        <w:pStyle w:val="Heading2"/>
        <w:rPr>
          <w:lang w:val="en-GB"/>
        </w:rPr>
      </w:pPr>
      <w:bookmarkStart w:id="56" w:name="_Toc216975105"/>
      <w:r w:rsidRPr="00F93301">
        <w:rPr>
          <w:lang w:val="en-GB"/>
        </w:rPr>
        <w:t>Appendix 1: Ratios</w:t>
      </w:r>
      <w:bookmarkEnd w:id="56"/>
    </w:p>
    <w:p w14:paraId="4D9FDB3A" w14:textId="1D65A0F4" w:rsidR="00150B23" w:rsidRPr="00F93301" w:rsidRDefault="00B867DC" w:rsidP="00B867DC">
      <w:pPr>
        <w:spacing w:before="200" w:after="200" w:line="360" w:lineRule="auto"/>
        <w:jc w:val="center"/>
        <w:rPr>
          <w:b/>
          <w:bCs/>
          <w:sz w:val="24"/>
          <w:szCs w:val="24"/>
          <w:highlight w:val="white"/>
          <w:lang w:val="en-GB"/>
        </w:rPr>
      </w:pPr>
      <w:r w:rsidRPr="00B867DC">
        <w:rPr>
          <w:b/>
          <w:bCs/>
          <w:noProof/>
          <w:sz w:val="24"/>
          <w:szCs w:val="24"/>
          <w:lang w:val="en-GB"/>
        </w:rPr>
        <w:drawing>
          <wp:inline distT="0" distB="0" distL="0" distR="0" wp14:anchorId="5EDC7499" wp14:editId="4A72081E">
            <wp:extent cx="5464013" cy="4046571"/>
            <wp:effectExtent l="0" t="0" r="3810" b="0"/>
            <wp:docPr id="160813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31282" name=""/>
                    <pic:cNvPicPr/>
                  </pic:nvPicPr>
                  <pic:blipFill>
                    <a:blip r:embed="rId43"/>
                    <a:stretch>
                      <a:fillRect/>
                    </a:stretch>
                  </pic:blipFill>
                  <pic:spPr>
                    <a:xfrm>
                      <a:off x="0" y="0"/>
                      <a:ext cx="5464013" cy="4046571"/>
                    </a:xfrm>
                    <a:prstGeom prst="rect">
                      <a:avLst/>
                    </a:prstGeom>
                  </pic:spPr>
                </pic:pic>
              </a:graphicData>
            </a:graphic>
          </wp:inline>
        </w:drawing>
      </w:r>
    </w:p>
    <w:p w14:paraId="7BDD87FE" w14:textId="4C9AEDB2" w:rsidR="008D3293" w:rsidRPr="00F93301" w:rsidRDefault="008D3293" w:rsidP="008D3293">
      <w:pPr>
        <w:spacing w:before="200" w:after="200" w:line="360" w:lineRule="auto"/>
        <w:jc w:val="center"/>
        <w:rPr>
          <w:sz w:val="24"/>
          <w:szCs w:val="24"/>
          <w:highlight w:val="white"/>
          <w:lang w:val="en-GB"/>
        </w:rPr>
      </w:pPr>
      <w:r w:rsidRPr="00F93301">
        <w:rPr>
          <w:sz w:val="24"/>
          <w:szCs w:val="24"/>
          <w:highlight w:val="white"/>
          <w:lang w:val="en-GB"/>
        </w:rPr>
        <w:t>(Source: Self-Created)</w:t>
      </w:r>
    </w:p>
    <w:p w14:paraId="36EE483A" w14:textId="77777777" w:rsidR="008D3293" w:rsidRPr="00F93301" w:rsidRDefault="008D3293">
      <w:pPr>
        <w:rPr>
          <w:b/>
          <w:bCs/>
          <w:sz w:val="24"/>
          <w:szCs w:val="24"/>
          <w:highlight w:val="white"/>
          <w:lang w:val="en-GB"/>
        </w:rPr>
      </w:pPr>
      <w:r w:rsidRPr="00F93301">
        <w:rPr>
          <w:b/>
          <w:bCs/>
          <w:sz w:val="24"/>
          <w:szCs w:val="24"/>
          <w:highlight w:val="white"/>
          <w:lang w:val="en-GB"/>
        </w:rPr>
        <w:br w:type="page"/>
      </w:r>
    </w:p>
    <w:p w14:paraId="4D9FDB3B" w14:textId="690D1BBE" w:rsidR="00150B23" w:rsidRPr="00F93301" w:rsidRDefault="00A17F42" w:rsidP="00DA145E">
      <w:pPr>
        <w:pStyle w:val="Heading2"/>
        <w:rPr>
          <w:lang w:val="en-GB"/>
        </w:rPr>
      </w:pPr>
      <w:bookmarkStart w:id="57" w:name="_Toc216975106"/>
      <w:r w:rsidRPr="00F93301">
        <w:rPr>
          <w:lang w:val="en-GB"/>
        </w:rPr>
        <w:lastRenderedPageBreak/>
        <w:t>Appendix 2: Altman Z-Score</w:t>
      </w:r>
      <w:bookmarkEnd w:id="57"/>
    </w:p>
    <w:p w14:paraId="4D9FDB3C" w14:textId="579C5893" w:rsidR="00150B23" w:rsidRPr="00F93301" w:rsidRDefault="00EB21AC">
      <w:pPr>
        <w:spacing w:before="200" w:after="200" w:line="360" w:lineRule="auto"/>
        <w:jc w:val="both"/>
        <w:rPr>
          <w:b/>
          <w:bCs/>
          <w:sz w:val="24"/>
          <w:szCs w:val="24"/>
          <w:highlight w:val="white"/>
          <w:lang w:val="en-GB"/>
        </w:rPr>
      </w:pPr>
      <w:r w:rsidRPr="00EB21AC">
        <w:rPr>
          <w:b/>
          <w:bCs/>
          <w:noProof/>
          <w:sz w:val="24"/>
          <w:szCs w:val="24"/>
          <w:lang w:val="en-GB"/>
        </w:rPr>
        <w:drawing>
          <wp:inline distT="0" distB="0" distL="0" distR="0" wp14:anchorId="23FEED40" wp14:editId="40A0636C">
            <wp:extent cx="5943600" cy="1553845"/>
            <wp:effectExtent l="0" t="0" r="0" b="8255"/>
            <wp:docPr id="1946094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94511" name=""/>
                    <pic:cNvPicPr/>
                  </pic:nvPicPr>
                  <pic:blipFill>
                    <a:blip r:embed="rId44"/>
                    <a:stretch>
                      <a:fillRect/>
                    </a:stretch>
                  </pic:blipFill>
                  <pic:spPr>
                    <a:xfrm>
                      <a:off x="0" y="0"/>
                      <a:ext cx="5943600" cy="1553845"/>
                    </a:xfrm>
                    <a:prstGeom prst="rect">
                      <a:avLst/>
                    </a:prstGeom>
                  </pic:spPr>
                </pic:pic>
              </a:graphicData>
            </a:graphic>
          </wp:inline>
        </w:drawing>
      </w:r>
    </w:p>
    <w:p w14:paraId="27D20CCC" w14:textId="4041BE22" w:rsidR="008D3293" w:rsidRPr="00F93301" w:rsidRDefault="008D3293" w:rsidP="008D3293">
      <w:pPr>
        <w:spacing w:before="200" w:after="200" w:line="360" w:lineRule="auto"/>
        <w:jc w:val="center"/>
        <w:rPr>
          <w:b/>
          <w:bCs/>
          <w:sz w:val="24"/>
          <w:szCs w:val="24"/>
          <w:highlight w:val="white"/>
          <w:lang w:val="en-GB"/>
        </w:rPr>
      </w:pPr>
      <w:r w:rsidRPr="00F93301">
        <w:rPr>
          <w:sz w:val="24"/>
          <w:szCs w:val="24"/>
          <w:highlight w:val="white"/>
          <w:lang w:val="en-GB"/>
        </w:rPr>
        <w:t>(Source: Self-Created)</w:t>
      </w:r>
    </w:p>
    <w:p w14:paraId="67841469" w14:textId="77777777" w:rsidR="008D3293" w:rsidRPr="00F93301" w:rsidRDefault="008D3293">
      <w:pPr>
        <w:rPr>
          <w:b/>
          <w:bCs/>
          <w:sz w:val="24"/>
          <w:szCs w:val="24"/>
          <w:highlight w:val="white"/>
          <w:lang w:val="en-GB"/>
        </w:rPr>
      </w:pPr>
      <w:r w:rsidRPr="00F93301">
        <w:rPr>
          <w:b/>
          <w:bCs/>
          <w:sz w:val="24"/>
          <w:szCs w:val="24"/>
          <w:highlight w:val="white"/>
          <w:lang w:val="en-GB"/>
        </w:rPr>
        <w:br w:type="page"/>
      </w:r>
    </w:p>
    <w:p w14:paraId="4D9FDB3D" w14:textId="6E55AABD" w:rsidR="00150B23" w:rsidRPr="00F93301" w:rsidRDefault="00A17F42" w:rsidP="00DA145E">
      <w:pPr>
        <w:pStyle w:val="Heading2"/>
        <w:rPr>
          <w:lang w:val="en-GB"/>
        </w:rPr>
      </w:pPr>
      <w:bookmarkStart w:id="58" w:name="_Toc216975107"/>
      <w:r w:rsidRPr="00F93301">
        <w:rPr>
          <w:lang w:val="en-GB"/>
        </w:rPr>
        <w:lastRenderedPageBreak/>
        <w:t>Appendix 3: CCC</w:t>
      </w:r>
      <w:bookmarkEnd w:id="58"/>
    </w:p>
    <w:p w14:paraId="4D9FDB3E" w14:textId="0E093471" w:rsidR="00150B23" w:rsidRPr="00F93301" w:rsidRDefault="00E83D68">
      <w:pPr>
        <w:spacing w:before="200" w:after="200" w:line="360" w:lineRule="auto"/>
        <w:jc w:val="both"/>
        <w:rPr>
          <w:b/>
          <w:bCs/>
          <w:sz w:val="24"/>
          <w:szCs w:val="24"/>
          <w:highlight w:val="white"/>
          <w:lang w:val="en-GB"/>
        </w:rPr>
      </w:pPr>
      <w:r w:rsidRPr="00E83D68">
        <w:rPr>
          <w:b/>
          <w:bCs/>
          <w:noProof/>
          <w:sz w:val="24"/>
          <w:szCs w:val="24"/>
          <w:lang w:val="en-GB"/>
        </w:rPr>
        <w:drawing>
          <wp:inline distT="0" distB="0" distL="0" distR="0" wp14:anchorId="122D7CDD" wp14:editId="761BEB65">
            <wp:extent cx="5768840" cy="1265030"/>
            <wp:effectExtent l="0" t="0" r="3810" b="0"/>
            <wp:docPr id="196844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42248" name=""/>
                    <pic:cNvPicPr/>
                  </pic:nvPicPr>
                  <pic:blipFill>
                    <a:blip r:embed="rId45"/>
                    <a:stretch>
                      <a:fillRect/>
                    </a:stretch>
                  </pic:blipFill>
                  <pic:spPr>
                    <a:xfrm>
                      <a:off x="0" y="0"/>
                      <a:ext cx="5768840" cy="1265030"/>
                    </a:xfrm>
                    <a:prstGeom prst="rect">
                      <a:avLst/>
                    </a:prstGeom>
                  </pic:spPr>
                </pic:pic>
              </a:graphicData>
            </a:graphic>
          </wp:inline>
        </w:drawing>
      </w:r>
    </w:p>
    <w:p w14:paraId="595DC1FD" w14:textId="7CE7F0C8" w:rsidR="008D3293" w:rsidRPr="00F93301" w:rsidRDefault="008D3293" w:rsidP="008D3293">
      <w:pPr>
        <w:spacing w:before="200" w:after="200" w:line="360" w:lineRule="auto"/>
        <w:jc w:val="center"/>
        <w:rPr>
          <w:b/>
          <w:bCs/>
          <w:sz w:val="24"/>
          <w:szCs w:val="24"/>
          <w:highlight w:val="white"/>
          <w:lang w:val="en-GB"/>
        </w:rPr>
      </w:pPr>
      <w:r w:rsidRPr="00F93301">
        <w:rPr>
          <w:sz w:val="24"/>
          <w:szCs w:val="24"/>
          <w:highlight w:val="white"/>
          <w:lang w:val="en-GB"/>
        </w:rPr>
        <w:t>(Source: Self-Created)</w:t>
      </w:r>
    </w:p>
    <w:p w14:paraId="6C2F7BEB" w14:textId="77777777" w:rsidR="008D3293" w:rsidRPr="00F93301" w:rsidRDefault="008D3293">
      <w:pPr>
        <w:rPr>
          <w:b/>
          <w:bCs/>
          <w:sz w:val="24"/>
          <w:szCs w:val="24"/>
          <w:highlight w:val="white"/>
          <w:lang w:val="en-GB"/>
        </w:rPr>
      </w:pPr>
      <w:r w:rsidRPr="00F93301">
        <w:rPr>
          <w:b/>
          <w:bCs/>
          <w:sz w:val="24"/>
          <w:szCs w:val="24"/>
          <w:highlight w:val="white"/>
          <w:lang w:val="en-GB"/>
        </w:rPr>
        <w:br w:type="page"/>
      </w:r>
    </w:p>
    <w:p w14:paraId="4D9FDB3F" w14:textId="510FF4CF" w:rsidR="00150B23" w:rsidRPr="00F93301" w:rsidRDefault="00A17F42" w:rsidP="00DA145E">
      <w:pPr>
        <w:pStyle w:val="Heading2"/>
        <w:rPr>
          <w:lang w:val="en-GB"/>
        </w:rPr>
      </w:pPr>
      <w:bookmarkStart w:id="59" w:name="_Toc216975108"/>
      <w:r w:rsidRPr="00F93301">
        <w:rPr>
          <w:lang w:val="en-GB"/>
        </w:rPr>
        <w:lastRenderedPageBreak/>
        <w:t>Appendix 4: Investment Appraisal Techniques</w:t>
      </w:r>
      <w:bookmarkEnd w:id="59"/>
    </w:p>
    <w:p w14:paraId="4D9FDB40" w14:textId="77777777" w:rsidR="00150B23" w:rsidRPr="00F93301" w:rsidRDefault="00A17F42">
      <w:pPr>
        <w:spacing w:before="200" w:after="200" w:line="360" w:lineRule="auto"/>
        <w:jc w:val="both"/>
        <w:rPr>
          <w:b/>
          <w:bCs/>
          <w:sz w:val="24"/>
          <w:szCs w:val="24"/>
          <w:highlight w:val="white"/>
          <w:lang w:val="en-GB"/>
        </w:rPr>
      </w:pPr>
      <w:r w:rsidRPr="00F93301">
        <w:rPr>
          <w:b/>
          <w:bCs/>
          <w:noProof/>
          <w:sz w:val="24"/>
          <w:szCs w:val="24"/>
          <w:highlight w:val="white"/>
          <w:lang w:val="en-GB"/>
        </w:rPr>
        <w:drawing>
          <wp:inline distT="114300" distB="114300" distL="114300" distR="114300" wp14:anchorId="4D9FDB67" wp14:editId="4D9FDB68">
            <wp:extent cx="5943600" cy="2032000"/>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6"/>
                    <a:srcRect/>
                    <a:stretch>
                      <a:fillRect/>
                    </a:stretch>
                  </pic:blipFill>
                  <pic:spPr>
                    <a:xfrm>
                      <a:off x="0" y="0"/>
                      <a:ext cx="5943600" cy="2032000"/>
                    </a:xfrm>
                    <a:prstGeom prst="rect">
                      <a:avLst/>
                    </a:prstGeom>
                    <a:ln/>
                  </pic:spPr>
                </pic:pic>
              </a:graphicData>
            </a:graphic>
          </wp:inline>
        </w:drawing>
      </w:r>
    </w:p>
    <w:p w14:paraId="6535862F" w14:textId="5169B77A" w:rsidR="008D3293" w:rsidRPr="00F93301" w:rsidRDefault="008D3293" w:rsidP="008D3293">
      <w:pPr>
        <w:spacing w:before="200" w:after="200" w:line="360" w:lineRule="auto"/>
        <w:jc w:val="center"/>
        <w:rPr>
          <w:b/>
          <w:bCs/>
          <w:sz w:val="24"/>
          <w:szCs w:val="24"/>
          <w:highlight w:val="white"/>
          <w:lang w:val="en-GB"/>
        </w:rPr>
      </w:pPr>
      <w:r w:rsidRPr="00F93301">
        <w:rPr>
          <w:sz w:val="24"/>
          <w:szCs w:val="24"/>
          <w:highlight w:val="white"/>
          <w:lang w:val="en-GB"/>
        </w:rPr>
        <w:t>(Source: Self-Created)</w:t>
      </w:r>
    </w:p>
    <w:p w14:paraId="4D9FDB41" w14:textId="77777777" w:rsidR="00150B23" w:rsidRPr="00F93301" w:rsidRDefault="00A17F42">
      <w:pPr>
        <w:spacing w:before="200" w:after="200" w:line="360" w:lineRule="auto"/>
        <w:jc w:val="center"/>
        <w:rPr>
          <w:b/>
          <w:bCs/>
          <w:sz w:val="24"/>
          <w:szCs w:val="24"/>
          <w:highlight w:val="white"/>
          <w:lang w:val="en-GB"/>
        </w:rPr>
      </w:pPr>
      <w:r w:rsidRPr="00F93301">
        <w:rPr>
          <w:b/>
          <w:bCs/>
          <w:noProof/>
          <w:sz w:val="24"/>
          <w:szCs w:val="24"/>
          <w:highlight w:val="white"/>
          <w:lang w:val="en-GB"/>
        </w:rPr>
        <w:drawing>
          <wp:inline distT="114300" distB="114300" distL="114300" distR="114300" wp14:anchorId="4D9FDB69" wp14:editId="4D9FDB6A">
            <wp:extent cx="4791075" cy="200025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7"/>
                    <a:srcRect/>
                    <a:stretch>
                      <a:fillRect/>
                    </a:stretch>
                  </pic:blipFill>
                  <pic:spPr>
                    <a:xfrm>
                      <a:off x="0" y="0"/>
                      <a:ext cx="4791075" cy="2000250"/>
                    </a:xfrm>
                    <a:prstGeom prst="rect">
                      <a:avLst/>
                    </a:prstGeom>
                    <a:ln/>
                  </pic:spPr>
                </pic:pic>
              </a:graphicData>
            </a:graphic>
          </wp:inline>
        </w:drawing>
      </w:r>
    </w:p>
    <w:p w14:paraId="17FF833F" w14:textId="405ACD1F" w:rsidR="008D3293" w:rsidRPr="00F93301" w:rsidRDefault="008D3293">
      <w:pPr>
        <w:spacing w:before="200" w:after="200" w:line="360" w:lineRule="auto"/>
        <w:jc w:val="center"/>
        <w:rPr>
          <w:b/>
          <w:bCs/>
          <w:sz w:val="24"/>
          <w:szCs w:val="24"/>
          <w:highlight w:val="white"/>
          <w:lang w:val="en-GB"/>
        </w:rPr>
      </w:pPr>
      <w:r w:rsidRPr="00F93301">
        <w:rPr>
          <w:sz w:val="24"/>
          <w:szCs w:val="24"/>
          <w:highlight w:val="white"/>
          <w:lang w:val="en-GB"/>
        </w:rPr>
        <w:t>(Source: Self-Created)</w:t>
      </w:r>
    </w:p>
    <w:p w14:paraId="4D9FDB42" w14:textId="77777777" w:rsidR="00150B23" w:rsidRPr="00F93301" w:rsidRDefault="00A17F42">
      <w:pPr>
        <w:spacing w:before="200" w:after="200" w:line="360" w:lineRule="auto"/>
        <w:jc w:val="center"/>
        <w:rPr>
          <w:b/>
          <w:bCs/>
          <w:sz w:val="24"/>
          <w:szCs w:val="24"/>
          <w:highlight w:val="white"/>
          <w:lang w:val="en-GB"/>
        </w:rPr>
      </w:pPr>
      <w:r w:rsidRPr="00F93301">
        <w:rPr>
          <w:b/>
          <w:bCs/>
          <w:noProof/>
          <w:sz w:val="24"/>
          <w:szCs w:val="24"/>
          <w:highlight w:val="white"/>
          <w:lang w:val="en-GB"/>
        </w:rPr>
        <w:drawing>
          <wp:inline distT="114300" distB="114300" distL="114300" distR="114300" wp14:anchorId="4D9FDB6B" wp14:editId="34627C59">
            <wp:extent cx="4411980" cy="2339340"/>
            <wp:effectExtent l="0" t="0" r="7620" b="381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8"/>
                    <a:srcRect/>
                    <a:stretch>
                      <a:fillRect/>
                    </a:stretch>
                  </pic:blipFill>
                  <pic:spPr>
                    <a:xfrm>
                      <a:off x="0" y="0"/>
                      <a:ext cx="4411980" cy="2339340"/>
                    </a:xfrm>
                    <a:prstGeom prst="rect">
                      <a:avLst/>
                    </a:prstGeom>
                    <a:ln/>
                  </pic:spPr>
                </pic:pic>
              </a:graphicData>
            </a:graphic>
          </wp:inline>
        </w:drawing>
      </w:r>
    </w:p>
    <w:p w14:paraId="302C05F4" w14:textId="23ED2933" w:rsidR="008D3293" w:rsidRPr="00F93301" w:rsidRDefault="008D3293">
      <w:pPr>
        <w:spacing w:before="200" w:after="200" w:line="360" w:lineRule="auto"/>
        <w:jc w:val="center"/>
        <w:rPr>
          <w:b/>
          <w:bCs/>
          <w:sz w:val="24"/>
          <w:szCs w:val="24"/>
          <w:highlight w:val="white"/>
          <w:lang w:val="en-GB"/>
        </w:rPr>
      </w:pPr>
      <w:r w:rsidRPr="00F93301">
        <w:rPr>
          <w:sz w:val="24"/>
          <w:szCs w:val="24"/>
          <w:highlight w:val="white"/>
          <w:lang w:val="en-GB"/>
        </w:rPr>
        <w:lastRenderedPageBreak/>
        <w:t>(Source: Self-Created)</w:t>
      </w:r>
    </w:p>
    <w:p w14:paraId="4D9FDB43" w14:textId="77777777" w:rsidR="00150B23" w:rsidRPr="00F93301" w:rsidRDefault="00A17F42">
      <w:pPr>
        <w:spacing w:before="200" w:after="200" w:line="360" w:lineRule="auto"/>
        <w:jc w:val="center"/>
        <w:rPr>
          <w:b/>
          <w:bCs/>
          <w:sz w:val="24"/>
          <w:szCs w:val="24"/>
          <w:highlight w:val="white"/>
          <w:lang w:val="en-GB"/>
        </w:rPr>
      </w:pPr>
      <w:r w:rsidRPr="00F93301">
        <w:rPr>
          <w:b/>
          <w:bCs/>
          <w:noProof/>
          <w:sz w:val="24"/>
          <w:szCs w:val="24"/>
          <w:highlight w:val="white"/>
          <w:lang w:val="en-GB"/>
        </w:rPr>
        <w:drawing>
          <wp:inline distT="114300" distB="114300" distL="114300" distR="114300" wp14:anchorId="4D9FDB6D" wp14:editId="4D9FDB6E">
            <wp:extent cx="5943600" cy="3492500"/>
            <wp:effectExtent l="0" t="0" r="0" b="0"/>
            <wp:docPr id="2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9"/>
                    <a:srcRect/>
                    <a:stretch>
                      <a:fillRect/>
                    </a:stretch>
                  </pic:blipFill>
                  <pic:spPr>
                    <a:xfrm>
                      <a:off x="0" y="0"/>
                      <a:ext cx="5943600" cy="3492500"/>
                    </a:xfrm>
                    <a:prstGeom prst="rect">
                      <a:avLst/>
                    </a:prstGeom>
                    <a:ln/>
                  </pic:spPr>
                </pic:pic>
              </a:graphicData>
            </a:graphic>
          </wp:inline>
        </w:drawing>
      </w:r>
    </w:p>
    <w:p w14:paraId="5CAA2220" w14:textId="05EC0B88" w:rsidR="008D3293" w:rsidRPr="00F93301" w:rsidRDefault="008D3293">
      <w:pPr>
        <w:spacing w:before="200" w:after="200" w:line="360" w:lineRule="auto"/>
        <w:jc w:val="center"/>
        <w:rPr>
          <w:b/>
          <w:bCs/>
          <w:sz w:val="24"/>
          <w:szCs w:val="24"/>
          <w:highlight w:val="white"/>
          <w:lang w:val="en-GB"/>
        </w:rPr>
      </w:pPr>
      <w:r w:rsidRPr="00F93301">
        <w:rPr>
          <w:sz w:val="24"/>
          <w:szCs w:val="24"/>
          <w:highlight w:val="white"/>
          <w:lang w:val="en-GB"/>
        </w:rPr>
        <w:t>(Source: Self-Created)</w:t>
      </w:r>
    </w:p>
    <w:p w14:paraId="4D9FDB44" w14:textId="77777777" w:rsidR="00150B23" w:rsidRPr="00F93301" w:rsidRDefault="00150B23">
      <w:pPr>
        <w:spacing w:before="200" w:after="200" w:line="360" w:lineRule="auto"/>
        <w:jc w:val="center"/>
        <w:rPr>
          <w:b/>
          <w:bCs/>
          <w:sz w:val="24"/>
          <w:szCs w:val="24"/>
          <w:highlight w:val="white"/>
          <w:lang w:val="en-GB"/>
        </w:rPr>
      </w:pPr>
    </w:p>
    <w:sectPr w:rsidR="00150B23" w:rsidRPr="00F93301">
      <w:headerReference w:type="default" r:id="rId50"/>
      <w:footerReference w:type="default" r:id="rId51"/>
      <w:footerReference w:type="first" r:id="rId5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D3CC1" w14:textId="77777777" w:rsidR="004B1BFD" w:rsidRDefault="004B1BFD">
      <w:pPr>
        <w:spacing w:line="240" w:lineRule="auto"/>
      </w:pPr>
      <w:r>
        <w:separator/>
      </w:r>
    </w:p>
  </w:endnote>
  <w:endnote w:type="continuationSeparator" w:id="0">
    <w:p w14:paraId="13A5A7AF" w14:textId="77777777" w:rsidR="004B1BFD" w:rsidRDefault="004B1B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72E0DDE-B10E-034E-9EA0-A3F0A4605B50}"/>
  </w:font>
  <w:font w:name="Arial">
    <w:panose1 w:val="020B0604020202020204"/>
    <w:charset w:val="00"/>
    <w:family w:val="swiss"/>
    <w:pitch w:val="variable"/>
    <w:sig w:usb0="E0002EFF" w:usb1="C000785B" w:usb2="00000009" w:usb3="00000000" w:csb0="000001FF" w:csb1="00000000"/>
    <w:embedRegular r:id="rId2" w:fontKey="{92AF2AE4-83FC-3C48-B54F-73DF04D79DC7}"/>
    <w:embedBold r:id="rId3" w:fontKey="{0022681F-BC1C-1940-A70A-5A3923679D17}"/>
    <w:embedItalic r:id="rId4" w:fontKey="{B32D1CCF-2429-904C-9DCE-9ACC51686F80}"/>
    <w:embedBoldItalic r:id="rId5" w:fontKey="{717EA080-4411-5E4F-BC5D-CA7CFEFD9134}"/>
  </w:font>
  <w:font w:name="Cambria">
    <w:panose1 w:val="02040503050406030204"/>
    <w:charset w:val="00"/>
    <w:family w:val="roman"/>
    <w:pitch w:val="variable"/>
    <w:sig w:usb0="E00006FF" w:usb1="420024FF" w:usb2="02000000" w:usb3="00000000" w:csb0="0000019F" w:csb1="00000000"/>
    <w:embedRegular r:id="rId6" w:fontKey="{80BBDC9F-47BD-7E43-9871-4A99DD677FEF}"/>
  </w:font>
  <w:font w:name="Calibri">
    <w:panose1 w:val="020F0502020204030204"/>
    <w:charset w:val="00"/>
    <w:family w:val="swiss"/>
    <w:pitch w:val="variable"/>
    <w:sig w:usb0="E4002EFF" w:usb1="C200247B" w:usb2="00000009" w:usb3="00000000" w:csb0="000001FF" w:csb1="00000000"/>
    <w:embedRegular r:id="rId7" w:fontKey="{30B31B97-B27D-0041-9D49-434562843B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DB70" w14:textId="3D6D5A57" w:rsidR="00150B23" w:rsidRDefault="00A17F42">
    <w:pPr>
      <w:jc w:val="right"/>
    </w:pPr>
    <w:r>
      <w:fldChar w:fldCharType="begin"/>
    </w:r>
    <w:r>
      <w:instrText>PAGE</w:instrText>
    </w:r>
    <w:r>
      <w:fldChar w:fldCharType="separate"/>
    </w:r>
    <w:r w:rsidR="00E2702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DB71" w14:textId="77777777" w:rsidR="00150B23" w:rsidRDefault="00150B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3A26F" w14:textId="77777777" w:rsidR="004B1BFD" w:rsidRDefault="004B1BFD">
      <w:pPr>
        <w:spacing w:line="240" w:lineRule="auto"/>
      </w:pPr>
      <w:r>
        <w:separator/>
      </w:r>
    </w:p>
  </w:footnote>
  <w:footnote w:type="continuationSeparator" w:id="0">
    <w:p w14:paraId="61B0CE2F" w14:textId="77777777" w:rsidR="004B1BFD" w:rsidRDefault="004B1B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DB6F" w14:textId="77777777" w:rsidR="00150B23" w:rsidRDefault="00150B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E21"/>
    <w:multiLevelType w:val="multilevel"/>
    <w:tmpl w:val="91643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8F1DEF"/>
    <w:multiLevelType w:val="multilevel"/>
    <w:tmpl w:val="383CC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82119C"/>
    <w:multiLevelType w:val="multilevel"/>
    <w:tmpl w:val="AB4E7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61308F"/>
    <w:multiLevelType w:val="multilevel"/>
    <w:tmpl w:val="156629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046718"/>
    <w:multiLevelType w:val="multilevel"/>
    <w:tmpl w:val="A9B88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8900795">
    <w:abstractNumId w:val="2"/>
  </w:num>
  <w:num w:numId="2" w16cid:durableId="1448574933">
    <w:abstractNumId w:val="3"/>
  </w:num>
  <w:num w:numId="3" w16cid:durableId="1721634436">
    <w:abstractNumId w:val="4"/>
  </w:num>
  <w:num w:numId="4" w16cid:durableId="788668165">
    <w:abstractNumId w:val="0"/>
  </w:num>
  <w:num w:numId="5" w16cid:durableId="1643074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B23"/>
    <w:rsid w:val="00021FA6"/>
    <w:rsid w:val="00146A51"/>
    <w:rsid w:val="00150B23"/>
    <w:rsid w:val="001F1F15"/>
    <w:rsid w:val="00284F0D"/>
    <w:rsid w:val="00345BFF"/>
    <w:rsid w:val="00355BC7"/>
    <w:rsid w:val="003A6E3E"/>
    <w:rsid w:val="004202B1"/>
    <w:rsid w:val="00473EFC"/>
    <w:rsid w:val="004B1BFD"/>
    <w:rsid w:val="005F4118"/>
    <w:rsid w:val="007B74E5"/>
    <w:rsid w:val="008D3293"/>
    <w:rsid w:val="008E2D06"/>
    <w:rsid w:val="009C523D"/>
    <w:rsid w:val="00A17F42"/>
    <w:rsid w:val="00B867DC"/>
    <w:rsid w:val="00C932C5"/>
    <w:rsid w:val="00C9596E"/>
    <w:rsid w:val="00CF2863"/>
    <w:rsid w:val="00D458EC"/>
    <w:rsid w:val="00DA145E"/>
    <w:rsid w:val="00DD60F3"/>
    <w:rsid w:val="00E2702D"/>
    <w:rsid w:val="00E618C9"/>
    <w:rsid w:val="00E83D68"/>
    <w:rsid w:val="00E8794E"/>
    <w:rsid w:val="00EB21AC"/>
    <w:rsid w:val="00F86F8E"/>
    <w:rsid w:val="00F93301"/>
    <w:rsid w:val="00FF4EA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DA32"/>
  <w15:docId w15:val="{65C8404A-D10B-4F4F-B8F3-B4CC8788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b/>
      <w:bCs/>
      <w:sz w:val="24"/>
      <w:szCs w:val="24"/>
      <w:highlight w:val="white"/>
    </w:rPr>
  </w:style>
  <w:style w:type="paragraph" w:styleId="Heading2">
    <w:name w:val="heading 2"/>
    <w:basedOn w:val="Normal"/>
    <w:next w:val="Normal"/>
    <w:uiPriority w:val="9"/>
    <w:unhideWhenUsed/>
    <w:qFormat/>
    <w:pPr>
      <w:keepNext/>
      <w:keepLines/>
      <w:spacing w:before="200" w:after="200" w:line="360" w:lineRule="auto"/>
      <w:jc w:val="both"/>
      <w:outlineLvl w:val="1"/>
    </w:pPr>
    <w:rPr>
      <w:b/>
      <w:bCs/>
      <w:sz w:val="24"/>
      <w:szCs w:val="24"/>
      <w:highlight w:val="white"/>
    </w:rPr>
  </w:style>
  <w:style w:type="paragraph" w:styleId="Heading3">
    <w:name w:val="heading 3"/>
    <w:basedOn w:val="Normal"/>
    <w:next w:val="Normal"/>
    <w:uiPriority w:val="9"/>
    <w:unhideWhenUsed/>
    <w:qFormat/>
    <w:rsid w:val="001F1F15"/>
    <w:pPr>
      <w:spacing w:before="200" w:after="200" w:line="360" w:lineRule="auto"/>
      <w:jc w:val="center"/>
      <w:outlineLvl w:val="2"/>
    </w:pPr>
    <w:rPr>
      <w:b/>
      <w:bCs/>
      <w:sz w:val="24"/>
      <w:szCs w:val="24"/>
      <w:lang w:val="en-GB"/>
    </w:rPr>
  </w:style>
  <w:style w:type="paragraph" w:styleId="Heading4">
    <w:name w:val="heading 4"/>
    <w:basedOn w:val="Heading3"/>
    <w:next w:val="Normal"/>
    <w:uiPriority w:val="9"/>
    <w:unhideWhenUsed/>
    <w:qFormat/>
    <w:rsid w:val="001F1F15"/>
    <w:pPr>
      <w:outlineLvl w:val="3"/>
    </w:pPr>
  </w:style>
  <w:style w:type="paragraph" w:styleId="Heading5">
    <w:name w:val="heading 5"/>
    <w:basedOn w:val="Normal"/>
    <w:next w:val="Normal"/>
    <w:uiPriority w:val="9"/>
    <w:unhideWhenUsed/>
    <w:qFormat/>
    <w:rsid w:val="001F1F15"/>
    <w:pPr>
      <w:spacing w:before="200" w:after="200" w:line="360" w:lineRule="auto"/>
      <w:jc w:val="center"/>
      <w:outlineLvl w:val="4"/>
    </w:pPr>
    <w:rPr>
      <w:b/>
      <w:bCs/>
      <w:sz w:val="24"/>
      <w:szCs w:val="24"/>
      <w:lang w:val="en-GB"/>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ableofFigures">
    <w:name w:val="table of figures"/>
    <w:basedOn w:val="Normal"/>
    <w:next w:val="Normal"/>
    <w:uiPriority w:val="99"/>
    <w:unhideWhenUsed/>
    <w:rsid w:val="001F1F15"/>
  </w:style>
  <w:style w:type="character" w:styleId="Hyperlink">
    <w:name w:val="Hyperlink"/>
    <w:basedOn w:val="DefaultParagraphFont"/>
    <w:uiPriority w:val="99"/>
    <w:unhideWhenUsed/>
    <w:rsid w:val="001F1F15"/>
    <w:rPr>
      <w:color w:val="0000FF" w:themeColor="hyperlink"/>
      <w:u w:val="single"/>
    </w:rPr>
  </w:style>
  <w:style w:type="paragraph" w:styleId="TOC1">
    <w:name w:val="toc 1"/>
    <w:basedOn w:val="Normal"/>
    <w:next w:val="Normal"/>
    <w:autoRedefine/>
    <w:uiPriority w:val="39"/>
    <w:unhideWhenUsed/>
    <w:rsid w:val="00DA145E"/>
    <w:pPr>
      <w:spacing w:after="100"/>
    </w:pPr>
  </w:style>
  <w:style w:type="paragraph" w:styleId="TOC2">
    <w:name w:val="toc 2"/>
    <w:basedOn w:val="Normal"/>
    <w:next w:val="Normal"/>
    <w:autoRedefine/>
    <w:uiPriority w:val="39"/>
    <w:unhideWhenUsed/>
    <w:rsid w:val="00DA145E"/>
    <w:pPr>
      <w:spacing w:after="100"/>
      <w:ind w:left="220"/>
    </w:pPr>
  </w:style>
  <w:style w:type="paragraph" w:styleId="TOC4">
    <w:name w:val="toc 4"/>
    <w:basedOn w:val="Normal"/>
    <w:next w:val="Normal"/>
    <w:autoRedefine/>
    <w:uiPriority w:val="39"/>
    <w:unhideWhenUsed/>
    <w:rsid w:val="00DA145E"/>
    <w:pPr>
      <w:spacing w:after="100"/>
      <w:ind w:left="660"/>
    </w:pPr>
  </w:style>
  <w:style w:type="paragraph" w:styleId="TOC5">
    <w:name w:val="toc 5"/>
    <w:basedOn w:val="Normal"/>
    <w:next w:val="Normal"/>
    <w:autoRedefine/>
    <w:uiPriority w:val="39"/>
    <w:unhideWhenUsed/>
    <w:rsid w:val="00DA145E"/>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5.xml"/><Relationship Id="rId26" Type="http://schemas.openxmlformats.org/officeDocument/2006/relationships/hyperlink" Target="https://papers.ssrn.com/sol3/Delivery.cfm?abstractid=3183777" TargetMode="External"/><Relationship Id="rId39" Type="http://schemas.openxmlformats.org/officeDocument/2006/relationships/hyperlink" Target="https://d1wqtxts1xzle7.cloudfront.net/124979573/28_2025_IJRAR-libre.pdf?1760351561=&amp;response-content-disposition=inline%3B+filename%3DReassessing_The_Role_Of_Net_Present_Valu.pdf&amp;Expires=1766063668&amp;Signature=LYCZzvfeSwFWxhe~0QcZZ~3Ists4vH3nsvWzwW3ObKVMrGn4fRvPmWst3NWaH26mZ0PoH7O~CKak2uwdJN-iMcQqDGBzlMareOqWB0VKBERjvuuMkl8eeBZDo3yj8I0KRlqAS8OIarmScuHYOvwK2pV-muq98hLgWmq8scnlF~g0xq-7FF5QRcafp1igkoVSLn6qzh2Y7korYTb4h5QBBWKqh3GYi7m74o6wSlle~DCqkxln9qOpoIAx2L3IFF8UqeGElUaLeQdkuSlVposxUAnjq6I7ClyEWQ4mh2sCegJEyi8U~CDI0Dn1dVOgSqt2BK3q2sF0hsy5-sHejACVQw__&amp;Key-Pair-Id=APKAJLOHF5GGSLRBV4ZA" TargetMode="External"/><Relationship Id="rId21" Type="http://schemas.openxmlformats.org/officeDocument/2006/relationships/chart" Target="charts/chart7.xml"/><Relationship Id="rId34" Type="http://schemas.openxmlformats.org/officeDocument/2006/relationships/hyperlink" Target="https://d1wqtxts1xzle7.cloudfront.net/116962190/E2603083342-libre.pdf?1721655611=&amp;response-content-disposition=inline%3B+filename%3DCorporate_Social_Responsibility_Integrat.pdf&amp;Expires=1766059943&amp;Signature=GVZ8qi7-yPq3-q3qHNA4DN~Tb5E-71R4FK38aFefD1JpyuDxcmQPiMMJAZ991aJX3KnsaB4d8v5t0i0HdxtKhJiN1NaI34mcRSgV1KNy0N8wDveyO4qBcJeozxba54STzH9b~IbN~cEuWyf53Aej1Ft8EfRukclRSL83LIID938ITkOZhVT4PwbD9U~FT0NMhEL9IliaGUltdUVADniJ03l2JiKCH-xBH-jen0OV93d8hd3dNVppPvWpPipsUP3lO6iIVgxjgv~8nsus~Eruf63GUBitN00EZgdHmvNTVbtHipFPYaXahjDWkGOAK8kMHtRr3779J5N~MG48y6~~ZQ__&amp;Key-Pair-Id=APKAJLOHF5GGSLRBV4ZA" TargetMode="External"/><Relationship Id="rId42" Type="http://schemas.openxmlformats.org/officeDocument/2006/relationships/hyperlink" Target="https://ezenwaohaetorc.org/journals/index.php/JORLAWICJ/article/download/3054/3184" TargetMode="External"/><Relationship Id="rId47" Type="http://schemas.openxmlformats.org/officeDocument/2006/relationships/image" Target="media/image12.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hyperlink" Target="https://ijafibs.pelnus.ac.id/index.php/ijafibs/article/download/243/190" TargetMode="External"/><Relationship Id="rId11" Type="http://schemas.openxmlformats.org/officeDocument/2006/relationships/image" Target="media/image4.png"/><Relationship Id="rId24" Type="http://schemas.openxmlformats.org/officeDocument/2006/relationships/hyperlink" Target="https://www.researchgate.net/profile/Beauden-John/publication/388659649_Legal_Implications_of_Corporate_Spin-Offs_Divestitures_and_Corporate_Restructuring_Key_Considerations_for_Business_Leaders_and_Legal_Counsel/links/67a19499645ef274a4664f72/Legal-Implications-of-Corporate-Spin-Offs-Divestitures-and-Corporate-Restructuring-Key-Considerations-for-Business-Leaders-and-Legal-Counsel.pdf" TargetMode="External"/><Relationship Id="rId32" Type="http://schemas.openxmlformats.org/officeDocument/2006/relationships/hyperlink" Target="https://www.jpmorgan.com/insights/treasury/treasury-management/6-ways-to-increase-working-capital" TargetMode="External"/><Relationship Id="rId37" Type="http://schemas.openxmlformats.org/officeDocument/2006/relationships/hyperlink" Target="https://mail.newinera.com/index.php/JournalLaBisecoman/article/download/1970/1958" TargetMode="External"/><Relationship Id="rId40" Type="http://schemas.openxmlformats.org/officeDocument/2006/relationships/hyperlink" Target="https://www.researchgate.net/profile/Munashe-Naphtali-Mupa/publication/384735379_Turnaround_Financing_Legal_and_Financial_Considerations_for_Distressed_Companies/links/6705d4e34cb01e6ec78177c2/Turnaround-Financing-Legal-and-Financial-Considerations-for-Distressed-Companies.pdf" TargetMode="External"/><Relationship Id="rId45" Type="http://schemas.openxmlformats.org/officeDocument/2006/relationships/image" Target="media/image10.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chart" Target="charts/chart6.xml"/><Relationship Id="rId31" Type="http://schemas.openxmlformats.org/officeDocument/2006/relationships/hyperlink" Target="https://jurnal.ibik.ac.id/index.php/jimkes/article/download/2742/1966" TargetMode="External"/><Relationship Id="rId44" Type="http://schemas.openxmlformats.org/officeDocument/2006/relationships/image" Target="media/image9.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yperlink" Target="https://www.accaglobal.com/in/en/student/exam-support-resources/foundation-level-study-resources/ffm/ffm-technical-articles/rate-return.html" TargetMode="External"/><Relationship Id="rId27" Type="http://schemas.openxmlformats.org/officeDocument/2006/relationships/hyperlink" Target="https://link.springer.com/content/pdf/10.1007/s11135-025-02250-3.pdf" TargetMode="External"/><Relationship Id="rId30" Type="http://schemas.openxmlformats.org/officeDocument/2006/relationships/hyperlink" Target="https://pmc.ncbi.nlm.nih.gov/articles/PMC10028330/pdf/13132_2023_Article_1138.pdf" TargetMode="External"/><Relationship Id="rId35" Type="http://schemas.openxmlformats.org/officeDocument/2006/relationships/hyperlink" Target="https://journals.eduacademic.co.in/index.php/jais/article/download/254/221" TargetMode="External"/><Relationship Id="rId43" Type="http://schemas.openxmlformats.org/officeDocument/2006/relationships/image" Target="media/image8.png"/><Relationship Id="rId48" Type="http://schemas.openxmlformats.org/officeDocument/2006/relationships/image" Target="media/image13.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hyperlink" Target="https://www.researchgate.net/profile/Mazhar-Farid-2/publication/382692938_ESTIMATING_CORPORATE_RISK_AND_CORPORATE_VALUE_AN_APPLICATION_OF_ALTMAN'S_Z-SCORE_ON_THE_KSE-30_INDEX_Corresponding_Author/links/66a9b545c6e41359a84d856e/ESTIMATING-CORPORATE-RISK-AND-CORPORATE-VALUE-AN-APPLICATION-OF-ALTMANS-Z-SCORE-ON-THE-KSE-30-INDEX-Corresponding-Author.pdf" TargetMode="External"/><Relationship Id="rId33" Type="http://schemas.openxmlformats.org/officeDocument/2006/relationships/hyperlink" Target="https://www.emerald.com/ajeb/article-pdf/8/1/67/9525823/ajeb-03-2022-0033.pdf" TargetMode="External"/><Relationship Id="rId38" Type="http://schemas.openxmlformats.org/officeDocument/2006/relationships/hyperlink" Target="https://www.mdpi.com/1996-1073/17/23/6159" TargetMode="External"/><Relationship Id="rId46" Type="http://schemas.openxmlformats.org/officeDocument/2006/relationships/image" Target="media/image11.png"/><Relationship Id="rId20" Type="http://schemas.openxmlformats.org/officeDocument/2006/relationships/image" Target="media/image7.png"/><Relationship Id="rId41" Type="http://schemas.openxmlformats.org/officeDocument/2006/relationships/hyperlink" Target="https://arxiv.org/pdf/2302.02875"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att.aptisi.or.id/index.php/att/article/download/447/288" TargetMode="External"/><Relationship Id="rId28" Type="http://schemas.openxmlformats.org/officeDocument/2006/relationships/hyperlink" Target="https://link.springer.com/content/pdf/10.1007/s11846-024-00830-5.pdf" TargetMode="External"/><Relationship Id="rId36" Type="http://schemas.openxmlformats.org/officeDocument/2006/relationships/hyperlink" Target="https://www.emerald.com/jed/article-pdf/27/3/264/10079017/jed-08-2024-0281en.pdf" TargetMode="External"/><Relationship Id="rId49" Type="http://schemas.openxmlformats.org/officeDocument/2006/relationships/image" Target="media/image1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nehar\OneDrive\Desktop\PRI-AP847-Shubham%20SF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ehar\OneDrive\Desktop\PRI-AP847-Shubham%20SF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ehar\OneDrive\Desktop\PRI-AP847-Shubham%20SF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ehar\OneDrive\Desktop\PRI-AP847-Shubham%20SF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nehar\OneDrive\Desktop\PRI-AP847-Shubham%20SF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nehar\OneDrive\Desktop\PRI-AP847-Shubham%20SF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nehar\OneDrive\Desktop\PRI-AP847-Shubham%20SFL.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a:t>PROFITABILITY</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'Financial Health Check'!$B$8</c:f>
              <c:strCache>
                <c:ptCount val="1"/>
                <c:pt idx="0">
                  <c:v>i. Gross Profit Ratio</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Check'!$C$8:$G$8</c:f>
              <c:numCache>
                <c:formatCode>0%</c:formatCode>
                <c:ptCount val="5"/>
                <c:pt idx="0">
                  <c:v>0.28674432224897506</c:v>
                </c:pt>
                <c:pt idx="1">
                  <c:v>0.28759212901552855</c:v>
                </c:pt>
                <c:pt idx="2">
                  <c:v>0.28059275800505207</c:v>
                </c:pt>
                <c:pt idx="3">
                  <c:v>0.23203324002216635</c:v>
                </c:pt>
                <c:pt idx="4">
                  <c:v>0.28868083640811487</c:v>
                </c:pt>
              </c:numCache>
            </c:numRef>
          </c:val>
          <c:extLst>
            <c:ext xmlns:c16="http://schemas.microsoft.com/office/drawing/2014/chart" uri="{C3380CC4-5D6E-409C-BE32-E72D297353CC}">
              <c16:uniqueId val="{00000000-3BF7-42AA-B8F4-3BEE5C4B053D}"/>
            </c:ext>
          </c:extLst>
        </c:ser>
        <c:ser>
          <c:idx val="1"/>
          <c:order val="1"/>
          <c:tx>
            <c:strRef>
              <c:f>'Financial Health Check'!$B$9</c:f>
              <c:strCache>
                <c:ptCount val="1"/>
                <c:pt idx="0">
                  <c:v>ii. Net Profit Ratio</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Check'!$C$9:$G$9</c:f>
              <c:numCache>
                <c:formatCode>0%</c:formatCode>
                <c:ptCount val="5"/>
                <c:pt idx="0">
                  <c:v>6.2751350296089026E-2</c:v>
                </c:pt>
                <c:pt idx="1">
                  <c:v>8.8114733661124791E-3</c:v>
                </c:pt>
                <c:pt idx="2">
                  <c:v>7.4988346405626153E-4</c:v>
                </c:pt>
                <c:pt idx="3">
                  <c:v>-0.23364577114901167</c:v>
                </c:pt>
                <c:pt idx="4">
                  <c:v>-6.0851551994408414E-2</c:v>
                </c:pt>
              </c:numCache>
            </c:numRef>
          </c:val>
          <c:extLst>
            <c:ext xmlns:c16="http://schemas.microsoft.com/office/drawing/2014/chart" uri="{C3380CC4-5D6E-409C-BE32-E72D297353CC}">
              <c16:uniqueId val="{00000001-3BF7-42AA-B8F4-3BEE5C4B053D}"/>
            </c:ext>
          </c:extLst>
        </c:ser>
        <c:ser>
          <c:idx val="2"/>
          <c:order val="2"/>
          <c:tx>
            <c:strRef>
              <c:f>'Financial Health Check'!$B$10</c:f>
              <c:strCache>
                <c:ptCount val="1"/>
                <c:pt idx="0">
                  <c:v>iii. Operating Profit Ratio</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Check'!$C$10:$G$10</c:f>
              <c:numCache>
                <c:formatCode>0%</c:formatCode>
                <c:ptCount val="5"/>
                <c:pt idx="0">
                  <c:v>6.0628294397084663E-2</c:v>
                </c:pt>
                <c:pt idx="1">
                  <c:v>3.8651799694814845E-2</c:v>
                </c:pt>
                <c:pt idx="2">
                  <c:v>2.6804188292605634E-2</c:v>
                </c:pt>
                <c:pt idx="3">
                  <c:v>-0.20287686969178775</c:v>
                </c:pt>
                <c:pt idx="4">
                  <c:v>-3.8738448993235905E-2</c:v>
                </c:pt>
              </c:numCache>
            </c:numRef>
          </c:val>
          <c:extLst>
            <c:ext xmlns:c16="http://schemas.microsoft.com/office/drawing/2014/chart" uri="{C3380CC4-5D6E-409C-BE32-E72D297353CC}">
              <c16:uniqueId val="{00000002-3BF7-42AA-B8F4-3BEE5C4B053D}"/>
            </c:ext>
          </c:extLst>
        </c:ser>
        <c:dLbls>
          <c:showLegendKey val="0"/>
          <c:showVal val="1"/>
          <c:showCatName val="0"/>
          <c:showSerName val="0"/>
          <c:showPercent val="0"/>
          <c:showBubbleSize val="0"/>
        </c:dLbls>
        <c:gapWidth val="79"/>
        <c:shape val="box"/>
        <c:axId val="677996335"/>
        <c:axId val="677995855"/>
        <c:axId val="0"/>
      </c:bar3DChart>
      <c:catAx>
        <c:axId val="6779963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77995855"/>
        <c:crosses val="autoZero"/>
        <c:auto val="1"/>
        <c:lblAlgn val="ctr"/>
        <c:lblOffset val="100"/>
        <c:noMultiLvlLbl val="0"/>
      </c:catAx>
      <c:valAx>
        <c:axId val="677995855"/>
        <c:scaling>
          <c:orientation val="minMax"/>
        </c:scaling>
        <c:delete val="1"/>
        <c:axPos val="l"/>
        <c:numFmt formatCode="0%" sourceLinked="1"/>
        <c:majorTickMark val="none"/>
        <c:minorTickMark val="none"/>
        <c:tickLblPos val="nextTo"/>
        <c:crossAx val="67799633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IN"/>
              <a:t>LIQUIDITY</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'Financial Health Check'!$B$4</c:f>
              <c:strCache>
                <c:ptCount val="1"/>
                <c:pt idx="0">
                  <c:v>i. Current Ratio</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Check'!$C$4:$G$4</c:f>
              <c:numCache>
                <c:formatCode>0.00</c:formatCode>
                <c:ptCount val="5"/>
                <c:pt idx="0">
                  <c:v>1.8207509330956493</c:v>
                </c:pt>
                <c:pt idx="1">
                  <c:v>1.5551947303113194</c:v>
                </c:pt>
                <c:pt idx="2">
                  <c:v>1.5615804280441441</c:v>
                </c:pt>
                <c:pt idx="3">
                  <c:v>1.6062935934668752</c:v>
                </c:pt>
                <c:pt idx="4">
                  <c:v>1.5319506478574272</c:v>
                </c:pt>
              </c:numCache>
            </c:numRef>
          </c:val>
          <c:extLst>
            <c:ext xmlns:c16="http://schemas.microsoft.com/office/drawing/2014/chart" uri="{C3380CC4-5D6E-409C-BE32-E72D297353CC}">
              <c16:uniqueId val="{00000000-4B5F-4F8D-9FB2-BF9BBA43A2C2}"/>
            </c:ext>
          </c:extLst>
        </c:ser>
        <c:ser>
          <c:idx val="1"/>
          <c:order val="1"/>
          <c:tx>
            <c:strRef>
              <c:f>'Financial Health Check'!$B$5</c:f>
              <c:strCache>
                <c:ptCount val="1"/>
                <c:pt idx="0">
                  <c:v>ii. Quick Ratio</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Check'!$C$5:$G$5</c:f>
              <c:numCache>
                <c:formatCode>0.00</c:formatCode>
                <c:ptCount val="5"/>
                <c:pt idx="0">
                  <c:v>1.1498690880730877</c:v>
                </c:pt>
                <c:pt idx="1">
                  <c:v>0.93491307135575474</c:v>
                </c:pt>
                <c:pt idx="2">
                  <c:v>0.9140123710578224</c:v>
                </c:pt>
                <c:pt idx="3">
                  <c:v>1.0585176359619728</c:v>
                </c:pt>
                <c:pt idx="4">
                  <c:v>1.0306271360974408</c:v>
                </c:pt>
              </c:numCache>
            </c:numRef>
          </c:val>
          <c:extLst>
            <c:ext xmlns:c16="http://schemas.microsoft.com/office/drawing/2014/chart" uri="{C3380CC4-5D6E-409C-BE32-E72D297353CC}">
              <c16:uniqueId val="{00000001-4B5F-4F8D-9FB2-BF9BBA43A2C2}"/>
            </c:ext>
          </c:extLst>
        </c:ser>
        <c:ser>
          <c:idx val="2"/>
          <c:order val="2"/>
          <c:tx>
            <c:strRef>
              <c:f>'Financial Health Check'!$B$6</c:f>
              <c:strCache>
                <c:ptCount val="1"/>
                <c:pt idx="0">
                  <c:v>iii. Cash Ratio</c:v>
                </c:pt>
              </c:strCache>
            </c:strRef>
          </c:tx>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spPr>
              <a:solidFill>
                <a:schemeClr val="accent3">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Check'!$C$6:$G$6</c:f>
              <c:numCache>
                <c:formatCode>0.00</c:formatCode>
                <c:ptCount val="5"/>
                <c:pt idx="0">
                  <c:v>0.31838337697064228</c:v>
                </c:pt>
                <c:pt idx="1">
                  <c:v>0.28051958835170004</c:v>
                </c:pt>
                <c:pt idx="2">
                  <c:v>0.30830634767384385</c:v>
                </c:pt>
                <c:pt idx="3">
                  <c:v>0.26529029215379651</c:v>
                </c:pt>
                <c:pt idx="4">
                  <c:v>0.16920102848551086</c:v>
                </c:pt>
              </c:numCache>
            </c:numRef>
          </c:val>
          <c:extLst>
            <c:ext xmlns:c16="http://schemas.microsoft.com/office/drawing/2014/chart" uri="{C3380CC4-5D6E-409C-BE32-E72D297353CC}">
              <c16:uniqueId val="{00000002-4B5F-4F8D-9FB2-BF9BBA43A2C2}"/>
            </c:ext>
          </c:extLst>
        </c:ser>
        <c:dLbls>
          <c:showLegendKey val="0"/>
          <c:showVal val="1"/>
          <c:showCatName val="0"/>
          <c:showSerName val="0"/>
          <c:showPercent val="0"/>
          <c:showBubbleSize val="0"/>
        </c:dLbls>
        <c:gapWidth val="84"/>
        <c:gapDepth val="53"/>
        <c:shape val="box"/>
        <c:axId val="678022255"/>
        <c:axId val="678022735"/>
        <c:axId val="0"/>
      </c:bar3DChart>
      <c:catAx>
        <c:axId val="6780222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78022735"/>
        <c:crosses val="autoZero"/>
        <c:auto val="1"/>
        <c:lblAlgn val="ctr"/>
        <c:lblOffset val="100"/>
        <c:noMultiLvlLbl val="0"/>
      </c:catAx>
      <c:valAx>
        <c:axId val="678022735"/>
        <c:scaling>
          <c:orientation val="minMax"/>
        </c:scaling>
        <c:delete val="1"/>
        <c:axPos val="l"/>
        <c:numFmt formatCode="0.00" sourceLinked="1"/>
        <c:majorTickMark val="out"/>
        <c:minorTickMark val="none"/>
        <c:tickLblPos val="nextTo"/>
        <c:crossAx val="67802225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IN"/>
              <a:t>EFFICIENCY</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'Financial Health Check'!$B$12</c:f>
              <c:strCache>
                <c:ptCount val="1"/>
                <c:pt idx="0">
                  <c:v>i. Stock Turnover Ratio</c:v>
                </c:pt>
              </c:strCache>
            </c:strRef>
          </c:tx>
          <c:spPr>
            <a:solidFill>
              <a:schemeClr val="accent1"/>
            </a:solidFill>
            <a:ln>
              <a:noFill/>
            </a:ln>
            <a:effectLst/>
            <a:sp3d/>
          </c:spPr>
          <c:invertIfNegative val="0"/>
          <c:cat>
            <c:numRef>
              <c:f>'Financial Health Check'!$C$2:$G$2</c:f>
              <c:numCache>
                <c:formatCode>General</c:formatCode>
                <c:ptCount val="5"/>
                <c:pt idx="0">
                  <c:v>2020</c:v>
                </c:pt>
                <c:pt idx="1">
                  <c:v>2021</c:v>
                </c:pt>
                <c:pt idx="2">
                  <c:v>2022</c:v>
                </c:pt>
                <c:pt idx="3">
                  <c:v>2023</c:v>
                </c:pt>
                <c:pt idx="4">
                  <c:v>2024</c:v>
                </c:pt>
              </c:numCache>
            </c:numRef>
          </c:cat>
          <c:val>
            <c:numRef>
              <c:f>'Financial Health Check'!$C$12:$G$12</c:f>
              <c:numCache>
                <c:formatCode>0.00</c:formatCode>
                <c:ptCount val="5"/>
                <c:pt idx="0">
                  <c:v>3.6404882504359377</c:v>
                </c:pt>
                <c:pt idx="1">
                  <c:v>3.1872476184101912</c:v>
                </c:pt>
                <c:pt idx="2">
                  <c:v>2.7853917435315769</c:v>
                </c:pt>
                <c:pt idx="3">
                  <c:v>3.6579361752744326</c:v>
                </c:pt>
                <c:pt idx="4">
                  <c:v>3.5396005292672168</c:v>
                </c:pt>
              </c:numCache>
            </c:numRef>
          </c:val>
          <c:extLst>
            <c:ext xmlns:c16="http://schemas.microsoft.com/office/drawing/2014/chart" uri="{C3380CC4-5D6E-409C-BE32-E72D297353CC}">
              <c16:uniqueId val="{00000000-42F1-4B22-9878-56D043DBD247}"/>
            </c:ext>
          </c:extLst>
        </c:ser>
        <c:ser>
          <c:idx val="1"/>
          <c:order val="1"/>
          <c:tx>
            <c:strRef>
              <c:f>'Financial Health Check'!$B$13</c:f>
              <c:strCache>
                <c:ptCount val="1"/>
                <c:pt idx="0">
                  <c:v>ii. Asset Turnover Ratio</c:v>
                </c:pt>
              </c:strCache>
            </c:strRef>
          </c:tx>
          <c:spPr>
            <a:solidFill>
              <a:schemeClr val="accent2"/>
            </a:solidFill>
            <a:ln>
              <a:noFill/>
            </a:ln>
            <a:effectLst/>
            <a:sp3d/>
          </c:spPr>
          <c:invertIfNegative val="0"/>
          <c:cat>
            <c:numRef>
              <c:f>'Financial Health Check'!$C$2:$G$2</c:f>
              <c:numCache>
                <c:formatCode>General</c:formatCode>
                <c:ptCount val="5"/>
                <c:pt idx="0">
                  <c:v>2020</c:v>
                </c:pt>
                <c:pt idx="1">
                  <c:v>2021</c:v>
                </c:pt>
                <c:pt idx="2">
                  <c:v>2022</c:v>
                </c:pt>
                <c:pt idx="3">
                  <c:v>2023</c:v>
                </c:pt>
                <c:pt idx="4">
                  <c:v>2024</c:v>
                </c:pt>
              </c:numCache>
            </c:numRef>
          </c:cat>
          <c:val>
            <c:numRef>
              <c:f>'Financial Health Check'!$C$13:$G$13</c:f>
              <c:numCache>
                <c:formatCode>0.00</c:formatCode>
                <c:ptCount val="5"/>
                <c:pt idx="0">
                  <c:v>1.2045699504203493</c:v>
                </c:pt>
                <c:pt idx="1">
                  <c:v>1.1788074020080415</c:v>
                </c:pt>
                <c:pt idx="2">
                  <c:v>1.0765387384635525</c:v>
                </c:pt>
                <c:pt idx="3">
                  <c:v>1.1814837919251866</c:v>
                </c:pt>
                <c:pt idx="4">
                  <c:v>1.2211972018283368</c:v>
                </c:pt>
              </c:numCache>
            </c:numRef>
          </c:val>
          <c:extLst>
            <c:ext xmlns:c16="http://schemas.microsoft.com/office/drawing/2014/chart" uri="{C3380CC4-5D6E-409C-BE32-E72D297353CC}">
              <c16:uniqueId val="{00000001-42F1-4B22-9878-56D043DBD247}"/>
            </c:ext>
          </c:extLst>
        </c:ser>
        <c:dLbls>
          <c:showLegendKey val="0"/>
          <c:showVal val="0"/>
          <c:showCatName val="0"/>
          <c:showSerName val="0"/>
          <c:showPercent val="0"/>
          <c:showBubbleSize val="0"/>
        </c:dLbls>
        <c:gapWidth val="150"/>
        <c:shape val="box"/>
        <c:axId val="870957375"/>
        <c:axId val="870960735"/>
        <c:axId val="0"/>
      </c:bar3DChart>
      <c:catAx>
        <c:axId val="87095737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870960735"/>
        <c:crosses val="autoZero"/>
        <c:auto val="1"/>
        <c:lblAlgn val="ctr"/>
        <c:lblOffset val="100"/>
        <c:noMultiLvlLbl val="0"/>
      </c:catAx>
      <c:valAx>
        <c:axId val="87096073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957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GEARING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'Financial Health Check'!$B$20</c:f>
              <c:strCache>
                <c:ptCount val="1"/>
                <c:pt idx="0">
                  <c:v>i. D/E Ratio</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numRef>
              <c:f>'Financial Health Check'!$C$2:$G$2</c:f>
              <c:numCache>
                <c:formatCode>General</c:formatCode>
                <c:ptCount val="5"/>
                <c:pt idx="0">
                  <c:v>2020</c:v>
                </c:pt>
                <c:pt idx="1">
                  <c:v>2021</c:v>
                </c:pt>
                <c:pt idx="2">
                  <c:v>2022</c:v>
                </c:pt>
                <c:pt idx="3">
                  <c:v>2023</c:v>
                </c:pt>
                <c:pt idx="4">
                  <c:v>2024</c:v>
                </c:pt>
              </c:numCache>
            </c:numRef>
          </c:cat>
          <c:val>
            <c:numRef>
              <c:f>'Financial Health Check'!$C$20:$G$20</c:f>
              <c:numCache>
                <c:formatCode>0.00</c:formatCode>
                <c:ptCount val="5"/>
                <c:pt idx="0">
                  <c:v>0.62875317984941004</c:v>
                </c:pt>
                <c:pt idx="1">
                  <c:v>0.84942869878129657</c:v>
                </c:pt>
                <c:pt idx="2">
                  <c:v>0.87835964918817011</c:v>
                </c:pt>
                <c:pt idx="3">
                  <c:v>0.98900067069081155</c:v>
                </c:pt>
                <c:pt idx="4">
                  <c:v>1.1119754416903431</c:v>
                </c:pt>
              </c:numCache>
            </c:numRef>
          </c:val>
          <c:extLst>
            <c:ext xmlns:c16="http://schemas.microsoft.com/office/drawing/2014/chart" uri="{C3380CC4-5D6E-409C-BE32-E72D297353CC}">
              <c16:uniqueId val="{00000000-D4A9-4848-B05B-CDB02E1B1BF8}"/>
            </c:ext>
          </c:extLst>
        </c:ser>
        <c:ser>
          <c:idx val="1"/>
          <c:order val="1"/>
          <c:tx>
            <c:strRef>
              <c:f>'Financial Health Check'!$B$21</c:f>
              <c:strCache>
                <c:ptCount val="1"/>
                <c:pt idx="0">
                  <c:v>ii. Interest Coverage Ratio</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numRef>
              <c:f>'Financial Health Check'!$C$2:$G$2</c:f>
              <c:numCache>
                <c:formatCode>General</c:formatCode>
                <c:ptCount val="5"/>
                <c:pt idx="0">
                  <c:v>2020</c:v>
                </c:pt>
                <c:pt idx="1">
                  <c:v>2021</c:v>
                </c:pt>
                <c:pt idx="2">
                  <c:v>2022</c:v>
                </c:pt>
                <c:pt idx="3">
                  <c:v>2023</c:v>
                </c:pt>
                <c:pt idx="4">
                  <c:v>2024</c:v>
                </c:pt>
              </c:numCache>
            </c:numRef>
          </c:cat>
          <c:val>
            <c:numRef>
              <c:f>'Financial Health Check'!$C$21:$G$21</c:f>
              <c:numCache>
                <c:formatCode>0.00</c:formatCode>
                <c:ptCount val="5"/>
                <c:pt idx="0">
                  <c:v>-26.20745428973277</c:v>
                </c:pt>
                <c:pt idx="1">
                  <c:v>-41.083038869257948</c:v>
                </c:pt>
                <c:pt idx="2">
                  <c:v>-6.6127272727272723</c:v>
                </c:pt>
                <c:pt idx="3">
                  <c:v>19.690904893813482</c:v>
                </c:pt>
                <c:pt idx="4">
                  <c:v>4.5513240107110979</c:v>
                </c:pt>
              </c:numCache>
            </c:numRef>
          </c:val>
          <c:extLst>
            <c:ext xmlns:c16="http://schemas.microsoft.com/office/drawing/2014/chart" uri="{C3380CC4-5D6E-409C-BE32-E72D297353CC}">
              <c16:uniqueId val="{00000001-D4A9-4848-B05B-CDB02E1B1BF8}"/>
            </c:ext>
          </c:extLst>
        </c:ser>
        <c:dLbls>
          <c:showLegendKey val="0"/>
          <c:showVal val="0"/>
          <c:showCatName val="0"/>
          <c:showSerName val="0"/>
          <c:showPercent val="0"/>
          <c:showBubbleSize val="0"/>
        </c:dLbls>
        <c:gapWidth val="65"/>
        <c:shape val="box"/>
        <c:axId val="870996255"/>
        <c:axId val="870998175"/>
        <c:axId val="0"/>
      </c:bar3DChart>
      <c:catAx>
        <c:axId val="87099625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70998175"/>
        <c:crosses val="autoZero"/>
        <c:auto val="1"/>
        <c:lblAlgn val="ctr"/>
        <c:lblOffset val="100"/>
        <c:noMultiLvlLbl val="0"/>
      </c:catAx>
      <c:valAx>
        <c:axId val="870998175"/>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870996255"/>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investment</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'Financial Health Check'!$B$18</c:f>
              <c:strCache>
                <c:ptCount val="1"/>
                <c:pt idx="0">
                  <c:v>i. EPS</c:v>
                </c:pt>
              </c:strCache>
            </c:strRef>
          </c:tx>
          <c:spPr>
            <a:gradFill>
              <a:gsLst>
                <a:gs pos="100000">
                  <a:schemeClr val="accent1">
                    <a:alpha val="0"/>
                  </a:schemeClr>
                </a:gs>
                <a:gs pos="50000">
                  <a:schemeClr val="accent1"/>
                </a:gs>
              </a:gsLst>
              <a:lin ang="5400000" scaled="0"/>
            </a:gradFill>
            <a:ln>
              <a:noFill/>
            </a:ln>
            <a:effectLst/>
            <a:sp3d/>
          </c:spPr>
          <c:invertIfNegative val="0"/>
          <c:cat>
            <c:numRef>
              <c:f>'Financial Health Check'!$C$2:$G$2</c:f>
              <c:numCache>
                <c:formatCode>General</c:formatCode>
                <c:ptCount val="5"/>
                <c:pt idx="0">
                  <c:v>2020</c:v>
                </c:pt>
                <c:pt idx="1">
                  <c:v>2021</c:v>
                </c:pt>
                <c:pt idx="2">
                  <c:v>2022</c:v>
                </c:pt>
                <c:pt idx="3">
                  <c:v>2023</c:v>
                </c:pt>
                <c:pt idx="4">
                  <c:v>2024</c:v>
                </c:pt>
              </c:numCache>
            </c:numRef>
          </c:cat>
          <c:val>
            <c:numRef>
              <c:f>'Financial Health Check'!$C$18:$G$18</c:f>
              <c:numCache>
                <c:formatCode>General</c:formatCode>
                <c:ptCount val="5"/>
                <c:pt idx="0">
                  <c:v>2.78</c:v>
                </c:pt>
                <c:pt idx="1">
                  <c:v>0.39</c:v>
                </c:pt>
                <c:pt idx="2">
                  <c:v>0.03</c:v>
                </c:pt>
                <c:pt idx="3">
                  <c:v>-7.64</c:v>
                </c:pt>
                <c:pt idx="4">
                  <c:v>-1.85</c:v>
                </c:pt>
              </c:numCache>
            </c:numRef>
          </c:val>
          <c:extLst>
            <c:ext xmlns:c16="http://schemas.microsoft.com/office/drawing/2014/chart" uri="{C3380CC4-5D6E-409C-BE32-E72D297353CC}">
              <c16:uniqueId val="{00000000-36BE-4836-8E4F-5433FBE5D819}"/>
            </c:ext>
          </c:extLst>
        </c:ser>
        <c:dLbls>
          <c:showLegendKey val="0"/>
          <c:showVal val="0"/>
          <c:showCatName val="0"/>
          <c:showSerName val="0"/>
          <c:showPercent val="0"/>
          <c:showBubbleSize val="0"/>
        </c:dLbls>
        <c:gapWidth val="150"/>
        <c:gapDepth val="0"/>
        <c:shape val="box"/>
        <c:axId val="677981935"/>
        <c:axId val="677971375"/>
        <c:axId val="0"/>
      </c:bar3DChart>
      <c:catAx>
        <c:axId val="6779819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971375"/>
        <c:crosses val="autoZero"/>
        <c:auto val="1"/>
        <c:lblAlgn val="ctr"/>
        <c:lblOffset val="100"/>
        <c:noMultiLvlLbl val="0"/>
      </c:catAx>
      <c:valAx>
        <c:axId val="677971375"/>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9819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IN" b="1"/>
              <a:t>CASH</a:t>
            </a:r>
            <a:r>
              <a:rPr lang="en-IN" b="1" baseline="0"/>
              <a:t> FLOW</a:t>
            </a:r>
            <a:endParaRPr lang="en-IN" b="1"/>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IN"/>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'Financial Health Check'!$B$15</c:f>
              <c:strCache>
                <c:ptCount val="1"/>
                <c:pt idx="0">
                  <c:v>i. Operating Cash Flow Ratio</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Check'!$C$15:$G$15</c:f>
              <c:numCache>
                <c:formatCode>0.00</c:formatCode>
                <c:ptCount val="5"/>
                <c:pt idx="0">
                  <c:v>0.40884630382708487</c:v>
                </c:pt>
                <c:pt idx="1">
                  <c:v>0.18581833781545942</c:v>
                </c:pt>
                <c:pt idx="2">
                  <c:v>5.0472807232310728E-2</c:v>
                </c:pt>
                <c:pt idx="3">
                  <c:v>0.15631593317943754</c:v>
                </c:pt>
                <c:pt idx="4">
                  <c:v>9.3637667334213567E-2</c:v>
                </c:pt>
              </c:numCache>
            </c:numRef>
          </c:val>
          <c:extLst>
            <c:ext xmlns:c16="http://schemas.microsoft.com/office/drawing/2014/chart" uri="{C3380CC4-5D6E-409C-BE32-E72D297353CC}">
              <c16:uniqueId val="{00000000-05C8-46F2-905A-B5C8F1715B66}"/>
            </c:ext>
          </c:extLst>
        </c:ser>
        <c:ser>
          <c:idx val="1"/>
          <c:order val="1"/>
          <c:tx>
            <c:strRef>
              <c:f>'Financial Health Check'!$B$16</c:f>
              <c:strCache>
                <c:ptCount val="1"/>
                <c:pt idx="0">
                  <c:v>ii. Cash Flow Margin Ratio</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'Financial Health Check'!$C$2:$G$2</c:f>
              <c:numCache>
                <c:formatCode>General</c:formatCode>
                <c:ptCount val="5"/>
                <c:pt idx="0">
                  <c:v>2020</c:v>
                </c:pt>
                <c:pt idx="1">
                  <c:v>2021</c:v>
                </c:pt>
                <c:pt idx="2">
                  <c:v>2022</c:v>
                </c:pt>
                <c:pt idx="3">
                  <c:v>2023</c:v>
                </c:pt>
                <c:pt idx="4">
                  <c:v>2024</c:v>
                </c:pt>
              </c:numCache>
            </c:numRef>
          </c:cat>
          <c:val>
            <c:numRef>
              <c:f>'Financial Health Check'!$C$16:$G$16</c:f>
              <c:numCache>
                <c:formatCode>0.00</c:formatCode>
                <c:ptCount val="5"/>
                <c:pt idx="0">
                  <c:v>0.11939871152469578</c:v>
                </c:pt>
                <c:pt idx="1">
                  <c:v>6.6959551331278816E-2</c:v>
                </c:pt>
                <c:pt idx="2">
                  <c:v>2.0130778202159E-2</c:v>
                </c:pt>
                <c:pt idx="3">
                  <c:v>5.9911001600639308E-2</c:v>
                </c:pt>
                <c:pt idx="4">
                  <c:v>3.7535548864335661E-2</c:v>
                </c:pt>
              </c:numCache>
            </c:numRef>
          </c:val>
          <c:extLst>
            <c:ext xmlns:c16="http://schemas.microsoft.com/office/drawing/2014/chart" uri="{C3380CC4-5D6E-409C-BE32-E72D297353CC}">
              <c16:uniqueId val="{00000001-05C8-46F2-905A-B5C8F1715B66}"/>
            </c:ext>
          </c:extLst>
        </c:ser>
        <c:dLbls>
          <c:showLegendKey val="0"/>
          <c:showVal val="1"/>
          <c:showCatName val="0"/>
          <c:showSerName val="0"/>
          <c:showPercent val="0"/>
          <c:showBubbleSize val="0"/>
        </c:dLbls>
        <c:gapWidth val="84"/>
        <c:gapDepth val="53"/>
        <c:shape val="box"/>
        <c:axId val="870966495"/>
        <c:axId val="870967455"/>
        <c:axId val="0"/>
      </c:bar3DChart>
      <c:catAx>
        <c:axId val="8709664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70967455"/>
        <c:crosses val="autoZero"/>
        <c:auto val="1"/>
        <c:lblAlgn val="ctr"/>
        <c:lblOffset val="100"/>
        <c:noMultiLvlLbl val="0"/>
      </c:catAx>
      <c:valAx>
        <c:axId val="870967455"/>
        <c:scaling>
          <c:orientation val="minMax"/>
        </c:scaling>
        <c:delete val="1"/>
        <c:axPos val="l"/>
        <c:numFmt formatCode="0.00" sourceLinked="1"/>
        <c:majorTickMark val="out"/>
        <c:minorTickMark val="none"/>
        <c:tickLblPos val="nextTo"/>
        <c:crossAx val="87096649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US"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'[PRI-AP847-Shubham SFL.xlsx]cash operating cycle'!$B$7</c:f>
              <c:strCache>
                <c:ptCount val="1"/>
                <c:pt idx="0">
                  <c:v>Cash Operating Cycle</c:v>
                </c:pt>
              </c:strCache>
            </c:strRef>
          </c:tx>
          <c:spPr>
            <a:gradFill>
              <a:gsLst>
                <a:gs pos="100000">
                  <a:schemeClr val="accent1">
                    <a:alpha val="0"/>
                  </a:schemeClr>
                </a:gs>
                <a:gs pos="50000">
                  <a:schemeClr val="accent1"/>
                </a:gs>
              </a:gsLst>
              <a:lin ang="5400000" scaled="0"/>
            </a:gradFill>
            <a:ln>
              <a:noFill/>
            </a:ln>
            <a:effectLst/>
            <a:sp3d/>
          </c:spPr>
          <c:invertIfNegative val="0"/>
          <c:cat>
            <c:numRef>
              <c:f>'[PRI-AP847-Shubham SFL.xlsx]cash operating cycle'!$C$3:$G$3</c:f>
              <c:numCache>
                <c:formatCode>General</c:formatCode>
                <c:ptCount val="5"/>
                <c:pt idx="0">
                  <c:v>2020</c:v>
                </c:pt>
                <c:pt idx="1">
                  <c:v>2021</c:v>
                </c:pt>
                <c:pt idx="2">
                  <c:v>2022</c:v>
                </c:pt>
                <c:pt idx="3">
                  <c:v>2023</c:v>
                </c:pt>
                <c:pt idx="4">
                  <c:v>2024</c:v>
                </c:pt>
              </c:numCache>
            </c:numRef>
          </c:cat>
          <c:val>
            <c:numRef>
              <c:f>'[PRI-AP847-Shubham SFL.xlsx]cash operating cycle'!$C$7:$G$7</c:f>
              <c:numCache>
                <c:formatCode>0.00</c:formatCode>
                <c:ptCount val="5"/>
                <c:pt idx="0">
                  <c:v>107.82880289513599</c:v>
                </c:pt>
                <c:pt idx="1">
                  <c:v>113.96256716966801</c:v>
                </c:pt>
                <c:pt idx="2">
                  <c:v>139.87420444488399</c:v>
                </c:pt>
                <c:pt idx="3">
                  <c:v>133.05835804253201</c:v>
                </c:pt>
                <c:pt idx="4">
                  <c:v>115.059555793637</c:v>
                </c:pt>
              </c:numCache>
            </c:numRef>
          </c:val>
          <c:extLst>
            <c:ext xmlns:c16="http://schemas.microsoft.com/office/drawing/2014/chart" uri="{C3380CC4-5D6E-409C-BE32-E72D297353CC}">
              <c16:uniqueId val="{00000000-5027-44CF-AE63-B1FDAB3615FD}"/>
            </c:ext>
          </c:extLst>
        </c:ser>
        <c:dLbls>
          <c:showLegendKey val="0"/>
          <c:showVal val="0"/>
          <c:showCatName val="0"/>
          <c:showSerName val="0"/>
          <c:showPercent val="0"/>
          <c:showBubbleSize val="0"/>
        </c:dLbls>
        <c:gapWidth val="150"/>
        <c:shape val="box"/>
        <c:axId val="678016975"/>
        <c:axId val="678020815"/>
        <c:axId val="0"/>
      </c:bar3DChart>
      <c:catAx>
        <c:axId val="67801697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78020815"/>
        <c:crosses val="autoZero"/>
        <c:auto val="1"/>
        <c:lblAlgn val="ctr"/>
        <c:lblOffset val="100"/>
        <c:noMultiLvlLbl val="0"/>
      </c:catAx>
      <c:valAx>
        <c:axId val="678020815"/>
        <c:scaling>
          <c:orientation val="minMax"/>
        </c:scaling>
        <c:delete val="0"/>
        <c:axPos val="l"/>
        <c:majorGridlines>
          <c:spPr>
            <a:ln w="9525" cap="flat" cmpd="sng" algn="ctr">
              <a:solidFill>
                <a:schemeClr val="tx1">
                  <a:lumMod val="5000"/>
                  <a:lumOff val="9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78016975"/>
        <c:crosses val="autoZero"/>
        <c:crossBetween val="between"/>
      </c:valAx>
      <c:spPr>
        <a:noFill/>
        <a:ln>
          <a:noFill/>
        </a:ln>
        <a:effectLst/>
      </c:spPr>
    </c:plotArea>
    <c:plotVisOnly val="1"/>
    <c:dispBlanksAs val="gap"/>
    <c:showDLblsOverMax val="0"/>
    <c:extLst>
      <c:ext uri="{0b15fc19-7d7d-44ad-8c2d-2c3a37ce22c3}">
        <chartProps xmlns="https://web.wps.cn/et/2018/main" chartId="{d7658add-9008-4477-a9ad-a4261388e813}"/>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7.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9D2BD-BFCD-42B0-B434-59928C4F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7274</Words>
  <Characters>41468</Characters>
  <Application>Microsoft Office Word</Application>
  <DocSecurity>0</DocSecurity>
  <Lines>345</Lines>
  <Paragraphs>97</Paragraphs>
  <ScaleCrop>false</ScaleCrop>
  <Company/>
  <LinksUpToDate>false</LinksUpToDate>
  <CharactersWithSpaces>48645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Yadav Shubham</cp:lastModifiedBy>
  <cp:revision>2</cp:revision>
  <dcterms:created xsi:type="dcterms:W3CDTF">2025-12-22T11:25:00Z</dcterms:created>
  <dcterms:modified xsi:type="dcterms:W3CDTF">2025-12-22T11:25:00Z</dcterms:modified>
</cp:coreProperties>
</file>