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pPr>
      <w:r>
        <mc:AlternateContent>
          <mc:Choice Requires="wpg">
            <w:drawing>
              <wp:inline distT="0" distB="0" distL="0" distR="0">
                <wp:extent cx="3480720" cy="1937605"/>
                <wp:effectExtent l="0" t="0" r="0" b="0"/>
                <wp:docPr id="1073741827" name="officeArt object"/>
                <wp:cNvGraphicFramePr/>
                <a:graphic xmlns:a="http://schemas.openxmlformats.org/drawingml/2006/main">
                  <a:graphicData uri="http://schemas.microsoft.com/office/word/2010/wordprocessingGroup">
                    <wpg:wgp>
                      <wpg:cNvGrpSpPr/>
                      <wpg:grpSpPr>
                        <a:xfrm>
                          <a:off x="0" y="0"/>
                          <a:ext cx="3480720" cy="1937605"/>
                          <a:chOff x="0" y="0"/>
                          <a:chExt cx="3480719" cy="1937604"/>
                        </a:xfrm>
                      </wpg:grpSpPr>
                      <pic:pic xmlns:pic="http://schemas.openxmlformats.org/drawingml/2006/picture">
                        <pic:nvPicPr>
                          <pic:cNvPr id="1073741826" name="image1.png"/>
                          <pic:cNvPicPr>
                            <a:picLocks noChangeAspect="1"/>
                          </pic:cNvPicPr>
                        </pic:nvPicPr>
                        <pic:blipFill>
                          <a:blip r:embed="rId4">
                            <a:extLst/>
                          </a:blip>
                          <a:stretch>
                            <a:fillRect/>
                          </a:stretch>
                        </pic:blipFill>
                        <pic:spPr>
                          <a:xfrm>
                            <a:off x="139700" y="88900"/>
                            <a:ext cx="3201320" cy="1556605"/>
                          </a:xfrm>
                          <a:prstGeom prst="rect">
                            <a:avLst/>
                          </a:prstGeom>
                          <a:ln>
                            <a:noFill/>
                          </a:ln>
                          <a:effectLst/>
                        </pic:spPr>
                      </pic:pic>
                      <pic:pic xmlns:pic="http://schemas.openxmlformats.org/drawingml/2006/picture">
                        <pic:nvPicPr>
                          <pic:cNvPr id="1073741825" name=""/>
                          <pic:cNvPicPr>
                            <a:picLocks noChangeAspect="0"/>
                          </pic:cNvPicPr>
                        </pic:nvPicPr>
                        <pic:blipFill>
                          <a:blip r:embed="rId5">
                            <a:extLst/>
                          </a:blip>
                          <a:stretch>
                            <a:fillRect/>
                          </a:stretch>
                        </pic:blipFill>
                        <pic:spPr>
                          <a:xfrm>
                            <a:off x="0" y="0"/>
                            <a:ext cx="3480720" cy="1937605"/>
                          </a:xfrm>
                          <a:prstGeom prst="rect">
                            <a:avLst/>
                          </a:prstGeom>
                          <a:effectLst/>
                        </pic:spPr>
                      </pic:pic>
                    </wpg:wgp>
                  </a:graphicData>
                </a:graphic>
              </wp:inline>
            </w:drawing>
          </mc:Choice>
          <mc:Fallback>
            <w:pict>
              <v:group id="_x0000_s1026" style="visibility:visible;width:274.1pt;height:152.6pt;" coordorigin="0,0" coordsize="3480720,1937605">
                <v:shape id="_x0000_s1027" type="#_x0000_t75" style="position:absolute;left:139700;top:88900;width:3201320;height:1556605;">
                  <v:imagedata r:id="rId4" o:title="image1.png"/>
                </v:shape>
                <v:shape id="_x0000_s1028" type="#_x0000_t75" style="position:absolute;left:0;top:0;width:3480720;height:1937605;">
                  <v:imagedata r:id="rId5" o:title=""/>
                </v:shape>
              </v:group>
            </w:pict>
          </mc:Fallback>
        </mc:AlternateContent>
      </w:r>
    </w:p>
    <w:p>
      <w:pPr>
        <w:pStyle w:val="Body"/>
        <w:bidi w:val="0"/>
      </w:pPr>
    </w:p>
    <w:p>
      <w:pPr>
        <w:pStyle w:val="Body"/>
        <w:bidi w:val="0"/>
      </w:pPr>
    </w:p>
    <w:p>
      <w:pPr>
        <w:pStyle w:val="Body"/>
        <w:bidi w:val="0"/>
      </w:pPr>
    </w:p>
    <w:p>
      <w:pPr>
        <w:pStyle w:val="Body"/>
        <w:rPr>
          <w:b w:val="1"/>
          <w:bCs w:val="1"/>
          <w:sz w:val="34"/>
          <w:szCs w:val="34"/>
        </w:rPr>
      </w:pPr>
      <w:r>
        <w:rPr>
          <w:b w:val="1"/>
          <w:bCs w:val="1"/>
          <w:sz w:val="34"/>
          <w:szCs w:val="34"/>
          <w:rtl w:val="0"/>
          <w:lang w:val="en-US"/>
        </w:rPr>
        <w:t>LCBB4002 COMMUNITY ENGAGEMENT ASSESSMENT 1</w:t>
      </w:r>
    </w:p>
    <w:p>
      <w:pPr>
        <w:pStyle w:val="Body"/>
        <w:bidi w:val="0"/>
        <w:spacing w:after="160" w:line="259" w:lineRule="auto"/>
        <w:ind w:left="0" w:right="0" w:firstLine="0"/>
        <w:jc w:val="left"/>
        <w:rPr>
          <w:i w:val="1"/>
          <w:iCs w:val="1"/>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i w:val="1"/>
          <w:iCs w:val="1"/>
          <w:outline w:val="0"/>
          <w:color w:val="1d2228"/>
          <w:sz w:val="26"/>
          <w:szCs w:val="26"/>
          <w:u w:color="1d2228"/>
          <w:shd w:val="clear" w:color="auto" w:fill="ffffff"/>
          <w:rtl w:val="0"/>
          <w14:textFill>
            <w14:solidFill>
              <w14:srgbClr w14:val="1D2228"/>
            </w14:solidFill>
          </w14:textFill>
        </w:rPr>
      </w:pPr>
      <w:r>
        <w:rPr>
          <w:rFonts w:ascii="Helvetica Neue" w:hAnsi="Helvetica Neue"/>
          <w:i w:val="1"/>
          <w:iCs w:val="1"/>
          <w:outline w:val="0"/>
          <w:color w:val="1d2228"/>
          <w:sz w:val="26"/>
          <w:szCs w:val="26"/>
          <w:u w:color="1d2228"/>
          <w:shd w:val="clear" w:color="auto" w:fill="ffffff"/>
          <w:rtl w:val="0"/>
          <w:lang w:val="en-US"/>
          <w14:textFill>
            <w14:solidFill>
              <w14:srgbClr w14:val="1D2228"/>
            </w14:solidFill>
          </w14:textFill>
        </w:rPr>
        <w:t xml:space="preserve">Student name: Brindusa-Mihaela Ciobanu   </w:t>
      </w:r>
    </w:p>
    <w:p>
      <w:pPr>
        <w:pStyle w:val="Body"/>
        <w:bidi w:val="0"/>
        <w:spacing w:after="160" w:line="259" w:lineRule="auto"/>
        <w:ind w:left="0" w:right="0" w:firstLine="0"/>
        <w:jc w:val="left"/>
        <w:rPr>
          <w:rFonts w:ascii="Helvetica Neue" w:cs="Helvetica Neue" w:hAnsi="Helvetica Neue" w:eastAsia="Helvetica Neue"/>
          <w:i w:val="1"/>
          <w:iCs w:val="1"/>
          <w:outline w:val="0"/>
          <w:color w:val="1d2228"/>
          <w:sz w:val="26"/>
          <w:szCs w:val="26"/>
          <w:u w:color="1d2228"/>
          <w:shd w:val="clear" w:color="auto" w:fill="ffffff"/>
          <w:rtl w:val="0"/>
          <w14:textFill>
            <w14:solidFill>
              <w14:srgbClr w14:val="1D2228"/>
            </w14:solidFill>
          </w14:textFill>
        </w:rPr>
      </w:pPr>
      <w:r>
        <w:rPr>
          <w:rFonts w:ascii="Helvetica Neue" w:hAnsi="Helvetica Neue"/>
          <w:i w:val="1"/>
          <w:iCs w:val="1"/>
          <w:outline w:val="0"/>
          <w:color w:val="1d2228"/>
          <w:sz w:val="26"/>
          <w:szCs w:val="26"/>
          <w:u w:color="1d2228"/>
          <w:shd w:val="clear" w:color="auto" w:fill="ffffff"/>
          <w:rtl w:val="0"/>
          <w:lang w:val="en-US"/>
          <w14:textFill>
            <w14:solidFill>
              <w14:srgbClr w14:val="1D2228"/>
            </w14:solidFill>
          </w14:textFill>
        </w:rPr>
        <w:t>Student ID: 2247469</w:t>
      </w:r>
    </w:p>
    <w:p>
      <w:pPr>
        <w:pStyle w:val="Body"/>
        <w:bidi w:val="0"/>
        <w:spacing w:after="160" w:line="259" w:lineRule="auto"/>
        <w:ind w:left="0" w:right="0" w:firstLine="0"/>
        <w:jc w:val="left"/>
        <w:rPr>
          <w:rFonts w:ascii="Helvetica Neue" w:cs="Helvetica Neue" w:hAnsi="Helvetica Neue" w:eastAsia="Helvetica Neue"/>
          <w:i w:val="1"/>
          <w:iCs w:val="1"/>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30"/>
          <w:szCs w:val="30"/>
          <w:u w:color="1d2228"/>
          <w:shd w:val="clear" w:color="auto" w:fill="ffffff"/>
          <w:rtl w:val="0"/>
          <w:lang w:val="en-US"/>
          <w14:textFill>
            <w14:solidFill>
              <w14:srgbClr w14:val="1D2228"/>
            </w14:solidFill>
          </w14:textFill>
        </w:rPr>
        <w:t>Project Title: Empowering Teenagers for Positive Change in</w:t>
      </w:r>
      <w:r>
        <w:rPr>
          <w:rFonts w:ascii="Helvetica Neue" w:hAnsi="Helvetica Neue"/>
          <w:b w:val="1"/>
          <w:bCs w:val="1"/>
          <w:outline w:val="0"/>
          <w:color w:val="1d2228"/>
          <w:sz w:val="30"/>
          <w:szCs w:val="30"/>
          <w:u w:color="1d2228"/>
          <w:shd w:val="clear" w:color="auto" w:fill="ffffff"/>
          <w:rtl w:val="0"/>
          <w:lang w:val="en-US"/>
          <w14:textFill>
            <w14:solidFill>
              <w14:srgbClr w14:val="1D2228"/>
            </w14:solidFill>
          </w14:textFill>
        </w:rPr>
        <w:t xml:space="preserve"> Kettering, a High </w:t>
      </w:r>
      <w:r>
        <w:rPr>
          <w:rFonts w:ascii="Helvetica Neue" w:hAnsi="Helvetica Neue"/>
          <w:b w:val="1"/>
          <w:bCs w:val="1"/>
          <w:outline w:val="0"/>
          <w:color w:val="1d2228"/>
          <w:sz w:val="30"/>
          <w:szCs w:val="30"/>
          <w:u w:color="1d2228"/>
          <w:shd w:val="clear" w:color="auto" w:fill="ffffff"/>
          <w:rtl w:val="0"/>
          <w14:textFill>
            <w14:solidFill>
              <w14:srgbClr w14:val="1D2228"/>
            </w14:solidFill>
          </w14:textFill>
        </w:rPr>
        <w:t>Crime Area</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Project Objective</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The objective of this project is to empower teenagers in a high crime area to make positive choices, resist involvement in crime, and contribute to creating a safer and more supportive community.</w:t>
      </w: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About Community Engagement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Community engagement is the active participation and collaboration of community members in shaping the future of their community. It involves individuals,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ations, and institutions in decision-making processes and initiatives that directly impact their lives. Through this inclusive approach, community engagement fosters a sense of ownership, belonging, and collective responsibility for the well-being and development of the community. It empowers individuals to have a voice, work together, and drive positive change.</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A community practitioner in a high crime area can take several actions to bring about positive change. Some strategies include:</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b</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uilding relationships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ncreasing community awareness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m</w:t>
      </w:r>
      <w:r>
        <w:rPr>
          <w:rFonts w:ascii="Helvetica Neue" w:hAnsi="Helvetica Neue"/>
          <w:outline w:val="0"/>
          <w:color w:val="1d2228"/>
          <w:sz w:val="26"/>
          <w:szCs w:val="26"/>
          <w:u w:color="1d2228"/>
          <w:shd w:val="clear" w:color="auto" w:fill="ffffff"/>
          <w:rtl w:val="0"/>
          <w14:textFill>
            <w14:solidFill>
              <w14:srgbClr w14:val="1D2228"/>
            </w14:solidFill>
          </w14:textFill>
        </w:rPr>
        <w:t>obili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ing community resources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p</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romoting community cohesion</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a</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dvocacy and policy reform</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and e</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mpowering residents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By implementing these strategies, a community practitioner can contribute to reducing crime rates, improving safety, and fostering a more resilient and cohesive community in a high crime area.</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To identify the primary causes contributing to the high crime rate in Kettering, a more in-depth analysis and consultation with local authorities, law enforcement agencies, and community members would be necessary. However,</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we decided to make a project in order to lower the high crime rate in Kettering and that will target the teenagers. The aim is also to make people safer in their community, as a main objective is to reduce crime and social behaviour. Below are the main causes that impact the Kettering community area:</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1.</w:t>
      </w:r>
      <w:r>
        <w:rPr>
          <w:rFonts w:ascii="Helvetica Neue" w:hAnsi="Helvetica Neue"/>
          <w:b w:val="1"/>
          <w:bCs w:val="1"/>
          <w:outline w:val="0"/>
          <w:color w:val="1d2228"/>
          <w:sz w:val="26"/>
          <w:szCs w:val="26"/>
          <w:u w:color="1d2228"/>
          <w:shd w:val="clear" w:color="auto" w:fill="ffffff"/>
          <w:rtl w:val="0"/>
          <w:lang w:val="it-IT"/>
          <w14:textFill>
            <w14:solidFill>
              <w14:srgbClr w14:val="1D2228"/>
            </w14:solidFill>
          </w14:textFill>
        </w:rPr>
        <w:t>Socioeconomic deprivation</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in Kettering it is a factor that contributes to the high rate crime.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Areas with high levels of poverty, unemployment, and social inequality tend to have higher crime rates. Economic hardships can lead individuals to engage in criminal activities as a means of survival or to obtain resources.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According to </w:t>
      </w:r>
      <w:r>
        <w:rPr>
          <w:rFonts w:ascii="Helvetica Neue" w:hAnsi="Helvetica Neue" w:hint="default"/>
          <w:outline w:val="0"/>
          <w:color w:val="1d2228"/>
          <w:sz w:val="26"/>
          <w:szCs w:val="26"/>
          <w:u w:color="1d2228"/>
          <w:shd w:val="clear" w:color="auto" w:fill="ffffff"/>
          <w:rtl w:val="0"/>
          <w:lang w:val="en-US"/>
          <w14:textFill>
            <w14:solidFill>
              <w14:srgbClr w14:val="1D2228"/>
            </w14:solidFill>
          </w14:textFill>
        </w:rPr>
        <w: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JNSA Locality Summary Kettering' this town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has a higher proportion of older residents compared to the average for the county. Over the next decade, the age profile is expected to change, with the older population projected to increase further, with 1 in 5 people being aged 65 or older. The level of deprivation in Kettering is lower than the national average, but there are still 10,000 residents living in one of the 20% most deprived areas in the country. The majority of the district's population is of white ethnicity, but there is more ethnic diversity among the younger age group. The rate of unemployment claimants in Kettering is similar to the county average, but young people aged 16-24 have a higher unemployment rate compared to the county average.</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2. Drug and alcohol abuse:</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Substance abuse issues, including the misuse of drugs and alcohol, can contribute to criminal behavio</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u</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r. Drug-related crimes, such as possession, trafficking, and theft to support addiction, can be prevalent in areas with high substance abuse rates.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According to the Northants Telegraph, Kettering has the highest heroin misuse death rate in Northamptonshire, which is twice the national average, as reported by the latest national statistics.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3. Gang activity and youth involvement</w:t>
      </w: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The presence of gangs and youth involvement in criminal activities can significantly impact crime rates. Gang-related violence, drug trafficking, and property crimes can be prevalent in areas where gang activity is prominent.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According to the Northamptonshire Youth Commission's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(2022)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full report, nearly 40% of young people in Kettering reported being approached to join a gang or engage in criminal activity, either personally or by someone they knew. This percentage is higher compared to other areas in Northamptonshire, where the range was between 20% and 30% in Northampton, Corby, Wellingborough, and Daventry, and less than 3% in East Northants and South Northants (Northamptonshire Youth Commission,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2022</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).This data highlights the concerning issue of gang activity and youth involvement in Kettering. The high percentage suggests that young people in the area are at a greater risk of being targeted or influenced by gangs or criminal elements. It emphasi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es the need for effective intervention programs, community support, and resources to address this issue and safeguard the well-being of young people in Kettering</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4. Limited access to education and employment opportunities</w:t>
      </w: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A lack of educational and employment opportunities can lead to frustration, hopelessness, and a higher likelihood of engaging in criminal activities. Limited prospects for positive development and economic stability can contribute to a cycle of crime.</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Kettering has lower levels of young people in full-time education and employment compared to the national average. Additionally, the rate of working-age individuals without any qualifications in Kettering is high, placing the district among the worst 25% in England.</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5. Social exclusion and alienation:</w:t>
      </w: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 xml:space="preserve"> </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Keung (2010) highlights how social exclusion and alienation have a detrimental impact on teenagers, leading to disconnecting from society. The importance addressing this issue is emphasised in order to reduce costs and promote inclusion. Keung suggests the implementation of strategies and inventions to provide opportunities and ensure the active participation of teenagers in society. </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6. Cuts to public services and support: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Reductions in funding for public services, including law enforcement, youth programs, and social support initiatives, can hinder crime prevention efforts. Limited resources and support can make it more challenging to address the root causes of crime and provide alternative pathways for individuals at risk.</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Project Strategies: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val="single"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14:textFill>
            <w14:solidFill>
              <w14:srgbClr w14:val="1D2228"/>
            </w14:solidFill>
          </w14:textFill>
        </w:rPr>
        <w:t xml:space="preserve">1. </w:t>
      </w:r>
      <w:r>
        <w:rPr>
          <w:rFonts w:ascii="Helvetica Neue" w:hAnsi="Helvetica Neue"/>
          <w:outline w:val="0"/>
          <w:color w:val="1d2228"/>
          <w:sz w:val="26"/>
          <w:szCs w:val="26"/>
          <w:u w:val="single" w:color="1d2228"/>
          <w:shd w:val="clear" w:color="auto" w:fill="ffffff"/>
          <w:rtl w:val="0"/>
          <w:lang w:val="en-US"/>
          <w14:textFill>
            <w14:solidFill>
              <w14:srgbClr w14:val="1D2228"/>
            </w14:solidFill>
          </w14:textFill>
        </w:rPr>
        <w:t>Building Relationships:</w:t>
      </w:r>
    </w:p>
    <w:p>
      <w:pPr>
        <w:pStyle w:val="Body"/>
        <w:numPr>
          <w:ilvl w:val="0"/>
          <w:numId w:val="2"/>
        </w:numPr>
        <w:bidi w:val="0"/>
        <w:spacing w:after="160" w:line="259" w:lineRule="auto"/>
        <w:ind w:right="0"/>
        <w:jc w:val="left"/>
        <w:rPr>
          <w:rFonts w:ascii="Calibri" w:hAnsi="Calibri"/>
          <w:sz w:val="26"/>
          <w:szCs w:val="26"/>
          <w:u w:color="000000"/>
          <w:rtl w:val="0"/>
          <w:lang w:val="en-US"/>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Establish partnerships with local schools, youth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ations, and mentors to build relationships with teenagers.</w:t>
      </w:r>
    </w:p>
    <w:p>
      <w:pPr>
        <w:pStyle w:val="Body"/>
        <w:numPr>
          <w:ilvl w:val="0"/>
          <w:numId w:val="2"/>
        </w:numPr>
        <w:bidi w:val="0"/>
        <w:spacing w:after="160" w:line="259" w:lineRule="auto"/>
        <w:ind w:right="0"/>
        <w:jc w:val="left"/>
        <w:rPr>
          <w:rFonts w:ascii="Calibri" w:hAnsi="Calibri"/>
          <w:sz w:val="26"/>
          <w:szCs w:val="26"/>
          <w:u w:color="000000"/>
          <w:rtl w:val="0"/>
          <w:lang w:val="en-US"/>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Conduct regular meetings and communication channels to foster trust, open dialogue, and active listening.</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val="single"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14:textFill>
            <w14:solidFill>
              <w14:srgbClr w14:val="1D2228"/>
            </w14:solidFill>
          </w14:textFill>
        </w:rPr>
        <w:t>2.</w:t>
      </w:r>
      <w:r>
        <w:rPr>
          <w:rFonts w:ascii="Helvetica Neue" w:hAnsi="Helvetica Neue"/>
          <w:outline w:val="0"/>
          <w:color w:val="1d2228"/>
          <w:sz w:val="26"/>
          <w:szCs w:val="26"/>
          <w:u w:val="single" w:color="1d2228"/>
          <w:shd w:val="clear" w:color="auto" w:fill="ffffff"/>
          <w:rtl w:val="0"/>
          <w:lang w:val="en-US"/>
          <w14:textFill>
            <w14:solidFill>
              <w14:srgbClr w14:val="1D2228"/>
            </w14:solidFill>
          </w14:textFill>
        </w:rPr>
        <w:t xml:space="preserve"> Increasing Teenagers' Awareness: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nl-NL"/>
          <w14:textFill>
            <w14:solidFill>
              <w14:srgbClr w14:val="1D2228"/>
            </w14:solidFill>
          </w14:textFill>
        </w:rPr>
        <w:t>-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e workshops, seminars, and peer-to-peer discussions to educate teenagers about the consequences of crime and drug abuse.</w:t>
      </w:r>
    </w:p>
    <w:p>
      <w:pPr>
        <w:pStyle w:val="Body"/>
        <w:numPr>
          <w:ilvl w:val="0"/>
          <w:numId w:val="2"/>
        </w:numPr>
        <w:bidi w:val="0"/>
        <w:spacing w:after="160" w:line="259" w:lineRule="auto"/>
        <w:ind w:right="0"/>
        <w:jc w:val="left"/>
        <w:rPr>
          <w:rFonts w:ascii="Calibri" w:hAnsi="Calibri"/>
          <w:sz w:val="26"/>
          <w:szCs w:val="26"/>
          <w:u w:color="000000"/>
          <w:rtl w:val="0"/>
          <w:lang w:val="en-US"/>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Develop engaging and interactive awareness campaigns specifically targeted at teenagers through social media platforms, interactive workshops, and youth</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centred events.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14:textFill>
            <w14:solidFill>
              <w14:srgbClr w14:val="1D2228"/>
            </w14:solidFill>
          </w14:textFill>
        </w:rPr>
        <w:t xml:space="preserve">3. </w:t>
      </w:r>
      <w:r>
        <w:rPr>
          <w:rFonts w:ascii="Helvetica Neue" w:hAnsi="Helvetica Neue"/>
          <w:outline w:val="0"/>
          <w:color w:val="1d2228"/>
          <w:sz w:val="26"/>
          <w:szCs w:val="26"/>
          <w:u w:val="single" w:color="1d2228"/>
          <w:shd w:val="clear" w:color="auto" w:fill="ffffff"/>
          <w:rtl w:val="0"/>
          <w14:textFill>
            <w14:solidFill>
              <w14:srgbClr w14:val="1D2228"/>
            </w14:solidFill>
          </w14:textFill>
        </w:rPr>
        <w:t>Mobili</w:t>
      </w:r>
      <w:r>
        <w:rPr>
          <w:rFonts w:ascii="Helvetica Neue" w:hAnsi="Helvetica Neue"/>
          <w:outline w:val="0"/>
          <w:color w:val="1d2228"/>
          <w:sz w:val="26"/>
          <w:szCs w:val="26"/>
          <w:u w:val="single"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val="single" w:color="1d2228"/>
          <w:shd w:val="clear" w:color="auto" w:fill="ffffff"/>
          <w:rtl w:val="0"/>
          <w:lang w:val="en-US"/>
          <w14:textFill>
            <w14:solidFill>
              <w14:srgbClr w14:val="1D2228"/>
            </w14:solidFill>
          </w14:textFill>
        </w:rPr>
        <w:t>ing Teenagers' Resources: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Identify and leverage existing resources within the community that can support teenagers, such as after</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school programs, sports clubs, and creative outlets.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Collaborate with local businesses and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ations to provide mentoring, internship opportunities, and job training programs.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14:textFill>
            <w14:solidFill>
              <w14:srgbClr w14:val="1D2228"/>
            </w14:solidFill>
          </w14:textFill>
        </w:rPr>
        <w:t xml:space="preserve">4. </w:t>
      </w:r>
      <w:r>
        <w:rPr>
          <w:rFonts w:ascii="Helvetica Neue" w:hAnsi="Helvetica Neue"/>
          <w:outline w:val="0"/>
          <w:color w:val="1d2228"/>
          <w:sz w:val="26"/>
          <w:szCs w:val="26"/>
          <w:u w:val="single" w:color="1d2228"/>
          <w:shd w:val="clear" w:color="auto" w:fill="ffffff"/>
          <w:rtl w:val="0"/>
          <w:lang w:val="en-US"/>
          <w14:textFill>
            <w14:solidFill>
              <w14:srgbClr w14:val="1D2228"/>
            </w14:solidFill>
          </w14:textFill>
        </w:rPr>
        <w:t>Promoting Teenagers' Cohesion:</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nl-NL"/>
          <w14:textFill>
            <w14:solidFill>
              <w14:srgbClr w14:val="1D2228"/>
            </w14:solidFill>
          </w14:textFill>
        </w:rPr>
        <w:t>-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e youth events, team-building activities, and community service projects to foster a sense of belonging and encourage positive peer relationships.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Encourage teenagers to participate in youth-led clubs and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ations that promote positive behavio</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u</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rs and provide support networks.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14:textFill>
            <w14:solidFill>
              <w14:srgbClr w14:val="1D2228"/>
            </w14:solidFill>
          </w14:textFill>
        </w:rPr>
        <w:t xml:space="preserve">5. </w:t>
      </w:r>
      <w:r>
        <w:rPr>
          <w:rFonts w:ascii="Helvetica Neue" w:hAnsi="Helvetica Neue"/>
          <w:outline w:val="0"/>
          <w:color w:val="1d2228"/>
          <w:sz w:val="26"/>
          <w:szCs w:val="26"/>
          <w:u w:val="single" w:color="1d2228"/>
          <w:shd w:val="clear" w:color="auto" w:fill="ffffff"/>
          <w:rtl w:val="0"/>
          <w:lang w:val="en-US"/>
          <w14:textFill>
            <w14:solidFill>
              <w14:srgbClr w14:val="1D2228"/>
            </w14:solidFill>
          </w14:textFill>
        </w:rPr>
        <w:t>Advocacy and Policy Reform:</w:t>
      </w:r>
    </w:p>
    <w:p>
      <w:pPr>
        <w:pStyle w:val="Body"/>
        <w:bidi w:val="0"/>
        <w:spacing w:after="160" w:line="259" w:lineRule="auto"/>
        <w:ind w:left="0" w:right="0" w:firstLine="0"/>
        <w:jc w:val="left"/>
        <w:rPr>
          <w:rFonts w:ascii="Helvetica Neue" w:cs="Helvetica Neue" w:hAnsi="Helvetica Neue" w:eastAsia="Helvetica Neue"/>
          <w:i w:val="0"/>
          <w:iCs w:val="0"/>
          <w:outline w:val="0"/>
          <w:color w:val="1d2228"/>
          <w:sz w:val="26"/>
          <w:szCs w:val="26"/>
          <w:u w:color="1d2228"/>
          <w:shd w:val="clear" w:color="auto" w:fill="ffffff"/>
          <w:rtl w:val="0"/>
          <w14:textFill>
            <w14:solidFill>
              <w14:srgbClr w14:val="1D2228"/>
            </w14:solidFill>
          </w14:textFill>
        </w:rPr>
      </w:pPr>
      <w:r>
        <w:rPr>
          <w:rFonts w:ascii="Helvetica Neue" w:hAnsi="Helvetica Neue"/>
          <w:i w:val="0"/>
          <w:iCs w:val="0"/>
          <w:outline w:val="0"/>
          <w:color w:val="1d2228"/>
          <w:sz w:val="26"/>
          <w:szCs w:val="26"/>
          <w:u w:color="1d2228"/>
          <w:shd w:val="clear" w:color="auto" w:fill="ffffff"/>
          <w:rtl w:val="0"/>
          <w:lang w:val="en-US"/>
          <w14:textFill>
            <w14:solidFill>
              <w14:srgbClr w14:val="1D2228"/>
            </w14:solidFill>
          </w14:textFill>
        </w:rPr>
        <w:t>- Engage teenagers in policy discussions and decision-making processes to advocate for their needs and concerns.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Collaborate with local authorities and community leaders to develop policies that address the root causes of crime and provide resources for youth development.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14:textFill>
            <w14:solidFill>
              <w14:srgbClr w14:val="1D2228"/>
            </w14:solidFill>
          </w14:textFill>
        </w:rPr>
        <w:t xml:space="preserve">6. </w:t>
      </w:r>
      <w:r>
        <w:rPr>
          <w:rFonts w:ascii="Helvetica Neue" w:hAnsi="Helvetica Neue"/>
          <w:outline w:val="0"/>
          <w:color w:val="1d2228"/>
          <w:sz w:val="26"/>
          <w:szCs w:val="26"/>
          <w:u w:val="single" w:color="1d2228"/>
          <w:shd w:val="clear" w:color="auto" w:fill="ffffff"/>
          <w:rtl w:val="0"/>
          <w:lang w:val="en-US"/>
          <w14:textFill>
            <w14:solidFill>
              <w14:srgbClr w14:val="1D2228"/>
            </w14:solidFill>
          </w14:textFill>
        </w:rPr>
        <w:t>Empowering Teenagers: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Develop leadership programs and workshops that empower teenagers to become positive influencers and role models in their communities.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Establish mentoring initiatives where older teenagers mentor younger ones, providing guidance and support to help them make positive choices.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Project Implementation:</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1. Form a project team consisting of community practitioners, educators, youth workers, and local mentors.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2. Conduct a needs assessment to understand the specific challenges faced by teenagers in</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Kettering</w:t>
      </w:r>
      <w:r>
        <w:rPr>
          <w:rFonts w:ascii="Helvetica Neue" w:hAnsi="Helvetica Neue"/>
          <w:outline w:val="0"/>
          <w:color w:val="1d2228"/>
          <w:sz w:val="26"/>
          <w:szCs w:val="26"/>
          <w:u w:color="1d2228"/>
          <w:shd w:val="clear" w:color="auto" w:fill="ffffff"/>
          <w:rtl w:val="0"/>
          <w14:textFill>
            <w14:solidFill>
              <w14:srgbClr w14:val="1D2228"/>
            </w14:solidFill>
          </w14:textFill>
        </w:rPr>
        <w: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3. Develop a detailed project plan, including timelines, activities, and resources required.</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4. Secure funding and resources through grants, partnerships, and community donations.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5. Implement the strategies outlined above, ensuring regular monitoring and evaluation of progress.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6. Collaborate with local stakeholders, authorities, and community members to ensure the project's sustainability and long-term impact.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Project Evaluation:</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1. Measure the impact of the project through pre- and post-project surveys, interviews, and focus group discussions with participating</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r>
        <w:rPr>
          <w:rFonts w:ascii="Helvetica Neue" w:hAnsi="Helvetica Neue"/>
          <w:outline w:val="0"/>
          <w:color w:val="1d2228"/>
          <w:sz w:val="26"/>
          <w:szCs w:val="26"/>
          <w:u w:color="1d2228"/>
          <w:shd w:val="clear" w:color="auto" w:fill="ffffff"/>
          <w:rtl w:val="0"/>
          <w:lang w:val="da-DK"/>
          <w14:textFill>
            <w14:solidFill>
              <w14:srgbClr w14:val="1D2228"/>
            </w14:solidFill>
          </w14:textFill>
        </w:rPr>
        <w:t>teenagers.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2. Assess the changes in teenagers' attitudes, behavio</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u</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rs, and perceptions towards crime and their community.</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3. Evaluate the number of teenagers engaged in positive activities, such as joining clubs, volunteering, or pursuing educational opportunities.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4. Monitor the decrease in crime rates and incidents involving participating teenagers.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5. Collect feedback from parents, educators, and community members to assess the project's effectiveness and identify areas for improvement.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6. Use the evaluation findings to make necessary adjustments to the project strategies and improve its impact.</w:t>
      </w: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Project Timeline:</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Month 1: Form project team, conduct needs assessment, and develop project plan.</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Month 2-3: Secure funding and resources, establish partnerships with schools and youth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fr-FR"/>
          <w14:textFill>
            <w14:solidFill>
              <w14:srgbClr w14:val="1D2228"/>
            </w14:solidFill>
          </w14:textFill>
        </w:rPr>
        <w:t>ations.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Month 4-5: Implement awareness campaigns and workshops, engage teenagers in peer discussions.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Month 6-9: Mobili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e resources, provide mentoring and internship opportunities, organi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e youth events.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Month 10-12: Advocate for policy reform, empower teenagers through leadership programs, monitor and evaluate project impact.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Month 13: Finali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e project evaluation report, share findings with stakeholders, and plan for project sustainability.</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b w:val="1"/>
          <w:bCs w:val="1"/>
          <w:outline w:val="0"/>
          <w:color w:val="1d2228"/>
          <w:sz w:val="26"/>
          <w:szCs w:val="26"/>
          <w:u w:color="1d2228"/>
          <w:shd w:val="clear" w:color="auto" w:fill="ffffff"/>
          <w:rtl w:val="0"/>
          <w14:textFill>
            <w14:solidFill>
              <w14:srgbClr w14:val="1D2228"/>
            </w14:solidFill>
          </w14:textFill>
        </w:rPr>
      </w:pPr>
      <w:r>
        <w:rPr>
          <w:rFonts w:ascii="Helvetica Neue" w:hAnsi="Helvetica Neue"/>
          <w:b w:val="1"/>
          <w:bCs w:val="1"/>
          <w:outline w:val="0"/>
          <w:color w:val="1d2228"/>
          <w:sz w:val="26"/>
          <w:szCs w:val="26"/>
          <w:u w:color="1d2228"/>
          <w:shd w:val="clear" w:color="auto" w:fill="ffffff"/>
          <w:rtl w:val="0"/>
          <w:lang w:val="it-IT"/>
          <w14:textFill>
            <w14:solidFill>
              <w14:srgbClr w14:val="1D2228"/>
            </w14:solidFill>
          </w14:textFill>
        </w:rPr>
        <w:t>Conclusion</w:t>
      </w:r>
      <w:r>
        <w:rPr>
          <w:rFonts w:ascii="Helvetica Neue" w:hAnsi="Helvetica Neue"/>
          <w:b w:val="1"/>
          <w:bCs w:val="1"/>
          <w:outline w:val="0"/>
          <w:color w:val="1d2228"/>
          <w:sz w:val="26"/>
          <w:szCs w:val="26"/>
          <w:u w:color="1d2228"/>
          <w:shd w:val="clear" w:color="auto" w:fill="ffffff"/>
          <w:rtl w:val="0"/>
          <w:lang w:val="en-US"/>
          <w14:textFill>
            <w14:solidFill>
              <w14:srgbClr w14:val="1D2228"/>
            </w14:solidFill>
          </w14:textFill>
        </w:rPr>
        <w: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This project aims to empower teenagers in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Kettering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to make positive choices, resist involvement in crime, and contribute to creating a safer and more supportive community. By building relationships, increasing awareness, mobili</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ing resources, promoting cohesion, advocating for policy reform, and empowering teenagers, we believe that we can create a lasting impact on their lives and the community as a whole. Through careful implementation, evaluation, and collaboration with stakeholders, we envision a future where teenagers in this high crime area have the tools and support they need to thrive and become positive change agents</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Reference</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1.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NN Journal. (n.d.). Hundreds more Northamptonshire youths out of work due to pandemic. Retrieved from https://www.nnjournal.co.uk/p/hundreds-more-northamptonshire-youths</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2.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Kettering Borough Council. (n.d.). JNSA Locality Summary Kettering. Retrieved from </w:t>
      </w:r>
      <w:r>
        <w:rPr>
          <w:rStyle w:val="Hyperlink.0"/>
          <w:rFonts w:ascii="Calibri" w:cs="Calibri" w:hAnsi="Calibri" w:eastAsia="Calibri"/>
          <w:u w:color="000000"/>
          <w:rtl w:val="0"/>
        </w:rPr>
        <w:fldChar w:fldCharType="begin" w:fldLock="0"/>
      </w:r>
      <w:r>
        <w:rPr>
          <w:rStyle w:val="Hyperlink.0"/>
          <w:rFonts w:ascii="Calibri" w:cs="Calibri" w:hAnsi="Calibri" w:eastAsia="Calibri"/>
          <w:u w:color="000000"/>
          <w:rtl w:val="0"/>
        </w:rPr>
        <w:instrText xml:space="preserve"> HYPERLINK "https://www.google.com/url?sa=t&amp;rct=j&amp;q=&amp;esrc=s&amp;source=web&amp;cd=&amp;ved=2ahUKEwiwpZmk5fCCAxXgTEEAHcpeDlkQFnoECBQQAQ&amp;url=https%3A%2F%2Fwww.kettering.gov.uk%2Fdownload%2Fmeetings%2Fid%2F8130%2F7_appendix_i&amp;usg=AOvVaw3FUiAnOhwFnf3pXkizBRDk&amp;opi=89978449"</w:instrText>
      </w:r>
      <w:r>
        <w:rPr>
          <w:rStyle w:val="Hyperlink.0"/>
          <w:rFonts w:ascii="Calibri" w:cs="Calibri" w:hAnsi="Calibri" w:eastAsia="Calibri"/>
          <w:u w:color="000000"/>
          <w:rtl w:val="0"/>
        </w:rPr>
        <w:fldChar w:fldCharType="separate" w:fldLock="0"/>
      </w:r>
      <w:r>
        <w:rPr>
          <w:rStyle w:val="Hyperlink.0"/>
          <w:rFonts w:ascii="Calibri" w:hAnsi="Calibri"/>
          <w:u w:color="000000"/>
          <w:rtl w:val="0"/>
          <w:lang w:val="en-US"/>
        </w:rPr>
        <w:t>https://www.google.com/url?sa=t&amp;rct=j&amp;q=&amp;esrc=s&amp;source=web&amp;cd=&amp;ved=2ahUKEwiwpZmk5fCCAxXgTEEAHcpeDlkQFnoECBQQAQ&amp;url=https%3A%2F%2Fwww.kettering.gov.uk%2Fdownload%2Fmeetings%2Fid%2F8130%2F7_appendix_i&amp;usg=AOvVaw3FUiAnOhwFnf3pXkizBRDk&amp;opi=89978449</w:t>
      </w:r>
      <w:r>
        <w:rPr>
          <w:rFonts w:ascii="Calibri" w:cs="Calibri" w:hAnsi="Calibri" w:eastAsia="Calibri"/>
          <w:u w:color="000000"/>
          <w:rtl w:val="0"/>
        </w:rPr>
        <w:fldChar w:fldCharType="end" w:fldLock="0"/>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3.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Northants Telegraph. (n.d.). Kettering's heroin overdose death rate twice the national average. Retrieved from </w:t>
      </w:r>
      <w:r>
        <w:rPr>
          <w:rStyle w:val="Hyperlink.0"/>
          <w:rFonts w:ascii="Calibri" w:cs="Calibri" w:hAnsi="Calibri" w:eastAsia="Calibri"/>
          <w:u w:color="000000"/>
          <w:rtl w:val="0"/>
        </w:rPr>
        <w:fldChar w:fldCharType="begin" w:fldLock="0"/>
      </w:r>
      <w:r>
        <w:rPr>
          <w:rStyle w:val="Hyperlink.0"/>
          <w:rFonts w:ascii="Calibri" w:cs="Calibri" w:hAnsi="Calibri" w:eastAsia="Calibri"/>
          <w:u w:color="000000"/>
          <w:rtl w:val="0"/>
        </w:rPr>
        <w:instrText xml:space="preserve"> HYPERLINK "https://www.northantstelegraph.co.uk/news/ketterings-heroin-overdose-death-rate-twice-the-national-average-304049"</w:instrText>
      </w:r>
      <w:r>
        <w:rPr>
          <w:rStyle w:val="Hyperlink.0"/>
          <w:rFonts w:ascii="Calibri" w:cs="Calibri" w:hAnsi="Calibri" w:eastAsia="Calibri"/>
          <w:u w:color="000000"/>
          <w:rtl w:val="0"/>
        </w:rPr>
        <w:fldChar w:fldCharType="separate" w:fldLock="0"/>
      </w:r>
      <w:r>
        <w:rPr>
          <w:rStyle w:val="Hyperlink.0"/>
          <w:rFonts w:ascii="Calibri" w:hAnsi="Calibri"/>
          <w:u w:color="000000"/>
          <w:rtl w:val="0"/>
          <w:lang w:val="en-US"/>
        </w:rPr>
        <w:t>https://www.northantstelegraph.co.uk/news/ketterings-heroin-overdose-death-rate-twice-the-national-average-304049</w:t>
      </w:r>
      <w:r>
        <w:rPr>
          <w:rFonts w:ascii="Calibri" w:cs="Calibri" w:hAnsi="Calibri" w:eastAsia="Calibri"/>
          <w:u w:color="000000"/>
          <w:rtl w:val="0"/>
        </w:rPr>
        <w:fldChar w:fldCharType="end" w:fldLock="0"/>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4.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Northamptonshire Youth Commission</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r>
        <w:rPr>
          <w:rFonts w:ascii="Helvetica Neue" w:hAnsi="Helvetica Neue"/>
          <w:outline w:val="0"/>
          <w:color w:val="1d2228"/>
          <w:sz w:val="26"/>
          <w:szCs w:val="26"/>
          <w:u w:color="1d2228"/>
          <w:shd w:val="clear" w:color="auto" w:fill="ffffff"/>
          <w:rtl w:val="0"/>
          <w14:textFill>
            <w14:solidFill>
              <w14:srgbClr w14:val="1D2228"/>
            </w14:solidFill>
          </w14:textFill>
        </w:rPr>
        <w:t>(</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2022</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Gangs &amp; Youth Violence and Young Drivers: Full Report. Retrieved from </w:t>
      </w:r>
      <w:r>
        <w:rPr>
          <w:rStyle w:val="Hyperlink.0"/>
          <w:rFonts w:ascii="Calibri" w:cs="Calibri" w:hAnsi="Calibri" w:eastAsia="Calibri"/>
          <w:u w:color="000000"/>
          <w:rtl w:val="0"/>
        </w:rPr>
        <w:fldChar w:fldCharType="begin" w:fldLock="0"/>
      </w:r>
      <w:r>
        <w:rPr>
          <w:rStyle w:val="Hyperlink.0"/>
          <w:rFonts w:ascii="Calibri" w:cs="Calibri" w:hAnsi="Calibri" w:eastAsia="Calibri"/>
          <w:u w:color="000000"/>
          <w:rtl w:val="0"/>
        </w:rPr>
        <w:instrText xml:space="preserve"> HYPERLINK "https://www.northantspfcc.org.uk/wp-content/uploads/2020/04/full-report_09.04.20.pdf"</w:instrText>
      </w:r>
      <w:r>
        <w:rPr>
          <w:rStyle w:val="Hyperlink.0"/>
          <w:rFonts w:ascii="Calibri" w:cs="Calibri" w:hAnsi="Calibri" w:eastAsia="Calibri"/>
          <w:u w:color="000000"/>
          <w:rtl w:val="0"/>
        </w:rPr>
        <w:fldChar w:fldCharType="separate" w:fldLock="0"/>
      </w:r>
      <w:r>
        <w:rPr>
          <w:rStyle w:val="Hyperlink.0"/>
          <w:rFonts w:ascii="Calibri" w:hAnsi="Calibri"/>
          <w:u w:color="000000"/>
          <w:rtl w:val="0"/>
          <w:lang w:val="en-US"/>
        </w:rPr>
        <w:t>https://www.northantspfcc.org.uk/wp-content/uploads/2020/04/full-report_09.04.20.pdf</w:t>
      </w:r>
      <w:r>
        <w:rPr>
          <w:rFonts w:ascii="Calibri" w:cs="Calibri" w:hAnsi="Calibri" w:eastAsia="Calibri"/>
          <w:u w:color="000000"/>
          <w:rtl w:val="0"/>
        </w:rPr>
        <w:fldChar w:fldCharType="end" w:fldLock="0"/>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 </w:t>
      </w:r>
    </w:p>
    <w:p>
      <w:pPr>
        <w:pStyle w:val="Body"/>
        <w:bidi w:val="0"/>
        <w:spacing w:after="160" w:line="259" w:lineRule="auto"/>
        <w:ind w:left="0" w:right="0" w:firstLine="0"/>
        <w:jc w:val="left"/>
        <w:rPr>
          <w:rFonts w:ascii="Helvetica Neue" w:cs="Helvetica Neue" w:hAnsi="Helvetica Neue" w:eastAsia="Helvetica Neue"/>
          <w:outline w:val="0"/>
          <w:color w:val="1d2228"/>
          <w:sz w:val="26"/>
          <w:szCs w:val="26"/>
          <w:u w:color="1d2228"/>
          <w:shd w:val="clear" w:color="auto" w:fill="ffffff"/>
          <w:rtl w:val="0"/>
          <w14:textFill>
            <w14:solidFill>
              <w14:srgbClr w14:val="1D2228"/>
            </w14:solidFill>
          </w14:textFill>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5.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Keung, A. (2010). Young people and social exclusion: A multidimensional problem. [Online] Available at: &lt;https://www.crimeandjustice.org.uk/sites/crimeandjustice.org.uk/files/09627251.2010.482241.pdf&gt; </w:t>
      </w:r>
    </w:p>
    <w:p>
      <w:pPr>
        <w:pStyle w:val="Body"/>
        <w:bidi w:val="0"/>
        <w:spacing w:after="160" w:line="259" w:lineRule="auto"/>
        <w:ind w:left="0" w:right="0" w:firstLine="0"/>
        <w:jc w:val="left"/>
        <w:rPr>
          <w:rtl w:val="0"/>
        </w:rPr>
      </w:pPr>
      <w:r>
        <w:rPr>
          <w:rFonts w:ascii="Helvetica Neue" w:hAnsi="Helvetica Neue"/>
          <w:outline w:val="0"/>
          <w:color w:val="1d2228"/>
          <w:sz w:val="26"/>
          <w:szCs w:val="26"/>
          <w:u w:color="1d2228"/>
          <w:shd w:val="clear" w:color="auto" w:fill="ffffff"/>
          <w:rtl w:val="0"/>
          <w:lang w:val="en-US"/>
          <w14:textFill>
            <w14:solidFill>
              <w14:srgbClr w14:val="1D2228"/>
            </w14:solidFill>
          </w14:textFill>
        </w:rPr>
        <w:t xml:space="preserve">6. </w:t>
      </w:r>
      <w:r>
        <w:rPr>
          <w:rFonts w:ascii="Helvetica Neue" w:hAnsi="Helvetica Neue"/>
          <w:outline w:val="0"/>
          <w:color w:val="1d2228"/>
          <w:sz w:val="26"/>
          <w:szCs w:val="26"/>
          <w:u w:color="1d2228"/>
          <w:shd w:val="clear" w:color="auto" w:fill="ffffff"/>
          <w:rtl w:val="0"/>
          <w:lang w:val="en-US"/>
          <w14:textFill>
            <w14:solidFill>
              <w14:srgbClr w14:val="1D2228"/>
            </w14:solidFill>
          </w14:textFill>
        </w:rPr>
        <w:t>Kettering Central. (n.d.). [Online] Available at: &lt;https://www.police.uk/pu/your-area/northamptonshire-police/kettering-central/&gt;</w:t>
      </w:r>
      <w:r>
        <w:rPr>
          <w:rFonts w:ascii="Arial Unicode MS" w:cs="Arial Unicode MS" w:hAnsi="Arial Unicode MS" w:eastAsia="Arial Unicode MS"/>
          <w:b w:val="0"/>
          <w:bCs w:val="0"/>
          <w:i w:val="0"/>
          <w:iCs w:val="0"/>
          <w:outline w:val="0"/>
          <w:color w:val="1d2228"/>
          <w:sz w:val="26"/>
          <w:szCs w:val="26"/>
          <w:u w:color="1d2228"/>
          <w:shd w:val="clear" w:color="auto" w:fill="ffffff"/>
          <w:rtl w:val="0"/>
          <w14:textFill>
            <w14:solidFill>
              <w14:srgbClr w14:val="1D2228"/>
            </w14:solidFill>
          </w14:textFill>
        </w:rPr>
        <w:br w:type="page"/>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tab/>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numbering" w:styleId="Dash">
    <w:name w:val="Dash"/>
    <w:pPr>
      <w:numPr>
        <w:numId w:val="1"/>
      </w:numPr>
    </w:p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