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8C1210" w14:textId="32F96754" w:rsidR="0066150F" w:rsidRDefault="0066150F">
      <w:r>
        <w:t>Poster Narrative</w:t>
      </w:r>
    </w:p>
    <w:p w14:paraId="6C8B68FD" w14:textId="79D3F103" w:rsidR="00587E04" w:rsidRDefault="00587E04">
      <w:r>
        <w:t xml:space="preserve">Understanding the external factors </w:t>
      </w:r>
      <w:r w:rsidR="000F79E8">
        <w:t>shaping an</w:t>
      </w:r>
      <w:r>
        <w:t xml:space="preserve"> organisation’s environment is crucial for decision making.  As the CIPD </w:t>
      </w:r>
      <w:r w:rsidR="000F79E8">
        <w:t>(</w:t>
      </w:r>
      <w:r>
        <w:t>2024</w:t>
      </w:r>
      <w:r w:rsidR="000F79E8">
        <w:t>)</w:t>
      </w:r>
      <w:r>
        <w:t xml:space="preserve"> highlights, a PESTLE analysis offers a structured framework to examine Political, Economic, Sociological, Technological, Legal and Environmental influences</w:t>
      </w:r>
      <w:r w:rsidR="0066150F">
        <w:t xml:space="preserve">.  </w:t>
      </w:r>
      <w:r w:rsidR="000C0E54">
        <w:t>T</w:t>
      </w:r>
      <w:r>
        <w:t>he tool is particularly valuable in guiding managers to navigate the complexities of the external (Macro environment) and make informed choices in their strategic planning</w:t>
      </w:r>
      <w:r w:rsidR="0066150F">
        <w:t xml:space="preserve"> </w:t>
      </w:r>
    </w:p>
    <w:p w14:paraId="4DEEBF05" w14:textId="251EFC67" w:rsidR="006A07CD" w:rsidRDefault="00587E04">
      <w:r>
        <w:t>In the context of charity retail the PESTLE framework provides a lens to systematically analyse external factors</w:t>
      </w:r>
      <w:r w:rsidR="000C0E54">
        <w:t>, e</w:t>
      </w:r>
      <w:r>
        <w:t xml:space="preserve">nabling managers to identify opportunities and risks that may impact shop performance.  By proactively addressing these risks and allocating resources effectively, charity retail managers can set their teams up for success.  To deepen understanding of PESTLE and how we may apply it to strategy development the work of Johnson et </w:t>
      </w:r>
      <w:r w:rsidR="000F79E8">
        <w:t>al (</w:t>
      </w:r>
      <w:r>
        <w:t>2020</w:t>
      </w:r>
      <w:r w:rsidR="000F79E8">
        <w:t>)</w:t>
      </w:r>
      <w:r>
        <w:t xml:space="preserve"> take</w:t>
      </w:r>
      <w:r w:rsidR="000F79E8">
        <w:t>s</w:t>
      </w:r>
      <w:r>
        <w:t xml:space="preserve"> a deep dive into the impact on strategy and Porter (2004) focuses on strategies that can be used to gain a competitive a</w:t>
      </w:r>
      <w:r w:rsidR="000C0E54">
        <w:t>dv</w:t>
      </w:r>
      <w:r>
        <w:t>antage</w:t>
      </w:r>
      <w:r w:rsidR="000F79E8">
        <w:t>.</w:t>
      </w:r>
    </w:p>
    <w:p w14:paraId="6A5472E8" w14:textId="7C104419" w:rsidR="006A07CD" w:rsidRPr="000C0E54" w:rsidRDefault="006A07CD">
      <w:r>
        <w:t xml:space="preserve">This poster explores the Political, Technological and Environmental dimensions of the PESTLE framework highlighting the impact on strategic decision making in charity retail.  </w:t>
      </w:r>
    </w:p>
    <w:p w14:paraId="4092E2F0" w14:textId="77777777" w:rsidR="00FA3150" w:rsidRDefault="00FA3150"/>
    <w:p w14:paraId="7B429121" w14:textId="7EF8768B" w:rsidR="00FA3150" w:rsidRDefault="00FA3150">
      <w:r>
        <w:t>Technological</w:t>
      </w:r>
    </w:p>
    <w:p w14:paraId="5FA26943" w14:textId="255F0561" w:rsidR="00FA3150" w:rsidRDefault="00FA3150">
      <w:r>
        <w:t>Rapid developments in technology have significantly impacted Oxfam’s retail operation</w:t>
      </w:r>
      <w:r w:rsidR="000F79E8">
        <w:t xml:space="preserve">s. </w:t>
      </w:r>
      <w:r>
        <w:t>Technology supports operational effectiveness through systems and tools such as the new EPOS till roll out and inventory management software for SBO</w:t>
      </w:r>
      <w:r w:rsidR="000C0E54">
        <w:t>, t</w:t>
      </w:r>
      <w:r>
        <w:t>hough challenges remain for donated stock due to its unpredictability.  Emerging technology such as AI could be explored to offer data driven insights into stock trends and customer preferences regarding donated goods.</w:t>
      </w:r>
    </w:p>
    <w:p w14:paraId="2EF807DB" w14:textId="6281DB8B" w:rsidR="00FA3150" w:rsidRDefault="00FA3150">
      <w:r>
        <w:t xml:space="preserve">Digital platforms and social media have revolutionised the way </w:t>
      </w:r>
      <w:r w:rsidR="000C0E54">
        <w:t>Oxfam engages</w:t>
      </w:r>
      <w:r>
        <w:t xml:space="preserve"> with donors and customers.  By further leveraging these tools, Oxfam can expand its reach and attract increased donations and attract new customers to sustainable and ethical shopping.  Oxfam’s dedicated online sales function </w:t>
      </w:r>
      <w:r w:rsidR="000F79E8">
        <w:t>demonstrates</w:t>
      </w:r>
      <w:r>
        <w:t xml:space="preserve"> the organisations commitment to digital transformation, including the integration of eBay and its own on</w:t>
      </w:r>
      <w:r w:rsidR="000F79E8">
        <w:t xml:space="preserve"> line </w:t>
      </w:r>
      <w:r>
        <w:t>shop</w:t>
      </w:r>
      <w:r w:rsidR="000F79E8">
        <w:t>,</w:t>
      </w:r>
      <w:r>
        <w:t xml:space="preserve"> to align with an increased demand for on shopping this way.  We have seen many high stree</w:t>
      </w:r>
      <w:r w:rsidR="000F79E8">
        <w:t>t</w:t>
      </w:r>
      <w:r>
        <w:t xml:space="preserve"> retailers disappear, these are the ones that failed to adapt to advancing technology.  </w:t>
      </w:r>
    </w:p>
    <w:p w14:paraId="7916E183" w14:textId="67D3C016" w:rsidR="00FA3150" w:rsidRDefault="00FA3150">
      <w:r>
        <w:t xml:space="preserve">Cybersecurity is increasingly vital as </w:t>
      </w:r>
      <w:r w:rsidR="000F79E8">
        <w:t>it</w:t>
      </w:r>
      <w:r>
        <w:t xml:space="preserve"> poses risks to operational stability and data protection. </w:t>
      </w:r>
      <w:r w:rsidR="000F79E8">
        <w:t xml:space="preserve">In 2023 The National Cyber Security Centre published a report outlining the key threats facing UK charities and offer guidelines, training and tools to help mitigate and highlight threats. </w:t>
      </w:r>
      <w:r>
        <w:t xml:space="preserve"> Oxfam have a loss and prevention team as well as a dedicated </w:t>
      </w:r>
      <w:r>
        <w:lastRenderedPageBreak/>
        <w:t>Data and Privacy Officer.  Risks could be further mitigated through staff training and compliance with frameworks like Cyber essentials (Waterfall 2024)</w:t>
      </w:r>
    </w:p>
    <w:p w14:paraId="7CF2EDE4" w14:textId="4D9343BA" w:rsidR="00FA3150" w:rsidRDefault="00FA3150">
      <w:r>
        <w:t>Technological innovation in mobile applications, social media and Customer Relations Management Systems further supports Oxfam’s volunteer coordination and engagement eff</w:t>
      </w:r>
      <w:r w:rsidR="000F79E8">
        <w:t>o</w:t>
      </w:r>
      <w:r>
        <w:t xml:space="preserve">rts.  The sophisticated method for managing volunteers using </w:t>
      </w:r>
      <w:r w:rsidR="000F79E8">
        <w:t>the</w:t>
      </w:r>
      <w:r>
        <w:t xml:space="preserve"> Assemb</w:t>
      </w:r>
      <w:r w:rsidR="000F79E8">
        <w:t>le</w:t>
      </w:r>
      <w:r>
        <w:t xml:space="preserve"> system ensures a positive experience for volunteers.  A new HR system for paid staff is currently being scoped to meet the expectations of a modern workforce and will better support </w:t>
      </w:r>
      <w:r w:rsidR="000F79E8">
        <w:t>sophisticated</w:t>
      </w:r>
      <w:r>
        <w:t xml:space="preserve">  and responsive HR management.</w:t>
      </w:r>
    </w:p>
    <w:p w14:paraId="209D90E9" w14:textId="77777777" w:rsidR="00FA3150" w:rsidRDefault="00FA3150"/>
    <w:p w14:paraId="70A075D7" w14:textId="243EE50B" w:rsidR="00FA3150" w:rsidRPr="00FF2D79" w:rsidRDefault="00FF2D79">
      <w:pPr>
        <w:rPr>
          <w:b/>
          <w:bCs/>
        </w:rPr>
      </w:pPr>
      <w:r w:rsidRPr="00FF2D79">
        <w:rPr>
          <w:b/>
          <w:bCs/>
        </w:rPr>
        <w:t>Political</w:t>
      </w:r>
    </w:p>
    <w:p w14:paraId="5DA2AD4F" w14:textId="3143B272" w:rsidR="00FF2D79" w:rsidRDefault="00FF2D79">
      <w:r>
        <w:t xml:space="preserve">Operating across multiple countries, Oxfam navigates complex political dynamics that influence its retail and humanitarian efforts.  Government policies on international aid, development cooperation and tax regulation directly </w:t>
      </w:r>
      <w:r w:rsidR="000F79E8">
        <w:t>affect</w:t>
      </w:r>
      <w:r>
        <w:t xml:space="preserve"> operations.  Changes in diplomatic relationships between countries may affect Oxfam’s ability to operate in certain regions or access funding.</w:t>
      </w:r>
    </w:p>
    <w:p w14:paraId="5151465E" w14:textId="259A0818" w:rsidR="00FF2D79" w:rsidRDefault="00FF2D79">
      <w:r>
        <w:t>Political factors significantly shape Oxfam’s operations and strategy, influencing everything from compliance to funding opportunities  Government policies, tax regulations and employment laws all impact on operations and the management of staff and volunteers this includes changes in minimum wage legislation and recent changes to Employers NI contributions which directly impact on the cost of staff recruitment</w:t>
      </w:r>
    </w:p>
    <w:p w14:paraId="51BD8EAD" w14:textId="1B648EF5" w:rsidR="00FF2D79" w:rsidRDefault="00FF2D79">
      <w:r>
        <w:t>Domestic political changes can have significant impact on charities for example in business rates, tax policies and the Gift Aid scheme all of which h</w:t>
      </w:r>
      <w:r w:rsidR="000F79E8">
        <w:t>a</w:t>
      </w:r>
      <w:r>
        <w:t>ve crucial impact on shop revenue.  Also shifts in welfare policies and social support policies can impact our customers financial circumstances</w:t>
      </w:r>
      <w:r w:rsidR="000F79E8">
        <w:t>,</w:t>
      </w:r>
      <w:r>
        <w:t xml:space="preserve"> affecting their ability to don</w:t>
      </w:r>
      <w:r w:rsidR="000F79E8">
        <w:t>ate</w:t>
      </w:r>
      <w:r>
        <w:t xml:space="preserve"> and also h</w:t>
      </w:r>
      <w:r w:rsidR="006A740A">
        <w:t>ow</w:t>
      </w:r>
      <w:r>
        <w:t xml:space="preserve"> they shop.</w:t>
      </w:r>
    </w:p>
    <w:p w14:paraId="40FFA3DF" w14:textId="59C1A15A" w:rsidR="0095724B" w:rsidRDefault="0095724B">
      <w:r>
        <w:t xml:space="preserve">Where we see charity retail evolving to online sales platforms they need to comply with VAT regulations to avoid penalties. When charity shops </w:t>
      </w:r>
      <w:r w:rsidR="006A740A">
        <w:t>sell goods online they must charge VAT on sale of certain items if their taxable turnover exceeds the VAT threshold of £85,000 (as of 2024).  This mea</w:t>
      </w:r>
      <w:r w:rsidR="000F79E8">
        <w:t>ns</w:t>
      </w:r>
      <w:r w:rsidR="006A740A">
        <w:t xml:space="preserve"> that charity retailers are subject to the same rules as other retailers for online sales</w:t>
      </w:r>
      <w:r w:rsidR="000F79E8">
        <w:t xml:space="preserve">. </w:t>
      </w:r>
      <w:r w:rsidR="006A740A">
        <w:t>If sold in store donated goods which sales directly related to charitable purposes are VAT exempt. HMRC (2024) So whether there are essential developments to make with online sales it comes with financial challenges</w:t>
      </w:r>
      <w:r w:rsidR="000F79E8">
        <w:t>.</w:t>
      </w:r>
    </w:p>
    <w:p w14:paraId="4DCEEDA3" w14:textId="7457F28D" w:rsidR="000F79E8" w:rsidRDefault="00FF2D79">
      <w:r>
        <w:t>Government initiatives promoting volunteering and community engagement can positively influence Oxfam’s retail model</w:t>
      </w:r>
      <w:r w:rsidR="000F79E8">
        <w:t>,</w:t>
      </w:r>
      <w:r>
        <w:t xml:space="preserve"> which depends on volunteers.  Smaller standard shops operate with one or two paid members of staff, supported by volunteer teams.  </w:t>
      </w:r>
    </w:p>
    <w:p w14:paraId="26D5FE2E" w14:textId="315966F1" w:rsidR="00FF2D79" w:rsidRDefault="00FF2D79">
      <w:r>
        <w:lastRenderedPageBreak/>
        <w:t>Monitoring political trends and funding regulations enables Oxfam to manage risks and adapt strategies effectively and in a proactive way.</w:t>
      </w:r>
    </w:p>
    <w:p w14:paraId="06BD4B60" w14:textId="77777777" w:rsidR="00587E04" w:rsidRDefault="00587E04"/>
    <w:p w14:paraId="6C6AF7DB" w14:textId="08F0939A" w:rsidR="000F79E8" w:rsidRDefault="000F79E8">
      <w:r>
        <w:t>Environmental</w:t>
      </w:r>
    </w:p>
    <w:p w14:paraId="0A92CB2A" w14:textId="5B2BC61C" w:rsidR="000F79E8" w:rsidRDefault="000F79E8" w:rsidP="000F79E8">
      <w:r>
        <w:t>Environmental</w:t>
      </w:r>
      <w:r>
        <w:t xml:space="preserve"> factors play a central role in shaping the strategy within retail operations.  Sustainability, waste reduction and compliance with environmental legislation are key considerations for Oxfam’s retail operations.  By promoting reuse and recycling of goods, charity shops champion the circular economy, reducing waste, conservin</w:t>
      </w:r>
      <w:r>
        <w:t>g</w:t>
      </w:r>
      <w:r>
        <w:t xml:space="preserve"> </w:t>
      </w:r>
      <w:r>
        <w:t>resources</w:t>
      </w:r>
      <w:r>
        <w:t xml:space="preserve"> and potentially lowering greenhouse gas emissions (Cox et al 2012).  Oxfam’s innovative partnering  initiatives, such as recycling saris into items such as pyjamas, headbands, purses etc  demonstrate a commitment to supporting communities, honouring diversity and inclusion and supporting fair trade.  They also partner with eco</w:t>
      </w:r>
      <w:r>
        <w:t>-</w:t>
      </w:r>
      <w:r>
        <w:t xml:space="preserve">friendly brands such as Faith in </w:t>
      </w:r>
      <w:r>
        <w:t>N</w:t>
      </w:r>
      <w:r>
        <w:t>ature</w:t>
      </w:r>
      <w:r>
        <w:t>,</w:t>
      </w:r>
      <w:r>
        <w:t xml:space="preserve"> further demonstrating the commitment to sustainability.</w:t>
      </w:r>
    </w:p>
    <w:p w14:paraId="63375A3D" w14:textId="5C0C072C" w:rsidR="000F79E8" w:rsidRDefault="000F79E8" w:rsidP="000F79E8">
      <w:r>
        <w:t xml:space="preserve">Transparent, </w:t>
      </w:r>
      <w:r>
        <w:t>ecofriendly</w:t>
      </w:r>
      <w:r>
        <w:t xml:space="preserve"> practices, not only attract customers but enhance donor confidence and inspire current and future staff and volunteers (lieu et al 2014)</w:t>
      </w:r>
    </w:p>
    <w:p w14:paraId="5D8DAFC6" w14:textId="09AB16DF" w:rsidR="000F79E8" w:rsidRDefault="000F79E8" w:rsidP="000F79E8">
      <w:r>
        <w:t xml:space="preserve">Environmental regulations influence operations, from waste </w:t>
      </w:r>
      <w:r>
        <w:t>m</w:t>
      </w:r>
      <w:r>
        <w:t>anagement to energy use.  Oxfam implement rigorous recycling practices for unsellable goods, minimising environmental impact.</w:t>
      </w:r>
    </w:p>
    <w:p w14:paraId="6A307F33" w14:textId="69F08DC1" w:rsidR="000F79E8" w:rsidRDefault="000F79E8" w:rsidP="000F79E8">
      <w:r>
        <w:t>Climate change also presents challenges such as supply chain distribution affecting SBO products and the pressure to reduce carbon footprint across retail operations.  As the UK government highlights, textile production contributes more to climate change than international flights and shipping combined</w:t>
      </w:r>
      <w:r>
        <w:t xml:space="preserve"> </w:t>
      </w:r>
      <w:r>
        <w:t>(House of Commons Audit Committee 2019, emphasizing the importance of Oxfam’s) work in promoting sustainable consumption.</w:t>
      </w:r>
    </w:p>
    <w:p w14:paraId="618CBAFD" w14:textId="6C5FC7C7" w:rsidR="000F79E8" w:rsidRDefault="000F79E8" w:rsidP="000F79E8">
      <w:r>
        <w:t xml:space="preserve">Opportunities under this factor include offering community education </w:t>
      </w:r>
      <w:r>
        <w:t xml:space="preserve">in </w:t>
      </w:r>
      <w:r>
        <w:t>sustainability and exploring asse</w:t>
      </w:r>
      <w:r>
        <w:t>t</w:t>
      </w:r>
      <w:r>
        <w:t xml:space="preserve"> light trends such as clothing rental and evolving offerings in line with customer expectations.  The growth of vintage goods, within Oxfam is supported by a dedicated and knowledgeable team.</w:t>
      </w:r>
    </w:p>
    <w:p w14:paraId="6EEE7897" w14:textId="296B6F21" w:rsidR="000F79E8" w:rsidRDefault="000F79E8" w:rsidP="000F79E8">
      <w:r>
        <w:t>Environmental related risks that could dis</w:t>
      </w:r>
      <w:r>
        <w:t>r</w:t>
      </w:r>
      <w:r>
        <w:t xml:space="preserve">upt and damage operational sustainability include stricter environmental laws, supply chain competition from </w:t>
      </w:r>
      <w:proofErr w:type="spellStart"/>
      <w:r>
        <w:t>eco friendly</w:t>
      </w:r>
      <w:proofErr w:type="spellEnd"/>
      <w:r>
        <w:t xml:space="preserve"> retailers and</w:t>
      </w:r>
      <w:r>
        <w:t xml:space="preserve">, </w:t>
      </w:r>
      <w:r>
        <w:t xml:space="preserve">as reported by D’Souza and </w:t>
      </w:r>
      <w:proofErr w:type="spellStart"/>
      <w:r>
        <w:t>Nodo</w:t>
      </w:r>
      <w:r>
        <w:t>l</w:t>
      </w:r>
      <w:r>
        <w:t>ph</w:t>
      </w:r>
      <w:proofErr w:type="spellEnd"/>
      <w:r>
        <w:t xml:space="preserve"> (2024)</w:t>
      </w:r>
      <w:r>
        <w:t xml:space="preserve">,  accusations of green washing.  Proactively addressing these through risk management and staying abreast of </w:t>
      </w:r>
      <w:r>
        <w:t>environmental</w:t>
      </w:r>
      <w:r>
        <w:t xml:space="preserve"> trends can help  mitigate challenge and reinforce Oxfam’s position as a leader in sustainable charity retail.</w:t>
      </w:r>
    </w:p>
    <w:p w14:paraId="0D081824" w14:textId="77AC0311" w:rsidR="000F79E8" w:rsidRDefault="000F79E8">
      <w:pPr>
        <w:rPr>
          <w:b/>
          <w:bCs/>
        </w:rPr>
      </w:pPr>
      <w:r>
        <w:rPr>
          <w:b/>
          <w:bCs/>
        </w:rPr>
        <w:t xml:space="preserve"> Word count 1089</w:t>
      </w:r>
    </w:p>
    <w:p w14:paraId="1C61A808" w14:textId="77777777" w:rsidR="000F79E8" w:rsidRDefault="000F79E8">
      <w:pPr>
        <w:rPr>
          <w:b/>
          <w:bCs/>
        </w:rPr>
      </w:pPr>
    </w:p>
    <w:p w14:paraId="65485FC6" w14:textId="77777777" w:rsidR="000F79E8" w:rsidRPr="00777084" w:rsidRDefault="000F79E8" w:rsidP="000F79E8">
      <w:pPr>
        <w:rPr>
          <w:b/>
          <w:bCs/>
        </w:rPr>
      </w:pPr>
      <w:r w:rsidRPr="00777084">
        <w:rPr>
          <w:b/>
          <w:bCs/>
        </w:rPr>
        <w:t>Poster References</w:t>
      </w:r>
    </w:p>
    <w:p w14:paraId="248F0B05" w14:textId="77777777" w:rsidR="000F79E8" w:rsidRDefault="000F79E8" w:rsidP="000F79E8">
      <w:r>
        <w:t xml:space="preserve">CIPD (2024) PESTLE Analysis Factsheet. Available at </w:t>
      </w:r>
      <w:hyperlink r:id="rId5" w:history="1">
        <w:r w:rsidRPr="00EB56C3">
          <w:rPr>
            <w:rStyle w:val="Hyperlink"/>
          </w:rPr>
          <w:t>https://www.cipd.org/uk/knowledge/factsheets/pestle-analysis-factsheet/</w:t>
        </w:r>
      </w:hyperlink>
      <w:r>
        <w:t>.  Accessed 13 December 2014.</w:t>
      </w:r>
    </w:p>
    <w:p w14:paraId="1EA67B5C" w14:textId="77777777" w:rsidR="000F79E8" w:rsidRDefault="000F79E8" w:rsidP="000F79E8">
      <w:r>
        <w:t xml:space="preserve">Cox, P. Dickinson, N and Low, W. (2013) The role of charity shops in the circular economy: An exploration of social and environmental practices </w:t>
      </w:r>
      <w:r w:rsidRPr="00C954DF">
        <w:rPr>
          <w:i/>
          <w:iCs/>
        </w:rPr>
        <w:t>International Journal of Retail &amp; Distribution Management</w:t>
      </w:r>
      <w:r w:rsidRPr="00C954DF">
        <w:t xml:space="preserve">, 41(9), pp. 692-705. </w:t>
      </w:r>
    </w:p>
    <w:p w14:paraId="73D74944" w14:textId="77777777" w:rsidR="000F79E8" w:rsidRDefault="000F79E8" w:rsidP="000F79E8">
      <w:r>
        <w:t xml:space="preserve">D’Souza and  </w:t>
      </w:r>
      <w:proofErr w:type="spellStart"/>
      <w:r>
        <w:t>Nodolph</w:t>
      </w:r>
      <w:proofErr w:type="spellEnd"/>
      <w:r>
        <w:t xml:space="preserve"> L (2024</w:t>
      </w:r>
      <w:r w:rsidRPr="00B26C44">
        <w:rPr>
          <w:i/>
          <w:iCs/>
        </w:rPr>
        <w:t>).  Whitepaper: The cost of greenwashing: How misleading claims are hurting your business and how to avoid them</w:t>
      </w:r>
      <w:r>
        <w:t xml:space="preserve">. Available at </w:t>
      </w:r>
      <w:hyperlink r:id="rId6" w:history="1">
        <w:r w:rsidRPr="00EB56C3">
          <w:rPr>
            <w:rStyle w:val="Hyperlink"/>
          </w:rPr>
          <w:t>https://makersite.io/insights/whitepaper-the-cost-of-greenwashing/</w:t>
        </w:r>
      </w:hyperlink>
      <w:r>
        <w:t xml:space="preserve">  (accessed 13 December 2024)</w:t>
      </w:r>
    </w:p>
    <w:p w14:paraId="2522B588" w14:textId="77777777" w:rsidR="000F79E8" w:rsidRDefault="000F79E8" w:rsidP="000F79E8">
      <w:r w:rsidRPr="00486C63">
        <w:t xml:space="preserve">House of Commons Environmental Audit Committee (2019) </w:t>
      </w:r>
      <w:r w:rsidRPr="00486C63">
        <w:rPr>
          <w:i/>
          <w:iCs/>
        </w:rPr>
        <w:t>Fixing fashion: Clothing consumption and sustainability</w:t>
      </w:r>
      <w:r w:rsidRPr="00486C63">
        <w:t>. Available at: https://publications.parliament.uk/pa/cm201719/cmselect/cmenvaud/1952/1952.pdf (</w:t>
      </w:r>
      <w:r>
        <w:t>a</w:t>
      </w:r>
      <w:r w:rsidRPr="00486C63">
        <w:t>ccessed</w:t>
      </w:r>
      <w:r>
        <w:t xml:space="preserve"> 13 December 2024</w:t>
      </w:r>
      <w:r w:rsidRPr="00486C63">
        <w:t>).</w:t>
      </w:r>
    </w:p>
    <w:p w14:paraId="3F9AF7C0" w14:textId="77777777" w:rsidR="000F79E8" w:rsidRDefault="000F79E8" w:rsidP="000F79E8">
      <w:r>
        <w:t xml:space="preserve">HMRC (2024) </w:t>
      </w:r>
      <w:r w:rsidRPr="00777084">
        <w:rPr>
          <w:i/>
          <w:iCs/>
        </w:rPr>
        <w:t>VAT for Charities</w:t>
      </w:r>
      <w:r>
        <w:t xml:space="preserve">.  Available at </w:t>
      </w:r>
      <w:hyperlink r:id="rId7" w:history="1">
        <w:r w:rsidRPr="00EB56C3">
          <w:rPr>
            <w:rStyle w:val="Hyperlink"/>
          </w:rPr>
          <w:t>https://www.gov.uk/charities-vat-relief</w:t>
        </w:r>
      </w:hyperlink>
      <w:r>
        <w:t xml:space="preserve"> (accessed 13 December 2024)</w:t>
      </w:r>
    </w:p>
    <w:p w14:paraId="371F5652" w14:textId="77777777" w:rsidR="000F79E8" w:rsidRDefault="000F79E8" w:rsidP="000F79E8">
      <w:r>
        <w:t xml:space="preserve">Johnson, G. Scholes, K and Whittington, R. (2020) </w:t>
      </w:r>
      <w:r w:rsidRPr="00777084">
        <w:rPr>
          <w:i/>
          <w:iCs/>
        </w:rPr>
        <w:t>Exploring Strategy: Text and Case</w:t>
      </w:r>
      <w:r>
        <w:t>.  12 the Edition Harlow: Pearson Education.</w:t>
      </w:r>
    </w:p>
    <w:p w14:paraId="483F4BE6" w14:textId="77777777" w:rsidR="000F79E8" w:rsidRDefault="000F79E8" w:rsidP="000F79E8">
      <w:r w:rsidRPr="00486C63">
        <w:t xml:space="preserve">Liu, H., Lee, J. and Lee, S. (2014) 'The impact of corporate social responsibility on employee organizational commitment: Evidence from the charity sector', </w:t>
      </w:r>
      <w:r w:rsidRPr="00486C63">
        <w:rPr>
          <w:i/>
          <w:iCs/>
        </w:rPr>
        <w:t>Journal of Business Ethics</w:t>
      </w:r>
      <w:r w:rsidRPr="00486C63">
        <w:t xml:space="preserve">, 122(1), pp. 75-88. </w:t>
      </w:r>
    </w:p>
    <w:p w14:paraId="3F4F94AA" w14:textId="77777777" w:rsidR="000F79E8" w:rsidRDefault="000F79E8" w:rsidP="000F79E8">
      <w:r>
        <w:t xml:space="preserve">National Cyber Security Centre (2023) Charities Offered the latest insight into key cyber threats to help keep out attackers.  Available at </w:t>
      </w:r>
      <w:hyperlink r:id="rId8" w:history="1">
        <w:r w:rsidRPr="00EB56C3">
          <w:rPr>
            <w:rStyle w:val="Hyperlink"/>
          </w:rPr>
          <w:t>https://www.ncsc.gov.uk/news/charities-offered-latest-insight-into-key-cyber-threats-to-help-keep-out-attackers?utm_source=chatgpt.com</w:t>
        </w:r>
      </w:hyperlink>
      <w:r>
        <w:t>.  Accessed 13 December 2024</w:t>
      </w:r>
    </w:p>
    <w:p w14:paraId="6B071CFD" w14:textId="77777777" w:rsidR="000F79E8" w:rsidRDefault="000F79E8" w:rsidP="000F79E8">
      <w:r>
        <w:t xml:space="preserve">Porter, M (2004) Competitive Advantage: </w:t>
      </w:r>
      <w:r w:rsidRPr="00777084">
        <w:rPr>
          <w:i/>
          <w:iCs/>
        </w:rPr>
        <w:t>Creating and Sustaining Superior Performance</w:t>
      </w:r>
      <w:r>
        <w:t>.  New York: Free Press.</w:t>
      </w:r>
    </w:p>
    <w:p w14:paraId="0AF010F2" w14:textId="77777777" w:rsidR="000F79E8" w:rsidRDefault="000F79E8" w:rsidP="000F79E8">
      <w:r>
        <w:t xml:space="preserve">Waterfall, J. (2024) What cybersecurity measures do charities need in 2024. </w:t>
      </w:r>
      <w:r w:rsidRPr="00B26C44">
        <w:rPr>
          <w:i/>
          <w:iCs/>
        </w:rPr>
        <w:t>Charity Digital</w:t>
      </w:r>
      <w:r>
        <w:t>, 6 June.  Available at</w:t>
      </w:r>
      <w:r w:rsidRPr="00777084">
        <w:t xml:space="preserve"> </w:t>
      </w:r>
      <w:hyperlink r:id="rId9" w:history="1">
        <w:r w:rsidRPr="00EB56C3">
          <w:rPr>
            <w:rStyle w:val="Hyperlink"/>
          </w:rPr>
          <w:t>https://charitydigital.org.uk/topics/what-cyber-security-measures-do-charities-need-in-2024-11376</w:t>
        </w:r>
      </w:hyperlink>
      <w:r>
        <w:t xml:space="preserve"> (accessed 13 December 2024)</w:t>
      </w:r>
    </w:p>
    <w:p w14:paraId="36C6D148" w14:textId="77777777" w:rsidR="000F79E8" w:rsidRDefault="000F79E8" w:rsidP="000F79E8"/>
    <w:p w14:paraId="396B527D" w14:textId="77777777" w:rsidR="000F79E8" w:rsidRPr="000F79E8" w:rsidRDefault="000F79E8">
      <w:pPr>
        <w:rPr>
          <w:b/>
          <w:bCs/>
        </w:rPr>
      </w:pPr>
    </w:p>
    <w:p w14:paraId="3837A362" w14:textId="3DD37401" w:rsidR="00587E04" w:rsidRDefault="00587E04"/>
    <w:sectPr w:rsidR="00587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2CD"/>
    <w:rsid w:val="000C0E54"/>
    <w:rsid w:val="000F79E8"/>
    <w:rsid w:val="00587E04"/>
    <w:rsid w:val="0066150F"/>
    <w:rsid w:val="006A07CD"/>
    <w:rsid w:val="006A740A"/>
    <w:rsid w:val="008C02CD"/>
    <w:rsid w:val="0095724B"/>
    <w:rsid w:val="00A4127A"/>
    <w:rsid w:val="00CB0242"/>
    <w:rsid w:val="00DD2ADF"/>
    <w:rsid w:val="00FA3150"/>
    <w:rsid w:val="00FF2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4AFE5"/>
  <w15:chartTrackingRefBased/>
  <w15:docId w15:val="{78ECE67B-4FCA-49A6-9477-930BB73FA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2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2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2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2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2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2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2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2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2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2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2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2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2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2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2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2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2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2CD"/>
    <w:rPr>
      <w:rFonts w:eastAsiaTheme="majorEastAsia" w:cstheme="majorBidi"/>
      <w:color w:val="272727" w:themeColor="text1" w:themeTint="D8"/>
    </w:rPr>
  </w:style>
  <w:style w:type="paragraph" w:styleId="Title">
    <w:name w:val="Title"/>
    <w:basedOn w:val="Normal"/>
    <w:next w:val="Normal"/>
    <w:link w:val="TitleChar"/>
    <w:uiPriority w:val="10"/>
    <w:qFormat/>
    <w:rsid w:val="008C02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2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2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2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2CD"/>
    <w:pPr>
      <w:spacing w:before="160"/>
      <w:jc w:val="center"/>
    </w:pPr>
    <w:rPr>
      <w:i/>
      <w:iCs/>
      <w:color w:val="404040" w:themeColor="text1" w:themeTint="BF"/>
    </w:rPr>
  </w:style>
  <w:style w:type="character" w:customStyle="1" w:styleId="QuoteChar">
    <w:name w:val="Quote Char"/>
    <w:basedOn w:val="DefaultParagraphFont"/>
    <w:link w:val="Quote"/>
    <w:uiPriority w:val="29"/>
    <w:rsid w:val="008C02CD"/>
    <w:rPr>
      <w:i/>
      <w:iCs/>
      <w:color w:val="404040" w:themeColor="text1" w:themeTint="BF"/>
    </w:rPr>
  </w:style>
  <w:style w:type="paragraph" w:styleId="ListParagraph">
    <w:name w:val="List Paragraph"/>
    <w:basedOn w:val="Normal"/>
    <w:uiPriority w:val="34"/>
    <w:qFormat/>
    <w:rsid w:val="008C02CD"/>
    <w:pPr>
      <w:ind w:left="720"/>
      <w:contextualSpacing/>
    </w:pPr>
  </w:style>
  <w:style w:type="character" w:styleId="IntenseEmphasis">
    <w:name w:val="Intense Emphasis"/>
    <w:basedOn w:val="DefaultParagraphFont"/>
    <w:uiPriority w:val="21"/>
    <w:qFormat/>
    <w:rsid w:val="008C02CD"/>
    <w:rPr>
      <w:i/>
      <w:iCs/>
      <w:color w:val="0F4761" w:themeColor="accent1" w:themeShade="BF"/>
    </w:rPr>
  </w:style>
  <w:style w:type="paragraph" w:styleId="IntenseQuote">
    <w:name w:val="Intense Quote"/>
    <w:basedOn w:val="Normal"/>
    <w:next w:val="Normal"/>
    <w:link w:val="IntenseQuoteChar"/>
    <w:uiPriority w:val="30"/>
    <w:qFormat/>
    <w:rsid w:val="008C02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2CD"/>
    <w:rPr>
      <w:i/>
      <w:iCs/>
      <w:color w:val="0F4761" w:themeColor="accent1" w:themeShade="BF"/>
    </w:rPr>
  </w:style>
  <w:style w:type="character" w:styleId="IntenseReference">
    <w:name w:val="Intense Reference"/>
    <w:basedOn w:val="DefaultParagraphFont"/>
    <w:uiPriority w:val="32"/>
    <w:qFormat/>
    <w:rsid w:val="008C02CD"/>
    <w:rPr>
      <w:b/>
      <w:bCs/>
      <w:smallCaps/>
      <w:color w:val="0F4761" w:themeColor="accent1" w:themeShade="BF"/>
      <w:spacing w:val="5"/>
    </w:rPr>
  </w:style>
  <w:style w:type="character" w:styleId="Hyperlink">
    <w:name w:val="Hyperlink"/>
    <w:basedOn w:val="DefaultParagraphFont"/>
    <w:uiPriority w:val="99"/>
    <w:unhideWhenUsed/>
    <w:rsid w:val="000F79E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sc.gov.uk/news/charities-offered-latest-insight-into-key-cyber-threats-to-help-keep-out-attackers?utm_source=chatgpt.com" TargetMode="External"/><Relationship Id="rId3" Type="http://schemas.openxmlformats.org/officeDocument/2006/relationships/settings" Target="settings.xml"/><Relationship Id="rId7" Type="http://schemas.openxmlformats.org/officeDocument/2006/relationships/hyperlink" Target="https://www.gov.uk/charities-vat-relie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makersite.io/insights/whitepaper-the-cost-of-greenwashing/" TargetMode="External"/><Relationship Id="rId11" Type="http://schemas.openxmlformats.org/officeDocument/2006/relationships/theme" Target="theme/theme1.xml"/><Relationship Id="rId5" Type="http://schemas.openxmlformats.org/officeDocument/2006/relationships/hyperlink" Target="https://www.cipd.org/uk/knowledge/factsheets/pestle-analysis-factshee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haritydigital.org.uk/topics/what-cyber-security-measures-do-charities-need-in-2024-11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74C28-ACEB-4089-9DAC-FBD1DEC84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5</Pages>
  <Words>1454</Words>
  <Characters>8797</Characters>
  <Application>Microsoft Office Word</Application>
  <DocSecurity>0</DocSecurity>
  <Lines>144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McNamara (2319601)</dc:creator>
  <cp:keywords/>
  <dc:description/>
  <cp:lastModifiedBy>Amanda McNamara (2319601)</cp:lastModifiedBy>
  <cp:revision>2</cp:revision>
  <dcterms:created xsi:type="dcterms:W3CDTF">2024-12-13T18:20:00Z</dcterms:created>
  <dcterms:modified xsi:type="dcterms:W3CDTF">2024-12-13T22:25:00Z</dcterms:modified>
</cp:coreProperties>
</file>