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68699B" w14:textId="559B5CC3" w:rsidR="00B42639" w:rsidRDefault="00B42639">
      <w:r>
        <w:rPr>
          <w:noProof/>
        </w:rPr>
        <w:drawing>
          <wp:anchor distT="0" distB="0" distL="114300" distR="114300" simplePos="0" relativeHeight="251658240" behindDoc="0" locked="0" layoutInCell="1" allowOverlap="1" wp14:anchorId="2E09CC91" wp14:editId="44428DD0">
            <wp:simplePos x="0" y="0"/>
            <wp:positionH relativeFrom="margin">
              <wp:align>center</wp:align>
            </wp:positionH>
            <wp:positionV relativeFrom="paragraph">
              <wp:posOffset>-259080</wp:posOffset>
            </wp:positionV>
            <wp:extent cx="6750070" cy="9387840"/>
            <wp:effectExtent l="0" t="0" r="0" b="3810"/>
            <wp:wrapNone/>
            <wp:docPr id="5685063" name="Picture 1" descr="A close-up of a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85063" name="Picture 1" descr="A close-up of a chart&#10;&#10;AI-generated content may be incorrect."/>
                    <pic:cNvPicPr/>
                  </pic:nvPicPr>
                  <pic:blipFill>
                    <a:blip r:embed="rId4">
                      <a:extLst>
                        <a:ext uri="{28A0092B-C50C-407E-A947-70E740481C1C}">
                          <a14:useLocalDpi xmlns:a14="http://schemas.microsoft.com/office/drawing/2010/main" val="0"/>
                        </a:ext>
                      </a:extLst>
                    </a:blip>
                    <a:stretch>
                      <a:fillRect/>
                    </a:stretch>
                  </pic:blipFill>
                  <pic:spPr>
                    <a:xfrm>
                      <a:off x="0" y="0"/>
                      <a:ext cx="6750070" cy="9387840"/>
                    </a:xfrm>
                    <a:prstGeom prst="rect">
                      <a:avLst/>
                    </a:prstGeom>
                  </pic:spPr>
                </pic:pic>
              </a:graphicData>
            </a:graphic>
            <wp14:sizeRelH relativeFrom="margin">
              <wp14:pctWidth>0</wp14:pctWidth>
            </wp14:sizeRelH>
            <wp14:sizeRelV relativeFrom="margin">
              <wp14:pctHeight>0</wp14:pctHeight>
            </wp14:sizeRelV>
          </wp:anchor>
        </w:drawing>
      </w:r>
    </w:p>
    <w:p w14:paraId="15D1F1F3" w14:textId="77777777" w:rsidR="00B42639" w:rsidRDefault="00B42639">
      <w:r>
        <w:br w:type="page"/>
      </w:r>
    </w:p>
    <w:p w14:paraId="3F37D681" w14:textId="7432F415" w:rsidR="00B42639" w:rsidRPr="00B42639" w:rsidRDefault="00B42639" w:rsidP="00B42639">
      <w:pPr>
        <w:pStyle w:val="Heading1"/>
        <w:jc w:val="center"/>
      </w:pPr>
      <w:r w:rsidRPr="00B42639">
        <w:lastRenderedPageBreak/>
        <w:t>Reflection on Poster Presentation – Reconstruction and Reopening of Highway 5 (Coquihalla Highway)</w:t>
      </w:r>
    </w:p>
    <w:p w14:paraId="6935B3F0" w14:textId="77777777" w:rsidR="00B42639" w:rsidRPr="00E9335F" w:rsidRDefault="00B42639" w:rsidP="00B42639">
      <w:pPr>
        <w:rPr>
          <w:rFonts w:ascii="Arial" w:hAnsi="Arial" w:cs="Arial"/>
          <w:sz w:val="24"/>
          <w:szCs w:val="24"/>
        </w:rPr>
      </w:pPr>
    </w:p>
    <w:p w14:paraId="4C44E49D" w14:textId="5F483C84" w:rsidR="00B42639" w:rsidRPr="00E9335F" w:rsidRDefault="00B42639" w:rsidP="00B42639">
      <w:pPr>
        <w:rPr>
          <w:rFonts w:ascii="Arial" w:hAnsi="Arial" w:cs="Arial"/>
          <w:sz w:val="24"/>
          <w:szCs w:val="24"/>
        </w:rPr>
      </w:pPr>
      <w:r w:rsidRPr="00E9335F">
        <w:rPr>
          <w:rFonts w:ascii="Arial" w:hAnsi="Arial" w:cs="Arial"/>
          <w:sz w:val="24"/>
          <w:szCs w:val="24"/>
        </w:rPr>
        <w:t xml:space="preserve">This reflection uses Kolb’s Experiential Learning Cycle to evaluate the experience of presenting the poster titled *Reconstruction and Reopening of Highway 5 (Coquihalla </w:t>
      </w:r>
      <w:r w:rsidRPr="00E9335F">
        <w:rPr>
          <w:rFonts w:ascii="Arial" w:hAnsi="Arial" w:cs="Arial"/>
          <w:sz w:val="24"/>
          <w:szCs w:val="24"/>
        </w:rPr>
        <w:t>Highway) *</w:t>
      </w:r>
      <w:r w:rsidRPr="00E9335F">
        <w:rPr>
          <w:rFonts w:ascii="Arial" w:hAnsi="Arial" w:cs="Arial"/>
          <w:sz w:val="24"/>
          <w:szCs w:val="24"/>
        </w:rPr>
        <w:t xml:space="preserve"> for the Project Management module. The poster focused on the recovery of Highway 5 after severe flooding in British Columbia in 2022. The project used tools such as a Work Breakdown Structure, Quad Chart, Gantt chart, RACI matrix, and risk assessment to show how the highway could be safely rebuilt and reopened.</w:t>
      </w:r>
    </w:p>
    <w:p w14:paraId="0A03407E" w14:textId="77777777" w:rsidR="00B42639" w:rsidRPr="00E9335F" w:rsidRDefault="00B42639" w:rsidP="00B42639">
      <w:pPr>
        <w:rPr>
          <w:rFonts w:ascii="Arial" w:hAnsi="Arial" w:cs="Arial"/>
          <w:sz w:val="24"/>
          <w:szCs w:val="24"/>
        </w:rPr>
      </w:pPr>
    </w:p>
    <w:p w14:paraId="39CDD301" w14:textId="357AA1AC" w:rsidR="00B42639" w:rsidRPr="00E9335F" w:rsidRDefault="00B42639" w:rsidP="00B42639">
      <w:pPr>
        <w:rPr>
          <w:rFonts w:ascii="Arial" w:hAnsi="Arial" w:cs="Arial"/>
          <w:sz w:val="24"/>
          <w:szCs w:val="24"/>
        </w:rPr>
      </w:pPr>
      <w:r w:rsidRPr="00E9335F">
        <w:rPr>
          <w:rFonts w:ascii="Arial" w:hAnsi="Arial" w:cs="Arial"/>
          <w:sz w:val="24"/>
          <w:szCs w:val="24"/>
        </w:rPr>
        <w:t>Concrete Experience</w:t>
      </w:r>
    </w:p>
    <w:p w14:paraId="28248DCE" w14:textId="77777777" w:rsidR="00B42639" w:rsidRPr="00E9335F" w:rsidRDefault="00B42639" w:rsidP="00B42639">
      <w:pPr>
        <w:rPr>
          <w:rFonts w:ascii="Arial" w:hAnsi="Arial" w:cs="Arial"/>
          <w:sz w:val="24"/>
          <w:szCs w:val="24"/>
        </w:rPr>
      </w:pPr>
      <w:r w:rsidRPr="00E9335F">
        <w:rPr>
          <w:rFonts w:ascii="Arial" w:hAnsi="Arial" w:cs="Arial"/>
          <w:sz w:val="24"/>
          <w:szCs w:val="24"/>
        </w:rPr>
        <w:t>The concrete experience involved presenting the poster to peers and tutors and explaining the project plan. The presentation described how landslides and bridge collapses damaged Highway 5 and how the project aimed to restore safe travel for people and goods. Visual tools were used to explain the project timeline, key tasks, stakeholders, and risks. The experience required explaining technical information clearly while managing time and maintaining confidence during delivery.</w:t>
      </w:r>
    </w:p>
    <w:p w14:paraId="1D60D368" w14:textId="77777777" w:rsidR="00B42639" w:rsidRPr="00E9335F" w:rsidRDefault="00B42639" w:rsidP="00B42639">
      <w:pPr>
        <w:rPr>
          <w:rFonts w:ascii="Arial" w:hAnsi="Arial" w:cs="Arial"/>
          <w:sz w:val="24"/>
          <w:szCs w:val="24"/>
        </w:rPr>
      </w:pPr>
    </w:p>
    <w:p w14:paraId="269AFFC5" w14:textId="31EA5938" w:rsidR="00B42639" w:rsidRPr="00E9335F" w:rsidRDefault="00B42639" w:rsidP="00B42639">
      <w:pPr>
        <w:rPr>
          <w:rFonts w:ascii="Arial" w:hAnsi="Arial" w:cs="Arial"/>
          <w:sz w:val="24"/>
          <w:szCs w:val="24"/>
        </w:rPr>
      </w:pPr>
      <w:r w:rsidRPr="00E9335F">
        <w:rPr>
          <w:rFonts w:ascii="Arial" w:hAnsi="Arial" w:cs="Arial"/>
          <w:sz w:val="24"/>
          <w:szCs w:val="24"/>
        </w:rPr>
        <w:t>Reflective Observation</w:t>
      </w:r>
    </w:p>
    <w:p w14:paraId="2352EAE1" w14:textId="77777777" w:rsidR="00B42639" w:rsidRPr="00E9335F" w:rsidRDefault="00B42639" w:rsidP="00B42639">
      <w:pPr>
        <w:rPr>
          <w:rFonts w:ascii="Arial" w:hAnsi="Arial" w:cs="Arial"/>
          <w:sz w:val="24"/>
          <w:szCs w:val="24"/>
        </w:rPr>
      </w:pPr>
      <w:r w:rsidRPr="00E9335F">
        <w:rPr>
          <w:rFonts w:ascii="Arial" w:hAnsi="Arial" w:cs="Arial"/>
          <w:sz w:val="24"/>
          <w:szCs w:val="24"/>
        </w:rPr>
        <w:t>While presenting, it was observed that the poster layout helped structure the explanation. The introduction clearly explained the problem, and the Gantt chart helped show how the project would be completed over time. The RACI matrix also helped explain stakeholder roles in a simple way. Confidence improved as the presentation continued. However, it was noticed that time management was a challenge. The risk assessment section was explained too quickly, which reduced clarity and limited discussion of mitigation measures.</w:t>
      </w:r>
    </w:p>
    <w:p w14:paraId="3F098A10" w14:textId="77777777" w:rsidR="00B42639" w:rsidRPr="00E9335F" w:rsidRDefault="00B42639" w:rsidP="00B42639">
      <w:pPr>
        <w:rPr>
          <w:rFonts w:ascii="Arial" w:hAnsi="Arial" w:cs="Arial"/>
          <w:sz w:val="24"/>
          <w:szCs w:val="24"/>
        </w:rPr>
      </w:pPr>
    </w:p>
    <w:p w14:paraId="6C0256DC" w14:textId="70232961" w:rsidR="00B42639" w:rsidRPr="00E9335F" w:rsidRDefault="00B42639" w:rsidP="00B42639">
      <w:pPr>
        <w:rPr>
          <w:rFonts w:ascii="Arial" w:hAnsi="Arial" w:cs="Arial"/>
          <w:sz w:val="24"/>
          <w:szCs w:val="24"/>
        </w:rPr>
      </w:pPr>
      <w:r w:rsidRPr="00E9335F">
        <w:rPr>
          <w:rFonts w:ascii="Arial" w:hAnsi="Arial" w:cs="Arial"/>
          <w:sz w:val="24"/>
          <w:szCs w:val="24"/>
        </w:rPr>
        <w:t>Abstract Conceptualisation</w:t>
      </w:r>
    </w:p>
    <w:p w14:paraId="30CB27F7" w14:textId="77777777" w:rsidR="00B42639" w:rsidRPr="00E9335F" w:rsidRDefault="00B42639" w:rsidP="00B42639">
      <w:pPr>
        <w:rPr>
          <w:rFonts w:ascii="Arial" w:hAnsi="Arial" w:cs="Arial"/>
          <w:sz w:val="24"/>
          <w:szCs w:val="24"/>
        </w:rPr>
      </w:pPr>
      <w:r w:rsidRPr="00E9335F">
        <w:rPr>
          <w:rFonts w:ascii="Arial" w:hAnsi="Arial" w:cs="Arial"/>
          <w:sz w:val="24"/>
          <w:szCs w:val="24"/>
        </w:rPr>
        <w:t>From this experience, important lessons were learned and linked to project management theory. Visual planning tools are effective for explaining complex infrastructure projects, especially when time is limited. However, clear communication is just as important as technical accuracy. Risk management is a key part of project planning and should be clearly explained to show control and preparedness. This reflects good project management practice, where stakeholders need confidence that risks are understood and managed.</w:t>
      </w:r>
    </w:p>
    <w:p w14:paraId="7CC8F3E3" w14:textId="77777777" w:rsidR="00B42639" w:rsidRPr="00E9335F" w:rsidRDefault="00B42639" w:rsidP="00B42639">
      <w:pPr>
        <w:rPr>
          <w:rFonts w:ascii="Arial" w:hAnsi="Arial" w:cs="Arial"/>
          <w:sz w:val="24"/>
          <w:szCs w:val="24"/>
        </w:rPr>
      </w:pPr>
    </w:p>
    <w:p w14:paraId="44413E68" w14:textId="1BA80568" w:rsidR="00B42639" w:rsidRPr="00E9335F" w:rsidRDefault="00B42639" w:rsidP="00B42639">
      <w:pPr>
        <w:rPr>
          <w:rFonts w:ascii="Arial" w:hAnsi="Arial" w:cs="Arial"/>
          <w:sz w:val="24"/>
          <w:szCs w:val="24"/>
        </w:rPr>
      </w:pPr>
      <w:r w:rsidRPr="00E9335F">
        <w:rPr>
          <w:rFonts w:ascii="Arial" w:hAnsi="Arial" w:cs="Arial"/>
          <w:sz w:val="24"/>
          <w:szCs w:val="24"/>
        </w:rPr>
        <w:t>Active Experimentation</w:t>
      </w:r>
    </w:p>
    <w:p w14:paraId="1603E7D6" w14:textId="77777777" w:rsidR="00B42639" w:rsidRPr="00E9335F" w:rsidRDefault="00B42639" w:rsidP="00B42639">
      <w:pPr>
        <w:rPr>
          <w:rFonts w:ascii="Arial" w:hAnsi="Arial" w:cs="Arial"/>
          <w:sz w:val="24"/>
          <w:szCs w:val="24"/>
        </w:rPr>
      </w:pPr>
      <w:r w:rsidRPr="00E9335F">
        <w:rPr>
          <w:rFonts w:ascii="Arial" w:hAnsi="Arial" w:cs="Arial"/>
          <w:sz w:val="24"/>
          <w:szCs w:val="24"/>
        </w:rPr>
        <w:lastRenderedPageBreak/>
        <w:t>The learning from this experience will be applied to future presentations. Rehearsing with a timer will help improve pacing and ensure all sections receive balanced attention. Risk assessment explanations will be simplified and prioritised to improve understanding. Key messages will be summarised more clearly instead of explaining too much detail. Peer feedback will also be used before presenting to identify weaknesses and improve delivery.</w:t>
      </w:r>
    </w:p>
    <w:p w14:paraId="2EE1BE3B" w14:textId="77777777" w:rsidR="00B42639" w:rsidRPr="00E9335F" w:rsidRDefault="00B42639" w:rsidP="00B42639">
      <w:pPr>
        <w:rPr>
          <w:rFonts w:ascii="Arial" w:hAnsi="Arial" w:cs="Arial"/>
          <w:sz w:val="24"/>
          <w:szCs w:val="24"/>
        </w:rPr>
      </w:pPr>
    </w:p>
    <w:p w14:paraId="00902839" w14:textId="61DE6394" w:rsidR="00E9335F" w:rsidRDefault="00B42639" w:rsidP="00B42639">
      <w:pPr>
        <w:rPr>
          <w:rFonts w:ascii="Arial" w:hAnsi="Arial" w:cs="Arial"/>
          <w:sz w:val="24"/>
          <w:szCs w:val="24"/>
        </w:rPr>
      </w:pPr>
      <w:r w:rsidRPr="00E9335F">
        <w:rPr>
          <w:rFonts w:ascii="Arial" w:hAnsi="Arial" w:cs="Arial"/>
          <w:sz w:val="24"/>
          <w:szCs w:val="24"/>
        </w:rPr>
        <w:t>In summary, using Kolb’s Experiential Learning Cycle helped turn the poster presentation into a meaningful learning experience. The reflection supported learning from experience, linking theory to practice, and planning improvements. This process helped develop communication skills, confidence, and understanding of project management in real infrastructure projects.</w:t>
      </w:r>
    </w:p>
    <w:p w14:paraId="4FBC3B15" w14:textId="77777777" w:rsidR="00E9335F" w:rsidRPr="00E9335F" w:rsidRDefault="00E9335F" w:rsidP="00C00B9D">
      <w:pPr>
        <w:pStyle w:val="Heading1"/>
        <w:jc w:val="center"/>
      </w:pPr>
      <w:r>
        <w:br w:type="column"/>
      </w:r>
      <w:r w:rsidRPr="00E9335F">
        <w:lastRenderedPageBreak/>
        <w:t>PROJECT MANAGEMENT PLAN</w:t>
      </w:r>
    </w:p>
    <w:p w14:paraId="5C076311" w14:textId="77777777" w:rsidR="001C637D" w:rsidRPr="001C637D" w:rsidRDefault="001C637D" w:rsidP="001C637D">
      <w:pPr>
        <w:jc w:val="center"/>
        <w:rPr>
          <w:rFonts w:ascii="Arial" w:hAnsi="Arial" w:cs="Arial"/>
          <w:sz w:val="24"/>
          <w:szCs w:val="24"/>
        </w:rPr>
      </w:pPr>
      <w:r w:rsidRPr="001C637D">
        <w:rPr>
          <w:rFonts w:ascii="Arial" w:hAnsi="Arial" w:cs="Arial"/>
          <w:sz w:val="24"/>
          <w:szCs w:val="24"/>
        </w:rPr>
        <w:t>Reconstruction and Reopening of Highway 5 (Coquihalla Highway), British Columbia</w:t>
      </w:r>
    </w:p>
    <w:p w14:paraId="2270760B" w14:textId="77777777" w:rsidR="001C637D" w:rsidRPr="001C637D" w:rsidRDefault="001C637D" w:rsidP="001C637D">
      <w:pPr>
        <w:rPr>
          <w:rFonts w:ascii="Arial" w:hAnsi="Arial" w:cs="Arial"/>
          <w:sz w:val="24"/>
          <w:szCs w:val="24"/>
        </w:rPr>
      </w:pPr>
    </w:p>
    <w:p w14:paraId="4F6D48EE" w14:textId="77777777" w:rsidR="001C637D" w:rsidRPr="001C637D" w:rsidRDefault="001C637D" w:rsidP="001C637D">
      <w:pPr>
        <w:rPr>
          <w:rFonts w:ascii="Arial" w:hAnsi="Arial" w:cs="Arial"/>
          <w:sz w:val="24"/>
          <w:szCs w:val="24"/>
        </w:rPr>
      </w:pPr>
      <w:r w:rsidRPr="001C637D">
        <w:rPr>
          <w:rFonts w:ascii="Arial" w:hAnsi="Arial" w:cs="Arial"/>
          <w:sz w:val="24"/>
          <w:szCs w:val="24"/>
        </w:rPr>
        <w:t>1. Introduction</w:t>
      </w:r>
    </w:p>
    <w:p w14:paraId="2E93B07F" w14:textId="77777777" w:rsidR="001C637D" w:rsidRPr="001C637D" w:rsidRDefault="001C637D" w:rsidP="001C637D">
      <w:pPr>
        <w:rPr>
          <w:rFonts w:ascii="Arial" w:hAnsi="Arial" w:cs="Arial"/>
          <w:sz w:val="24"/>
          <w:szCs w:val="24"/>
        </w:rPr>
      </w:pPr>
    </w:p>
    <w:p w14:paraId="72E6D066" w14:textId="77777777" w:rsidR="001C637D" w:rsidRPr="001C637D" w:rsidRDefault="001C637D" w:rsidP="001C637D">
      <w:pPr>
        <w:rPr>
          <w:rFonts w:ascii="Arial" w:hAnsi="Arial" w:cs="Arial"/>
          <w:sz w:val="24"/>
          <w:szCs w:val="24"/>
        </w:rPr>
      </w:pPr>
      <w:r w:rsidRPr="001C637D">
        <w:rPr>
          <w:rFonts w:ascii="Arial" w:hAnsi="Arial" w:cs="Arial"/>
          <w:sz w:val="24"/>
          <w:szCs w:val="24"/>
        </w:rPr>
        <w:t>Highway 5, widely known as the Coquihalla Highway, represents a strategic transportation corridor within British Columbia. It provides a direct connection between the Lower Mainland, the Interior region, and national freight networks across Canada. The highway plays a critical role in passenger mobility, commercial logistics, emergency response, and regional economic stability. In 2022, unprecedented rainfall associated with an atmospheric river triggered extensive flooding, landslides, and infrastructure failures along Highway 5. Several bridges collapsed, road embankments were washed away, and drainage systems failed, resulting in extended highway closures and severe socio-economic disruption.</w:t>
      </w:r>
    </w:p>
    <w:p w14:paraId="1BD5D836" w14:textId="77777777" w:rsidR="001C637D" w:rsidRPr="001C637D" w:rsidRDefault="001C637D" w:rsidP="001C637D">
      <w:pPr>
        <w:rPr>
          <w:rFonts w:ascii="Arial" w:hAnsi="Arial" w:cs="Arial"/>
          <w:sz w:val="24"/>
          <w:szCs w:val="24"/>
        </w:rPr>
      </w:pPr>
    </w:p>
    <w:p w14:paraId="75D44C88" w14:textId="77777777" w:rsidR="001C637D" w:rsidRPr="001C637D" w:rsidRDefault="001C637D" w:rsidP="001C637D">
      <w:pPr>
        <w:rPr>
          <w:rFonts w:ascii="Arial" w:hAnsi="Arial" w:cs="Arial"/>
          <w:sz w:val="24"/>
          <w:szCs w:val="24"/>
        </w:rPr>
      </w:pPr>
      <w:r w:rsidRPr="001C637D">
        <w:rPr>
          <w:rFonts w:ascii="Arial" w:hAnsi="Arial" w:cs="Arial"/>
          <w:sz w:val="24"/>
          <w:szCs w:val="24"/>
        </w:rPr>
        <w:t>This Project Management Plan presents a comprehensive and structured approach for the reconstruction and reopening of Highway 5. The plan is developed using recognised project management principles and techniques discussed in the module, including scope definition, work breakdown structures, scheduling, stakeholder engagement, resource planning, and risk management. The primary purpose of this document is to provide stakeholders with a realistic and controlled framework to restore the highway safely while enhancing long-term resilience to future extreme weather events.</w:t>
      </w:r>
    </w:p>
    <w:p w14:paraId="6C88F118" w14:textId="77777777" w:rsidR="001C637D" w:rsidRPr="001C637D" w:rsidRDefault="001C637D" w:rsidP="001C637D">
      <w:pPr>
        <w:rPr>
          <w:rFonts w:ascii="Arial" w:hAnsi="Arial" w:cs="Arial"/>
          <w:sz w:val="24"/>
          <w:szCs w:val="24"/>
        </w:rPr>
      </w:pPr>
    </w:p>
    <w:p w14:paraId="5C9610F1" w14:textId="77777777" w:rsidR="001C637D" w:rsidRPr="001C637D" w:rsidRDefault="001C637D" w:rsidP="001C637D">
      <w:pPr>
        <w:rPr>
          <w:rFonts w:ascii="Arial" w:hAnsi="Arial" w:cs="Arial"/>
          <w:sz w:val="24"/>
          <w:szCs w:val="24"/>
        </w:rPr>
      </w:pPr>
      <w:r w:rsidRPr="001C637D">
        <w:rPr>
          <w:rFonts w:ascii="Arial" w:hAnsi="Arial" w:cs="Arial"/>
          <w:sz w:val="24"/>
          <w:szCs w:val="24"/>
        </w:rPr>
        <w:t>2. Project Description</w:t>
      </w:r>
    </w:p>
    <w:p w14:paraId="0414C4B2" w14:textId="77777777" w:rsidR="001C637D" w:rsidRPr="001C637D" w:rsidRDefault="001C637D" w:rsidP="001C637D">
      <w:pPr>
        <w:rPr>
          <w:rFonts w:ascii="Arial" w:hAnsi="Arial" w:cs="Arial"/>
          <w:sz w:val="24"/>
          <w:szCs w:val="24"/>
        </w:rPr>
      </w:pPr>
    </w:p>
    <w:p w14:paraId="2BCA9DA8" w14:textId="77777777" w:rsidR="001C637D" w:rsidRPr="001C637D" w:rsidRDefault="001C637D" w:rsidP="001C637D">
      <w:pPr>
        <w:rPr>
          <w:rFonts w:ascii="Arial" w:hAnsi="Arial" w:cs="Arial"/>
          <w:sz w:val="24"/>
          <w:szCs w:val="24"/>
        </w:rPr>
      </w:pPr>
      <w:r w:rsidRPr="001C637D">
        <w:rPr>
          <w:rFonts w:ascii="Arial" w:hAnsi="Arial" w:cs="Arial"/>
          <w:sz w:val="24"/>
          <w:szCs w:val="24"/>
        </w:rPr>
        <w:t>The Reconstruction and Reopening of Highway 5 project focuses on restoring damaged infrastructure and improving resilience against future flooding and landslide events. The scope of damage from the 2022 flooding included collapsed bridge structures, eroded road surfaces, blocked drainage channels, and unstable slopes. These failures disrupted essential transport links and highlighted the vulnerability of critical infrastructure to climate-related risks.</w:t>
      </w:r>
    </w:p>
    <w:p w14:paraId="170F0A54" w14:textId="77777777" w:rsidR="001C637D" w:rsidRPr="001C637D" w:rsidRDefault="001C637D" w:rsidP="001C637D">
      <w:pPr>
        <w:rPr>
          <w:rFonts w:ascii="Arial" w:hAnsi="Arial" w:cs="Arial"/>
          <w:sz w:val="24"/>
          <w:szCs w:val="24"/>
        </w:rPr>
      </w:pPr>
    </w:p>
    <w:p w14:paraId="370BF941" w14:textId="77777777" w:rsidR="001C637D" w:rsidRPr="001C637D" w:rsidRDefault="001C637D" w:rsidP="001C637D">
      <w:pPr>
        <w:rPr>
          <w:rFonts w:ascii="Arial" w:hAnsi="Arial" w:cs="Arial"/>
          <w:sz w:val="24"/>
          <w:szCs w:val="24"/>
        </w:rPr>
      </w:pPr>
      <w:r w:rsidRPr="001C637D">
        <w:rPr>
          <w:rFonts w:ascii="Arial" w:hAnsi="Arial" w:cs="Arial"/>
          <w:sz w:val="24"/>
          <w:szCs w:val="24"/>
        </w:rPr>
        <w:t xml:space="preserve">The project is designed as a twelve-month recovery programme that balances urgency with safety, quality, and environmental responsibility. Major activities include bridge reconstruction, roadway repairs, drainage system upgrades, slope stabilisation, and implementation of enhanced safety measures. The project adopts a resilience-based approach, ensuring that reconstructed assets meet higher </w:t>
      </w:r>
      <w:r w:rsidRPr="001C637D">
        <w:rPr>
          <w:rFonts w:ascii="Arial" w:hAnsi="Arial" w:cs="Arial"/>
          <w:sz w:val="24"/>
          <w:szCs w:val="24"/>
        </w:rPr>
        <w:lastRenderedPageBreak/>
        <w:t>engineering and environmental standards than those in place prior to the flooding event.</w:t>
      </w:r>
    </w:p>
    <w:p w14:paraId="61660A0E" w14:textId="77777777" w:rsidR="001C637D" w:rsidRPr="001C637D" w:rsidRDefault="001C637D" w:rsidP="001C637D">
      <w:pPr>
        <w:rPr>
          <w:rFonts w:ascii="Arial" w:hAnsi="Arial" w:cs="Arial"/>
          <w:sz w:val="24"/>
          <w:szCs w:val="24"/>
        </w:rPr>
      </w:pPr>
    </w:p>
    <w:p w14:paraId="229C93F4" w14:textId="77777777" w:rsidR="001C637D" w:rsidRPr="001C637D" w:rsidRDefault="001C637D" w:rsidP="001C637D">
      <w:pPr>
        <w:rPr>
          <w:rFonts w:ascii="Arial" w:hAnsi="Arial" w:cs="Arial"/>
          <w:sz w:val="24"/>
          <w:szCs w:val="24"/>
        </w:rPr>
      </w:pPr>
      <w:r w:rsidRPr="001C637D">
        <w:rPr>
          <w:rFonts w:ascii="Arial" w:hAnsi="Arial" w:cs="Arial"/>
          <w:sz w:val="24"/>
          <w:szCs w:val="24"/>
        </w:rPr>
        <w:t>Key project objectives include restoring continuous traffic flow, ensuring road user safety, reducing the likelihood of future closures, complying with environmental regulations, and maintaining transparency with affected communities and stakeholders. The project involves coordination between multiple public and private organisations, requiring strong governance and structured project management oversight.</w:t>
      </w:r>
    </w:p>
    <w:p w14:paraId="6BE4BB73" w14:textId="77777777" w:rsidR="001C637D" w:rsidRPr="001C637D" w:rsidRDefault="001C637D" w:rsidP="001C637D">
      <w:pPr>
        <w:rPr>
          <w:rFonts w:ascii="Arial" w:hAnsi="Arial" w:cs="Arial"/>
          <w:sz w:val="24"/>
          <w:szCs w:val="24"/>
        </w:rPr>
      </w:pPr>
    </w:p>
    <w:p w14:paraId="40F81361" w14:textId="77777777" w:rsidR="001C637D" w:rsidRPr="001C637D" w:rsidRDefault="001C637D" w:rsidP="001C637D">
      <w:pPr>
        <w:rPr>
          <w:rFonts w:ascii="Arial" w:hAnsi="Arial" w:cs="Arial"/>
          <w:sz w:val="24"/>
          <w:szCs w:val="24"/>
        </w:rPr>
      </w:pPr>
      <w:r w:rsidRPr="001C637D">
        <w:rPr>
          <w:rFonts w:ascii="Arial" w:hAnsi="Arial" w:cs="Arial"/>
          <w:sz w:val="24"/>
          <w:szCs w:val="24"/>
        </w:rPr>
        <w:t>3. Project Scope</w:t>
      </w:r>
    </w:p>
    <w:p w14:paraId="080C3999" w14:textId="77777777" w:rsidR="001C637D" w:rsidRPr="001C637D" w:rsidRDefault="001C637D" w:rsidP="001C637D">
      <w:pPr>
        <w:rPr>
          <w:rFonts w:ascii="Arial" w:hAnsi="Arial" w:cs="Arial"/>
          <w:sz w:val="24"/>
          <w:szCs w:val="24"/>
        </w:rPr>
      </w:pPr>
    </w:p>
    <w:p w14:paraId="580A4F63" w14:textId="77777777" w:rsidR="001C637D" w:rsidRPr="001C637D" w:rsidRDefault="001C637D" w:rsidP="001C637D">
      <w:pPr>
        <w:rPr>
          <w:rFonts w:ascii="Arial" w:hAnsi="Arial" w:cs="Arial"/>
          <w:sz w:val="24"/>
          <w:szCs w:val="24"/>
        </w:rPr>
      </w:pPr>
      <w:r w:rsidRPr="001C637D">
        <w:rPr>
          <w:rFonts w:ascii="Arial" w:hAnsi="Arial" w:cs="Arial"/>
          <w:sz w:val="24"/>
          <w:szCs w:val="24"/>
        </w:rPr>
        <w:t>Clearly defining project scope is essential to ensure alignment between stakeholder expectations and delivered outcomes. Scope management provides boundaries that guide decision-making and prevent uncontrolled changes during delivery.</w:t>
      </w:r>
    </w:p>
    <w:p w14:paraId="1E947AA2" w14:textId="77777777" w:rsidR="001C637D" w:rsidRPr="001C637D" w:rsidRDefault="001C637D" w:rsidP="001C637D">
      <w:pPr>
        <w:rPr>
          <w:rFonts w:ascii="Arial" w:hAnsi="Arial" w:cs="Arial"/>
          <w:sz w:val="24"/>
          <w:szCs w:val="24"/>
        </w:rPr>
      </w:pPr>
    </w:p>
    <w:p w14:paraId="41316162" w14:textId="77777777" w:rsidR="001C637D" w:rsidRPr="001C637D" w:rsidRDefault="001C637D" w:rsidP="001C637D">
      <w:pPr>
        <w:rPr>
          <w:rFonts w:ascii="Arial" w:hAnsi="Arial" w:cs="Arial"/>
          <w:sz w:val="24"/>
          <w:szCs w:val="24"/>
        </w:rPr>
      </w:pPr>
      <w:r w:rsidRPr="001C637D">
        <w:rPr>
          <w:rFonts w:ascii="Arial" w:hAnsi="Arial" w:cs="Arial"/>
          <w:sz w:val="24"/>
          <w:szCs w:val="24"/>
        </w:rPr>
        <w:t>The in-scope elements of the project include detailed damage inspections, engineering design, environmental assessments, regulatory approvals, procurement of contractors and materials, reconstruction of bridges, roadway resurfacing, drainage upgrades, slope stabilisation, safety inspections, and final commissioning of the highway.</w:t>
      </w:r>
    </w:p>
    <w:p w14:paraId="1E71BFD9" w14:textId="77777777" w:rsidR="001C637D" w:rsidRPr="001C637D" w:rsidRDefault="001C637D" w:rsidP="001C637D">
      <w:pPr>
        <w:rPr>
          <w:rFonts w:ascii="Arial" w:hAnsi="Arial" w:cs="Arial"/>
          <w:sz w:val="24"/>
          <w:szCs w:val="24"/>
        </w:rPr>
      </w:pPr>
    </w:p>
    <w:p w14:paraId="0CD9BA1B" w14:textId="77777777" w:rsidR="001C637D" w:rsidRPr="001C637D" w:rsidRDefault="001C637D" w:rsidP="001C637D">
      <w:pPr>
        <w:rPr>
          <w:rFonts w:ascii="Arial" w:hAnsi="Arial" w:cs="Arial"/>
          <w:sz w:val="24"/>
          <w:szCs w:val="24"/>
        </w:rPr>
      </w:pPr>
      <w:r w:rsidRPr="001C637D">
        <w:rPr>
          <w:rFonts w:ascii="Arial" w:hAnsi="Arial" w:cs="Arial"/>
          <w:sz w:val="24"/>
          <w:szCs w:val="24"/>
        </w:rPr>
        <w:t>Out-of-scope elements include expansion of Highway 5 beyond its existing alignment, long-term maintenance beyond handover, and unrelated transport infrastructure upgrades. These exclusions are necessary to maintain focus on recovery and resilience objectives.</w:t>
      </w:r>
    </w:p>
    <w:p w14:paraId="17C56239" w14:textId="77777777" w:rsidR="001C637D" w:rsidRPr="001C637D" w:rsidRDefault="001C637D" w:rsidP="001C637D">
      <w:pPr>
        <w:rPr>
          <w:rFonts w:ascii="Arial" w:hAnsi="Arial" w:cs="Arial"/>
          <w:sz w:val="24"/>
          <w:szCs w:val="24"/>
        </w:rPr>
      </w:pPr>
    </w:p>
    <w:p w14:paraId="0A55D1F8" w14:textId="77777777" w:rsidR="001C637D" w:rsidRPr="001C637D" w:rsidRDefault="001C637D" w:rsidP="001C637D">
      <w:pPr>
        <w:rPr>
          <w:rFonts w:ascii="Arial" w:hAnsi="Arial" w:cs="Arial"/>
          <w:sz w:val="24"/>
          <w:szCs w:val="24"/>
        </w:rPr>
      </w:pPr>
      <w:r w:rsidRPr="001C637D">
        <w:rPr>
          <w:rFonts w:ascii="Arial" w:hAnsi="Arial" w:cs="Arial"/>
          <w:sz w:val="24"/>
          <w:szCs w:val="24"/>
        </w:rPr>
        <w:t>Scope control is maintained through formal change management procedures. Any proposed scope changes must be assessed for impact on cost, schedule, risk, and quality before approval. Key assumptions include availability of funding, timely regulatory approvals, and acceptable seasonal weather conditions. Constraints include environmental protection requirements, limited construction windows, and the need to maintain public safety during works.</w:t>
      </w:r>
    </w:p>
    <w:p w14:paraId="1964BF7C" w14:textId="77777777" w:rsidR="001C637D" w:rsidRPr="001C637D" w:rsidRDefault="001C637D" w:rsidP="001C637D">
      <w:pPr>
        <w:rPr>
          <w:rFonts w:ascii="Arial" w:hAnsi="Arial" w:cs="Arial"/>
          <w:sz w:val="24"/>
          <w:szCs w:val="24"/>
        </w:rPr>
      </w:pPr>
    </w:p>
    <w:p w14:paraId="4912A7DA" w14:textId="77777777" w:rsidR="001C637D" w:rsidRPr="001C637D" w:rsidRDefault="001C637D" w:rsidP="001C637D">
      <w:pPr>
        <w:rPr>
          <w:rFonts w:ascii="Arial" w:hAnsi="Arial" w:cs="Arial"/>
          <w:sz w:val="24"/>
          <w:szCs w:val="24"/>
        </w:rPr>
      </w:pPr>
      <w:r w:rsidRPr="001C637D">
        <w:rPr>
          <w:rFonts w:ascii="Arial" w:hAnsi="Arial" w:cs="Arial"/>
          <w:sz w:val="24"/>
          <w:szCs w:val="24"/>
        </w:rPr>
        <w:t>4. Work Breakdown Structure (WBS)</w:t>
      </w:r>
    </w:p>
    <w:p w14:paraId="6BBE2BB0" w14:textId="77777777" w:rsidR="001C637D" w:rsidRPr="001C637D" w:rsidRDefault="001C637D" w:rsidP="001C637D">
      <w:pPr>
        <w:rPr>
          <w:rFonts w:ascii="Arial" w:hAnsi="Arial" w:cs="Arial"/>
          <w:sz w:val="24"/>
          <w:szCs w:val="24"/>
        </w:rPr>
      </w:pPr>
    </w:p>
    <w:p w14:paraId="799EE270" w14:textId="77777777" w:rsidR="001C637D" w:rsidRPr="001C637D" w:rsidRDefault="001C637D" w:rsidP="001C637D">
      <w:pPr>
        <w:rPr>
          <w:rFonts w:ascii="Arial" w:hAnsi="Arial" w:cs="Arial"/>
          <w:sz w:val="24"/>
          <w:szCs w:val="24"/>
        </w:rPr>
      </w:pPr>
      <w:r w:rsidRPr="001C637D">
        <w:rPr>
          <w:rFonts w:ascii="Arial" w:hAnsi="Arial" w:cs="Arial"/>
          <w:sz w:val="24"/>
          <w:szCs w:val="24"/>
        </w:rPr>
        <w:t xml:space="preserve">The Work Breakdown Structure provides a hierarchical decomposition of the project into manageable components, supporting planning, monitoring, and control. The </w:t>
      </w:r>
      <w:r w:rsidRPr="001C637D">
        <w:rPr>
          <w:rFonts w:ascii="Arial" w:hAnsi="Arial" w:cs="Arial"/>
          <w:sz w:val="24"/>
          <w:szCs w:val="24"/>
        </w:rPr>
        <w:lastRenderedPageBreak/>
        <w:t>WBS ensures that all necessary work is identified and assigned, reducing the risk of omissions and duplication.</w:t>
      </w:r>
    </w:p>
    <w:p w14:paraId="5F61EB48" w14:textId="77777777" w:rsidR="001C637D" w:rsidRPr="001C637D" w:rsidRDefault="001C637D" w:rsidP="001C637D">
      <w:pPr>
        <w:rPr>
          <w:rFonts w:ascii="Arial" w:hAnsi="Arial" w:cs="Arial"/>
          <w:sz w:val="24"/>
          <w:szCs w:val="24"/>
        </w:rPr>
      </w:pPr>
    </w:p>
    <w:p w14:paraId="4A8C0817" w14:textId="77777777" w:rsidR="001C637D" w:rsidRPr="001C637D" w:rsidRDefault="001C637D" w:rsidP="001C637D">
      <w:pPr>
        <w:rPr>
          <w:rFonts w:ascii="Arial" w:hAnsi="Arial" w:cs="Arial"/>
          <w:sz w:val="24"/>
          <w:szCs w:val="24"/>
        </w:rPr>
      </w:pPr>
      <w:r w:rsidRPr="001C637D">
        <w:rPr>
          <w:rFonts w:ascii="Arial" w:hAnsi="Arial" w:cs="Arial"/>
          <w:sz w:val="24"/>
          <w:szCs w:val="24"/>
        </w:rPr>
        <w:t>At Level 1, the project is defined as the Reconstruction and Reopening of Highway 5. Level 2 divides the project into six major phases: initiation and planning; design and approvals; procurement; construction; testing and quality assurance; and handover and closure.</w:t>
      </w:r>
    </w:p>
    <w:p w14:paraId="791F3983" w14:textId="77777777" w:rsidR="001C637D" w:rsidRPr="001C637D" w:rsidRDefault="001C637D" w:rsidP="001C637D">
      <w:pPr>
        <w:rPr>
          <w:rFonts w:ascii="Arial" w:hAnsi="Arial" w:cs="Arial"/>
          <w:sz w:val="24"/>
          <w:szCs w:val="24"/>
        </w:rPr>
      </w:pPr>
    </w:p>
    <w:p w14:paraId="3DEE4AA7" w14:textId="3DF25F86" w:rsidR="001C637D" w:rsidRPr="001C637D" w:rsidRDefault="001C637D" w:rsidP="001C637D">
      <w:pPr>
        <w:rPr>
          <w:rFonts w:ascii="Arial" w:hAnsi="Arial" w:cs="Arial"/>
          <w:sz w:val="24"/>
          <w:szCs w:val="24"/>
        </w:rPr>
      </w:pPr>
      <w:r w:rsidRPr="001C637D">
        <w:rPr>
          <w:rFonts w:ascii="Arial" w:hAnsi="Arial" w:cs="Arial"/>
          <w:sz w:val="24"/>
          <w:szCs w:val="24"/>
        </w:rPr>
        <w:t xml:space="preserve">Level 3 further breaks each phase into work packages. Initiation and planning </w:t>
      </w:r>
      <w:r w:rsidR="007068C0" w:rsidRPr="001C637D">
        <w:rPr>
          <w:rFonts w:ascii="Arial" w:hAnsi="Arial" w:cs="Arial"/>
          <w:sz w:val="24"/>
          <w:szCs w:val="24"/>
        </w:rPr>
        <w:t>include</w:t>
      </w:r>
      <w:r w:rsidRPr="001C637D">
        <w:rPr>
          <w:rFonts w:ascii="Arial" w:hAnsi="Arial" w:cs="Arial"/>
          <w:sz w:val="24"/>
          <w:szCs w:val="24"/>
        </w:rPr>
        <w:t xml:space="preserve"> site investigations, stakeholder coordination, and development of baseline schedules and budgets. Design and approvals include detailed engineering design, environmental impact assessments, and regulatory submissions. Procurement involves tendering, contractor selection, contract award, and mobilisation. Construction covers bridge rebuilding, pavement restoration, drainage installation, and slope protection. Testing and quality assurance include inspections, load testing, and compliance verification. Handover and closure involve documentation, stakeholder sign-off, and public reopening.</w:t>
      </w:r>
    </w:p>
    <w:p w14:paraId="79B2D071" w14:textId="77777777" w:rsidR="001C637D" w:rsidRPr="001C637D" w:rsidRDefault="001C637D" w:rsidP="001C637D">
      <w:pPr>
        <w:rPr>
          <w:rFonts w:ascii="Arial" w:hAnsi="Arial" w:cs="Arial"/>
          <w:sz w:val="24"/>
          <w:szCs w:val="24"/>
        </w:rPr>
      </w:pPr>
    </w:p>
    <w:p w14:paraId="5BF36ED8" w14:textId="77777777" w:rsidR="001C637D" w:rsidRPr="001C637D" w:rsidRDefault="001C637D" w:rsidP="001C637D">
      <w:pPr>
        <w:rPr>
          <w:rFonts w:ascii="Arial" w:hAnsi="Arial" w:cs="Arial"/>
          <w:sz w:val="24"/>
          <w:szCs w:val="24"/>
        </w:rPr>
      </w:pPr>
      <w:r w:rsidRPr="001C637D">
        <w:rPr>
          <w:rFonts w:ascii="Arial" w:hAnsi="Arial" w:cs="Arial"/>
          <w:sz w:val="24"/>
          <w:szCs w:val="24"/>
        </w:rPr>
        <w:t>The WBS supports accurate scheduling, cost estimation, responsibility assignment, and risk identification at task level.</w:t>
      </w:r>
    </w:p>
    <w:p w14:paraId="24F02E9C" w14:textId="77777777" w:rsidR="001C637D" w:rsidRPr="001C637D" w:rsidRDefault="001C637D" w:rsidP="001C637D">
      <w:pPr>
        <w:rPr>
          <w:rFonts w:ascii="Arial" w:hAnsi="Arial" w:cs="Arial"/>
          <w:sz w:val="24"/>
          <w:szCs w:val="24"/>
        </w:rPr>
      </w:pPr>
    </w:p>
    <w:p w14:paraId="2D38DDDB" w14:textId="77777777" w:rsidR="001C637D" w:rsidRPr="001C637D" w:rsidRDefault="001C637D" w:rsidP="001C637D">
      <w:pPr>
        <w:rPr>
          <w:rFonts w:ascii="Arial" w:hAnsi="Arial" w:cs="Arial"/>
          <w:sz w:val="24"/>
          <w:szCs w:val="24"/>
        </w:rPr>
      </w:pPr>
      <w:r w:rsidRPr="001C637D">
        <w:rPr>
          <w:rFonts w:ascii="Arial" w:hAnsi="Arial" w:cs="Arial"/>
          <w:sz w:val="24"/>
          <w:szCs w:val="24"/>
        </w:rPr>
        <w:t>5. Quad Chart</w:t>
      </w:r>
    </w:p>
    <w:p w14:paraId="79A3E376" w14:textId="77777777" w:rsidR="001C637D" w:rsidRPr="001C637D" w:rsidRDefault="001C637D" w:rsidP="001C637D">
      <w:pPr>
        <w:rPr>
          <w:rFonts w:ascii="Arial" w:hAnsi="Arial" w:cs="Arial"/>
          <w:sz w:val="24"/>
          <w:szCs w:val="24"/>
        </w:rPr>
      </w:pPr>
    </w:p>
    <w:p w14:paraId="1F5A1BF5" w14:textId="77777777" w:rsidR="001C637D" w:rsidRPr="001C637D" w:rsidRDefault="001C637D" w:rsidP="001C637D">
      <w:pPr>
        <w:rPr>
          <w:rFonts w:ascii="Arial" w:hAnsi="Arial" w:cs="Arial"/>
          <w:sz w:val="24"/>
          <w:szCs w:val="24"/>
        </w:rPr>
      </w:pPr>
      <w:r w:rsidRPr="001C637D">
        <w:rPr>
          <w:rFonts w:ascii="Arial" w:hAnsi="Arial" w:cs="Arial"/>
          <w:sz w:val="24"/>
          <w:szCs w:val="24"/>
        </w:rPr>
        <w:t>The Quad Chart summarises the project at a strategic level to support effective stakeholder communication.</w:t>
      </w:r>
    </w:p>
    <w:p w14:paraId="5EEF43AB" w14:textId="77777777" w:rsidR="001C637D" w:rsidRPr="001C637D" w:rsidRDefault="001C637D" w:rsidP="001C637D">
      <w:pPr>
        <w:rPr>
          <w:rFonts w:ascii="Arial" w:hAnsi="Arial" w:cs="Arial"/>
          <w:sz w:val="24"/>
          <w:szCs w:val="24"/>
        </w:rPr>
      </w:pPr>
    </w:p>
    <w:p w14:paraId="1C03E3C5" w14:textId="77777777" w:rsidR="001C637D" w:rsidRPr="001C637D" w:rsidRDefault="001C637D" w:rsidP="001C637D">
      <w:pPr>
        <w:rPr>
          <w:rFonts w:ascii="Arial" w:hAnsi="Arial" w:cs="Arial"/>
          <w:sz w:val="24"/>
          <w:szCs w:val="24"/>
        </w:rPr>
      </w:pPr>
      <w:r w:rsidRPr="001C637D">
        <w:rPr>
          <w:rFonts w:ascii="Arial" w:hAnsi="Arial" w:cs="Arial"/>
          <w:sz w:val="24"/>
          <w:szCs w:val="24"/>
        </w:rPr>
        <w:t>Purpose: Restore Highway 5 to full operational capacity while improving resilience to flooding and landslides.</w:t>
      </w:r>
    </w:p>
    <w:p w14:paraId="5C45BE94" w14:textId="77777777" w:rsidR="001C637D" w:rsidRPr="001C637D" w:rsidRDefault="001C637D" w:rsidP="001C637D">
      <w:pPr>
        <w:rPr>
          <w:rFonts w:ascii="Arial" w:hAnsi="Arial" w:cs="Arial"/>
          <w:sz w:val="24"/>
          <w:szCs w:val="24"/>
        </w:rPr>
      </w:pPr>
    </w:p>
    <w:p w14:paraId="7AAD0E93" w14:textId="77777777" w:rsidR="001C637D" w:rsidRPr="001C637D" w:rsidRDefault="001C637D" w:rsidP="001C637D">
      <w:pPr>
        <w:rPr>
          <w:rFonts w:ascii="Arial" w:hAnsi="Arial" w:cs="Arial"/>
          <w:sz w:val="24"/>
          <w:szCs w:val="24"/>
        </w:rPr>
      </w:pPr>
      <w:r w:rsidRPr="001C637D">
        <w:rPr>
          <w:rFonts w:ascii="Arial" w:hAnsi="Arial" w:cs="Arial"/>
          <w:sz w:val="24"/>
          <w:szCs w:val="24"/>
        </w:rPr>
        <w:t>Stakeholders: Provincial transport authorities, engineering consultants, construction contractors, environmental regulators, emergency services, local communities, freight operators, and road users.</w:t>
      </w:r>
    </w:p>
    <w:p w14:paraId="5C15234C" w14:textId="77777777" w:rsidR="001C637D" w:rsidRPr="001C637D" w:rsidRDefault="001C637D" w:rsidP="001C637D">
      <w:pPr>
        <w:rPr>
          <w:rFonts w:ascii="Arial" w:hAnsi="Arial" w:cs="Arial"/>
          <w:sz w:val="24"/>
          <w:szCs w:val="24"/>
        </w:rPr>
      </w:pPr>
    </w:p>
    <w:p w14:paraId="31F80B3A" w14:textId="77777777" w:rsidR="001C637D" w:rsidRPr="001C637D" w:rsidRDefault="001C637D" w:rsidP="001C637D">
      <w:pPr>
        <w:rPr>
          <w:rFonts w:ascii="Arial" w:hAnsi="Arial" w:cs="Arial"/>
          <w:sz w:val="24"/>
          <w:szCs w:val="24"/>
        </w:rPr>
      </w:pPr>
      <w:r w:rsidRPr="001C637D">
        <w:rPr>
          <w:rFonts w:ascii="Arial" w:hAnsi="Arial" w:cs="Arial"/>
          <w:sz w:val="24"/>
          <w:szCs w:val="24"/>
        </w:rPr>
        <w:t>Desired Outcomes: Safe and reliable transport corridor, reduced infrastructure vulnerability, improved regional connectivity, and increased public confidence.</w:t>
      </w:r>
    </w:p>
    <w:p w14:paraId="13D38A23" w14:textId="77777777" w:rsidR="001C637D" w:rsidRPr="001C637D" w:rsidRDefault="001C637D" w:rsidP="001C637D">
      <w:pPr>
        <w:rPr>
          <w:rFonts w:ascii="Arial" w:hAnsi="Arial" w:cs="Arial"/>
          <w:sz w:val="24"/>
          <w:szCs w:val="24"/>
        </w:rPr>
      </w:pPr>
    </w:p>
    <w:p w14:paraId="356720EE" w14:textId="77777777" w:rsidR="001C637D" w:rsidRPr="001C637D" w:rsidRDefault="001C637D" w:rsidP="001C637D">
      <w:pPr>
        <w:rPr>
          <w:rFonts w:ascii="Arial" w:hAnsi="Arial" w:cs="Arial"/>
          <w:sz w:val="24"/>
          <w:szCs w:val="24"/>
        </w:rPr>
      </w:pPr>
      <w:r w:rsidRPr="001C637D">
        <w:rPr>
          <w:rFonts w:ascii="Arial" w:hAnsi="Arial" w:cs="Arial"/>
          <w:sz w:val="24"/>
          <w:szCs w:val="24"/>
        </w:rPr>
        <w:lastRenderedPageBreak/>
        <w:t>Measures of Success: Completion within twelve months, delivery within approved budget, compliance with safety and environmental standards, and minimal unplanned closures post-reopening.</w:t>
      </w:r>
    </w:p>
    <w:p w14:paraId="5067177D" w14:textId="77777777" w:rsidR="001C637D" w:rsidRPr="001C637D" w:rsidRDefault="001C637D" w:rsidP="001C637D">
      <w:pPr>
        <w:rPr>
          <w:rFonts w:ascii="Arial" w:hAnsi="Arial" w:cs="Arial"/>
          <w:sz w:val="24"/>
          <w:szCs w:val="24"/>
        </w:rPr>
      </w:pPr>
    </w:p>
    <w:p w14:paraId="1DFCE5C3" w14:textId="77777777" w:rsidR="001C637D" w:rsidRPr="001C637D" w:rsidRDefault="001C637D" w:rsidP="001C637D">
      <w:pPr>
        <w:rPr>
          <w:rFonts w:ascii="Arial" w:hAnsi="Arial" w:cs="Arial"/>
          <w:sz w:val="24"/>
          <w:szCs w:val="24"/>
        </w:rPr>
      </w:pPr>
      <w:r w:rsidRPr="001C637D">
        <w:rPr>
          <w:rFonts w:ascii="Arial" w:hAnsi="Arial" w:cs="Arial"/>
          <w:sz w:val="24"/>
          <w:szCs w:val="24"/>
        </w:rPr>
        <w:t>6. Gantt Chart</w:t>
      </w:r>
    </w:p>
    <w:p w14:paraId="0A072B08" w14:textId="77777777" w:rsidR="001C637D" w:rsidRPr="001C637D" w:rsidRDefault="001C637D" w:rsidP="001C637D">
      <w:pPr>
        <w:rPr>
          <w:rFonts w:ascii="Arial" w:hAnsi="Arial" w:cs="Arial"/>
          <w:sz w:val="24"/>
          <w:szCs w:val="24"/>
        </w:rPr>
      </w:pPr>
    </w:p>
    <w:p w14:paraId="500A866E" w14:textId="77777777" w:rsidR="001C637D" w:rsidRPr="001C637D" w:rsidRDefault="001C637D" w:rsidP="001C637D">
      <w:pPr>
        <w:rPr>
          <w:rFonts w:ascii="Arial" w:hAnsi="Arial" w:cs="Arial"/>
          <w:sz w:val="24"/>
          <w:szCs w:val="24"/>
        </w:rPr>
      </w:pPr>
      <w:r w:rsidRPr="001C637D">
        <w:rPr>
          <w:rFonts w:ascii="Arial" w:hAnsi="Arial" w:cs="Arial"/>
          <w:sz w:val="24"/>
          <w:szCs w:val="24"/>
        </w:rPr>
        <w:t>The Gantt Chart provides a time-based representation of the project schedule and illustrates activity sequencing, dependencies, and milestones. The twelve-month programme is structured to optimise efficiency while accommodating regulatory and environmental constraints.</w:t>
      </w:r>
    </w:p>
    <w:p w14:paraId="3ED41077" w14:textId="77777777" w:rsidR="001C637D" w:rsidRPr="001C637D" w:rsidRDefault="001C637D" w:rsidP="001C637D">
      <w:pPr>
        <w:rPr>
          <w:rFonts w:ascii="Arial" w:hAnsi="Arial" w:cs="Arial"/>
          <w:sz w:val="24"/>
          <w:szCs w:val="24"/>
        </w:rPr>
      </w:pPr>
    </w:p>
    <w:p w14:paraId="68886B49" w14:textId="77777777" w:rsidR="001C637D" w:rsidRPr="001C637D" w:rsidRDefault="001C637D" w:rsidP="001C637D">
      <w:pPr>
        <w:rPr>
          <w:rFonts w:ascii="Arial" w:hAnsi="Arial" w:cs="Arial"/>
          <w:sz w:val="24"/>
          <w:szCs w:val="24"/>
        </w:rPr>
      </w:pPr>
      <w:r w:rsidRPr="001C637D">
        <w:rPr>
          <w:rFonts w:ascii="Arial" w:hAnsi="Arial" w:cs="Arial"/>
          <w:sz w:val="24"/>
          <w:szCs w:val="24"/>
        </w:rPr>
        <w:t>Planning and site investigations occur in the early months, followed by overlapping design and approval activities. Procurement activities commence during the design phase to reduce lead times. Construction activities form the longest phase and are sequenced to prioritise critical structures and minimise disruption. Testing, quality assurance, and commissioning activities occur once construction is complete, followed by formal handover and reopening.</w:t>
      </w:r>
    </w:p>
    <w:p w14:paraId="5488C95A" w14:textId="77777777" w:rsidR="001C637D" w:rsidRPr="001C637D" w:rsidRDefault="001C637D" w:rsidP="001C637D">
      <w:pPr>
        <w:rPr>
          <w:rFonts w:ascii="Arial" w:hAnsi="Arial" w:cs="Arial"/>
          <w:sz w:val="24"/>
          <w:szCs w:val="24"/>
        </w:rPr>
      </w:pPr>
    </w:p>
    <w:p w14:paraId="1EA168E0" w14:textId="77777777" w:rsidR="001C637D" w:rsidRPr="001C637D" w:rsidRDefault="001C637D" w:rsidP="001C637D">
      <w:pPr>
        <w:rPr>
          <w:rFonts w:ascii="Arial" w:hAnsi="Arial" w:cs="Arial"/>
          <w:sz w:val="24"/>
          <w:szCs w:val="24"/>
        </w:rPr>
      </w:pPr>
      <w:r w:rsidRPr="001C637D">
        <w:rPr>
          <w:rFonts w:ascii="Arial" w:hAnsi="Arial" w:cs="Arial"/>
          <w:sz w:val="24"/>
          <w:szCs w:val="24"/>
        </w:rPr>
        <w:t>The Gantt Chart supports schedule control by enabling progress tracking, identification of delays, and timely corrective actions.</w:t>
      </w:r>
    </w:p>
    <w:p w14:paraId="3141116C" w14:textId="77777777" w:rsidR="001C637D" w:rsidRPr="001C637D" w:rsidRDefault="001C637D" w:rsidP="001C637D">
      <w:pPr>
        <w:rPr>
          <w:rFonts w:ascii="Arial" w:hAnsi="Arial" w:cs="Arial"/>
          <w:sz w:val="24"/>
          <w:szCs w:val="24"/>
        </w:rPr>
      </w:pPr>
    </w:p>
    <w:p w14:paraId="284630FB" w14:textId="77777777" w:rsidR="001C637D" w:rsidRPr="001C637D" w:rsidRDefault="001C637D" w:rsidP="001C637D">
      <w:pPr>
        <w:rPr>
          <w:rFonts w:ascii="Arial" w:hAnsi="Arial" w:cs="Arial"/>
          <w:sz w:val="24"/>
          <w:szCs w:val="24"/>
        </w:rPr>
      </w:pPr>
      <w:r w:rsidRPr="001C637D">
        <w:rPr>
          <w:rFonts w:ascii="Arial" w:hAnsi="Arial" w:cs="Arial"/>
          <w:sz w:val="24"/>
          <w:szCs w:val="24"/>
        </w:rPr>
        <w:t>7. Stakeholder Involvement</w:t>
      </w:r>
    </w:p>
    <w:p w14:paraId="27D1D15F" w14:textId="77777777" w:rsidR="001C637D" w:rsidRPr="001C637D" w:rsidRDefault="001C637D" w:rsidP="001C637D">
      <w:pPr>
        <w:rPr>
          <w:rFonts w:ascii="Arial" w:hAnsi="Arial" w:cs="Arial"/>
          <w:sz w:val="24"/>
          <w:szCs w:val="24"/>
        </w:rPr>
      </w:pPr>
    </w:p>
    <w:p w14:paraId="3759E83A" w14:textId="77777777" w:rsidR="001C637D" w:rsidRPr="001C637D" w:rsidRDefault="001C637D" w:rsidP="001C637D">
      <w:pPr>
        <w:rPr>
          <w:rFonts w:ascii="Arial" w:hAnsi="Arial" w:cs="Arial"/>
          <w:sz w:val="24"/>
          <w:szCs w:val="24"/>
        </w:rPr>
      </w:pPr>
      <w:r w:rsidRPr="001C637D">
        <w:rPr>
          <w:rFonts w:ascii="Arial" w:hAnsi="Arial" w:cs="Arial"/>
          <w:sz w:val="24"/>
          <w:szCs w:val="24"/>
        </w:rPr>
        <w:t>Stakeholder involvement is fundamental due to the public nature of the project and its wide-ranging impacts. Effective engagement reduces conflict, improves decision-making, and supports successful delivery.</w:t>
      </w:r>
    </w:p>
    <w:p w14:paraId="0F2ED430" w14:textId="77777777" w:rsidR="001C637D" w:rsidRPr="001C637D" w:rsidRDefault="001C637D" w:rsidP="001C637D">
      <w:pPr>
        <w:rPr>
          <w:rFonts w:ascii="Arial" w:hAnsi="Arial" w:cs="Arial"/>
          <w:sz w:val="24"/>
          <w:szCs w:val="24"/>
        </w:rPr>
      </w:pPr>
    </w:p>
    <w:p w14:paraId="128EE41F" w14:textId="77777777" w:rsidR="001C637D" w:rsidRPr="001C637D" w:rsidRDefault="001C637D" w:rsidP="001C637D">
      <w:pPr>
        <w:rPr>
          <w:rFonts w:ascii="Arial" w:hAnsi="Arial" w:cs="Arial"/>
          <w:sz w:val="24"/>
          <w:szCs w:val="24"/>
        </w:rPr>
      </w:pPr>
      <w:r w:rsidRPr="001C637D">
        <w:rPr>
          <w:rFonts w:ascii="Arial" w:hAnsi="Arial" w:cs="Arial"/>
          <w:sz w:val="24"/>
          <w:szCs w:val="24"/>
        </w:rPr>
        <w:t>Stakeholders are categorised based on influence and interest. High-influence stakeholders include transport authorities and regulators, while high-interest stakeholders include local communities and road users. A RACI framework defines accountability and responsibility across project activities.</w:t>
      </w:r>
    </w:p>
    <w:p w14:paraId="0ED232F6" w14:textId="77777777" w:rsidR="001C637D" w:rsidRPr="001C637D" w:rsidRDefault="001C637D" w:rsidP="001C637D">
      <w:pPr>
        <w:rPr>
          <w:rFonts w:ascii="Arial" w:hAnsi="Arial" w:cs="Arial"/>
          <w:sz w:val="24"/>
          <w:szCs w:val="24"/>
        </w:rPr>
      </w:pPr>
    </w:p>
    <w:p w14:paraId="30F9B599" w14:textId="77777777" w:rsidR="001C637D" w:rsidRPr="001C637D" w:rsidRDefault="001C637D" w:rsidP="001C637D">
      <w:pPr>
        <w:rPr>
          <w:rFonts w:ascii="Arial" w:hAnsi="Arial" w:cs="Arial"/>
          <w:sz w:val="24"/>
          <w:szCs w:val="24"/>
        </w:rPr>
      </w:pPr>
      <w:r w:rsidRPr="001C637D">
        <w:rPr>
          <w:rFonts w:ascii="Arial" w:hAnsi="Arial" w:cs="Arial"/>
          <w:sz w:val="24"/>
          <w:szCs w:val="24"/>
        </w:rPr>
        <w:t>Communication strategies include regular progress reporting, stakeholder meetings, public notices, and media updates. Transparent communication supports trust and stakeholder confidence throughout the project lifecycle.</w:t>
      </w:r>
    </w:p>
    <w:p w14:paraId="76B88B31" w14:textId="77777777" w:rsidR="001C637D" w:rsidRPr="001C637D" w:rsidRDefault="001C637D" w:rsidP="001C637D">
      <w:pPr>
        <w:rPr>
          <w:rFonts w:ascii="Arial" w:hAnsi="Arial" w:cs="Arial"/>
          <w:sz w:val="24"/>
          <w:szCs w:val="24"/>
        </w:rPr>
      </w:pPr>
    </w:p>
    <w:p w14:paraId="20C0C420" w14:textId="480BCFF1" w:rsidR="001C637D" w:rsidRPr="001C637D" w:rsidRDefault="001C637D" w:rsidP="001C637D">
      <w:pPr>
        <w:rPr>
          <w:rFonts w:ascii="Arial" w:hAnsi="Arial" w:cs="Arial"/>
          <w:sz w:val="24"/>
          <w:szCs w:val="24"/>
        </w:rPr>
      </w:pPr>
      <w:r>
        <w:rPr>
          <w:rFonts w:ascii="Arial" w:hAnsi="Arial" w:cs="Arial"/>
          <w:sz w:val="24"/>
          <w:szCs w:val="24"/>
        </w:rPr>
        <w:br w:type="column"/>
      </w:r>
      <w:r w:rsidRPr="001C637D">
        <w:rPr>
          <w:rFonts w:ascii="Arial" w:hAnsi="Arial" w:cs="Arial"/>
          <w:sz w:val="24"/>
          <w:szCs w:val="24"/>
        </w:rPr>
        <w:lastRenderedPageBreak/>
        <w:t>8. Allocation of Resources</w:t>
      </w:r>
    </w:p>
    <w:p w14:paraId="1E30B3B4" w14:textId="77777777" w:rsidR="001C637D" w:rsidRPr="001C637D" w:rsidRDefault="001C637D" w:rsidP="001C637D">
      <w:pPr>
        <w:rPr>
          <w:rFonts w:ascii="Arial" w:hAnsi="Arial" w:cs="Arial"/>
          <w:sz w:val="24"/>
          <w:szCs w:val="24"/>
        </w:rPr>
      </w:pPr>
    </w:p>
    <w:p w14:paraId="4D6ABD15" w14:textId="77777777" w:rsidR="001C637D" w:rsidRPr="001C637D" w:rsidRDefault="001C637D" w:rsidP="001C637D">
      <w:pPr>
        <w:rPr>
          <w:rFonts w:ascii="Arial" w:hAnsi="Arial" w:cs="Arial"/>
          <w:sz w:val="24"/>
          <w:szCs w:val="24"/>
        </w:rPr>
      </w:pPr>
      <w:r w:rsidRPr="001C637D">
        <w:rPr>
          <w:rFonts w:ascii="Arial" w:hAnsi="Arial" w:cs="Arial"/>
          <w:sz w:val="24"/>
          <w:szCs w:val="24"/>
        </w:rPr>
        <w:t>Resource allocation ensures that personnel, equipment, and funding are available when required. Human resources include project managers, engineers, environmental specialists, construction supervisors, skilled labour, and safety officers. Roles are aligned with project phases to maximise efficiency.</w:t>
      </w:r>
    </w:p>
    <w:p w14:paraId="12E4AD6B" w14:textId="77777777" w:rsidR="001C637D" w:rsidRPr="001C637D" w:rsidRDefault="001C637D" w:rsidP="001C637D">
      <w:pPr>
        <w:rPr>
          <w:rFonts w:ascii="Arial" w:hAnsi="Arial" w:cs="Arial"/>
          <w:sz w:val="24"/>
          <w:szCs w:val="24"/>
        </w:rPr>
      </w:pPr>
    </w:p>
    <w:p w14:paraId="69DD8CBA" w14:textId="77777777" w:rsidR="001C637D" w:rsidRPr="001C637D" w:rsidRDefault="001C637D" w:rsidP="001C637D">
      <w:pPr>
        <w:rPr>
          <w:rFonts w:ascii="Arial" w:hAnsi="Arial" w:cs="Arial"/>
          <w:sz w:val="24"/>
          <w:szCs w:val="24"/>
        </w:rPr>
      </w:pPr>
      <w:r w:rsidRPr="001C637D">
        <w:rPr>
          <w:rFonts w:ascii="Arial" w:hAnsi="Arial" w:cs="Arial"/>
          <w:sz w:val="24"/>
          <w:szCs w:val="24"/>
        </w:rPr>
        <w:t>Physical resources include heavy construction machinery, bridge components, drainage materials, pavement materials, and traffic management systems. Scheduling of equipment reduces idle time and cost overruns.</w:t>
      </w:r>
    </w:p>
    <w:p w14:paraId="736CB7E0" w14:textId="77777777" w:rsidR="001C637D" w:rsidRPr="001C637D" w:rsidRDefault="001C637D" w:rsidP="001C637D">
      <w:pPr>
        <w:rPr>
          <w:rFonts w:ascii="Arial" w:hAnsi="Arial" w:cs="Arial"/>
          <w:sz w:val="24"/>
          <w:szCs w:val="24"/>
        </w:rPr>
      </w:pPr>
    </w:p>
    <w:p w14:paraId="2CD6F354" w14:textId="77777777" w:rsidR="001C637D" w:rsidRPr="001C637D" w:rsidRDefault="001C637D" w:rsidP="001C637D">
      <w:pPr>
        <w:rPr>
          <w:rFonts w:ascii="Arial" w:hAnsi="Arial" w:cs="Arial"/>
          <w:sz w:val="24"/>
          <w:szCs w:val="24"/>
        </w:rPr>
      </w:pPr>
      <w:r w:rsidRPr="001C637D">
        <w:rPr>
          <w:rFonts w:ascii="Arial" w:hAnsi="Arial" w:cs="Arial"/>
          <w:sz w:val="24"/>
          <w:szCs w:val="24"/>
        </w:rPr>
        <w:t>Financial resources are allocated across design, construction, environmental mitigation, labour, equipment hire, and contingency. Ongoing financial monitoring ensures cost control and early identification of variances.</w:t>
      </w:r>
    </w:p>
    <w:p w14:paraId="4D41A72B" w14:textId="77777777" w:rsidR="001C637D" w:rsidRPr="001C637D" w:rsidRDefault="001C637D" w:rsidP="001C637D">
      <w:pPr>
        <w:rPr>
          <w:rFonts w:ascii="Arial" w:hAnsi="Arial" w:cs="Arial"/>
          <w:sz w:val="24"/>
          <w:szCs w:val="24"/>
        </w:rPr>
      </w:pPr>
    </w:p>
    <w:p w14:paraId="6AB70BAA" w14:textId="77777777" w:rsidR="001C637D" w:rsidRPr="001C637D" w:rsidRDefault="001C637D" w:rsidP="001C637D">
      <w:pPr>
        <w:rPr>
          <w:rFonts w:ascii="Arial" w:hAnsi="Arial" w:cs="Arial"/>
          <w:sz w:val="24"/>
          <w:szCs w:val="24"/>
        </w:rPr>
      </w:pPr>
      <w:r w:rsidRPr="001C637D">
        <w:rPr>
          <w:rFonts w:ascii="Arial" w:hAnsi="Arial" w:cs="Arial"/>
          <w:sz w:val="24"/>
          <w:szCs w:val="24"/>
        </w:rPr>
        <w:t>9. Risk Analysis</w:t>
      </w:r>
    </w:p>
    <w:p w14:paraId="0B4759F1" w14:textId="77777777" w:rsidR="001C637D" w:rsidRPr="001C637D" w:rsidRDefault="001C637D" w:rsidP="001C637D">
      <w:pPr>
        <w:rPr>
          <w:rFonts w:ascii="Arial" w:hAnsi="Arial" w:cs="Arial"/>
          <w:sz w:val="24"/>
          <w:szCs w:val="24"/>
        </w:rPr>
      </w:pPr>
    </w:p>
    <w:p w14:paraId="4B523C94" w14:textId="77777777" w:rsidR="001C637D" w:rsidRPr="001C637D" w:rsidRDefault="001C637D" w:rsidP="001C637D">
      <w:pPr>
        <w:rPr>
          <w:rFonts w:ascii="Arial" w:hAnsi="Arial" w:cs="Arial"/>
          <w:sz w:val="24"/>
          <w:szCs w:val="24"/>
        </w:rPr>
      </w:pPr>
      <w:r w:rsidRPr="001C637D">
        <w:rPr>
          <w:rFonts w:ascii="Arial" w:hAnsi="Arial" w:cs="Arial"/>
          <w:sz w:val="24"/>
          <w:szCs w:val="24"/>
        </w:rPr>
        <w:t>Risk management addresses uncertainties that could affect project objectives. Key risks include extreme weather, supply chain disruption, regulatory delays, safety incidents, and public opposition.</w:t>
      </w:r>
    </w:p>
    <w:p w14:paraId="2CEAE54A" w14:textId="77777777" w:rsidR="001C637D" w:rsidRPr="001C637D" w:rsidRDefault="001C637D" w:rsidP="001C637D">
      <w:pPr>
        <w:rPr>
          <w:rFonts w:ascii="Arial" w:hAnsi="Arial" w:cs="Arial"/>
          <w:sz w:val="24"/>
          <w:szCs w:val="24"/>
        </w:rPr>
      </w:pPr>
    </w:p>
    <w:p w14:paraId="4A6B1476" w14:textId="77777777" w:rsidR="001C637D" w:rsidRPr="001C637D" w:rsidRDefault="001C637D" w:rsidP="001C637D">
      <w:pPr>
        <w:rPr>
          <w:rFonts w:ascii="Arial" w:hAnsi="Arial" w:cs="Arial"/>
          <w:sz w:val="24"/>
          <w:szCs w:val="24"/>
        </w:rPr>
      </w:pPr>
      <w:r w:rsidRPr="001C637D">
        <w:rPr>
          <w:rFonts w:ascii="Arial" w:hAnsi="Arial" w:cs="Arial"/>
          <w:sz w:val="24"/>
          <w:szCs w:val="24"/>
        </w:rPr>
        <w:t>Risks are assessed based on likelihood and impact, and mitigation strategies are developed accordingly. Measures include schedule buffers, alternative suppliers, enhanced safety protocols, environmental monitoring, and proactive stakeholder communication. Risk reviews are conducted regularly to address emerging threats.</w:t>
      </w:r>
    </w:p>
    <w:p w14:paraId="08FCBEC6" w14:textId="77777777" w:rsidR="001C637D" w:rsidRPr="001C637D" w:rsidRDefault="001C637D" w:rsidP="001C637D">
      <w:pPr>
        <w:rPr>
          <w:rFonts w:ascii="Arial" w:hAnsi="Arial" w:cs="Arial"/>
          <w:sz w:val="24"/>
          <w:szCs w:val="24"/>
        </w:rPr>
      </w:pPr>
    </w:p>
    <w:p w14:paraId="632F657B" w14:textId="77777777" w:rsidR="001C637D" w:rsidRPr="001C637D" w:rsidRDefault="001C637D" w:rsidP="001C637D">
      <w:pPr>
        <w:rPr>
          <w:rFonts w:ascii="Arial" w:hAnsi="Arial" w:cs="Arial"/>
          <w:sz w:val="24"/>
          <w:szCs w:val="24"/>
        </w:rPr>
      </w:pPr>
      <w:r w:rsidRPr="001C637D">
        <w:rPr>
          <w:rFonts w:ascii="Arial" w:hAnsi="Arial" w:cs="Arial"/>
          <w:sz w:val="24"/>
          <w:szCs w:val="24"/>
        </w:rPr>
        <w:t>10. Conclusion</w:t>
      </w:r>
    </w:p>
    <w:p w14:paraId="2C54F853" w14:textId="77777777" w:rsidR="001C637D" w:rsidRPr="001C637D" w:rsidRDefault="001C637D" w:rsidP="001C637D">
      <w:pPr>
        <w:rPr>
          <w:rFonts w:ascii="Arial" w:hAnsi="Arial" w:cs="Arial"/>
          <w:sz w:val="24"/>
          <w:szCs w:val="24"/>
        </w:rPr>
      </w:pPr>
    </w:p>
    <w:p w14:paraId="52C75D6B" w14:textId="77777777" w:rsidR="001C637D" w:rsidRPr="001C637D" w:rsidRDefault="001C637D" w:rsidP="001C637D">
      <w:pPr>
        <w:rPr>
          <w:rFonts w:ascii="Arial" w:hAnsi="Arial" w:cs="Arial"/>
          <w:sz w:val="24"/>
          <w:szCs w:val="24"/>
        </w:rPr>
      </w:pPr>
      <w:r w:rsidRPr="001C637D">
        <w:rPr>
          <w:rFonts w:ascii="Arial" w:hAnsi="Arial" w:cs="Arial"/>
          <w:sz w:val="24"/>
          <w:szCs w:val="24"/>
        </w:rPr>
        <w:t>This Project Management Plan outlines a structured and practical framework for reconstructing and reopening Highway 5. Through the application of established project management techniques, the plan supports effective coordination, risk control, and resilience enhancement. Successful implementation will restore a critical transport corridor and strengthen infrastructure preparedness for future climate challenges.</w:t>
      </w:r>
    </w:p>
    <w:p w14:paraId="4557C6D6" w14:textId="77777777" w:rsidR="001C637D" w:rsidRPr="001C637D" w:rsidRDefault="001C637D" w:rsidP="001C637D">
      <w:pPr>
        <w:rPr>
          <w:rFonts w:ascii="Arial" w:hAnsi="Arial" w:cs="Arial"/>
          <w:sz w:val="24"/>
          <w:szCs w:val="24"/>
        </w:rPr>
      </w:pPr>
    </w:p>
    <w:p w14:paraId="5373C7F9" w14:textId="08352E97" w:rsidR="001C637D" w:rsidRPr="001C637D" w:rsidRDefault="001C637D" w:rsidP="001C637D">
      <w:pPr>
        <w:rPr>
          <w:rFonts w:ascii="Arial" w:hAnsi="Arial" w:cs="Arial"/>
          <w:sz w:val="24"/>
          <w:szCs w:val="24"/>
        </w:rPr>
      </w:pPr>
      <w:r>
        <w:rPr>
          <w:rFonts w:ascii="Arial" w:hAnsi="Arial" w:cs="Arial"/>
          <w:sz w:val="24"/>
          <w:szCs w:val="24"/>
        </w:rPr>
        <w:br w:type="column"/>
      </w:r>
      <w:r w:rsidRPr="001C637D">
        <w:rPr>
          <w:rFonts w:ascii="Arial" w:hAnsi="Arial" w:cs="Arial"/>
          <w:sz w:val="24"/>
          <w:szCs w:val="24"/>
        </w:rPr>
        <w:lastRenderedPageBreak/>
        <w:t>11. References</w:t>
      </w:r>
    </w:p>
    <w:p w14:paraId="1BCB7932" w14:textId="77777777" w:rsidR="001C637D" w:rsidRPr="001C637D" w:rsidRDefault="001C637D" w:rsidP="001C637D">
      <w:pPr>
        <w:rPr>
          <w:rFonts w:ascii="Arial" w:hAnsi="Arial" w:cs="Arial"/>
          <w:sz w:val="24"/>
          <w:szCs w:val="24"/>
        </w:rPr>
      </w:pPr>
    </w:p>
    <w:p w14:paraId="67F52F8E" w14:textId="77777777" w:rsidR="001C637D" w:rsidRPr="001C637D" w:rsidRDefault="001C637D" w:rsidP="001C637D">
      <w:pPr>
        <w:rPr>
          <w:rFonts w:ascii="Arial" w:hAnsi="Arial" w:cs="Arial"/>
          <w:sz w:val="24"/>
          <w:szCs w:val="24"/>
        </w:rPr>
      </w:pPr>
      <w:r w:rsidRPr="001C637D">
        <w:rPr>
          <w:rFonts w:ascii="Arial" w:hAnsi="Arial" w:cs="Arial"/>
          <w:sz w:val="24"/>
          <w:szCs w:val="24"/>
        </w:rPr>
        <w:t>Aaltonen, K. and Kujala, J. (2016) ‘Towards an improved understanding of stakeholder dynamics’, International Journal of Project Management, 34(8), pp. 1537–1552.</w:t>
      </w:r>
    </w:p>
    <w:p w14:paraId="442E43DC" w14:textId="77777777" w:rsidR="001C637D" w:rsidRPr="001C637D" w:rsidRDefault="001C637D" w:rsidP="001C637D">
      <w:pPr>
        <w:rPr>
          <w:rFonts w:ascii="Arial" w:hAnsi="Arial" w:cs="Arial"/>
          <w:sz w:val="24"/>
          <w:szCs w:val="24"/>
        </w:rPr>
      </w:pPr>
    </w:p>
    <w:p w14:paraId="3DEE30A1" w14:textId="77777777" w:rsidR="001C637D" w:rsidRPr="001C637D" w:rsidRDefault="001C637D" w:rsidP="001C637D">
      <w:pPr>
        <w:rPr>
          <w:rFonts w:ascii="Arial" w:hAnsi="Arial" w:cs="Arial"/>
          <w:sz w:val="24"/>
          <w:szCs w:val="24"/>
        </w:rPr>
      </w:pPr>
      <w:r w:rsidRPr="001C637D">
        <w:rPr>
          <w:rFonts w:ascii="Arial" w:hAnsi="Arial" w:cs="Arial"/>
          <w:sz w:val="24"/>
          <w:szCs w:val="24"/>
        </w:rPr>
        <w:t xml:space="preserve">APM (2022) APM Body of Knowledge. 7th </w:t>
      </w:r>
      <w:proofErr w:type="spellStart"/>
      <w:r w:rsidRPr="001C637D">
        <w:rPr>
          <w:rFonts w:ascii="Arial" w:hAnsi="Arial" w:cs="Arial"/>
          <w:sz w:val="24"/>
          <w:szCs w:val="24"/>
        </w:rPr>
        <w:t>edn</w:t>
      </w:r>
      <w:proofErr w:type="spellEnd"/>
      <w:r w:rsidRPr="001C637D">
        <w:rPr>
          <w:rFonts w:ascii="Arial" w:hAnsi="Arial" w:cs="Arial"/>
          <w:sz w:val="24"/>
          <w:szCs w:val="24"/>
        </w:rPr>
        <w:t>. Association for Project Management.</w:t>
      </w:r>
    </w:p>
    <w:p w14:paraId="75CC64EE" w14:textId="77777777" w:rsidR="001C637D" w:rsidRPr="001C637D" w:rsidRDefault="001C637D" w:rsidP="001C637D">
      <w:pPr>
        <w:rPr>
          <w:rFonts w:ascii="Arial" w:hAnsi="Arial" w:cs="Arial"/>
          <w:sz w:val="24"/>
          <w:szCs w:val="24"/>
        </w:rPr>
      </w:pPr>
    </w:p>
    <w:p w14:paraId="3D48F380" w14:textId="77777777" w:rsidR="001C637D" w:rsidRPr="001C637D" w:rsidRDefault="001C637D" w:rsidP="001C637D">
      <w:pPr>
        <w:rPr>
          <w:rFonts w:ascii="Arial" w:hAnsi="Arial" w:cs="Arial"/>
          <w:sz w:val="24"/>
          <w:szCs w:val="24"/>
        </w:rPr>
      </w:pPr>
      <w:r w:rsidRPr="001C637D">
        <w:rPr>
          <w:rFonts w:ascii="Arial" w:hAnsi="Arial" w:cs="Arial"/>
          <w:sz w:val="24"/>
          <w:szCs w:val="24"/>
        </w:rPr>
        <w:t>British Columbia Ministry of Transportation and Infrastructure (2023) Climate resilience and highway recovery planning. Victoria: Government of British Columbia.</w:t>
      </w:r>
    </w:p>
    <w:p w14:paraId="32B244DA" w14:textId="77777777" w:rsidR="001C637D" w:rsidRPr="001C637D" w:rsidRDefault="001C637D" w:rsidP="001C637D">
      <w:pPr>
        <w:rPr>
          <w:rFonts w:ascii="Arial" w:hAnsi="Arial" w:cs="Arial"/>
          <w:sz w:val="24"/>
          <w:szCs w:val="24"/>
        </w:rPr>
      </w:pPr>
    </w:p>
    <w:p w14:paraId="7C082061" w14:textId="77777777" w:rsidR="001C637D" w:rsidRPr="001C637D" w:rsidRDefault="001C637D" w:rsidP="001C637D">
      <w:pPr>
        <w:rPr>
          <w:rFonts w:ascii="Arial" w:hAnsi="Arial" w:cs="Arial"/>
          <w:sz w:val="24"/>
          <w:szCs w:val="24"/>
        </w:rPr>
      </w:pPr>
      <w:r w:rsidRPr="001C637D">
        <w:rPr>
          <w:rFonts w:ascii="Arial" w:hAnsi="Arial" w:cs="Arial"/>
          <w:sz w:val="24"/>
          <w:szCs w:val="24"/>
        </w:rPr>
        <w:t>Flyvbjerg, B. (2017) ‘The iron law of megaproject management’, Project Management Journal, 45(4), pp. 6–18.</w:t>
      </w:r>
    </w:p>
    <w:p w14:paraId="5ECF2A7D" w14:textId="77777777" w:rsidR="001C637D" w:rsidRPr="001C637D" w:rsidRDefault="001C637D" w:rsidP="001C637D">
      <w:pPr>
        <w:rPr>
          <w:rFonts w:ascii="Arial" w:hAnsi="Arial" w:cs="Arial"/>
          <w:sz w:val="24"/>
          <w:szCs w:val="24"/>
        </w:rPr>
      </w:pPr>
    </w:p>
    <w:p w14:paraId="4C9DE3FD" w14:textId="77777777" w:rsidR="001C637D" w:rsidRPr="001C637D" w:rsidRDefault="001C637D" w:rsidP="001C637D">
      <w:pPr>
        <w:rPr>
          <w:rFonts w:ascii="Arial" w:hAnsi="Arial" w:cs="Arial"/>
          <w:sz w:val="24"/>
          <w:szCs w:val="24"/>
        </w:rPr>
      </w:pPr>
      <w:r w:rsidRPr="001C637D">
        <w:rPr>
          <w:rFonts w:ascii="Arial" w:hAnsi="Arial" w:cs="Arial"/>
          <w:sz w:val="24"/>
          <w:szCs w:val="24"/>
        </w:rPr>
        <w:t xml:space="preserve">Kerzner, H. (2022) Project Management: A Systems Approach to Planning, Scheduling, and Controlling. 13th </w:t>
      </w:r>
      <w:proofErr w:type="spellStart"/>
      <w:r w:rsidRPr="001C637D">
        <w:rPr>
          <w:rFonts w:ascii="Arial" w:hAnsi="Arial" w:cs="Arial"/>
          <w:sz w:val="24"/>
          <w:szCs w:val="24"/>
        </w:rPr>
        <w:t>edn</w:t>
      </w:r>
      <w:proofErr w:type="spellEnd"/>
      <w:r w:rsidRPr="001C637D">
        <w:rPr>
          <w:rFonts w:ascii="Arial" w:hAnsi="Arial" w:cs="Arial"/>
          <w:sz w:val="24"/>
          <w:szCs w:val="24"/>
        </w:rPr>
        <w:t>. Hoboken: Wiley.</w:t>
      </w:r>
    </w:p>
    <w:p w14:paraId="60402DEF" w14:textId="77777777" w:rsidR="001C637D" w:rsidRPr="001C637D" w:rsidRDefault="001C637D" w:rsidP="001C637D">
      <w:pPr>
        <w:rPr>
          <w:rFonts w:ascii="Arial" w:hAnsi="Arial" w:cs="Arial"/>
          <w:sz w:val="24"/>
          <w:szCs w:val="24"/>
        </w:rPr>
      </w:pPr>
    </w:p>
    <w:p w14:paraId="192F1F8A" w14:textId="77777777" w:rsidR="001C637D" w:rsidRPr="001C637D" w:rsidRDefault="001C637D" w:rsidP="001C637D">
      <w:pPr>
        <w:rPr>
          <w:rFonts w:ascii="Arial" w:hAnsi="Arial" w:cs="Arial"/>
          <w:sz w:val="24"/>
          <w:szCs w:val="24"/>
        </w:rPr>
      </w:pPr>
      <w:r w:rsidRPr="001C637D">
        <w:rPr>
          <w:rFonts w:ascii="Arial" w:hAnsi="Arial" w:cs="Arial"/>
          <w:sz w:val="24"/>
          <w:szCs w:val="24"/>
        </w:rPr>
        <w:t>Merrow, E.W. (2011) Industrial Megaprojects: Concepts, Strategies, and Practices for Success. Hoboken: Wiley.</w:t>
      </w:r>
    </w:p>
    <w:p w14:paraId="3FD9B252" w14:textId="77777777" w:rsidR="001C637D" w:rsidRPr="001C637D" w:rsidRDefault="001C637D" w:rsidP="001C637D">
      <w:pPr>
        <w:rPr>
          <w:rFonts w:ascii="Arial" w:hAnsi="Arial" w:cs="Arial"/>
          <w:sz w:val="24"/>
          <w:szCs w:val="24"/>
        </w:rPr>
      </w:pPr>
    </w:p>
    <w:p w14:paraId="1D9ACEAE" w14:textId="77777777" w:rsidR="001C637D" w:rsidRPr="001C637D" w:rsidRDefault="001C637D" w:rsidP="001C637D">
      <w:pPr>
        <w:rPr>
          <w:rFonts w:ascii="Arial" w:hAnsi="Arial" w:cs="Arial"/>
          <w:sz w:val="24"/>
          <w:szCs w:val="24"/>
        </w:rPr>
      </w:pPr>
      <w:r w:rsidRPr="001C637D">
        <w:rPr>
          <w:rFonts w:ascii="Arial" w:hAnsi="Arial" w:cs="Arial"/>
          <w:sz w:val="24"/>
          <w:szCs w:val="24"/>
        </w:rPr>
        <w:t xml:space="preserve">PMI (2021) A Guide to the Project Management Body of Knowledge (PMBOK Guide). 7th </w:t>
      </w:r>
      <w:proofErr w:type="spellStart"/>
      <w:r w:rsidRPr="001C637D">
        <w:rPr>
          <w:rFonts w:ascii="Arial" w:hAnsi="Arial" w:cs="Arial"/>
          <w:sz w:val="24"/>
          <w:szCs w:val="24"/>
        </w:rPr>
        <w:t>edn</w:t>
      </w:r>
      <w:proofErr w:type="spellEnd"/>
      <w:r w:rsidRPr="001C637D">
        <w:rPr>
          <w:rFonts w:ascii="Arial" w:hAnsi="Arial" w:cs="Arial"/>
          <w:sz w:val="24"/>
          <w:szCs w:val="24"/>
        </w:rPr>
        <w:t>. Newtown Square: Project Management Institute.</w:t>
      </w:r>
    </w:p>
    <w:p w14:paraId="56F7A959" w14:textId="77777777" w:rsidR="001C637D" w:rsidRPr="001C637D" w:rsidRDefault="001C637D" w:rsidP="001C637D">
      <w:pPr>
        <w:rPr>
          <w:rFonts w:ascii="Arial" w:hAnsi="Arial" w:cs="Arial"/>
          <w:sz w:val="24"/>
          <w:szCs w:val="24"/>
        </w:rPr>
      </w:pPr>
    </w:p>
    <w:p w14:paraId="7628A7C0" w14:textId="77777777" w:rsidR="001C637D" w:rsidRPr="001C637D" w:rsidRDefault="001C637D" w:rsidP="001C637D">
      <w:pPr>
        <w:rPr>
          <w:rFonts w:ascii="Arial" w:hAnsi="Arial" w:cs="Arial"/>
          <w:sz w:val="24"/>
          <w:szCs w:val="24"/>
        </w:rPr>
      </w:pPr>
      <w:r w:rsidRPr="001C637D">
        <w:rPr>
          <w:rFonts w:ascii="Arial" w:hAnsi="Arial" w:cs="Arial"/>
          <w:sz w:val="24"/>
          <w:szCs w:val="24"/>
        </w:rPr>
        <w:t xml:space="preserve">Turner, J.R. (2014) The Handbook of Project-Based Management. 4th </w:t>
      </w:r>
      <w:proofErr w:type="spellStart"/>
      <w:r w:rsidRPr="001C637D">
        <w:rPr>
          <w:rFonts w:ascii="Arial" w:hAnsi="Arial" w:cs="Arial"/>
          <w:sz w:val="24"/>
          <w:szCs w:val="24"/>
        </w:rPr>
        <w:t>edn</w:t>
      </w:r>
      <w:proofErr w:type="spellEnd"/>
      <w:r w:rsidRPr="001C637D">
        <w:rPr>
          <w:rFonts w:ascii="Arial" w:hAnsi="Arial" w:cs="Arial"/>
          <w:sz w:val="24"/>
          <w:szCs w:val="24"/>
        </w:rPr>
        <w:t>. New York: McGraw-Hill.</w:t>
      </w:r>
    </w:p>
    <w:p w14:paraId="10B86A96" w14:textId="77777777" w:rsidR="001C637D" w:rsidRPr="001C637D" w:rsidRDefault="001C637D" w:rsidP="001C637D">
      <w:pPr>
        <w:rPr>
          <w:rFonts w:ascii="Arial" w:hAnsi="Arial" w:cs="Arial"/>
          <w:sz w:val="24"/>
          <w:szCs w:val="24"/>
        </w:rPr>
      </w:pPr>
    </w:p>
    <w:p w14:paraId="0DDDBD75" w14:textId="77777777" w:rsidR="001C637D" w:rsidRPr="001C637D" w:rsidRDefault="001C637D" w:rsidP="001C637D">
      <w:pPr>
        <w:rPr>
          <w:rFonts w:ascii="Arial" w:hAnsi="Arial" w:cs="Arial"/>
          <w:sz w:val="24"/>
          <w:szCs w:val="24"/>
        </w:rPr>
      </w:pPr>
      <w:r w:rsidRPr="001C637D">
        <w:rPr>
          <w:rFonts w:ascii="Arial" w:hAnsi="Arial" w:cs="Arial"/>
          <w:sz w:val="24"/>
          <w:szCs w:val="24"/>
        </w:rPr>
        <w:t>Ward, S. and Chapman, C. (2003) ‘Transforming project risk management’, International Journal of Project Management, 21(2), pp. 97–105.</w:t>
      </w:r>
    </w:p>
    <w:p w14:paraId="0EB9F77E" w14:textId="77777777" w:rsidR="001C637D" w:rsidRPr="001C637D" w:rsidRDefault="001C637D" w:rsidP="001C637D">
      <w:pPr>
        <w:rPr>
          <w:rFonts w:ascii="Arial" w:hAnsi="Arial" w:cs="Arial"/>
          <w:sz w:val="24"/>
          <w:szCs w:val="24"/>
        </w:rPr>
      </w:pPr>
    </w:p>
    <w:p w14:paraId="001933A1" w14:textId="0F5842EA" w:rsidR="005B3D65" w:rsidRPr="00E9335F" w:rsidRDefault="001C637D" w:rsidP="001C637D">
      <w:pPr>
        <w:rPr>
          <w:rFonts w:ascii="Arial" w:hAnsi="Arial" w:cs="Arial"/>
          <w:sz w:val="24"/>
          <w:szCs w:val="24"/>
        </w:rPr>
      </w:pPr>
      <w:r w:rsidRPr="001C637D">
        <w:rPr>
          <w:rFonts w:ascii="Arial" w:hAnsi="Arial" w:cs="Arial"/>
          <w:sz w:val="24"/>
          <w:szCs w:val="24"/>
        </w:rPr>
        <w:t xml:space="preserve">Winch, G. (2010) Managing Construction Projects. 2nd </w:t>
      </w:r>
      <w:proofErr w:type="spellStart"/>
      <w:r w:rsidRPr="001C637D">
        <w:rPr>
          <w:rFonts w:ascii="Arial" w:hAnsi="Arial" w:cs="Arial"/>
          <w:sz w:val="24"/>
          <w:szCs w:val="24"/>
        </w:rPr>
        <w:t>edn</w:t>
      </w:r>
      <w:proofErr w:type="spellEnd"/>
      <w:r w:rsidRPr="001C637D">
        <w:rPr>
          <w:rFonts w:ascii="Arial" w:hAnsi="Arial" w:cs="Arial"/>
          <w:sz w:val="24"/>
          <w:szCs w:val="24"/>
        </w:rPr>
        <w:t>. Oxford: Wiley-Blackwell.</w:t>
      </w:r>
    </w:p>
    <w:sectPr w:rsidR="005B3D65" w:rsidRPr="00E933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2639"/>
    <w:rsid w:val="000E01A5"/>
    <w:rsid w:val="001C4CBC"/>
    <w:rsid w:val="001C637D"/>
    <w:rsid w:val="003E6647"/>
    <w:rsid w:val="005B3D65"/>
    <w:rsid w:val="007068C0"/>
    <w:rsid w:val="00B42639"/>
    <w:rsid w:val="00C00B9D"/>
    <w:rsid w:val="00E933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7AF22E"/>
  <w15:chartTrackingRefBased/>
  <w15:docId w15:val="{A32F95C0-D2A8-46DF-A89D-C76944FA80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4263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4263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4263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4263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4263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4263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4263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4263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4263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263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4263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4263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4263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4263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4263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4263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4263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42639"/>
    <w:rPr>
      <w:rFonts w:eastAsiaTheme="majorEastAsia" w:cstheme="majorBidi"/>
      <w:color w:val="272727" w:themeColor="text1" w:themeTint="D8"/>
    </w:rPr>
  </w:style>
  <w:style w:type="paragraph" w:styleId="Title">
    <w:name w:val="Title"/>
    <w:basedOn w:val="Normal"/>
    <w:next w:val="Normal"/>
    <w:link w:val="TitleChar"/>
    <w:uiPriority w:val="10"/>
    <w:qFormat/>
    <w:rsid w:val="00B4263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4263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4263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4263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42639"/>
    <w:pPr>
      <w:spacing w:before="160"/>
      <w:jc w:val="center"/>
    </w:pPr>
    <w:rPr>
      <w:i/>
      <w:iCs/>
      <w:color w:val="404040" w:themeColor="text1" w:themeTint="BF"/>
    </w:rPr>
  </w:style>
  <w:style w:type="character" w:customStyle="1" w:styleId="QuoteChar">
    <w:name w:val="Quote Char"/>
    <w:basedOn w:val="DefaultParagraphFont"/>
    <w:link w:val="Quote"/>
    <w:uiPriority w:val="29"/>
    <w:rsid w:val="00B42639"/>
    <w:rPr>
      <w:i/>
      <w:iCs/>
      <w:color w:val="404040" w:themeColor="text1" w:themeTint="BF"/>
    </w:rPr>
  </w:style>
  <w:style w:type="paragraph" w:styleId="ListParagraph">
    <w:name w:val="List Paragraph"/>
    <w:basedOn w:val="Normal"/>
    <w:uiPriority w:val="34"/>
    <w:qFormat/>
    <w:rsid w:val="00B42639"/>
    <w:pPr>
      <w:ind w:left="720"/>
      <w:contextualSpacing/>
    </w:pPr>
  </w:style>
  <w:style w:type="character" w:styleId="IntenseEmphasis">
    <w:name w:val="Intense Emphasis"/>
    <w:basedOn w:val="DefaultParagraphFont"/>
    <w:uiPriority w:val="21"/>
    <w:qFormat/>
    <w:rsid w:val="00B42639"/>
    <w:rPr>
      <w:i/>
      <w:iCs/>
      <w:color w:val="0F4761" w:themeColor="accent1" w:themeShade="BF"/>
    </w:rPr>
  </w:style>
  <w:style w:type="paragraph" w:styleId="IntenseQuote">
    <w:name w:val="Intense Quote"/>
    <w:basedOn w:val="Normal"/>
    <w:next w:val="Normal"/>
    <w:link w:val="IntenseQuoteChar"/>
    <w:uiPriority w:val="30"/>
    <w:qFormat/>
    <w:rsid w:val="00B4263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42639"/>
    <w:rPr>
      <w:i/>
      <w:iCs/>
      <w:color w:val="0F4761" w:themeColor="accent1" w:themeShade="BF"/>
    </w:rPr>
  </w:style>
  <w:style w:type="character" w:styleId="IntenseReference">
    <w:name w:val="Intense Reference"/>
    <w:basedOn w:val="DefaultParagraphFont"/>
    <w:uiPriority w:val="32"/>
    <w:qFormat/>
    <w:rsid w:val="00B4263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2069</Words>
  <Characters>11795</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Edis Mjekra</dc:creator>
  <cp:keywords/>
  <dc:description/>
  <cp:lastModifiedBy>Edis Mjekra</cp:lastModifiedBy>
  <cp:revision>2</cp:revision>
  <dcterms:created xsi:type="dcterms:W3CDTF">2025-12-18T20:26:00Z</dcterms:created>
  <dcterms:modified xsi:type="dcterms:W3CDTF">2025-12-18T20:26:00Z</dcterms:modified>
</cp:coreProperties>
</file>