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64D67" w:rsidRPr="003C1E70" w:rsidRDefault="000A1649" w:rsidP="00890D6D">
      <w:pPr>
        <w:jc w:val="center"/>
        <w:rPr>
          <w:rFonts w:ascii="Times New Roman" w:hAnsi="Times New Roman" w:cs="Times New Roman"/>
          <w:b/>
          <w:sz w:val="24"/>
          <w:szCs w:val="24"/>
        </w:rPr>
      </w:pPr>
      <w:r w:rsidRPr="003C1E70">
        <w:rPr>
          <w:rFonts w:ascii="Times New Roman" w:hAnsi="Times New Roman" w:cs="Times New Roman"/>
          <w:b/>
          <w:sz w:val="24"/>
          <w:szCs w:val="24"/>
        </w:rPr>
        <w:t>The Continental Hotel Budget Planner</w:t>
      </w:r>
    </w:p>
    <w:p w:rsidR="00CA65EA" w:rsidRPr="003C1E70" w:rsidRDefault="00CA65EA" w:rsidP="00890D6D">
      <w:pPr>
        <w:jc w:val="center"/>
        <w:rPr>
          <w:rFonts w:ascii="Times New Roman" w:hAnsi="Times New Roman" w:cs="Times New Roman"/>
          <w:b/>
          <w:sz w:val="24"/>
          <w:szCs w:val="24"/>
        </w:rPr>
      </w:pPr>
      <w:r w:rsidRPr="003C1E70">
        <w:rPr>
          <w:rFonts w:ascii="Times New Roman" w:hAnsi="Times New Roman" w:cs="Times New Roman"/>
          <w:b/>
          <w:sz w:val="24"/>
          <w:szCs w:val="24"/>
        </w:rPr>
        <w:t>Task 1: Budget Forecast</w:t>
      </w:r>
    </w:p>
    <w:p w:rsidR="00CA65EA" w:rsidRDefault="004E003E" w:rsidP="00CA65EA">
      <w:pPr>
        <w:rPr>
          <w:rFonts w:ascii="Times New Roman" w:hAnsi="Times New Roman" w:cs="Times New Roman"/>
          <w:sz w:val="24"/>
          <w:szCs w:val="24"/>
        </w:rPr>
      </w:pPr>
      <w:r>
        <w:rPr>
          <w:rFonts w:ascii="Times New Roman" w:hAnsi="Times New Roman" w:cs="Times New Roman"/>
          <w:sz w:val="24"/>
          <w:szCs w:val="24"/>
        </w:rPr>
        <w:t xml:space="preserve">The budget forecast is necessary to utilize resources effectively. The budget </w:t>
      </w:r>
      <w:r w:rsidR="00071915">
        <w:rPr>
          <w:rFonts w:ascii="Times New Roman" w:hAnsi="Times New Roman" w:cs="Times New Roman"/>
          <w:sz w:val="24"/>
          <w:szCs w:val="24"/>
        </w:rPr>
        <w:t>cash flow</w:t>
      </w:r>
      <w:r>
        <w:rPr>
          <w:rFonts w:ascii="Times New Roman" w:hAnsi="Times New Roman" w:cs="Times New Roman"/>
          <w:sz w:val="24"/>
          <w:szCs w:val="24"/>
        </w:rPr>
        <w:t xml:space="preserve"> </w:t>
      </w:r>
      <w:r w:rsidR="003F16CD">
        <w:rPr>
          <w:rFonts w:ascii="Times New Roman" w:hAnsi="Times New Roman" w:cs="Times New Roman"/>
          <w:sz w:val="24"/>
          <w:szCs w:val="24"/>
        </w:rPr>
        <w:t>for the ‘The Continental Hotel Budget Planner’</w:t>
      </w:r>
      <w:r w:rsidR="00071915">
        <w:rPr>
          <w:rFonts w:ascii="Times New Roman" w:hAnsi="Times New Roman" w:cs="Times New Roman"/>
          <w:sz w:val="24"/>
          <w:szCs w:val="24"/>
        </w:rPr>
        <w:t xml:space="preserve"> for th</w:t>
      </w:r>
      <w:r w:rsidR="001A3572">
        <w:rPr>
          <w:rFonts w:ascii="Times New Roman" w:hAnsi="Times New Roman" w:cs="Times New Roman"/>
          <w:sz w:val="24"/>
          <w:szCs w:val="24"/>
        </w:rPr>
        <w:t xml:space="preserve">e year 2022 is calculated on the spread sheet. </w:t>
      </w:r>
      <w:r w:rsidR="00C232B8">
        <w:rPr>
          <w:rFonts w:ascii="Times New Roman" w:hAnsi="Times New Roman" w:cs="Times New Roman"/>
          <w:sz w:val="24"/>
          <w:szCs w:val="24"/>
        </w:rPr>
        <w:t>The corresponding outcomes are shown below in figure 1:</w:t>
      </w:r>
    </w:p>
    <w:p w:rsidR="00C232B8" w:rsidRDefault="00B44D6F" w:rsidP="00CA65E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524873" cy="3135752"/>
            <wp:effectExtent l="19050" t="0" r="9277" b="0"/>
            <wp:docPr id="1" name="Picture 1" descr="C:\Users\ANAM\Downloads\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AM\Downloads\12.PNG"/>
                    <pic:cNvPicPr>
                      <a:picLocks noChangeAspect="1" noChangeArrowheads="1"/>
                    </pic:cNvPicPr>
                  </pic:nvPicPr>
                  <pic:blipFill>
                    <a:blip r:embed="rId4" cstate="print"/>
                    <a:srcRect/>
                    <a:stretch>
                      <a:fillRect/>
                    </a:stretch>
                  </pic:blipFill>
                  <pic:spPr bwMode="auto">
                    <a:xfrm>
                      <a:off x="0" y="0"/>
                      <a:ext cx="6536996" cy="3141578"/>
                    </a:xfrm>
                    <a:prstGeom prst="rect">
                      <a:avLst/>
                    </a:prstGeom>
                    <a:noFill/>
                    <a:ln w="9525">
                      <a:noFill/>
                      <a:miter lim="800000"/>
                      <a:headEnd/>
                      <a:tailEnd/>
                    </a:ln>
                  </pic:spPr>
                </pic:pic>
              </a:graphicData>
            </a:graphic>
          </wp:inline>
        </w:drawing>
      </w:r>
    </w:p>
    <w:p w:rsidR="00B44D6F" w:rsidRDefault="00B44D6F" w:rsidP="00CA65EA">
      <w:pPr>
        <w:rPr>
          <w:rFonts w:ascii="Times New Roman" w:hAnsi="Times New Roman" w:cs="Times New Roman"/>
          <w:sz w:val="24"/>
          <w:szCs w:val="24"/>
        </w:rPr>
      </w:pPr>
      <w:r>
        <w:rPr>
          <w:rFonts w:ascii="Times New Roman" w:hAnsi="Times New Roman" w:cs="Times New Roman"/>
          <w:sz w:val="24"/>
          <w:szCs w:val="24"/>
        </w:rPr>
        <w:t>Figure 1: Budget for the year 2022</w:t>
      </w:r>
    </w:p>
    <w:p w:rsidR="00B44D6F" w:rsidRDefault="00553D14" w:rsidP="00CA65EA">
      <w:pPr>
        <w:rPr>
          <w:rFonts w:ascii="Times New Roman" w:hAnsi="Times New Roman" w:cs="Times New Roman"/>
          <w:sz w:val="24"/>
          <w:szCs w:val="24"/>
        </w:rPr>
      </w:pPr>
      <w:r>
        <w:rPr>
          <w:rFonts w:ascii="Times New Roman" w:hAnsi="Times New Roman" w:cs="Times New Roman"/>
          <w:sz w:val="24"/>
          <w:szCs w:val="24"/>
        </w:rPr>
        <w:t>The budget for the forthcoming year i.e. 2023 is developed with a 5 % increase in forecasted payment on busines</w:t>
      </w:r>
      <w:r w:rsidR="005F6E26">
        <w:rPr>
          <w:rFonts w:ascii="Times New Roman" w:hAnsi="Times New Roman" w:cs="Times New Roman"/>
          <w:sz w:val="24"/>
          <w:szCs w:val="24"/>
        </w:rPr>
        <w:t xml:space="preserve">s account, cash sales, and </w:t>
      </w:r>
      <w:r w:rsidR="00D44993">
        <w:rPr>
          <w:rFonts w:ascii="Times New Roman" w:hAnsi="Times New Roman" w:cs="Times New Roman"/>
          <w:sz w:val="24"/>
          <w:szCs w:val="24"/>
        </w:rPr>
        <w:t xml:space="preserve">total payments </w:t>
      </w:r>
      <w:r w:rsidR="00D4053F">
        <w:rPr>
          <w:rFonts w:ascii="Times New Roman" w:hAnsi="Times New Roman" w:cs="Times New Roman"/>
          <w:sz w:val="24"/>
          <w:szCs w:val="24"/>
        </w:rPr>
        <w:t>as inflation rate</w:t>
      </w:r>
      <w:r w:rsidR="007E4182">
        <w:rPr>
          <w:rFonts w:ascii="Times New Roman" w:hAnsi="Times New Roman" w:cs="Times New Roman"/>
          <w:sz w:val="24"/>
          <w:szCs w:val="24"/>
        </w:rPr>
        <w:t xml:space="preserve"> for the upcoming year. The corresponding cash flow forecast/budget planner for the year 2023 is shown below in figure </w:t>
      </w:r>
      <w:r w:rsidR="00B06D63">
        <w:rPr>
          <w:rFonts w:ascii="Times New Roman" w:hAnsi="Times New Roman" w:cs="Times New Roman"/>
          <w:sz w:val="24"/>
          <w:szCs w:val="24"/>
        </w:rPr>
        <w:t>2 as follows:</w:t>
      </w:r>
    </w:p>
    <w:p w:rsidR="00B06D63" w:rsidRDefault="00CB414B" w:rsidP="00CA65E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437409" cy="2523827"/>
            <wp:effectExtent l="19050" t="0" r="1491" b="0"/>
            <wp:docPr id="2" name="Picture 2" descr="C:\Users\ANAM\Downloads\20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AM\Downloads\20231.PNG"/>
                    <pic:cNvPicPr>
                      <a:picLocks noChangeAspect="1" noChangeArrowheads="1"/>
                    </pic:cNvPicPr>
                  </pic:nvPicPr>
                  <pic:blipFill>
                    <a:blip r:embed="rId5" cstate="print"/>
                    <a:srcRect/>
                    <a:stretch>
                      <a:fillRect/>
                    </a:stretch>
                  </pic:blipFill>
                  <pic:spPr bwMode="auto">
                    <a:xfrm>
                      <a:off x="0" y="0"/>
                      <a:ext cx="6439576" cy="2524677"/>
                    </a:xfrm>
                    <a:prstGeom prst="rect">
                      <a:avLst/>
                    </a:prstGeom>
                    <a:noFill/>
                    <a:ln w="9525">
                      <a:noFill/>
                      <a:miter lim="800000"/>
                      <a:headEnd/>
                      <a:tailEnd/>
                    </a:ln>
                  </pic:spPr>
                </pic:pic>
              </a:graphicData>
            </a:graphic>
          </wp:inline>
        </w:drawing>
      </w:r>
    </w:p>
    <w:p w:rsidR="00CB414B" w:rsidRPr="00D42118" w:rsidRDefault="00CB414B" w:rsidP="00CA65EA">
      <w:pPr>
        <w:rPr>
          <w:rFonts w:ascii="Times New Roman" w:hAnsi="Times New Roman" w:cs="Times New Roman"/>
          <w:sz w:val="24"/>
          <w:szCs w:val="24"/>
        </w:rPr>
      </w:pPr>
      <w:r>
        <w:rPr>
          <w:rFonts w:ascii="Times New Roman" w:hAnsi="Times New Roman" w:cs="Times New Roman"/>
          <w:sz w:val="24"/>
          <w:szCs w:val="24"/>
        </w:rPr>
        <w:t xml:space="preserve">Figure 2: </w:t>
      </w:r>
      <w:r w:rsidR="00833CDD">
        <w:rPr>
          <w:rFonts w:ascii="Times New Roman" w:hAnsi="Times New Roman" w:cs="Times New Roman"/>
          <w:sz w:val="24"/>
          <w:szCs w:val="24"/>
        </w:rPr>
        <w:t>Cash Flow Forecast for the year 2023</w:t>
      </w:r>
    </w:p>
    <w:p w:rsidR="00356979" w:rsidRDefault="00356979" w:rsidP="00612CA9">
      <w:pPr>
        <w:spacing w:line="480" w:lineRule="auto"/>
        <w:rPr>
          <w:rFonts w:ascii="Times New Roman" w:hAnsi="Times New Roman" w:cs="Times New Roman"/>
          <w:sz w:val="24"/>
          <w:szCs w:val="24"/>
        </w:rPr>
      </w:pPr>
    </w:p>
    <w:p w:rsidR="00356979" w:rsidRDefault="00356979" w:rsidP="00612CA9">
      <w:pPr>
        <w:spacing w:line="480" w:lineRule="auto"/>
        <w:rPr>
          <w:rFonts w:ascii="Times New Roman" w:hAnsi="Times New Roman" w:cs="Times New Roman"/>
          <w:sz w:val="24"/>
          <w:szCs w:val="24"/>
        </w:rPr>
      </w:pPr>
    </w:p>
    <w:p w:rsidR="00356979" w:rsidRDefault="00356979" w:rsidP="00612CA9">
      <w:pPr>
        <w:spacing w:line="480" w:lineRule="auto"/>
        <w:rPr>
          <w:rFonts w:ascii="Times New Roman" w:hAnsi="Times New Roman" w:cs="Times New Roman"/>
          <w:sz w:val="24"/>
          <w:szCs w:val="24"/>
        </w:rPr>
      </w:pPr>
    </w:p>
    <w:p w:rsidR="00356979" w:rsidRDefault="00356979" w:rsidP="00612CA9">
      <w:pPr>
        <w:spacing w:line="480" w:lineRule="auto"/>
        <w:rPr>
          <w:rFonts w:ascii="Times New Roman" w:hAnsi="Times New Roman" w:cs="Times New Roman"/>
          <w:sz w:val="24"/>
          <w:szCs w:val="24"/>
        </w:rPr>
      </w:pPr>
    </w:p>
    <w:p w:rsidR="00356979" w:rsidRDefault="00356979" w:rsidP="00612CA9">
      <w:pPr>
        <w:spacing w:line="480" w:lineRule="auto"/>
        <w:rPr>
          <w:rFonts w:ascii="Times New Roman" w:hAnsi="Times New Roman" w:cs="Times New Roman"/>
          <w:sz w:val="24"/>
          <w:szCs w:val="24"/>
        </w:rPr>
      </w:pPr>
    </w:p>
    <w:p w:rsidR="00356979" w:rsidRDefault="00356979" w:rsidP="00612CA9">
      <w:pPr>
        <w:spacing w:line="480" w:lineRule="auto"/>
        <w:rPr>
          <w:rFonts w:ascii="Times New Roman" w:hAnsi="Times New Roman" w:cs="Times New Roman"/>
          <w:sz w:val="24"/>
          <w:szCs w:val="24"/>
        </w:rPr>
      </w:pPr>
    </w:p>
    <w:p w:rsidR="00356979" w:rsidRDefault="00356979" w:rsidP="00612CA9">
      <w:pPr>
        <w:spacing w:line="480" w:lineRule="auto"/>
        <w:rPr>
          <w:rFonts w:ascii="Times New Roman" w:hAnsi="Times New Roman" w:cs="Times New Roman"/>
          <w:sz w:val="24"/>
          <w:szCs w:val="24"/>
        </w:rPr>
      </w:pPr>
    </w:p>
    <w:p w:rsidR="00356979" w:rsidRDefault="00356979" w:rsidP="00612CA9">
      <w:pPr>
        <w:spacing w:line="480" w:lineRule="auto"/>
        <w:rPr>
          <w:rFonts w:ascii="Times New Roman" w:hAnsi="Times New Roman" w:cs="Times New Roman"/>
          <w:sz w:val="24"/>
          <w:szCs w:val="24"/>
        </w:rPr>
      </w:pPr>
    </w:p>
    <w:p w:rsidR="00356979" w:rsidRDefault="00356979" w:rsidP="00612CA9">
      <w:pPr>
        <w:spacing w:line="480" w:lineRule="auto"/>
        <w:rPr>
          <w:rFonts w:ascii="Times New Roman" w:hAnsi="Times New Roman" w:cs="Times New Roman"/>
          <w:sz w:val="24"/>
          <w:szCs w:val="24"/>
        </w:rPr>
      </w:pPr>
    </w:p>
    <w:p w:rsidR="00356979" w:rsidRDefault="00356979" w:rsidP="00612CA9">
      <w:pPr>
        <w:spacing w:line="480" w:lineRule="auto"/>
        <w:rPr>
          <w:rFonts w:ascii="Times New Roman" w:hAnsi="Times New Roman" w:cs="Times New Roman"/>
          <w:sz w:val="24"/>
          <w:szCs w:val="24"/>
        </w:rPr>
      </w:pPr>
    </w:p>
    <w:p w:rsidR="00356979" w:rsidRDefault="00356979" w:rsidP="00612CA9">
      <w:pPr>
        <w:spacing w:line="480" w:lineRule="auto"/>
        <w:rPr>
          <w:rFonts w:ascii="Times New Roman" w:hAnsi="Times New Roman" w:cs="Times New Roman"/>
          <w:sz w:val="24"/>
          <w:szCs w:val="24"/>
        </w:rPr>
      </w:pPr>
    </w:p>
    <w:p w:rsidR="00A530D4" w:rsidRPr="003C1E70" w:rsidRDefault="00356979" w:rsidP="003C1E70">
      <w:pPr>
        <w:spacing w:line="480" w:lineRule="auto"/>
        <w:jc w:val="center"/>
        <w:rPr>
          <w:rFonts w:ascii="Times New Roman" w:hAnsi="Times New Roman" w:cs="Times New Roman"/>
          <w:b/>
          <w:sz w:val="24"/>
          <w:szCs w:val="24"/>
        </w:rPr>
      </w:pPr>
      <w:r w:rsidRPr="003C1E70">
        <w:rPr>
          <w:rFonts w:ascii="Times New Roman" w:hAnsi="Times New Roman" w:cs="Times New Roman"/>
          <w:b/>
          <w:sz w:val="24"/>
          <w:szCs w:val="24"/>
        </w:rPr>
        <w:t>Task 2</w:t>
      </w:r>
      <w:r w:rsidR="003C1E70">
        <w:rPr>
          <w:rFonts w:ascii="Times New Roman" w:hAnsi="Times New Roman" w:cs="Times New Roman"/>
          <w:b/>
          <w:sz w:val="24"/>
          <w:szCs w:val="24"/>
        </w:rPr>
        <w:t xml:space="preserve">: </w:t>
      </w:r>
      <w:r w:rsidR="00A530D4" w:rsidRPr="003C1E70">
        <w:rPr>
          <w:rFonts w:ascii="Times New Roman" w:hAnsi="Times New Roman" w:cs="Times New Roman"/>
          <w:b/>
          <w:sz w:val="24"/>
          <w:szCs w:val="24"/>
        </w:rPr>
        <w:t>Zero-Based Budgeting</w:t>
      </w:r>
    </w:p>
    <w:p w:rsidR="00D42118" w:rsidRPr="00D42118" w:rsidRDefault="00D42118" w:rsidP="00612CA9">
      <w:pPr>
        <w:spacing w:line="480" w:lineRule="auto"/>
        <w:rPr>
          <w:rFonts w:ascii="Times New Roman" w:hAnsi="Times New Roman" w:cs="Times New Roman"/>
          <w:sz w:val="24"/>
          <w:szCs w:val="24"/>
        </w:rPr>
      </w:pPr>
      <w:r w:rsidRPr="00D42118">
        <w:rPr>
          <w:rFonts w:ascii="Times New Roman" w:hAnsi="Times New Roman" w:cs="Times New Roman"/>
          <w:sz w:val="24"/>
          <w:szCs w:val="24"/>
        </w:rPr>
        <w:t>Introduction</w:t>
      </w:r>
    </w:p>
    <w:p w:rsidR="00D42118" w:rsidRPr="00D42118" w:rsidRDefault="00D42118" w:rsidP="00612CA9">
      <w:pPr>
        <w:spacing w:line="480" w:lineRule="auto"/>
        <w:ind w:firstLine="720"/>
        <w:rPr>
          <w:rFonts w:ascii="Times New Roman" w:hAnsi="Times New Roman" w:cs="Times New Roman"/>
          <w:sz w:val="24"/>
          <w:szCs w:val="24"/>
        </w:rPr>
      </w:pPr>
      <w:r w:rsidRPr="00D42118">
        <w:rPr>
          <w:rFonts w:ascii="Times New Roman" w:hAnsi="Times New Roman" w:cs="Times New Roman"/>
          <w:sz w:val="24"/>
          <w:szCs w:val="24"/>
        </w:rPr>
        <w:t>A budget is defined as the plan for spending income on various types of expenses for a specific period. It is usually prepared for one year. The process of creating a plan for spending money on varying expenditures is called budgeting (Banks and Giliberti, 2008). Budgeting is a critical aspect of managing income and expenditures. It allows allocating enough resources to execute and perform different things in a particular period (Ramsey and Ramsey, 1985). It also gives an idea of whether the available or expected income is enough for completing future projects. Budgeting is important to ensure that enough money is available for completing the planned projects. Budgeting is of different types including Traditional budget, Kaizen budget, Zero-Based budget, Activity-Based budget, and Base budget (Knight, 1979). The purpose of this report is to explain the difference between a traditional budget and a zero-based budget and to develop an appropriate process for implementing the zero-based budget.</w:t>
      </w:r>
    </w:p>
    <w:p w:rsidR="00D42118" w:rsidRPr="00D42118" w:rsidRDefault="00D42118" w:rsidP="00612CA9">
      <w:pPr>
        <w:spacing w:line="480" w:lineRule="auto"/>
        <w:rPr>
          <w:rFonts w:ascii="Times New Roman" w:hAnsi="Times New Roman" w:cs="Times New Roman"/>
          <w:sz w:val="24"/>
          <w:szCs w:val="24"/>
        </w:rPr>
      </w:pPr>
      <w:r w:rsidRPr="00D42118">
        <w:rPr>
          <w:rFonts w:ascii="Times New Roman" w:hAnsi="Times New Roman" w:cs="Times New Roman"/>
          <w:sz w:val="24"/>
          <w:szCs w:val="24"/>
        </w:rPr>
        <w:t>Traditional Budget</w:t>
      </w:r>
    </w:p>
    <w:p w:rsidR="00D42118" w:rsidRPr="00D42118" w:rsidRDefault="00D42118" w:rsidP="00612CA9">
      <w:pPr>
        <w:spacing w:line="480" w:lineRule="auto"/>
        <w:ind w:firstLine="720"/>
        <w:rPr>
          <w:rFonts w:ascii="Times New Roman" w:hAnsi="Times New Roman" w:cs="Times New Roman"/>
          <w:sz w:val="24"/>
          <w:szCs w:val="24"/>
        </w:rPr>
      </w:pPr>
      <w:r w:rsidRPr="00D42118">
        <w:rPr>
          <w:rFonts w:ascii="Times New Roman" w:hAnsi="Times New Roman" w:cs="Times New Roman"/>
          <w:sz w:val="24"/>
          <w:szCs w:val="24"/>
        </w:rPr>
        <w:t>Traditional budgeting is defined as the process of planning for future expenses and revenues based on the previous budget. It involves analyzing and predicting the expenses and earnings (Minárik, 2020). This budgeting process is widely used by both small and large-scale organizations. The previous budget assists in justifying the predictions for the future budget, thus traditional budgeting technique is considered an adequate form of budgeting. Traditional budgeting starts by looking at the previous budget revenues. The next step is to analyze the expenses. The expenses are of two types i.e. fixed and variable. The fixed expenses remain the same for each year while the variable expenses are subject to change with time. The fixed expense for an organization may include the rent and maintenance charges (Pietrzak, 2014). The variable expenses involve the utility bills, supplies, cost of manufacturing, fuel charges etc. This process gives an estimate of the expected expenses for the future. Traditional budgeting allows estimating the net profit over a particular period. The difference between the estimated revenues and expected expenses gives the expected profits (Fanning, 1998).</w:t>
      </w:r>
    </w:p>
    <w:p w:rsidR="00D42118" w:rsidRPr="00D42118" w:rsidRDefault="00D42118" w:rsidP="00612CA9">
      <w:pPr>
        <w:spacing w:line="480" w:lineRule="auto"/>
        <w:ind w:firstLine="720"/>
        <w:rPr>
          <w:rFonts w:ascii="Times New Roman" w:hAnsi="Times New Roman" w:cs="Times New Roman"/>
          <w:sz w:val="24"/>
          <w:szCs w:val="24"/>
        </w:rPr>
      </w:pPr>
      <w:r w:rsidRPr="00D42118">
        <w:rPr>
          <w:rFonts w:ascii="Times New Roman" w:hAnsi="Times New Roman" w:cs="Times New Roman"/>
          <w:sz w:val="24"/>
          <w:szCs w:val="24"/>
        </w:rPr>
        <w:t>The traditional budgeting process is very simple. The data from the previous budget help to make adequate estimates about future expected revenues and expenses. It assists in making strategic decisions related to cutting costs or initiating new projects for the proliferation of the organizational business (Bhatti and Phaup, 2015). The traditional budget also makes it easy to attract potential investors to increase financing for the business. It is a projection for future revenues that is backed up by the previous budget. Investors would like to invest in a business only if they see the chances for growth. Since traditional budgeting is based on the previous budget, it gives accurate estimates for future revenues, expenses, and profits (Bhatti and Phaup, 2015).</w:t>
      </w:r>
    </w:p>
    <w:p w:rsidR="00D42118" w:rsidRPr="00D42118" w:rsidRDefault="00D42118" w:rsidP="00612CA9">
      <w:pPr>
        <w:spacing w:line="480" w:lineRule="auto"/>
        <w:rPr>
          <w:rFonts w:ascii="Times New Roman" w:hAnsi="Times New Roman" w:cs="Times New Roman"/>
          <w:sz w:val="24"/>
          <w:szCs w:val="24"/>
        </w:rPr>
      </w:pPr>
      <w:r w:rsidRPr="00D42118">
        <w:rPr>
          <w:rFonts w:ascii="Times New Roman" w:hAnsi="Times New Roman" w:cs="Times New Roman"/>
          <w:sz w:val="24"/>
          <w:szCs w:val="24"/>
        </w:rPr>
        <w:t>Zero-Based Budgeting</w:t>
      </w:r>
    </w:p>
    <w:p w:rsidR="00D42118" w:rsidRPr="00D42118" w:rsidRDefault="00D42118" w:rsidP="00612CA9">
      <w:pPr>
        <w:spacing w:line="480" w:lineRule="auto"/>
        <w:ind w:firstLine="720"/>
        <w:rPr>
          <w:rFonts w:ascii="Times New Roman" w:hAnsi="Times New Roman" w:cs="Times New Roman"/>
          <w:sz w:val="24"/>
          <w:szCs w:val="24"/>
        </w:rPr>
      </w:pPr>
      <w:r w:rsidRPr="00D42118">
        <w:rPr>
          <w:rFonts w:ascii="Times New Roman" w:hAnsi="Times New Roman" w:cs="Times New Roman"/>
          <w:sz w:val="24"/>
          <w:szCs w:val="24"/>
        </w:rPr>
        <w:t>Zero-based budgeting (ZBB) is a process to apportion the appropriate amount of funds for a project based on the necessity and efficiency of the program. The funding is targeted more to activities that align with organizational strategy. Funds are tied to the level of service and particular activities (Swanick and Conrad, 1978). The cuts or increments in funds are not evenly spread across the budget. This sort of budgeting does not require justification from the previous budget. It is an innovative and creative form of budgeting technique that is used to initiate new programs for organizational growth and development. The role of zero-based budgeting is critical in organizational business because it provides the opportunity to take unpopular decisions regarding the allocation of resources. If failed, the consequences are severe, however, if it is successful then it liberates organizations from entrenched methodologies and departments and produces radical savings. ZBB is a process of developing the budget from scratch but the financial figures need to be justified. These figures should be according to the scope of the project and must not be vague or baseless (Chen, 1980).</w:t>
      </w:r>
    </w:p>
    <w:p w:rsidR="00D42118" w:rsidRPr="00D42118" w:rsidRDefault="00D42118" w:rsidP="00612CA9">
      <w:pPr>
        <w:spacing w:line="480" w:lineRule="auto"/>
        <w:ind w:firstLine="720"/>
        <w:rPr>
          <w:rFonts w:ascii="Times New Roman" w:hAnsi="Times New Roman" w:cs="Times New Roman"/>
          <w:sz w:val="24"/>
          <w:szCs w:val="24"/>
        </w:rPr>
      </w:pPr>
      <w:r w:rsidRPr="00D42118">
        <w:rPr>
          <w:rFonts w:ascii="Times New Roman" w:hAnsi="Times New Roman" w:cs="Times New Roman"/>
          <w:sz w:val="24"/>
          <w:szCs w:val="24"/>
        </w:rPr>
        <w:t>ZBB assist in developing innovative methodologies to perform specific activities within the organization. By rigorous challenging assumptions, ZBB improves operational efficiency. It leads to enhance savings as it avoids automatic budget increments and supports cost reduction. ZBB is a process that catalyzes broader collaboration throughout the organization (WOO, 2019). Consequently, the resulting budget is aligned with the organizational strategy and is well justified. Contrary to this, ZBB may harm the organizational brand or culture and might disrupt the organization’s operations. The framework of ZBB requires more resources in general and needs specialized training. If the funding is limited, ZBB might be cost-prohibitive. Similarly, if the potential savings are uncertain, ZBB might be risky (Rachlin and Lalli, 1999).  Moreover, preparing a zero-based budget is time consuming, complex, and costly procedure as it is built from scratch.</w:t>
      </w:r>
    </w:p>
    <w:p w:rsidR="00D42118" w:rsidRPr="00D42118" w:rsidRDefault="00D42118" w:rsidP="00612CA9">
      <w:pPr>
        <w:spacing w:line="480" w:lineRule="auto"/>
        <w:rPr>
          <w:rFonts w:ascii="Times New Roman" w:hAnsi="Times New Roman" w:cs="Times New Roman"/>
          <w:sz w:val="24"/>
          <w:szCs w:val="24"/>
        </w:rPr>
      </w:pPr>
      <w:r w:rsidRPr="00D42118">
        <w:rPr>
          <w:rFonts w:ascii="Times New Roman" w:hAnsi="Times New Roman" w:cs="Times New Roman"/>
          <w:sz w:val="24"/>
          <w:szCs w:val="24"/>
        </w:rPr>
        <w:t>Implementation Zero-Based Budget</w:t>
      </w:r>
    </w:p>
    <w:p w:rsidR="00D42118" w:rsidRPr="00D42118" w:rsidRDefault="00D42118" w:rsidP="00612CA9">
      <w:pPr>
        <w:spacing w:line="480" w:lineRule="auto"/>
        <w:ind w:firstLine="720"/>
        <w:rPr>
          <w:rFonts w:ascii="Times New Roman" w:hAnsi="Times New Roman" w:cs="Times New Roman"/>
          <w:sz w:val="24"/>
          <w:szCs w:val="24"/>
        </w:rPr>
      </w:pPr>
      <w:r w:rsidRPr="00D42118">
        <w:rPr>
          <w:rFonts w:ascii="Times New Roman" w:hAnsi="Times New Roman" w:cs="Times New Roman"/>
          <w:sz w:val="24"/>
          <w:szCs w:val="24"/>
        </w:rPr>
        <w:t>The process of ZBB comprises several steps that facilitate implementing it efficiently. The first in this process is to identify the decision units. Every single activity that can be identified meaningfully and independently is a decision unit. All cost centres involving research and development, human resource, production, and marketing departments act as decision units. The concerned managers are required to prepare a fresh budget for each decision unit and justify it (Ibrahim, 2019). The second step in this process is making decision packages. This step involves breaking down the decision units into small decision packages that are in line with the organizational objectives. These decision packages appeal for allocating funds and act as standalone proposals. Each decision package should determine intangible and economic benefits, the need for proposal, operations, activities, and functions and loss of opportunity (Wetherbe and Montanari, 1981). It must analyze the alternative course of action, operational and technical viability of each decision package, need for each task, and objectives and goals for all activities involved.</w:t>
      </w:r>
    </w:p>
    <w:p w:rsidR="00D42118" w:rsidRPr="00D42118" w:rsidRDefault="00D42118" w:rsidP="00612CA9">
      <w:pPr>
        <w:spacing w:line="480" w:lineRule="auto"/>
        <w:ind w:firstLine="720"/>
        <w:rPr>
          <w:rFonts w:ascii="Times New Roman" w:hAnsi="Times New Roman" w:cs="Times New Roman"/>
          <w:sz w:val="24"/>
          <w:szCs w:val="24"/>
        </w:rPr>
      </w:pPr>
      <w:r w:rsidRPr="00D42118">
        <w:rPr>
          <w:rFonts w:ascii="Times New Roman" w:hAnsi="Times New Roman" w:cs="Times New Roman"/>
          <w:sz w:val="24"/>
          <w:szCs w:val="24"/>
        </w:rPr>
        <w:t>The third step to implement zero-based budgeting is to rank the varying decision packages. In this step, all the decision packages are ranked based on their priority and importance. Prioritizing the decision packages is mandatory for the efficient allocation of scarce resources. The cost-effective analysis is used to rank each decision package. The role of management is crucial to assure realistic and accurate costing for each decision package. After ranking the decision packages, the next step is to allocate resources. Funds are to be allocated according to the rank of each decision package. It allows optimum utilization of available resources. Consequently, better funds are allocated to the most anticipating decision package (McCafferry, 1981). The final step in this process is controlling and monitoring. This step involves evaluating and monitoring the outcomes and performance of each decision package. This practice assists in knowing whether the allotment of resources is done appropriately or not (Bunch and Tang, 2006).</w:t>
      </w:r>
    </w:p>
    <w:p w:rsidR="00D42118" w:rsidRPr="00D42118" w:rsidRDefault="00D42118" w:rsidP="00612CA9">
      <w:pPr>
        <w:spacing w:line="480" w:lineRule="auto"/>
        <w:rPr>
          <w:rFonts w:ascii="Times New Roman" w:hAnsi="Times New Roman" w:cs="Times New Roman"/>
          <w:sz w:val="24"/>
          <w:szCs w:val="24"/>
        </w:rPr>
      </w:pPr>
      <w:r w:rsidRPr="00D42118">
        <w:rPr>
          <w:rFonts w:ascii="Times New Roman" w:hAnsi="Times New Roman" w:cs="Times New Roman"/>
          <w:sz w:val="24"/>
          <w:szCs w:val="24"/>
        </w:rPr>
        <w:t>Budgeting Control and Sustainability</w:t>
      </w:r>
    </w:p>
    <w:p w:rsidR="00D42118" w:rsidRPr="00D42118" w:rsidRDefault="00D42118" w:rsidP="00612CA9">
      <w:pPr>
        <w:spacing w:line="480" w:lineRule="auto"/>
        <w:ind w:firstLine="720"/>
        <w:rPr>
          <w:rFonts w:ascii="Times New Roman" w:hAnsi="Times New Roman" w:cs="Times New Roman"/>
          <w:sz w:val="24"/>
          <w:szCs w:val="24"/>
        </w:rPr>
      </w:pPr>
      <w:r w:rsidRPr="00D42118">
        <w:rPr>
          <w:rFonts w:ascii="Times New Roman" w:hAnsi="Times New Roman" w:cs="Times New Roman"/>
          <w:sz w:val="24"/>
          <w:szCs w:val="24"/>
        </w:rPr>
        <w:t>Sustainability is crucial for the successful implementation of any type of budgeting. Zero-based budgeting is a process of budgeting from scratch. The outcomes of these types of budgeting are uncertain. Effective ZBB ensure good outcomes (Jones and McCaffery, 2008). However, the flaws in this process may lead to disastrous outcomes including huge financial losses. That’s why adequate controlling and monitoring of the budgeting process is mandatory. The controlling process involves the analysis of the outcomes after a regular interval of time (Hunt, 1968). The outcomes must cope with the already established goals and targets. These goals may be financial or non-financial according to the strategic objectives of the organizations. Moreover, the controlling process also ensures sustainability by monitoring the utilization of the resources. ZBB allow adequate changes in the allocation of resources to meet the changing demands of decision packages (Hughes, Minogue and Senaratne, 2008). This is essential to assure sustainable growth.</w:t>
      </w:r>
    </w:p>
    <w:p w:rsidR="00D42118" w:rsidRPr="00D42118" w:rsidRDefault="00D42118" w:rsidP="00612CA9">
      <w:pPr>
        <w:spacing w:line="480" w:lineRule="auto"/>
        <w:ind w:firstLine="720"/>
        <w:rPr>
          <w:rFonts w:ascii="Times New Roman" w:hAnsi="Times New Roman" w:cs="Times New Roman"/>
          <w:sz w:val="24"/>
          <w:szCs w:val="24"/>
        </w:rPr>
      </w:pPr>
      <w:r w:rsidRPr="00D42118">
        <w:rPr>
          <w:rFonts w:ascii="Times New Roman" w:hAnsi="Times New Roman" w:cs="Times New Roman"/>
          <w:sz w:val="24"/>
          <w:szCs w:val="24"/>
        </w:rPr>
        <w:t>Budgeting control supports sustainability through effective monitoring of the impact of a particular decision package on the overall organizational performance. ZBB process sets particular goals for each decision package. The control process comprises close monitoring of the targets achieved against each decision package. The achievement of the set goals leads to sustainable growth and performance (Franklin and Ebdon, 2004). In addition to this, budgeting control also involves the analysis of the problems in each decision package. Appropriate identification of the problems in the decision packages helps to minimize the losses and to develop adequate solutions to the identified problems. This paves the way to sustainability. The effectiveness of the whole budgeting process is dependent on budgeting control, particularly for zero-based budgeting (Hou, 2007). Thus it is essential to focus on budgeting control to achieve the set targets and ensure sustainability.</w:t>
      </w:r>
    </w:p>
    <w:p w:rsidR="00D42118" w:rsidRPr="00D42118" w:rsidRDefault="00D42118" w:rsidP="00612CA9">
      <w:pPr>
        <w:spacing w:line="480" w:lineRule="auto"/>
        <w:rPr>
          <w:rFonts w:ascii="Times New Roman" w:hAnsi="Times New Roman" w:cs="Times New Roman"/>
          <w:sz w:val="24"/>
          <w:szCs w:val="24"/>
        </w:rPr>
      </w:pPr>
      <w:r w:rsidRPr="00D42118">
        <w:rPr>
          <w:rFonts w:ascii="Times New Roman" w:hAnsi="Times New Roman" w:cs="Times New Roman"/>
          <w:sz w:val="24"/>
          <w:szCs w:val="24"/>
        </w:rPr>
        <w:t>Conclusion</w:t>
      </w:r>
    </w:p>
    <w:p w:rsidR="006D693C" w:rsidRPr="00D42118" w:rsidRDefault="00D42118" w:rsidP="00612CA9">
      <w:pPr>
        <w:spacing w:line="480" w:lineRule="auto"/>
        <w:ind w:firstLine="720"/>
        <w:rPr>
          <w:rFonts w:ascii="Times New Roman" w:hAnsi="Times New Roman" w:cs="Times New Roman"/>
          <w:sz w:val="24"/>
          <w:szCs w:val="24"/>
        </w:rPr>
      </w:pPr>
      <w:r w:rsidRPr="00D42118">
        <w:rPr>
          <w:rFonts w:ascii="Times New Roman" w:hAnsi="Times New Roman" w:cs="Times New Roman"/>
          <w:sz w:val="24"/>
          <w:szCs w:val="24"/>
        </w:rPr>
        <w:t>The role of budgeting is significant for ensuring the successful completion of activities and projects. The different forms of budgeting are associated with particular benefits and challenges. The selection of a specific budgeting process is dependent on the type of organization and the corresponding initiatives that are mandatory for the proliferation of the organizational business. Traditional budgeting is an important budgeting method to achieve the set goals. This budgeting process is based on the previous budget to give an estimate of the revenues and expenses. However, zero-based budgeting involves budgeting from scratch. The success of ZBB is dependent on the appropriate selection and ranking of decision packages and the appropriate allocation of resources to each decision package. The most important element of budgeting is budgeting control which ensures sustainability through close monitoring of the various activities, based on the set targets and strategic organizational objectives.</w:t>
      </w:r>
      <w:r w:rsidR="00A95728" w:rsidRPr="00D42118">
        <w:rPr>
          <w:rFonts w:ascii="Times New Roman" w:hAnsi="Times New Roman" w:cs="Times New Roman"/>
          <w:sz w:val="24"/>
          <w:szCs w:val="24"/>
        </w:rPr>
        <w:t xml:space="preserve"> </w:t>
      </w:r>
    </w:p>
    <w:p w:rsidR="00612CA9" w:rsidRDefault="00612CA9" w:rsidP="005109F3">
      <w:pPr>
        <w:spacing w:after="100" w:afterAutospacing="1" w:line="240" w:lineRule="auto"/>
        <w:outlineLvl w:val="1"/>
        <w:rPr>
          <w:rFonts w:ascii="Times New Roman" w:eastAsia="Times New Roman" w:hAnsi="Times New Roman" w:cs="Times New Roman"/>
          <w:color w:val="000000"/>
          <w:sz w:val="24"/>
          <w:szCs w:val="24"/>
        </w:rPr>
      </w:pPr>
    </w:p>
    <w:p w:rsidR="00612CA9" w:rsidRDefault="00612CA9" w:rsidP="005109F3">
      <w:pPr>
        <w:spacing w:after="100" w:afterAutospacing="1" w:line="240" w:lineRule="auto"/>
        <w:outlineLvl w:val="1"/>
        <w:rPr>
          <w:rFonts w:ascii="Times New Roman" w:eastAsia="Times New Roman" w:hAnsi="Times New Roman" w:cs="Times New Roman"/>
          <w:color w:val="000000"/>
          <w:sz w:val="24"/>
          <w:szCs w:val="24"/>
        </w:rPr>
      </w:pPr>
    </w:p>
    <w:p w:rsidR="00612CA9" w:rsidRDefault="00612CA9" w:rsidP="005109F3">
      <w:pPr>
        <w:spacing w:after="100" w:afterAutospacing="1" w:line="240" w:lineRule="auto"/>
        <w:outlineLvl w:val="1"/>
        <w:rPr>
          <w:rFonts w:ascii="Times New Roman" w:eastAsia="Times New Roman" w:hAnsi="Times New Roman" w:cs="Times New Roman"/>
          <w:color w:val="000000"/>
          <w:sz w:val="24"/>
          <w:szCs w:val="24"/>
        </w:rPr>
      </w:pPr>
    </w:p>
    <w:p w:rsidR="00612CA9" w:rsidRDefault="00612CA9" w:rsidP="005109F3">
      <w:pPr>
        <w:spacing w:after="100" w:afterAutospacing="1" w:line="240" w:lineRule="auto"/>
        <w:outlineLvl w:val="1"/>
        <w:rPr>
          <w:rFonts w:ascii="Times New Roman" w:eastAsia="Times New Roman" w:hAnsi="Times New Roman" w:cs="Times New Roman"/>
          <w:color w:val="000000"/>
          <w:sz w:val="24"/>
          <w:szCs w:val="24"/>
        </w:rPr>
      </w:pPr>
    </w:p>
    <w:p w:rsidR="00612CA9" w:rsidRDefault="00612CA9" w:rsidP="005109F3">
      <w:pPr>
        <w:spacing w:after="100" w:afterAutospacing="1" w:line="240" w:lineRule="auto"/>
        <w:outlineLvl w:val="1"/>
        <w:rPr>
          <w:rFonts w:ascii="Times New Roman" w:eastAsia="Times New Roman" w:hAnsi="Times New Roman" w:cs="Times New Roman"/>
          <w:color w:val="000000"/>
          <w:sz w:val="24"/>
          <w:szCs w:val="24"/>
        </w:rPr>
      </w:pPr>
    </w:p>
    <w:p w:rsidR="00612CA9" w:rsidRDefault="00612CA9" w:rsidP="005109F3">
      <w:pPr>
        <w:spacing w:after="100" w:afterAutospacing="1" w:line="240" w:lineRule="auto"/>
        <w:outlineLvl w:val="1"/>
        <w:rPr>
          <w:rFonts w:ascii="Times New Roman" w:eastAsia="Times New Roman" w:hAnsi="Times New Roman" w:cs="Times New Roman"/>
          <w:color w:val="000000"/>
          <w:sz w:val="24"/>
          <w:szCs w:val="24"/>
        </w:rPr>
      </w:pPr>
    </w:p>
    <w:p w:rsidR="00612CA9" w:rsidRDefault="00612CA9" w:rsidP="005109F3">
      <w:pPr>
        <w:spacing w:after="100" w:afterAutospacing="1" w:line="240" w:lineRule="auto"/>
        <w:outlineLvl w:val="1"/>
        <w:rPr>
          <w:rFonts w:ascii="Times New Roman" w:eastAsia="Times New Roman" w:hAnsi="Times New Roman" w:cs="Times New Roman"/>
          <w:color w:val="000000"/>
          <w:sz w:val="24"/>
          <w:szCs w:val="24"/>
        </w:rPr>
      </w:pPr>
    </w:p>
    <w:p w:rsidR="00612CA9" w:rsidRDefault="00612CA9" w:rsidP="005109F3">
      <w:pPr>
        <w:spacing w:after="100" w:afterAutospacing="1" w:line="240" w:lineRule="auto"/>
        <w:outlineLvl w:val="1"/>
        <w:rPr>
          <w:rFonts w:ascii="Times New Roman" w:eastAsia="Times New Roman" w:hAnsi="Times New Roman" w:cs="Times New Roman"/>
          <w:color w:val="000000"/>
          <w:sz w:val="24"/>
          <w:szCs w:val="24"/>
        </w:rPr>
      </w:pPr>
    </w:p>
    <w:p w:rsidR="00612CA9" w:rsidRDefault="00612CA9" w:rsidP="005109F3">
      <w:pPr>
        <w:spacing w:after="100" w:afterAutospacing="1" w:line="240" w:lineRule="auto"/>
        <w:outlineLvl w:val="1"/>
        <w:rPr>
          <w:rFonts w:ascii="Times New Roman" w:eastAsia="Times New Roman" w:hAnsi="Times New Roman" w:cs="Times New Roman"/>
          <w:color w:val="000000"/>
          <w:sz w:val="24"/>
          <w:szCs w:val="24"/>
        </w:rPr>
      </w:pPr>
    </w:p>
    <w:p w:rsidR="00612CA9" w:rsidRDefault="00612CA9" w:rsidP="005109F3">
      <w:pPr>
        <w:spacing w:after="100" w:afterAutospacing="1" w:line="240" w:lineRule="auto"/>
        <w:outlineLvl w:val="1"/>
        <w:rPr>
          <w:rFonts w:ascii="Times New Roman" w:eastAsia="Times New Roman" w:hAnsi="Times New Roman" w:cs="Times New Roman"/>
          <w:color w:val="000000"/>
          <w:sz w:val="24"/>
          <w:szCs w:val="24"/>
        </w:rPr>
      </w:pPr>
    </w:p>
    <w:p w:rsidR="00612CA9" w:rsidRDefault="00612CA9" w:rsidP="005109F3">
      <w:pPr>
        <w:spacing w:after="100" w:afterAutospacing="1" w:line="240" w:lineRule="auto"/>
        <w:outlineLvl w:val="1"/>
        <w:rPr>
          <w:rFonts w:ascii="Times New Roman" w:eastAsia="Times New Roman" w:hAnsi="Times New Roman" w:cs="Times New Roman"/>
          <w:color w:val="000000"/>
          <w:sz w:val="24"/>
          <w:szCs w:val="24"/>
        </w:rPr>
      </w:pPr>
    </w:p>
    <w:p w:rsidR="005109F3" w:rsidRPr="005109F3" w:rsidRDefault="005109F3" w:rsidP="005109F3">
      <w:pPr>
        <w:spacing w:after="100" w:afterAutospacing="1" w:line="240" w:lineRule="auto"/>
        <w:outlineLvl w:val="1"/>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References</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Banks, A. and Giliberti, J., 2008. </w:t>
      </w:r>
      <w:r w:rsidRPr="005109F3">
        <w:rPr>
          <w:rFonts w:ascii="Times New Roman" w:eastAsia="Times New Roman" w:hAnsi="Times New Roman" w:cs="Times New Roman"/>
          <w:i/>
          <w:iCs/>
          <w:color w:val="000000"/>
          <w:sz w:val="24"/>
          <w:szCs w:val="24"/>
        </w:rPr>
        <w:t>Budgeting</w:t>
      </w:r>
      <w:r w:rsidRPr="005109F3">
        <w:rPr>
          <w:rFonts w:ascii="Times New Roman" w:eastAsia="Times New Roman" w:hAnsi="Times New Roman" w:cs="Times New Roman"/>
          <w:color w:val="000000"/>
          <w:sz w:val="24"/>
          <w:szCs w:val="24"/>
        </w:rPr>
        <w:t>. North Ryde, N.S.W.: McGraw-Hill Australia.</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Bhatti, I. and Phaup, M., 2015. Budgeting for Fiscal Uncertainty and Bias: A Federal Process Proposal. </w:t>
      </w:r>
      <w:r w:rsidRPr="005109F3">
        <w:rPr>
          <w:rFonts w:ascii="Times New Roman" w:eastAsia="Times New Roman" w:hAnsi="Times New Roman" w:cs="Times New Roman"/>
          <w:i/>
          <w:iCs/>
          <w:color w:val="000000"/>
          <w:sz w:val="24"/>
          <w:szCs w:val="24"/>
        </w:rPr>
        <w:t>Public Budgeting &amp;amp; Finance</w:t>
      </w:r>
      <w:r w:rsidRPr="005109F3">
        <w:rPr>
          <w:rFonts w:ascii="Times New Roman" w:eastAsia="Times New Roman" w:hAnsi="Times New Roman" w:cs="Times New Roman"/>
          <w:color w:val="000000"/>
          <w:sz w:val="24"/>
          <w:szCs w:val="24"/>
        </w:rPr>
        <w:t>, 35(2), pp.89-105.</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Bunch, B. and Tang, C., 2006. A response to “zero-based budgeting in China: experiences of hubei province”. </w:t>
      </w:r>
      <w:r w:rsidRPr="005109F3">
        <w:rPr>
          <w:rFonts w:ascii="Times New Roman" w:eastAsia="Times New Roman" w:hAnsi="Times New Roman" w:cs="Times New Roman"/>
          <w:i/>
          <w:iCs/>
          <w:color w:val="000000"/>
          <w:sz w:val="24"/>
          <w:szCs w:val="24"/>
        </w:rPr>
        <w:t>Journal of Public Budgeting, Accounting &amp;amp; Financial Management</w:t>
      </w:r>
      <w:r w:rsidRPr="005109F3">
        <w:rPr>
          <w:rFonts w:ascii="Times New Roman" w:eastAsia="Times New Roman" w:hAnsi="Times New Roman" w:cs="Times New Roman"/>
          <w:color w:val="000000"/>
          <w:sz w:val="24"/>
          <w:szCs w:val="24"/>
        </w:rPr>
        <w:t>, 18(4), pp.511-515.</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Chen, C., 1980. </w:t>
      </w:r>
      <w:r w:rsidRPr="005109F3">
        <w:rPr>
          <w:rFonts w:ascii="Times New Roman" w:eastAsia="Times New Roman" w:hAnsi="Times New Roman" w:cs="Times New Roman"/>
          <w:i/>
          <w:iCs/>
          <w:color w:val="000000"/>
          <w:sz w:val="24"/>
          <w:szCs w:val="24"/>
        </w:rPr>
        <w:t>Zero-base budgeting in library management</w:t>
      </w:r>
      <w:r w:rsidRPr="005109F3">
        <w:rPr>
          <w:rFonts w:ascii="Times New Roman" w:eastAsia="Times New Roman" w:hAnsi="Times New Roman" w:cs="Times New Roman"/>
          <w:color w:val="000000"/>
          <w:sz w:val="24"/>
          <w:szCs w:val="24"/>
        </w:rPr>
        <w:t>. Phoenix, Ariz.: Oryx Press.</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Fanning, J., 1998. ABOLISH the traditional budgeting process. </w:t>
      </w:r>
      <w:r w:rsidRPr="005109F3">
        <w:rPr>
          <w:rFonts w:ascii="Times New Roman" w:eastAsia="Times New Roman" w:hAnsi="Times New Roman" w:cs="Times New Roman"/>
          <w:i/>
          <w:iCs/>
          <w:color w:val="000000"/>
          <w:sz w:val="24"/>
          <w:szCs w:val="24"/>
        </w:rPr>
        <w:t>Measuring Business Excellence</w:t>
      </w:r>
      <w:r w:rsidRPr="005109F3">
        <w:rPr>
          <w:rFonts w:ascii="Times New Roman" w:eastAsia="Times New Roman" w:hAnsi="Times New Roman" w:cs="Times New Roman"/>
          <w:color w:val="000000"/>
          <w:sz w:val="24"/>
          <w:szCs w:val="24"/>
        </w:rPr>
        <w:t>, 2(1), pp.4-5.</w:t>
      </w:r>
    </w:p>
    <w:p w:rsidR="00D42118" w:rsidRPr="00D42118" w:rsidRDefault="00D42118" w:rsidP="005109F3">
      <w:pPr>
        <w:spacing w:after="150" w:line="240" w:lineRule="auto"/>
        <w:ind w:left="376" w:hanging="376"/>
        <w:rPr>
          <w:rFonts w:ascii="Times New Roman" w:eastAsia="Times New Roman" w:hAnsi="Times New Roman" w:cs="Times New Roman"/>
          <w:color w:val="000000"/>
          <w:sz w:val="24"/>
          <w:szCs w:val="24"/>
        </w:rPr>
      </w:pPr>
      <w:r w:rsidRPr="00D42118">
        <w:rPr>
          <w:rFonts w:ascii="Times New Roman" w:hAnsi="Times New Roman" w:cs="Times New Roman"/>
          <w:color w:val="000000"/>
          <w:sz w:val="24"/>
          <w:szCs w:val="24"/>
        </w:rPr>
        <w:t>Franklin, A. and Ebdon, C., 2004. Aligning priorities in local budgeting processes. </w:t>
      </w:r>
      <w:r w:rsidRPr="00D42118">
        <w:rPr>
          <w:rFonts w:ascii="Times New Roman" w:hAnsi="Times New Roman" w:cs="Times New Roman"/>
          <w:i/>
          <w:iCs/>
          <w:color w:val="000000"/>
          <w:sz w:val="24"/>
          <w:szCs w:val="24"/>
        </w:rPr>
        <w:t>Journal of Public Budgeting, Accounting &amp;amp; Financial Management</w:t>
      </w:r>
      <w:r w:rsidRPr="00D42118">
        <w:rPr>
          <w:rFonts w:ascii="Times New Roman" w:hAnsi="Times New Roman" w:cs="Times New Roman"/>
          <w:color w:val="000000"/>
          <w:sz w:val="24"/>
          <w:szCs w:val="24"/>
        </w:rPr>
        <w:t>, 16(2), pp.210-227.</w:t>
      </w:r>
    </w:p>
    <w:p w:rsidR="00D42118" w:rsidRPr="00D42118" w:rsidRDefault="00D42118" w:rsidP="00D42118">
      <w:pPr>
        <w:pStyle w:val="NormalWeb"/>
        <w:spacing w:before="0" w:beforeAutospacing="0" w:after="150" w:afterAutospacing="0"/>
        <w:ind w:left="376" w:hanging="376"/>
        <w:rPr>
          <w:color w:val="000000"/>
        </w:rPr>
      </w:pPr>
      <w:r w:rsidRPr="00D42118">
        <w:rPr>
          <w:color w:val="000000"/>
        </w:rPr>
        <w:t>Hou, Y., 2007. Symposium on public budgeting and financial administration in china: part ii. </w:t>
      </w:r>
      <w:r w:rsidRPr="00D42118">
        <w:rPr>
          <w:i/>
          <w:iCs/>
          <w:color w:val="000000"/>
        </w:rPr>
        <w:t>Journal of Public Budgeting, Accounting &amp;amp; Financial Management</w:t>
      </w:r>
      <w:r w:rsidRPr="00D42118">
        <w:rPr>
          <w:color w:val="000000"/>
        </w:rPr>
        <w:t>, 19(1), pp.93-127.</w:t>
      </w:r>
    </w:p>
    <w:p w:rsidR="00D42118" w:rsidRPr="00D42118" w:rsidRDefault="00D42118" w:rsidP="00D42118">
      <w:pPr>
        <w:pStyle w:val="NormalWeb"/>
        <w:spacing w:before="0" w:beforeAutospacing="0" w:after="150" w:afterAutospacing="0"/>
        <w:ind w:left="376" w:hanging="376"/>
        <w:rPr>
          <w:color w:val="000000"/>
        </w:rPr>
      </w:pPr>
      <w:r w:rsidRPr="00D42118">
        <w:rPr>
          <w:color w:val="000000"/>
        </w:rPr>
        <w:t>Hughes, R., Minogue, D. and Senaratne, G., 2008. </w:t>
      </w:r>
      <w:r w:rsidRPr="00D42118">
        <w:rPr>
          <w:i/>
          <w:iCs/>
          <w:color w:val="000000"/>
        </w:rPr>
        <w:t>Business budgeting and financial management</w:t>
      </w:r>
      <w:r w:rsidRPr="00D42118">
        <w:rPr>
          <w:color w:val="000000"/>
        </w:rPr>
        <w:t>. Bondi, N.S.W.: National Core Accounting Publications.</w:t>
      </w:r>
    </w:p>
    <w:p w:rsidR="00D42118" w:rsidRPr="00D42118" w:rsidRDefault="00D42118" w:rsidP="00D42118">
      <w:pPr>
        <w:spacing w:after="150" w:line="240" w:lineRule="auto"/>
        <w:ind w:left="376" w:hanging="376"/>
        <w:rPr>
          <w:rFonts w:ascii="Times New Roman" w:eastAsia="Times New Roman" w:hAnsi="Times New Roman" w:cs="Times New Roman"/>
          <w:color w:val="000000"/>
          <w:sz w:val="24"/>
          <w:szCs w:val="24"/>
        </w:rPr>
      </w:pPr>
      <w:r w:rsidRPr="00D42118">
        <w:rPr>
          <w:rFonts w:ascii="Times New Roman" w:hAnsi="Times New Roman" w:cs="Times New Roman"/>
          <w:color w:val="000000"/>
          <w:sz w:val="24"/>
          <w:szCs w:val="24"/>
        </w:rPr>
        <w:t>Hunt, P., 1968. </w:t>
      </w:r>
      <w:r w:rsidRPr="00D42118">
        <w:rPr>
          <w:rFonts w:ascii="Times New Roman" w:hAnsi="Times New Roman" w:cs="Times New Roman"/>
          <w:i/>
          <w:iCs/>
          <w:color w:val="000000"/>
          <w:sz w:val="24"/>
          <w:szCs w:val="24"/>
        </w:rPr>
        <w:t>Financial analysis in capital budgeting</w:t>
      </w:r>
      <w:r w:rsidRPr="00D42118">
        <w:rPr>
          <w:rFonts w:ascii="Times New Roman" w:hAnsi="Times New Roman" w:cs="Times New Roman"/>
          <w:color w:val="000000"/>
          <w:sz w:val="24"/>
          <w:szCs w:val="24"/>
        </w:rPr>
        <w:t>. Boston, Massachusetts: Graduate School of Business Administration, Harvard.</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Ibrahim, M., 2019. Designing zero-based budgeting for public organizations. </w:t>
      </w:r>
      <w:r w:rsidRPr="005109F3">
        <w:rPr>
          <w:rFonts w:ascii="Times New Roman" w:eastAsia="Times New Roman" w:hAnsi="Times New Roman" w:cs="Times New Roman"/>
          <w:i/>
          <w:iCs/>
          <w:color w:val="000000"/>
          <w:sz w:val="24"/>
          <w:szCs w:val="24"/>
        </w:rPr>
        <w:t>Problems and Perspectives in Management</w:t>
      </w:r>
      <w:r w:rsidRPr="005109F3">
        <w:rPr>
          <w:rFonts w:ascii="Times New Roman" w:eastAsia="Times New Roman" w:hAnsi="Times New Roman" w:cs="Times New Roman"/>
          <w:color w:val="000000"/>
          <w:sz w:val="24"/>
          <w:szCs w:val="24"/>
        </w:rPr>
        <w:t>, 17(2), pp.323-333.</w:t>
      </w:r>
    </w:p>
    <w:p w:rsidR="00D42118" w:rsidRPr="00D42118" w:rsidRDefault="00D42118" w:rsidP="005109F3">
      <w:pPr>
        <w:spacing w:after="150" w:line="240" w:lineRule="auto"/>
        <w:ind w:left="376" w:hanging="376"/>
        <w:rPr>
          <w:rFonts w:ascii="Times New Roman" w:eastAsia="Times New Roman" w:hAnsi="Times New Roman" w:cs="Times New Roman"/>
          <w:color w:val="000000"/>
          <w:sz w:val="24"/>
          <w:szCs w:val="24"/>
        </w:rPr>
      </w:pPr>
      <w:r w:rsidRPr="00D42118">
        <w:rPr>
          <w:rFonts w:ascii="Times New Roman" w:hAnsi="Times New Roman" w:cs="Times New Roman"/>
          <w:color w:val="000000"/>
          <w:sz w:val="24"/>
          <w:szCs w:val="24"/>
        </w:rPr>
        <w:t>Jones, L. and McCaffery, J., 2008. </w:t>
      </w:r>
      <w:r w:rsidRPr="00D42118">
        <w:rPr>
          <w:rFonts w:ascii="Times New Roman" w:hAnsi="Times New Roman" w:cs="Times New Roman"/>
          <w:i/>
          <w:iCs/>
          <w:color w:val="000000"/>
          <w:sz w:val="24"/>
          <w:szCs w:val="24"/>
        </w:rPr>
        <w:t>Budgeting, financial management, and acquisition reform in the U.S. Department of Defense</w:t>
      </w:r>
      <w:r w:rsidRPr="00D42118">
        <w:rPr>
          <w:rFonts w:ascii="Times New Roman" w:hAnsi="Times New Roman" w:cs="Times New Roman"/>
          <w:color w:val="000000"/>
          <w:sz w:val="24"/>
          <w:szCs w:val="24"/>
        </w:rPr>
        <w:t>. Charlotte, N.C.: IAP-Information Age Pub. Inc.</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Knight, H., 1979. </w:t>
      </w:r>
      <w:r w:rsidRPr="005109F3">
        <w:rPr>
          <w:rFonts w:ascii="Times New Roman" w:eastAsia="Times New Roman" w:hAnsi="Times New Roman" w:cs="Times New Roman"/>
          <w:i/>
          <w:iCs/>
          <w:color w:val="000000"/>
          <w:sz w:val="24"/>
          <w:szCs w:val="24"/>
        </w:rPr>
        <w:t>The zero-base budgeting process</w:t>
      </w:r>
      <w:r w:rsidRPr="005109F3">
        <w:rPr>
          <w:rFonts w:ascii="Times New Roman" w:eastAsia="Times New Roman" w:hAnsi="Times New Roman" w:cs="Times New Roman"/>
          <w:color w:val="000000"/>
          <w:sz w:val="24"/>
          <w:szCs w:val="24"/>
        </w:rPr>
        <w:t>. Hamilton, Ont.: Society of Management Accountants of Canada.</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McCafferry, J., 1981. The Transformation of Zero Based Budgeting: Program Level Budgeting in Oregon. </w:t>
      </w:r>
      <w:r w:rsidRPr="005109F3">
        <w:rPr>
          <w:rFonts w:ascii="Times New Roman" w:eastAsia="Times New Roman" w:hAnsi="Times New Roman" w:cs="Times New Roman"/>
          <w:i/>
          <w:iCs/>
          <w:color w:val="000000"/>
          <w:sz w:val="24"/>
          <w:szCs w:val="24"/>
        </w:rPr>
        <w:t>Public Budgeting</w:t>
      </w:r>
      <w:r w:rsidRPr="005109F3">
        <w:rPr>
          <w:rFonts w:ascii="Times New Roman" w:eastAsia="Times New Roman" w:hAnsi="Times New Roman" w:cs="Times New Roman"/>
          <w:color w:val="000000"/>
          <w:sz w:val="24"/>
          <w:szCs w:val="24"/>
        </w:rPr>
        <w:t>, 1(4), pp.48-55.</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Minárik, P., 2020. Participatory Budgeting and Traditional Participation in Czech Municipalities. </w:t>
      </w:r>
      <w:r w:rsidRPr="005109F3">
        <w:rPr>
          <w:rFonts w:ascii="Times New Roman" w:eastAsia="Times New Roman" w:hAnsi="Times New Roman" w:cs="Times New Roman"/>
          <w:i/>
          <w:iCs/>
          <w:color w:val="000000"/>
          <w:sz w:val="24"/>
          <w:szCs w:val="24"/>
        </w:rPr>
        <w:t>Slovak Journal of Political Sciences</w:t>
      </w:r>
      <w:r w:rsidRPr="005109F3">
        <w:rPr>
          <w:rFonts w:ascii="Times New Roman" w:eastAsia="Times New Roman" w:hAnsi="Times New Roman" w:cs="Times New Roman"/>
          <w:color w:val="000000"/>
          <w:sz w:val="24"/>
          <w:szCs w:val="24"/>
        </w:rPr>
        <w:t>,.</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Pietrzak, Ż., 2014. Traditional versus Activity-based Budgeting in Non-manufacturing Companies. </w:t>
      </w:r>
      <w:r w:rsidRPr="005109F3">
        <w:rPr>
          <w:rFonts w:ascii="Times New Roman" w:eastAsia="Times New Roman" w:hAnsi="Times New Roman" w:cs="Times New Roman"/>
          <w:i/>
          <w:iCs/>
          <w:color w:val="000000"/>
          <w:sz w:val="24"/>
          <w:szCs w:val="24"/>
        </w:rPr>
        <w:t>Social Sciences</w:t>
      </w:r>
      <w:r w:rsidRPr="005109F3">
        <w:rPr>
          <w:rFonts w:ascii="Times New Roman" w:eastAsia="Times New Roman" w:hAnsi="Times New Roman" w:cs="Times New Roman"/>
          <w:color w:val="000000"/>
          <w:sz w:val="24"/>
          <w:szCs w:val="24"/>
        </w:rPr>
        <w:t>, 82(4).</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Rachlin, R. and Lalli, W., 1999. </w:t>
      </w:r>
      <w:r w:rsidRPr="005109F3">
        <w:rPr>
          <w:rFonts w:ascii="Times New Roman" w:eastAsia="Times New Roman" w:hAnsi="Times New Roman" w:cs="Times New Roman"/>
          <w:i/>
          <w:iCs/>
          <w:color w:val="000000"/>
          <w:sz w:val="24"/>
          <w:szCs w:val="24"/>
        </w:rPr>
        <w:t>Handbook of budgeting</w:t>
      </w:r>
      <w:r w:rsidRPr="005109F3">
        <w:rPr>
          <w:rFonts w:ascii="Times New Roman" w:eastAsia="Times New Roman" w:hAnsi="Times New Roman" w:cs="Times New Roman"/>
          <w:color w:val="000000"/>
          <w:sz w:val="24"/>
          <w:szCs w:val="24"/>
        </w:rPr>
        <w:t>. New York: J. Wiley.</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Ramsey, J. and Ramsey, I., 1985. </w:t>
      </w:r>
      <w:r w:rsidRPr="005109F3">
        <w:rPr>
          <w:rFonts w:ascii="Times New Roman" w:eastAsia="Times New Roman" w:hAnsi="Times New Roman" w:cs="Times New Roman"/>
          <w:i/>
          <w:iCs/>
          <w:color w:val="000000"/>
          <w:sz w:val="24"/>
          <w:szCs w:val="24"/>
        </w:rPr>
        <w:t>Budgeting basics</w:t>
      </w:r>
      <w:r w:rsidRPr="005109F3">
        <w:rPr>
          <w:rFonts w:ascii="Times New Roman" w:eastAsia="Times New Roman" w:hAnsi="Times New Roman" w:cs="Times New Roman"/>
          <w:color w:val="000000"/>
          <w:sz w:val="24"/>
          <w:szCs w:val="24"/>
        </w:rPr>
        <w:t>. New York: F. Watts.</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Swanick, E. and Conrad, A., 1978. </w:t>
      </w:r>
      <w:r w:rsidRPr="005109F3">
        <w:rPr>
          <w:rFonts w:ascii="Times New Roman" w:eastAsia="Times New Roman" w:hAnsi="Times New Roman" w:cs="Times New Roman"/>
          <w:i/>
          <w:iCs/>
          <w:color w:val="000000"/>
          <w:sz w:val="24"/>
          <w:szCs w:val="24"/>
        </w:rPr>
        <w:t>Zero based budgeting, 1976-1977</w:t>
      </w:r>
      <w:r w:rsidRPr="005109F3">
        <w:rPr>
          <w:rFonts w:ascii="Times New Roman" w:eastAsia="Times New Roman" w:hAnsi="Times New Roman" w:cs="Times New Roman"/>
          <w:color w:val="000000"/>
          <w:sz w:val="24"/>
          <w:szCs w:val="24"/>
        </w:rPr>
        <w:t>. Monticello, Ill.: Vance Bibliographies.</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Wetherbe, J. and Montanari, J., 1981. Zero based budgeting in the planning process. </w:t>
      </w:r>
      <w:r w:rsidRPr="005109F3">
        <w:rPr>
          <w:rFonts w:ascii="Times New Roman" w:eastAsia="Times New Roman" w:hAnsi="Times New Roman" w:cs="Times New Roman"/>
          <w:i/>
          <w:iCs/>
          <w:color w:val="000000"/>
          <w:sz w:val="24"/>
          <w:szCs w:val="24"/>
        </w:rPr>
        <w:t>Strategic Management Journal</w:t>
      </w:r>
      <w:r w:rsidRPr="005109F3">
        <w:rPr>
          <w:rFonts w:ascii="Times New Roman" w:eastAsia="Times New Roman" w:hAnsi="Times New Roman" w:cs="Times New Roman"/>
          <w:color w:val="000000"/>
          <w:sz w:val="24"/>
          <w:szCs w:val="24"/>
        </w:rPr>
        <w:t>, 2(1), pp.1-14.</w:t>
      </w:r>
    </w:p>
    <w:p w:rsidR="005109F3" w:rsidRPr="005109F3" w:rsidRDefault="005109F3" w:rsidP="005109F3">
      <w:pPr>
        <w:spacing w:after="150" w:line="240" w:lineRule="auto"/>
        <w:ind w:left="376" w:hanging="376"/>
        <w:rPr>
          <w:rFonts w:ascii="Times New Roman" w:eastAsia="Times New Roman" w:hAnsi="Times New Roman" w:cs="Times New Roman"/>
          <w:color w:val="000000"/>
          <w:sz w:val="24"/>
          <w:szCs w:val="24"/>
        </w:rPr>
      </w:pPr>
      <w:r w:rsidRPr="005109F3">
        <w:rPr>
          <w:rFonts w:ascii="Times New Roman" w:eastAsia="Times New Roman" w:hAnsi="Times New Roman" w:cs="Times New Roman"/>
          <w:color w:val="000000"/>
          <w:sz w:val="24"/>
          <w:szCs w:val="24"/>
        </w:rPr>
        <w:t>WOO, W., 2019. A Revisit to Zero Based Budgeting. </w:t>
      </w:r>
      <w:r w:rsidRPr="005109F3">
        <w:rPr>
          <w:rFonts w:ascii="Times New Roman" w:eastAsia="Times New Roman" w:hAnsi="Times New Roman" w:cs="Times New Roman"/>
          <w:i/>
          <w:iCs/>
          <w:color w:val="000000"/>
          <w:sz w:val="24"/>
          <w:szCs w:val="24"/>
        </w:rPr>
        <w:t>The International Journal of Business &amp;amp; Management</w:t>
      </w:r>
      <w:r w:rsidRPr="005109F3">
        <w:rPr>
          <w:rFonts w:ascii="Times New Roman" w:eastAsia="Times New Roman" w:hAnsi="Times New Roman" w:cs="Times New Roman"/>
          <w:color w:val="000000"/>
          <w:sz w:val="24"/>
          <w:szCs w:val="24"/>
        </w:rPr>
        <w:t>, 7(5).</w:t>
      </w:r>
    </w:p>
    <w:p w:rsidR="0033322F" w:rsidRPr="00D42118" w:rsidRDefault="0033322F" w:rsidP="00890D6D">
      <w:pPr>
        <w:rPr>
          <w:rFonts w:ascii="Times New Roman" w:hAnsi="Times New Roman" w:cs="Times New Roman"/>
          <w:sz w:val="24"/>
          <w:szCs w:val="24"/>
        </w:rPr>
      </w:pPr>
    </w:p>
    <w:sectPr w:rsidR="0033322F" w:rsidRPr="00D42118" w:rsidSect="00564D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649"/>
    <w:rsid w:val="0000283B"/>
    <w:rsid w:val="0001156B"/>
    <w:rsid w:val="00025ADE"/>
    <w:rsid w:val="00036CA2"/>
    <w:rsid w:val="00037BA8"/>
    <w:rsid w:val="00043849"/>
    <w:rsid w:val="0005156C"/>
    <w:rsid w:val="00071915"/>
    <w:rsid w:val="000916A8"/>
    <w:rsid w:val="00091701"/>
    <w:rsid w:val="00091743"/>
    <w:rsid w:val="00093756"/>
    <w:rsid w:val="00093F36"/>
    <w:rsid w:val="000A1649"/>
    <w:rsid w:val="000B138F"/>
    <w:rsid w:val="000B4A75"/>
    <w:rsid w:val="000C6DA1"/>
    <w:rsid w:val="000E54B6"/>
    <w:rsid w:val="00102F83"/>
    <w:rsid w:val="00121015"/>
    <w:rsid w:val="0016058A"/>
    <w:rsid w:val="001639BF"/>
    <w:rsid w:val="001731A6"/>
    <w:rsid w:val="00176992"/>
    <w:rsid w:val="00182816"/>
    <w:rsid w:val="00196F73"/>
    <w:rsid w:val="001A3572"/>
    <w:rsid w:val="001A3A22"/>
    <w:rsid w:val="001A4AF9"/>
    <w:rsid w:val="001A5A3C"/>
    <w:rsid w:val="001B554B"/>
    <w:rsid w:val="001C2E8A"/>
    <w:rsid w:val="001C7325"/>
    <w:rsid w:val="001E742B"/>
    <w:rsid w:val="002014FB"/>
    <w:rsid w:val="00236005"/>
    <w:rsid w:val="00242622"/>
    <w:rsid w:val="00255221"/>
    <w:rsid w:val="002607DD"/>
    <w:rsid w:val="00261FA5"/>
    <w:rsid w:val="00264818"/>
    <w:rsid w:val="00276CAE"/>
    <w:rsid w:val="00277840"/>
    <w:rsid w:val="0028221D"/>
    <w:rsid w:val="00287A44"/>
    <w:rsid w:val="00290BC3"/>
    <w:rsid w:val="00291C51"/>
    <w:rsid w:val="00295ED2"/>
    <w:rsid w:val="002A136D"/>
    <w:rsid w:val="002A3239"/>
    <w:rsid w:val="002B5445"/>
    <w:rsid w:val="002C3A4E"/>
    <w:rsid w:val="002C59E8"/>
    <w:rsid w:val="002E3682"/>
    <w:rsid w:val="002E3BB6"/>
    <w:rsid w:val="002E3C4F"/>
    <w:rsid w:val="002F1AE1"/>
    <w:rsid w:val="00300C0D"/>
    <w:rsid w:val="00306E9B"/>
    <w:rsid w:val="00332F94"/>
    <w:rsid w:val="0033322F"/>
    <w:rsid w:val="00335F00"/>
    <w:rsid w:val="00356979"/>
    <w:rsid w:val="00363344"/>
    <w:rsid w:val="00366ED5"/>
    <w:rsid w:val="00383E66"/>
    <w:rsid w:val="003861CE"/>
    <w:rsid w:val="00387841"/>
    <w:rsid w:val="0039185E"/>
    <w:rsid w:val="003A1BF2"/>
    <w:rsid w:val="003A1CF8"/>
    <w:rsid w:val="003B4633"/>
    <w:rsid w:val="003B7ABC"/>
    <w:rsid w:val="003C1E70"/>
    <w:rsid w:val="003C6BBA"/>
    <w:rsid w:val="003D4092"/>
    <w:rsid w:val="003E42E5"/>
    <w:rsid w:val="003E4D60"/>
    <w:rsid w:val="003F0C7E"/>
    <w:rsid w:val="003F16CD"/>
    <w:rsid w:val="003F246B"/>
    <w:rsid w:val="00437857"/>
    <w:rsid w:val="00437F50"/>
    <w:rsid w:val="0045262A"/>
    <w:rsid w:val="004564F4"/>
    <w:rsid w:val="00456688"/>
    <w:rsid w:val="00466A6F"/>
    <w:rsid w:val="00467263"/>
    <w:rsid w:val="00471329"/>
    <w:rsid w:val="004810C2"/>
    <w:rsid w:val="00481DDA"/>
    <w:rsid w:val="00485DDE"/>
    <w:rsid w:val="00486DFF"/>
    <w:rsid w:val="004A1FDE"/>
    <w:rsid w:val="004A3ACC"/>
    <w:rsid w:val="004A65DC"/>
    <w:rsid w:val="004A7220"/>
    <w:rsid w:val="004B068F"/>
    <w:rsid w:val="004C0518"/>
    <w:rsid w:val="004D24F2"/>
    <w:rsid w:val="004E003E"/>
    <w:rsid w:val="004E0756"/>
    <w:rsid w:val="004E6C27"/>
    <w:rsid w:val="00505B6F"/>
    <w:rsid w:val="005109F3"/>
    <w:rsid w:val="00536B22"/>
    <w:rsid w:val="00540CD0"/>
    <w:rsid w:val="00544781"/>
    <w:rsid w:val="00553D14"/>
    <w:rsid w:val="00564D67"/>
    <w:rsid w:val="00565BDB"/>
    <w:rsid w:val="00576360"/>
    <w:rsid w:val="00576C07"/>
    <w:rsid w:val="00577088"/>
    <w:rsid w:val="00587619"/>
    <w:rsid w:val="005942A8"/>
    <w:rsid w:val="005973A1"/>
    <w:rsid w:val="005A1DCB"/>
    <w:rsid w:val="005A2E32"/>
    <w:rsid w:val="005B5B1A"/>
    <w:rsid w:val="005C59D8"/>
    <w:rsid w:val="005D61C1"/>
    <w:rsid w:val="005E6FA4"/>
    <w:rsid w:val="005F6E26"/>
    <w:rsid w:val="0060047A"/>
    <w:rsid w:val="00603EF4"/>
    <w:rsid w:val="00612CA9"/>
    <w:rsid w:val="006255DF"/>
    <w:rsid w:val="00625769"/>
    <w:rsid w:val="00632122"/>
    <w:rsid w:val="0063778C"/>
    <w:rsid w:val="00640F4F"/>
    <w:rsid w:val="006448B2"/>
    <w:rsid w:val="00645DAF"/>
    <w:rsid w:val="006639EF"/>
    <w:rsid w:val="00673524"/>
    <w:rsid w:val="00683F05"/>
    <w:rsid w:val="006869FA"/>
    <w:rsid w:val="00690D41"/>
    <w:rsid w:val="006A48F8"/>
    <w:rsid w:val="006A6614"/>
    <w:rsid w:val="006C0140"/>
    <w:rsid w:val="006C0E1E"/>
    <w:rsid w:val="006C279A"/>
    <w:rsid w:val="006D4075"/>
    <w:rsid w:val="006D54CB"/>
    <w:rsid w:val="006D693C"/>
    <w:rsid w:val="006F06D5"/>
    <w:rsid w:val="006F618D"/>
    <w:rsid w:val="007059AD"/>
    <w:rsid w:val="0072709B"/>
    <w:rsid w:val="00730A36"/>
    <w:rsid w:val="00764CA9"/>
    <w:rsid w:val="00771611"/>
    <w:rsid w:val="007A71E5"/>
    <w:rsid w:val="007C2C53"/>
    <w:rsid w:val="007E4182"/>
    <w:rsid w:val="007E758E"/>
    <w:rsid w:val="007F7A03"/>
    <w:rsid w:val="00813E39"/>
    <w:rsid w:val="00817BB1"/>
    <w:rsid w:val="00833CDD"/>
    <w:rsid w:val="008356F9"/>
    <w:rsid w:val="00852552"/>
    <w:rsid w:val="0085311B"/>
    <w:rsid w:val="00857EDA"/>
    <w:rsid w:val="00871DCF"/>
    <w:rsid w:val="00874425"/>
    <w:rsid w:val="0087487E"/>
    <w:rsid w:val="008766A2"/>
    <w:rsid w:val="008802D2"/>
    <w:rsid w:val="0088390C"/>
    <w:rsid w:val="00890D6D"/>
    <w:rsid w:val="00891C70"/>
    <w:rsid w:val="00893ACD"/>
    <w:rsid w:val="00896C6F"/>
    <w:rsid w:val="008977F3"/>
    <w:rsid w:val="008A67D9"/>
    <w:rsid w:val="008B54CB"/>
    <w:rsid w:val="008B6D9F"/>
    <w:rsid w:val="008C10B2"/>
    <w:rsid w:val="008C29B5"/>
    <w:rsid w:val="008D21DA"/>
    <w:rsid w:val="008E07A6"/>
    <w:rsid w:val="008E55C1"/>
    <w:rsid w:val="008F2FF3"/>
    <w:rsid w:val="008F710E"/>
    <w:rsid w:val="00912FCA"/>
    <w:rsid w:val="009352B8"/>
    <w:rsid w:val="00936F63"/>
    <w:rsid w:val="00940BCA"/>
    <w:rsid w:val="0094788E"/>
    <w:rsid w:val="00950DB7"/>
    <w:rsid w:val="00953696"/>
    <w:rsid w:val="00957A52"/>
    <w:rsid w:val="00965C08"/>
    <w:rsid w:val="00985D18"/>
    <w:rsid w:val="009A1AB9"/>
    <w:rsid w:val="009B227D"/>
    <w:rsid w:val="009E4D37"/>
    <w:rsid w:val="009F33BD"/>
    <w:rsid w:val="00A135DC"/>
    <w:rsid w:val="00A26850"/>
    <w:rsid w:val="00A27AE5"/>
    <w:rsid w:val="00A371C4"/>
    <w:rsid w:val="00A37E33"/>
    <w:rsid w:val="00A530D4"/>
    <w:rsid w:val="00A55462"/>
    <w:rsid w:val="00A661CE"/>
    <w:rsid w:val="00A66D94"/>
    <w:rsid w:val="00A674B9"/>
    <w:rsid w:val="00A81B6B"/>
    <w:rsid w:val="00A82062"/>
    <w:rsid w:val="00A82ED2"/>
    <w:rsid w:val="00A87604"/>
    <w:rsid w:val="00A87BBD"/>
    <w:rsid w:val="00A91AC9"/>
    <w:rsid w:val="00A9530A"/>
    <w:rsid w:val="00A95728"/>
    <w:rsid w:val="00A962EF"/>
    <w:rsid w:val="00A96B5A"/>
    <w:rsid w:val="00AA17BF"/>
    <w:rsid w:val="00AC1BA3"/>
    <w:rsid w:val="00AC33FC"/>
    <w:rsid w:val="00AD7765"/>
    <w:rsid w:val="00AE0D79"/>
    <w:rsid w:val="00AE181C"/>
    <w:rsid w:val="00AF162E"/>
    <w:rsid w:val="00AF5123"/>
    <w:rsid w:val="00B013C6"/>
    <w:rsid w:val="00B06D63"/>
    <w:rsid w:val="00B1219B"/>
    <w:rsid w:val="00B20AF4"/>
    <w:rsid w:val="00B273D1"/>
    <w:rsid w:val="00B41837"/>
    <w:rsid w:val="00B4388A"/>
    <w:rsid w:val="00B44D6F"/>
    <w:rsid w:val="00B55DE9"/>
    <w:rsid w:val="00B575DA"/>
    <w:rsid w:val="00B60C49"/>
    <w:rsid w:val="00B62373"/>
    <w:rsid w:val="00B657CD"/>
    <w:rsid w:val="00B72271"/>
    <w:rsid w:val="00B729B7"/>
    <w:rsid w:val="00B83CD7"/>
    <w:rsid w:val="00B86F2F"/>
    <w:rsid w:val="00B91969"/>
    <w:rsid w:val="00B96858"/>
    <w:rsid w:val="00BA5E3D"/>
    <w:rsid w:val="00BB16B0"/>
    <w:rsid w:val="00BB352F"/>
    <w:rsid w:val="00BC46F3"/>
    <w:rsid w:val="00BD0EC7"/>
    <w:rsid w:val="00BE17B4"/>
    <w:rsid w:val="00BF68E1"/>
    <w:rsid w:val="00C049C2"/>
    <w:rsid w:val="00C136E2"/>
    <w:rsid w:val="00C212ED"/>
    <w:rsid w:val="00C218FE"/>
    <w:rsid w:val="00C232B8"/>
    <w:rsid w:val="00C33B9D"/>
    <w:rsid w:val="00C379A2"/>
    <w:rsid w:val="00C545F1"/>
    <w:rsid w:val="00C621AA"/>
    <w:rsid w:val="00C64E25"/>
    <w:rsid w:val="00C67EE9"/>
    <w:rsid w:val="00C706A0"/>
    <w:rsid w:val="00C721EF"/>
    <w:rsid w:val="00C767B3"/>
    <w:rsid w:val="00C80F7E"/>
    <w:rsid w:val="00CA2A84"/>
    <w:rsid w:val="00CA41B0"/>
    <w:rsid w:val="00CA65EA"/>
    <w:rsid w:val="00CA7CF6"/>
    <w:rsid w:val="00CB414B"/>
    <w:rsid w:val="00CD3355"/>
    <w:rsid w:val="00CF1731"/>
    <w:rsid w:val="00CF3338"/>
    <w:rsid w:val="00CF403F"/>
    <w:rsid w:val="00CF73ED"/>
    <w:rsid w:val="00D04979"/>
    <w:rsid w:val="00D12701"/>
    <w:rsid w:val="00D15772"/>
    <w:rsid w:val="00D15959"/>
    <w:rsid w:val="00D1713A"/>
    <w:rsid w:val="00D17271"/>
    <w:rsid w:val="00D1758B"/>
    <w:rsid w:val="00D215DA"/>
    <w:rsid w:val="00D2647A"/>
    <w:rsid w:val="00D342B2"/>
    <w:rsid w:val="00D4053F"/>
    <w:rsid w:val="00D42118"/>
    <w:rsid w:val="00D43BF1"/>
    <w:rsid w:val="00D44993"/>
    <w:rsid w:val="00D47101"/>
    <w:rsid w:val="00D47EC5"/>
    <w:rsid w:val="00D5618D"/>
    <w:rsid w:val="00D63851"/>
    <w:rsid w:val="00D83434"/>
    <w:rsid w:val="00D84941"/>
    <w:rsid w:val="00D867E6"/>
    <w:rsid w:val="00D9587E"/>
    <w:rsid w:val="00DB1B10"/>
    <w:rsid w:val="00DB4987"/>
    <w:rsid w:val="00DC03B3"/>
    <w:rsid w:val="00DD20D0"/>
    <w:rsid w:val="00DD303D"/>
    <w:rsid w:val="00DF266A"/>
    <w:rsid w:val="00DF7C13"/>
    <w:rsid w:val="00E04766"/>
    <w:rsid w:val="00E23C13"/>
    <w:rsid w:val="00E36AE7"/>
    <w:rsid w:val="00E5630D"/>
    <w:rsid w:val="00E63099"/>
    <w:rsid w:val="00E64B61"/>
    <w:rsid w:val="00E74663"/>
    <w:rsid w:val="00E77377"/>
    <w:rsid w:val="00E80B24"/>
    <w:rsid w:val="00E82BDF"/>
    <w:rsid w:val="00E921A7"/>
    <w:rsid w:val="00E93B76"/>
    <w:rsid w:val="00E955BB"/>
    <w:rsid w:val="00EA3CFB"/>
    <w:rsid w:val="00EB0C16"/>
    <w:rsid w:val="00EB2B9A"/>
    <w:rsid w:val="00EB47E1"/>
    <w:rsid w:val="00EC6D2B"/>
    <w:rsid w:val="00EC7960"/>
    <w:rsid w:val="00ED6379"/>
    <w:rsid w:val="00ED6E6F"/>
    <w:rsid w:val="00EE4D76"/>
    <w:rsid w:val="00F03093"/>
    <w:rsid w:val="00F03D72"/>
    <w:rsid w:val="00F3291E"/>
    <w:rsid w:val="00F37544"/>
    <w:rsid w:val="00F415D5"/>
    <w:rsid w:val="00F41BED"/>
    <w:rsid w:val="00F67D8E"/>
    <w:rsid w:val="00F75083"/>
    <w:rsid w:val="00F858FD"/>
    <w:rsid w:val="00F85EFC"/>
    <w:rsid w:val="00F97624"/>
    <w:rsid w:val="00FA1C25"/>
    <w:rsid w:val="00FA456C"/>
    <w:rsid w:val="00FB3831"/>
    <w:rsid w:val="00FC0133"/>
    <w:rsid w:val="00FD7364"/>
    <w:rsid w:val="00FE41B3"/>
    <w:rsid w:val="00FE59BD"/>
    <w:rsid w:val="00FE6392"/>
    <w:rsid w:val="00FF499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513B9A7-20AB-BE4A-83BB-F52EB2111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D67"/>
  </w:style>
  <w:style w:type="paragraph" w:styleId="Heading2">
    <w:name w:val="heading 2"/>
    <w:basedOn w:val="Normal"/>
    <w:link w:val="Heading2Char"/>
    <w:uiPriority w:val="9"/>
    <w:qFormat/>
    <w:rsid w:val="005109F3"/>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109F3"/>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5109F3"/>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B44D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4D6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514875">
      <w:bodyDiv w:val="1"/>
      <w:marLeft w:val="0"/>
      <w:marRight w:val="0"/>
      <w:marTop w:val="0"/>
      <w:marBottom w:val="0"/>
      <w:divBdr>
        <w:top w:val="none" w:sz="0" w:space="0" w:color="auto"/>
        <w:left w:val="none" w:sz="0" w:space="0" w:color="auto"/>
        <w:bottom w:val="none" w:sz="0" w:space="0" w:color="auto"/>
        <w:right w:val="none" w:sz="0" w:space="0" w:color="auto"/>
      </w:divBdr>
    </w:div>
    <w:div w:id="1408188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image" Target="media/image2.png"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2058</Words>
  <Characters>11734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ANAM</dc:creator>
  <cp:lastModifiedBy>reza karim</cp:lastModifiedBy>
  <cp:revision>2</cp:revision>
  <dcterms:created xsi:type="dcterms:W3CDTF">2022-07-06T22:19:00Z</dcterms:created>
  <dcterms:modified xsi:type="dcterms:W3CDTF">2022-07-06T22:19:00Z</dcterms:modified>
</cp:coreProperties>
</file>