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30C97" w14:textId="5289CA81" w:rsidR="00A15B75" w:rsidRPr="001A6D99" w:rsidRDefault="00093C9C" w:rsidP="00CA2D19">
      <w:pPr>
        <w:pStyle w:val="Heading1"/>
        <w:rPr>
          <w:rFonts w:ascii="Arial" w:hAnsi="Arial" w:cs="Arial"/>
          <w:b/>
          <w:bCs/>
          <w:color w:val="auto"/>
          <w:sz w:val="52"/>
          <w:szCs w:val="52"/>
          <w:u w:val="single"/>
        </w:rPr>
      </w:pPr>
      <w:r w:rsidRPr="001A6D99">
        <w:rPr>
          <w:rFonts w:ascii="Arial" w:hAnsi="Arial" w:cs="Arial"/>
          <w:b/>
          <w:bCs/>
          <w:color w:val="auto"/>
          <w:sz w:val="52"/>
          <w:szCs w:val="52"/>
          <w:u w:val="single"/>
        </w:rPr>
        <w:t xml:space="preserve">Children </w:t>
      </w:r>
      <w:r w:rsidR="001A6D99" w:rsidRPr="001A6D99">
        <w:rPr>
          <w:rFonts w:ascii="Arial" w:hAnsi="Arial" w:cs="Arial"/>
          <w:b/>
          <w:bCs/>
          <w:color w:val="auto"/>
          <w:sz w:val="52"/>
          <w:szCs w:val="52"/>
          <w:u w:val="single"/>
        </w:rPr>
        <w:t>Y</w:t>
      </w:r>
      <w:r w:rsidRPr="001A6D99">
        <w:rPr>
          <w:rFonts w:ascii="Arial" w:hAnsi="Arial" w:cs="Arial"/>
          <w:b/>
          <w:bCs/>
          <w:color w:val="auto"/>
          <w:sz w:val="52"/>
          <w:szCs w:val="52"/>
          <w:u w:val="single"/>
        </w:rPr>
        <w:t>oung</w:t>
      </w:r>
      <w:r w:rsidR="00827AFD" w:rsidRPr="001A6D99">
        <w:rPr>
          <w:rFonts w:ascii="Arial" w:hAnsi="Arial" w:cs="Arial"/>
          <w:b/>
          <w:bCs/>
          <w:color w:val="auto"/>
          <w:sz w:val="52"/>
          <w:szCs w:val="52"/>
          <w:u w:val="single"/>
        </w:rPr>
        <w:t xml:space="preserve"> </w:t>
      </w:r>
      <w:r w:rsidR="009E0CB9" w:rsidRPr="001A6D99">
        <w:rPr>
          <w:rFonts w:ascii="Arial" w:hAnsi="Arial" w:cs="Arial"/>
          <w:b/>
          <w:bCs/>
          <w:color w:val="auto"/>
          <w:sz w:val="52"/>
          <w:szCs w:val="52"/>
          <w:u w:val="single"/>
        </w:rPr>
        <w:t>P</w:t>
      </w:r>
      <w:r w:rsidR="00827AFD" w:rsidRPr="001A6D99">
        <w:rPr>
          <w:rFonts w:ascii="Arial" w:hAnsi="Arial" w:cs="Arial"/>
          <w:b/>
          <w:bCs/>
          <w:color w:val="auto"/>
          <w:sz w:val="52"/>
          <w:szCs w:val="52"/>
          <w:u w:val="single"/>
        </w:rPr>
        <w:t xml:space="preserve">eople and </w:t>
      </w:r>
      <w:r w:rsidR="009E0CB9" w:rsidRPr="001A6D99">
        <w:rPr>
          <w:rFonts w:ascii="Arial" w:hAnsi="Arial" w:cs="Arial"/>
          <w:b/>
          <w:bCs/>
          <w:color w:val="auto"/>
          <w:sz w:val="52"/>
          <w:szCs w:val="52"/>
          <w:u w:val="single"/>
        </w:rPr>
        <w:t>F</w:t>
      </w:r>
      <w:r w:rsidR="00827AFD" w:rsidRPr="001A6D99">
        <w:rPr>
          <w:rFonts w:ascii="Arial" w:hAnsi="Arial" w:cs="Arial"/>
          <w:b/>
          <w:bCs/>
          <w:color w:val="auto"/>
          <w:sz w:val="52"/>
          <w:szCs w:val="52"/>
          <w:u w:val="single"/>
        </w:rPr>
        <w:t>am</w:t>
      </w:r>
      <w:r w:rsidR="009E0CB9" w:rsidRPr="001A6D99">
        <w:rPr>
          <w:rFonts w:ascii="Arial" w:hAnsi="Arial" w:cs="Arial"/>
          <w:b/>
          <w:bCs/>
          <w:color w:val="auto"/>
          <w:sz w:val="52"/>
          <w:szCs w:val="52"/>
          <w:u w:val="single"/>
        </w:rPr>
        <w:t>ily</w:t>
      </w:r>
      <w:r w:rsidR="001A6D99" w:rsidRPr="001A6D99">
        <w:rPr>
          <w:rFonts w:ascii="Arial" w:hAnsi="Arial" w:cs="Arial"/>
          <w:b/>
          <w:bCs/>
          <w:color w:val="auto"/>
          <w:sz w:val="52"/>
          <w:szCs w:val="52"/>
          <w:u w:val="single"/>
        </w:rPr>
        <w:t xml:space="preserve">                                                   </w:t>
      </w:r>
    </w:p>
    <w:p w14:paraId="5016B98C" w14:textId="35B64101" w:rsidR="00A15B75" w:rsidRPr="00A15B75" w:rsidRDefault="008755ED" w:rsidP="00A15B75">
      <w:pPr>
        <w:pStyle w:val="Heading1"/>
        <w:jc w:val="center"/>
        <w:rPr>
          <w:color w:val="auto"/>
        </w:rPr>
      </w:pPr>
      <w:r>
        <w:rPr>
          <w:color w:val="auto"/>
          <w:sz w:val="44"/>
          <w:szCs w:val="44"/>
        </w:rPr>
        <w:t>Social Construction of Childhood</w:t>
      </w:r>
      <w:r w:rsidR="00A15B75">
        <w:rPr>
          <w:color w:val="auto"/>
          <w:sz w:val="44"/>
          <w:szCs w:val="44"/>
        </w:rPr>
        <w:t xml:space="preserve"> </w:t>
      </w:r>
    </w:p>
    <w:p w14:paraId="12D90EA6" w14:textId="77777777" w:rsidR="00A15B75" w:rsidRPr="00A15B75" w:rsidRDefault="00A15B75" w:rsidP="00A15B75"/>
    <w:p w14:paraId="2C13A12A" w14:textId="77777777" w:rsidR="00A15B75" w:rsidRDefault="00A15B75" w:rsidP="00A15B75">
      <w:pPr>
        <w:pStyle w:val="Heading1"/>
        <w:jc w:val="center"/>
        <w:rPr>
          <w:color w:val="auto"/>
          <w:sz w:val="44"/>
          <w:szCs w:val="44"/>
        </w:rPr>
      </w:pPr>
      <w:r>
        <w:rPr>
          <w:color w:val="auto"/>
          <w:sz w:val="44"/>
          <w:szCs w:val="44"/>
        </w:rPr>
        <w:t xml:space="preserve">Student Name: </w:t>
      </w:r>
      <w:r>
        <w:rPr>
          <w:color w:val="auto"/>
          <w:sz w:val="44"/>
          <w:szCs w:val="44"/>
        </w:rPr>
        <w:t>Karon Mcqueen</w:t>
      </w:r>
    </w:p>
    <w:p w14:paraId="081A9E34" w14:textId="77777777" w:rsidR="00A15B75" w:rsidRDefault="00A15B75" w:rsidP="00A15B75">
      <w:pPr>
        <w:pStyle w:val="Heading1"/>
        <w:jc w:val="center"/>
        <w:rPr>
          <w:color w:val="auto"/>
          <w:sz w:val="44"/>
          <w:szCs w:val="44"/>
        </w:rPr>
      </w:pPr>
      <w:r>
        <w:rPr>
          <w:color w:val="auto"/>
          <w:sz w:val="44"/>
          <w:szCs w:val="44"/>
        </w:rPr>
        <w:t xml:space="preserve"> Student number</w:t>
      </w:r>
      <w:r>
        <w:rPr>
          <w:color w:val="auto"/>
          <w:sz w:val="44"/>
          <w:szCs w:val="44"/>
        </w:rPr>
        <w:t>:</w:t>
      </w:r>
      <w:r>
        <w:rPr>
          <w:color w:val="auto"/>
          <w:sz w:val="44"/>
          <w:szCs w:val="44"/>
        </w:rPr>
        <w:t>1809080</w:t>
      </w:r>
    </w:p>
    <w:p w14:paraId="0033F17C" w14:textId="189315FF" w:rsidR="001D15DE" w:rsidRDefault="00A15B75" w:rsidP="001D15DE">
      <w:pPr>
        <w:pStyle w:val="Heading1"/>
        <w:jc w:val="center"/>
        <w:rPr>
          <w:color w:val="auto"/>
          <w:sz w:val="44"/>
          <w:szCs w:val="44"/>
        </w:rPr>
      </w:pPr>
      <w:r>
        <w:rPr>
          <w:color w:val="auto"/>
          <w:sz w:val="44"/>
          <w:szCs w:val="44"/>
        </w:rPr>
        <w:t>Lecturer:</w:t>
      </w:r>
      <w:r w:rsidR="001D15DE">
        <w:rPr>
          <w:color w:val="auto"/>
          <w:sz w:val="44"/>
          <w:szCs w:val="44"/>
        </w:rPr>
        <w:t xml:space="preserve"> </w:t>
      </w:r>
      <w:r w:rsidR="006E7C8B">
        <w:rPr>
          <w:color w:val="auto"/>
          <w:sz w:val="44"/>
          <w:szCs w:val="44"/>
        </w:rPr>
        <w:t>Mark Ga</w:t>
      </w:r>
      <w:r w:rsidR="00045B1B">
        <w:rPr>
          <w:color w:val="auto"/>
          <w:sz w:val="44"/>
          <w:szCs w:val="44"/>
        </w:rPr>
        <w:t>llagher</w:t>
      </w:r>
    </w:p>
    <w:p w14:paraId="63C3C530" w14:textId="2C460154" w:rsidR="00A15B75" w:rsidRDefault="001D15DE" w:rsidP="001D15DE">
      <w:pPr>
        <w:pStyle w:val="Heading1"/>
        <w:jc w:val="center"/>
        <w:rPr>
          <w:color w:val="auto"/>
          <w:sz w:val="44"/>
          <w:szCs w:val="44"/>
        </w:rPr>
      </w:pPr>
      <w:r>
        <w:rPr>
          <w:color w:val="auto"/>
          <w:sz w:val="44"/>
          <w:szCs w:val="44"/>
        </w:rPr>
        <w:t xml:space="preserve"> </w:t>
      </w:r>
      <w:r w:rsidR="00A15B75">
        <w:rPr>
          <w:color w:val="auto"/>
          <w:sz w:val="44"/>
          <w:szCs w:val="44"/>
        </w:rPr>
        <w:t xml:space="preserve">Date </w:t>
      </w:r>
      <w:r w:rsidR="0009761B">
        <w:rPr>
          <w:color w:val="auto"/>
          <w:sz w:val="44"/>
          <w:szCs w:val="44"/>
        </w:rPr>
        <w:t>0</w:t>
      </w:r>
      <w:r w:rsidR="00820199">
        <w:rPr>
          <w:color w:val="auto"/>
          <w:sz w:val="44"/>
          <w:szCs w:val="44"/>
        </w:rPr>
        <w:t>3</w:t>
      </w:r>
      <w:r w:rsidR="004E764A">
        <w:rPr>
          <w:color w:val="auto"/>
          <w:sz w:val="44"/>
          <w:szCs w:val="44"/>
        </w:rPr>
        <w:t>:</w:t>
      </w:r>
      <w:r w:rsidR="009062C8">
        <w:rPr>
          <w:color w:val="auto"/>
          <w:sz w:val="44"/>
          <w:szCs w:val="44"/>
        </w:rPr>
        <w:t>04:</w:t>
      </w:r>
      <w:r w:rsidR="002439E4">
        <w:rPr>
          <w:color w:val="auto"/>
          <w:sz w:val="44"/>
          <w:szCs w:val="44"/>
        </w:rPr>
        <w:t>2020</w:t>
      </w:r>
    </w:p>
    <w:p w14:paraId="7C88FE36" w14:textId="77777777" w:rsidR="00EE2928" w:rsidRPr="00EE2928" w:rsidRDefault="00EE2928" w:rsidP="00EE2928"/>
    <w:p w14:paraId="2FBF8956" w14:textId="11F4B7E2" w:rsidR="00022902" w:rsidRPr="00EE2928" w:rsidRDefault="009E51EB" w:rsidP="00022902">
      <w:pPr>
        <w:rPr>
          <w:rFonts w:ascii="Arial" w:hAnsi="Arial" w:cs="Arial"/>
          <w:sz w:val="40"/>
          <w:szCs w:val="40"/>
        </w:rPr>
      </w:pPr>
      <w:r>
        <w:t xml:space="preserve">                                                                      </w:t>
      </w:r>
      <w:r w:rsidRPr="00EE2928">
        <w:rPr>
          <w:rFonts w:ascii="Arial" w:hAnsi="Arial" w:cs="Arial"/>
          <w:sz w:val="40"/>
          <w:szCs w:val="40"/>
        </w:rPr>
        <w:t>Assignment</w:t>
      </w:r>
      <w:r w:rsidR="00D522F7">
        <w:rPr>
          <w:rFonts w:ascii="Arial" w:hAnsi="Arial" w:cs="Arial"/>
          <w:sz w:val="40"/>
          <w:szCs w:val="40"/>
        </w:rPr>
        <w:t>:</w:t>
      </w:r>
      <w:r w:rsidRPr="00EE2928">
        <w:rPr>
          <w:rFonts w:ascii="Arial" w:hAnsi="Arial" w:cs="Arial"/>
          <w:sz w:val="40"/>
          <w:szCs w:val="40"/>
        </w:rPr>
        <w:t xml:space="preserve"> 2</w:t>
      </w:r>
      <w:r w:rsidR="00863B2D">
        <w:rPr>
          <w:rFonts w:ascii="Arial" w:hAnsi="Arial" w:cs="Arial"/>
          <w:sz w:val="40"/>
          <w:szCs w:val="40"/>
        </w:rPr>
        <w:t xml:space="preserve">  </w:t>
      </w:r>
    </w:p>
    <w:p w14:paraId="6870A38B" w14:textId="77777777" w:rsidR="001D15DE" w:rsidRDefault="001D15DE" w:rsidP="00A15B75">
      <w:pPr>
        <w:spacing w:line="360" w:lineRule="auto"/>
        <w:rPr>
          <w:rFonts w:ascii="Times New Roman" w:hAnsi="Times New Roman" w:cs="Times New Roman"/>
          <w:bCs/>
          <w:sz w:val="40"/>
          <w:szCs w:val="40"/>
        </w:rPr>
      </w:pPr>
    </w:p>
    <w:p w14:paraId="6703A781" w14:textId="6761CBB5" w:rsidR="00A15B75" w:rsidRPr="00303B6E" w:rsidRDefault="00A15B75" w:rsidP="00303B6E">
      <w:pPr>
        <w:spacing w:line="360" w:lineRule="auto"/>
        <w:rPr>
          <w:rFonts w:ascii="Times New Roman" w:hAnsi="Times New Roman" w:cs="Times New Roman"/>
          <w:bCs/>
          <w:sz w:val="40"/>
          <w:szCs w:val="40"/>
        </w:rPr>
      </w:pPr>
      <w:r w:rsidRPr="00A15B75">
        <w:rPr>
          <w:rFonts w:ascii="Times New Roman" w:hAnsi="Times New Roman" w:cs="Times New Roman"/>
          <w:bCs/>
          <w:sz w:val="40"/>
          <w:szCs w:val="40"/>
        </w:rPr>
        <w:t xml:space="preserve">                                  BMHP 50</w:t>
      </w:r>
      <w:r w:rsidR="00AB49E6">
        <w:rPr>
          <w:rFonts w:ascii="Times New Roman" w:hAnsi="Times New Roman" w:cs="Times New Roman"/>
          <w:bCs/>
          <w:sz w:val="40"/>
          <w:szCs w:val="40"/>
        </w:rPr>
        <w:t>0</w:t>
      </w:r>
      <w:r w:rsidR="007F7F5C">
        <w:rPr>
          <w:rFonts w:ascii="Times New Roman" w:hAnsi="Times New Roman" w:cs="Times New Roman"/>
          <w:bCs/>
          <w:sz w:val="40"/>
          <w:szCs w:val="40"/>
        </w:rPr>
        <w:t>4</w:t>
      </w:r>
      <w:r w:rsidR="00AB49E6">
        <w:rPr>
          <w:rFonts w:ascii="Times New Roman" w:hAnsi="Times New Roman" w:cs="Times New Roman"/>
          <w:bCs/>
          <w:sz w:val="40"/>
          <w:szCs w:val="40"/>
        </w:rPr>
        <w:t xml:space="preserve">                                                                                </w:t>
      </w:r>
    </w:p>
    <w:p w14:paraId="123DF834" w14:textId="3396504C" w:rsidR="00A15B75" w:rsidRDefault="00DA2B1F" w:rsidP="003C02B8">
      <w:pPr>
        <w:pStyle w:val="Heading1"/>
        <w:jc w:val="center"/>
        <w:rPr>
          <w:b/>
          <w:bCs/>
          <w:color w:val="auto"/>
          <w:sz w:val="40"/>
          <w:szCs w:val="40"/>
          <w:u w:val="single"/>
        </w:rPr>
      </w:pPr>
      <w:r>
        <w:rPr>
          <w:noProof/>
        </w:rPr>
        <w:lastRenderedPageBreak/>
        <w:drawing>
          <wp:inline distT="0" distB="0" distL="0" distR="0" wp14:anchorId="28933A58" wp14:editId="4C7A0030">
            <wp:extent cx="5924550" cy="6991350"/>
            <wp:effectExtent l="0" t="0" r="0" b="0"/>
            <wp:docPr id="2" name="Picture 2" descr="Francis Xavier Winterhalter, 'The Royal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ancis Xavier Winterhalter, 'The Royal Fami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4550" cy="6991350"/>
                    </a:xfrm>
                    <a:prstGeom prst="rect">
                      <a:avLst/>
                    </a:prstGeom>
                    <a:noFill/>
                    <a:ln>
                      <a:noFill/>
                    </a:ln>
                  </pic:spPr>
                </pic:pic>
              </a:graphicData>
            </a:graphic>
          </wp:inline>
        </w:drawing>
      </w:r>
    </w:p>
    <w:p w14:paraId="6E678B6D" w14:textId="3B94136B" w:rsidR="00A15B75" w:rsidRDefault="00952608" w:rsidP="00B42952">
      <w:pPr>
        <w:pStyle w:val="Heading1"/>
        <w:rPr>
          <w:b/>
          <w:bCs/>
          <w:color w:val="auto"/>
          <w:sz w:val="40"/>
          <w:szCs w:val="40"/>
          <w:u w:val="single"/>
        </w:rPr>
      </w:pPr>
      <w:r w:rsidRPr="00952608">
        <w:rPr>
          <w:b/>
          <w:bCs/>
          <w:color w:val="auto"/>
          <w:sz w:val="40"/>
          <w:szCs w:val="40"/>
          <w:u w:val="single"/>
        </w:rPr>
        <w:t>www.vam.ac.uk/content/articles/g/gender-ideology-and-separate-spheres-19th-century/</w:t>
      </w:r>
      <w:r w:rsidRPr="00952608">
        <w:rPr>
          <w:b/>
          <w:bCs/>
          <w:color w:val="auto"/>
          <w:sz w:val="40"/>
          <w:szCs w:val="40"/>
          <w:u w:val="single"/>
        </w:rPr>
        <w:cr/>
      </w:r>
    </w:p>
    <w:p w14:paraId="155CB8B4" w14:textId="77777777" w:rsidR="00A15B75" w:rsidRDefault="00A15B75" w:rsidP="003C02B8">
      <w:pPr>
        <w:pStyle w:val="Heading1"/>
        <w:jc w:val="center"/>
        <w:rPr>
          <w:b/>
          <w:bCs/>
          <w:color w:val="auto"/>
          <w:sz w:val="40"/>
          <w:szCs w:val="40"/>
          <w:u w:val="single"/>
        </w:rPr>
      </w:pPr>
    </w:p>
    <w:p w14:paraId="6816E780" w14:textId="51BC12E3" w:rsidR="009C4126" w:rsidRDefault="009C4126" w:rsidP="009C4126">
      <w:bookmarkStart w:id="0" w:name="_GoBack"/>
      <w:bookmarkEnd w:id="0"/>
    </w:p>
    <w:p w14:paraId="372D62D6" w14:textId="63357372" w:rsidR="009C4126" w:rsidRPr="00DF6E08" w:rsidRDefault="009C4126" w:rsidP="009C4126"/>
    <w:p w14:paraId="390411EA" w14:textId="77777777" w:rsidR="000B592D" w:rsidRPr="00DF6E08" w:rsidRDefault="000B592D" w:rsidP="000B592D"/>
    <w:p w14:paraId="17653848" w14:textId="0307DBBB" w:rsidR="003C02B8" w:rsidRPr="00F04108" w:rsidRDefault="005938B6" w:rsidP="005938B6">
      <w:pPr>
        <w:pStyle w:val="Heading1"/>
        <w:rPr>
          <w:rFonts w:ascii="Arial" w:hAnsi="Arial" w:cs="Arial"/>
          <w:b/>
          <w:bCs/>
          <w:color w:val="auto"/>
          <w:sz w:val="36"/>
          <w:szCs w:val="36"/>
          <w:u w:val="single"/>
        </w:rPr>
      </w:pPr>
      <w:r w:rsidRPr="00F04108">
        <w:rPr>
          <w:rFonts w:ascii="Arial" w:hAnsi="Arial" w:cs="Arial"/>
          <w:b/>
          <w:bCs/>
          <w:color w:val="auto"/>
          <w:sz w:val="36"/>
          <w:szCs w:val="36"/>
          <w:u w:val="single"/>
        </w:rPr>
        <w:t xml:space="preserve">     </w:t>
      </w:r>
      <w:r w:rsidR="003C02B8" w:rsidRPr="00F04108">
        <w:rPr>
          <w:rFonts w:ascii="Arial" w:hAnsi="Arial" w:cs="Arial"/>
          <w:b/>
          <w:bCs/>
          <w:color w:val="auto"/>
          <w:sz w:val="36"/>
          <w:szCs w:val="36"/>
          <w:u w:val="single"/>
        </w:rPr>
        <w:t>Social Construction of Childhood</w:t>
      </w:r>
    </w:p>
    <w:p w14:paraId="212CE9A4" w14:textId="77777777" w:rsidR="003C02B8" w:rsidRPr="00DF6E08" w:rsidRDefault="003C02B8" w:rsidP="003C02B8">
      <w:pPr>
        <w:rPr>
          <w:rFonts w:ascii="Arial" w:hAnsi="Arial" w:cs="Arial"/>
        </w:rPr>
      </w:pPr>
    </w:p>
    <w:p w14:paraId="530BF6FE" w14:textId="77777777" w:rsidR="003C02B8" w:rsidRPr="00DF6E08" w:rsidRDefault="003C02B8" w:rsidP="003C02B8">
      <w:pPr>
        <w:spacing w:line="360" w:lineRule="auto"/>
        <w:rPr>
          <w:rFonts w:ascii="Arial" w:hAnsi="Arial" w:cs="Arial"/>
        </w:rPr>
      </w:pPr>
      <w:r w:rsidRPr="00DF6E08">
        <w:rPr>
          <w:rFonts w:ascii="Arial" w:hAnsi="Arial" w:cs="Arial"/>
        </w:rPr>
        <w:t xml:space="preserve">A social construct phenomenon or concept is one that society has developed and created in time. Societies construct things differently depending on the aspects that exist in their communities, like norms, attitudes, and values (Sheet, 2011).  Childhood is regarded to be a social construct as it is explained from a social category that is derived from beliefs, values, and attitudes of a specific society within a </w:t>
      </w:r>
      <w:proofErr w:type="gramStart"/>
      <w:r w:rsidRPr="00DF6E08">
        <w:rPr>
          <w:rFonts w:ascii="Arial" w:hAnsi="Arial" w:cs="Arial"/>
        </w:rPr>
        <w:t>particular time</w:t>
      </w:r>
      <w:proofErr w:type="gramEnd"/>
      <w:r w:rsidRPr="00DF6E08">
        <w:rPr>
          <w:rFonts w:ascii="Arial" w:hAnsi="Arial" w:cs="Arial"/>
        </w:rPr>
        <w:t xml:space="preserve"> (</w:t>
      </w:r>
      <w:r w:rsidRPr="00DF6E08">
        <w:rPr>
          <w:rFonts w:ascii="Arial" w:hAnsi="Arial" w:cs="Arial"/>
          <w:color w:val="222222"/>
          <w:shd w:val="clear" w:color="auto" w:fill="FFFFFF"/>
        </w:rPr>
        <w:t>Martin et al, 2010)</w:t>
      </w:r>
      <w:r w:rsidRPr="00DF6E08">
        <w:rPr>
          <w:rFonts w:ascii="Arial" w:hAnsi="Arial" w:cs="Arial"/>
        </w:rPr>
        <w:t xml:space="preserve">. </w:t>
      </w:r>
      <w:proofErr w:type="gramStart"/>
      <w:r w:rsidRPr="00DF6E08">
        <w:rPr>
          <w:rFonts w:ascii="Arial" w:hAnsi="Arial" w:cs="Arial"/>
        </w:rPr>
        <w:t>Therefore</w:t>
      </w:r>
      <w:proofErr w:type="gramEnd"/>
      <w:r w:rsidRPr="00DF6E08">
        <w:rPr>
          <w:rFonts w:ascii="Arial" w:hAnsi="Arial" w:cs="Arial"/>
        </w:rPr>
        <w:t xml:space="preserve"> this means that the concept of childhood is not just biological. There is an in-depth to it like physical appearance as well as capability. However, some people have gone ahead to argue that childhood is a natural period of existence defined by biology a time that the society cannot construct (Marmot, 2005). To understand the childhood concept, it is vital to explore how various communities have been built. The essay will, therefore, underline the different ways in which societies have constructed the childhood concept in terms of religion, geographical location, and history as well as time. The ideas will be analyzed critically. The discussions will involve a range of factors inclusive of policies and legislations that have managed to influence the real changes in the social construction of this concept. </w:t>
      </w:r>
    </w:p>
    <w:p w14:paraId="0D0F53E1" w14:textId="77777777" w:rsidR="003C02B8" w:rsidRPr="00DF6E08" w:rsidRDefault="003C02B8" w:rsidP="003C02B8">
      <w:pPr>
        <w:spacing w:line="360" w:lineRule="auto"/>
        <w:rPr>
          <w:rFonts w:ascii="Arial" w:hAnsi="Arial" w:cs="Arial"/>
        </w:rPr>
      </w:pPr>
      <w:r w:rsidRPr="00DF6E08">
        <w:rPr>
          <w:rFonts w:ascii="Arial" w:hAnsi="Arial" w:cs="Arial"/>
        </w:rPr>
        <w:t>The concept of childhood is accepted around the globe as a critical and biological development stage. It is not easy to conceptualize childhood as anything else (</w:t>
      </w:r>
      <w:proofErr w:type="spellStart"/>
      <w:r w:rsidRPr="00DF6E08">
        <w:rPr>
          <w:rFonts w:ascii="Arial" w:hAnsi="Arial" w:cs="Arial"/>
          <w:color w:val="222222"/>
          <w:shd w:val="clear" w:color="auto" w:fill="FFFFFF"/>
        </w:rPr>
        <w:t>Bernoteit</w:t>
      </w:r>
      <w:proofErr w:type="spellEnd"/>
      <w:r w:rsidRPr="00DF6E08">
        <w:rPr>
          <w:rFonts w:ascii="Arial" w:hAnsi="Arial" w:cs="Arial"/>
          <w:color w:val="222222"/>
          <w:shd w:val="clear" w:color="auto" w:fill="FFFFFF"/>
        </w:rPr>
        <w:t xml:space="preserve">, et al., 2017). </w:t>
      </w:r>
      <w:r w:rsidRPr="00DF6E08">
        <w:rPr>
          <w:rFonts w:ascii="Arial" w:hAnsi="Arial" w:cs="Arial"/>
        </w:rPr>
        <w:t xml:space="preserve"> However, when viewing the childhood concept across the culture spectrum, centuries, and class, there are a wide array of attitudes and perceptions of childhood. From vulnerable to innocent tiny adults.  (</w:t>
      </w:r>
      <w:r w:rsidRPr="00DF6E08">
        <w:rPr>
          <w:rFonts w:ascii="Arial" w:hAnsi="Arial" w:cs="Arial"/>
          <w:color w:val="222222"/>
          <w:shd w:val="clear" w:color="auto" w:fill="FFFFFF"/>
        </w:rPr>
        <w:t xml:space="preserve">Coelho, </w:t>
      </w:r>
      <w:proofErr w:type="spellStart"/>
      <w:r w:rsidRPr="00DF6E08">
        <w:rPr>
          <w:rFonts w:ascii="Arial" w:hAnsi="Arial" w:cs="Arial"/>
          <w:color w:val="222222"/>
          <w:shd w:val="clear" w:color="auto" w:fill="FFFFFF"/>
        </w:rPr>
        <w:t>Marchante</w:t>
      </w:r>
      <w:proofErr w:type="spellEnd"/>
      <w:r w:rsidRPr="00DF6E08">
        <w:rPr>
          <w:rFonts w:ascii="Arial" w:hAnsi="Arial" w:cs="Arial"/>
          <w:color w:val="222222"/>
          <w:shd w:val="clear" w:color="auto" w:fill="FFFFFF"/>
        </w:rPr>
        <w:t xml:space="preserve"> and Sousa, 2016)</w:t>
      </w:r>
      <w:r w:rsidRPr="00DF6E08">
        <w:rPr>
          <w:rFonts w:ascii="Arial" w:hAnsi="Arial" w:cs="Arial"/>
        </w:rPr>
        <w:t>. Take, for instance, in the western culture where childhood is regarded to be a period of vulnerability and innocence (</w:t>
      </w:r>
      <w:proofErr w:type="spellStart"/>
      <w:r w:rsidRPr="00DF6E08">
        <w:rPr>
          <w:rFonts w:ascii="Arial" w:hAnsi="Arial" w:cs="Arial"/>
          <w:color w:val="222222"/>
          <w:shd w:val="clear" w:color="auto" w:fill="FFFFFF"/>
        </w:rPr>
        <w:t>McCrone</w:t>
      </w:r>
      <w:proofErr w:type="spellEnd"/>
      <w:r w:rsidRPr="00DF6E08">
        <w:rPr>
          <w:rFonts w:ascii="Arial" w:hAnsi="Arial" w:cs="Arial"/>
          <w:color w:val="222222"/>
          <w:shd w:val="clear" w:color="auto" w:fill="FFFFFF"/>
        </w:rPr>
        <w:t>, Featherstone and Chamberlain, 2009)</w:t>
      </w:r>
      <w:r w:rsidRPr="00DF6E08">
        <w:rPr>
          <w:rFonts w:ascii="Arial" w:hAnsi="Arial" w:cs="Arial"/>
        </w:rPr>
        <w:t xml:space="preserve">. Here they are provided with everything by parents simply because they </w:t>
      </w:r>
      <w:proofErr w:type="gramStart"/>
      <w:r w:rsidRPr="00DF6E08">
        <w:rPr>
          <w:rFonts w:ascii="Arial" w:hAnsi="Arial" w:cs="Arial"/>
        </w:rPr>
        <w:t>are considered to be</w:t>
      </w:r>
      <w:proofErr w:type="gramEnd"/>
      <w:r w:rsidRPr="00DF6E08">
        <w:rPr>
          <w:rFonts w:ascii="Arial" w:hAnsi="Arial" w:cs="Arial"/>
        </w:rPr>
        <w:t xml:space="preserve"> immature and incapable as well as not independent. This view of childhood is, however, different to nations that are less developed economically where children are viewed to be obedient and responsible little beings as older people identify them to be a vital income source.  For instance, in Bolivia where children from age five contribute to the family in one way or another (McGoldrick, 2014). This kind of adult child integration is different from the western view where kids are entirely removed from adults and their world. This removal was developed in the 19</w:t>
      </w:r>
      <w:r w:rsidRPr="00DF6E08">
        <w:rPr>
          <w:rFonts w:ascii="Arial" w:hAnsi="Arial" w:cs="Arial"/>
          <w:vertAlign w:val="superscript"/>
        </w:rPr>
        <w:t>th</w:t>
      </w:r>
      <w:r w:rsidRPr="00DF6E08">
        <w:rPr>
          <w:rFonts w:ascii="Arial" w:hAnsi="Arial" w:cs="Arial"/>
        </w:rPr>
        <w:t xml:space="preserve"> century, whereby the legislations of factories excluded children out of the work environment.  Much later, a </w:t>
      </w:r>
      <w:proofErr w:type="gramStart"/>
      <w:r w:rsidRPr="00DF6E08">
        <w:rPr>
          <w:rFonts w:ascii="Arial" w:hAnsi="Arial" w:cs="Arial"/>
        </w:rPr>
        <w:t>legislations</w:t>
      </w:r>
      <w:proofErr w:type="gramEnd"/>
      <w:r w:rsidRPr="00DF6E08">
        <w:rPr>
          <w:rFonts w:ascii="Arial" w:hAnsi="Arial" w:cs="Arial"/>
        </w:rPr>
        <w:t xml:space="preserve"> that supports education was enacted, thus separating kids from adults even further (</w:t>
      </w:r>
      <w:r w:rsidRPr="00DF6E08">
        <w:rPr>
          <w:rFonts w:ascii="Arial" w:hAnsi="Arial" w:cs="Arial"/>
          <w:color w:val="222222"/>
          <w:shd w:val="clear" w:color="auto" w:fill="FFFFFF"/>
        </w:rPr>
        <w:t>Preston-Shoot and Pratt, 2014)</w:t>
      </w:r>
      <w:r w:rsidRPr="00DF6E08">
        <w:rPr>
          <w:rFonts w:ascii="Arial" w:hAnsi="Arial" w:cs="Arial"/>
        </w:rPr>
        <w:t>. Currently, this separation is observed to be on the rise via restrictions established by age. Furthermore, the increase in compulsory education and services continues to buy into this view, as the introduction of playgroups.</w:t>
      </w:r>
    </w:p>
    <w:p w14:paraId="20119DE8" w14:textId="77777777" w:rsidR="003C02B8" w:rsidRPr="00DF6E08" w:rsidRDefault="003C02B8" w:rsidP="003C02B8">
      <w:pPr>
        <w:spacing w:line="360" w:lineRule="auto"/>
        <w:rPr>
          <w:rFonts w:ascii="Arial" w:hAnsi="Arial" w:cs="Arial"/>
        </w:rPr>
      </w:pPr>
      <w:r w:rsidRPr="00DF6E08">
        <w:rPr>
          <w:rFonts w:ascii="Arial" w:hAnsi="Arial" w:cs="Arial"/>
        </w:rPr>
        <w:t xml:space="preserve">There exist various arguments in childhood history. Most researchers claim that the concept is a recent phenomenon. Therefore, the modern construct is what has given this concept a special place in society today. </w:t>
      </w:r>
      <w:proofErr w:type="gramStart"/>
      <w:r w:rsidRPr="00DF6E08">
        <w:rPr>
          <w:rFonts w:ascii="Arial" w:hAnsi="Arial" w:cs="Arial"/>
        </w:rPr>
        <w:t>Indeed</w:t>
      </w:r>
      <w:proofErr w:type="gramEnd"/>
      <w:r w:rsidRPr="00DF6E08">
        <w:rPr>
          <w:rFonts w:ascii="Arial" w:hAnsi="Arial" w:cs="Arial"/>
        </w:rPr>
        <w:t xml:space="preserve"> according to different historians, the childhood notion is a distinct phase that had not developed until the 16</w:t>
      </w:r>
      <w:r w:rsidRPr="00DF6E08">
        <w:rPr>
          <w:rFonts w:ascii="Arial" w:hAnsi="Arial" w:cs="Arial"/>
          <w:vertAlign w:val="superscript"/>
        </w:rPr>
        <w:t>th</w:t>
      </w:r>
      <w:r w:rsidRPr="00DF6E08">
        <w:rPr>
          <w:rFonts w:ascii="Arial" w:hAnsi="Arial" w:cs="Arial"/>
        </w:rPr>
        <w:t xml:space="preserve"> century. According to Aries (1982), the concept of childhood had not gone via the social construction phase. Aries claims that the idea of this concept is directly related to the awareness of a </w:t>
      </w:r>
      <w:proofErr w:type="gramStart"/>
      <w:r w:rsidRPr="00DF6E08">
        <w:rPr>
          <w:rFonts w:ascii="Arial" w:hAnsi="Arial" w:cs="Arial"/>
        </w:rPr>
        <w:t>particular nature</w:t>
      </w:r>
      <w:proofErr w:type="gramEnd"/>
      <w:r w:rsidRPr="00DF6E08">
        <w:rPr>
          <w:rFonts w:ascii="Arial" w:hAnsi="Arial" w:cs="Arial"/>
        </w:rPr>
        <w:t xml:space="preserve"> of childhood. Therefore, with such a perception, it is easier to distinguish between an adult and a child. Aries has proved that childhood as a social construct is observed in the artwork that existed in medieval times (</w:t>
      </w:r>
      <w:proofErr w:type="spellStart"/>
      <w:r w:rsidRPr="00DF6E08">
        <w:rPr>
          <w:rFonts w:ascii="Arial" w:hAnsi="Arial" w:cs="Arial"/>
        </w:rPr>
        <w:t>Sloper</w:t>
      </w:r>
      <w:proofErr w:type="spellEnd"/>
      <w:r w:rsidRPr="00DF6E08">
        <w:rPr>
          <w:rFonts w:ascii="Arial" w:hAnsi="Arial" w:cs="Arial"/>
        </w:rPr>
        <w:t xml:space="preserve">, 2004). During those times, childhood did not exist as children were considered to be </w:t>
      </w:r>
      <w:proofErr w:type="gramStart"/>
      <w:r w:rsidRPr="00DF6E08">
        <w:rPr>
          <w:rFonts w:ascii="Arial" w:hAnsi="Arial" w:cs="Arial"/>
        </w:rPr>
        <w:t>mini-adults</w:t>
      </w:r>
      <w:proofErr w:type="gramEnd"/>
      <w:r w:rsidRPr="00DF6E08">
        <w:rPr>
          <w:rFonts w:ascii="Arial" w:hAnsi="Arial" w:cs="Arial"/>
        </w:rPr>
        <w:t xml:space="preserve"> as well as drawn in the same way. In these copious paintings, it is noted how children were not only illustrated but also dressed as </w:t>
      </w:r>
      <w:proofErr w:type="gramStart"/>
      <w:r w:rsidRPr="00DF6E08">
        <w:rPr>
          <w:rFonts w:ascii="Arial" w:hAnsi="Arial" w:cs="Arial"/>
        </w:rPr>
        <w:t>mini-adults</w:t>
      </w:r>
      <w:proofErr w:type="gramEnd"/>
      <w:r w:rsidRPr="00DF6E08">
        <w:rPr>
          <w:rFonts w:ascii="Arial" w:hAnsi="Arial" w:cs="Arial"/>
        </w:rPr>
        <w:t>. Furthermore, Aries states that the concept of childhood came into existence after the industrial revolution with the idea of housewife roles (</w:t>
      </w:r>
      <w:r w:rsidRPr="00DF6E08">
        <w:rPr>
          <w:rFonts w:ascii="Arial" w:hAnsi="Arial" w:cs="Arial"/>
          <w:color w:val="222222"/>
          <w:shd w:val="clear" w:color="auto" w:fill="FFFFFF"/>
        </w:rPr>
        <w:t>White, Harland, Kendall and Kinder, 2008)</w:t>
      </w:r>
      <w:r w:rsidRPr="00DF6E08">
        <w:rPr>
          <w:rFonts w:ascii="Arial" w:hAnsi="Arial" w:cs="Arial"/>
        </w:rPr>
        <w:t>. During the industrial revolution, children were regarded to be individuals needy for a specialized kind of care, mother child parenting. Something that Aries calls the Cult of the Child. This view goes further than a representation of art where kids were punished and treated like adults (</w:t>
      </w:r>
      <w:proofErr w:type="spellStart"/>
      <w:r w:rsidRPr="00DF6E08">
        <w:rPr>
          <w:rFonts w:ascii="Arial" w:hAnsi="Arial" w:cs="Arial"/>
          <w:color w:val="222222"/>
          <w:shd w:val="clear" w:color="auto" w:fill="FFFFFF"/>
        </w:rPr>
        <w:t>Springate</w:t>
      </w:r>
      <w:proofErr w:type="spellEnd"/>
      <w:r w:rsidRPr="00DF6E08">
        <w:rPr>
          <w:rFonts w:ascii="Arial" w:hAnsi="Arial" w:cs="Arial"/>
          <w:color w:val="222222"/>
          <w:shd w:val="clear" w:color="auto" w:fill="FFFFFF"/>
        </w:rPr>
        <w:t>, Atkinson and Martin, 2008)</w:t>
      </w:r>
      <w:r w:rsidRPr="00DF6E08">
        <w:rPr>
          <w:rFonts w:ascii="Arial" w:hAnsi="Arial" w:cs="Arial"/>
        </w:rPr>
        <w:t xml:space="preserve">. A significant number of kids were not able to leave beyond the infancy stage, and parents were obligated to give birth many children based on their abilities due to the high mortality rates. Relatively, Shorter (1985) discovered that on most occasions, naming of children did not take place until they leaved past the stage of infancy to reduce and control the emotional attachment after their death. The high rates of death encouraged neglect and indifference. </w:t>
      </w:r>
    </w:p>
    <w:p w14:paraId="5EE3857A" w14:textId="02781288" w:rsidR="003C02B8" w:rsidRPr="00DF6E08" w:rsidRDefault="003C02B8" w:rsidP="003C02B8">
      <w:pPr>
        <w:spacing w:line="360" w:lineRule="auto"/>
        <w:rPr>
          <w:rFonts w:ascii="Arial" w:hAnsi="Arial" w:cs="Arial"/>
        </w:rPr>
      </w:pPr>
      <w:r w:rsidRPr="00DF6E08">
        <w:rPr>
          <w:rFonts w:ascii="Arial" w:hAnsi="Arial" w:cs="Arial"/>
        </w:rPr>
        <w:t>Even so, Shorter and Aries's concepts have been criticized due to the overgeneralization of their research. Aries works serve as a significant source in childhood history. According to the Dionysian view, children are regarded to be little devils born with original sins like being inherently naughty, uncivilized, and in socialized humans. Before Dionysian aspects, there existed the Apollonian views that presented children as little angels that are born innocent and free (</w:t>
      </w:r>
      <w:r w:rsidRPr="00DF6E08">
        <w:rPr>
          <w:rFonts w:ascii="Arial" w:hAnsi="Arial" w:cs="Arial"/>
          <w:color w:val="222222"/>
          <w:shd w:val="clear" w:color="auto" w:fill="FFFFFF"/>
        </w:rPr>
        <w:t>Lamont et al., 2009)</w:t>
      </w:r>
      <w:r w:rsidRPr="00DF6E08">
        <w:rPr>
          <w:rFonts w:ascii="Arial" w:hAnsi="Arial" w:cs="Arial"/>
        </w:rPr>
        <w:t xml:space="preserve">. Childhood </w:t>
      </w:r>
      <w:proofErr w:type="gramStart"/>
      <w:r w:rsidRPr="00DF6E08">
        <w:rPr>
          <w:rFonts w:ascii="Arial" w:hAnsi="Arial" w:cs="Arial"/>
        </w:rPr>
        <w:t>is considered to be</w:t>
      </w:r>
      <w:proofErr w:type="gramEnd"/>
      <w:r w:rsidRPr="00DF6E08">
        <w:rPr>
          <w:rFonts w:ascii="Arial" w:hAnsi="Arial" w:cs="Arial"/>
        </w:rPr>
        <w:t xml:space="preserve"> a time of being happy and play as well</w:t>
      </w:r>
      <w:r w:rsidR="00947844" w:rsidRPr="00DF6E08">
        <w:rPr>
          <w:rFonts w:ascii="Arial" w:hAnsi="Arial" w:cs="Arial"/>
        </w:rPr>
        <w:t xml:space="preserve"> </w:t>
      </w:r>
      <w:r w:rsidRPr="00DF6E08">
        <w:rPr>
          <w:rFonts w:ascii="Arial" w:hAnsi="Arial" w:cs="Arial"/>
        </w:rPr>
        <w:t xml:space="preserve">as enjoy the period of not having to go to work. Aries has mentioned that childhood was a time of innocence as kids were valued and considered as a source of adult enjoyment </w:t>
      </w:r>
      <w:proofErr w:type="gramStart"/>
      <w:r w:rsidRPr="00DF6E08">
        <w:rPr>
          <w:rFonts w:ascii="Arial" w:hAnsi="Arial" w:cs="Arial"/>
        </w:rPr>
        <w:t>in particular for</w:t>
      </w:r>
      <w:proofErr w:type="gramEnd"/>
      <w:r w:rsidRPr="00DF6E08">
        <w:rPr>
          <w:rFonts w:ascii="Arial" w:hAnsi="Arial" w:cs="Arial"/>
        </w:rPr>
        <w:t xml:space="preserve"> women. Pollock (1983) has further argued that childhood did exist, only that it was a different concept from that of today. Aries view is not enough as they are solely limited to the portraits, which provides an unrealistic representation of the society around that time where most people are drawn were the ones from the upper class (</w:t>
      </w:r>
      <w:r w:rsidRPr="00DF6E08">
        <w:rPr>
          <w:rFonts w:ascii="Arial" w:hAnsi="Arial" w:cs="Arial"/>
          <w:color w:val="222222"/>
          <w:shd w:val="clear" w:color="auto" w:fill="FFFFFF"/>
        </w:rPr>
        <w:t>Keating, Marshall and Rudd, 2009)</w:t>
      </w:r>
      <w:r w:rsidRPr="00DF6E08">
        <w:rPr>
          <w:rFonts w:ascii="Arial" w:hAnsi="Arial" w:cs="Arial"/>
        </w:rPr>
        <w:t xml:space="preserve"> Also, the fact that there is a possibility of them not representing the true nature of childhood because they might have been dressed up for a special occasion (Wales, 2003). Shorter findings regarding the death of infants were also criticized as midwives were delegated the duty to baptize sick babies and deliver them from limbo, thus proving that parents cared dearly for their children.</w:t>
      </w:r>
    </w:p>
    <w:p w14:paraId="59847C00" w14:textId="77777777" w:rsidR="003C02B8" w:rsidRPr="00DF6E08" w:rsidRDefault="003C02B8" w:rsidP="003C02B8">
      <w:pPr>
        <w:spacing w:line="360" w:lineRule="auto"/>
        <w:rPr>
          <w:rFonts w:ascii="Arial" w:hAnsi="Arial" w:cs="Arial"/>
        </w:rPr>
      </w:pPr>
      <w:r w:rsidRPr="00DF6E08">
        <w:rPr>
          <w:rFonts w:ascii="Arial" w:hAnsi="Arial" w:cs="Arial"/>
        </w:rPr>
        <w:t xml:space="preserve">The primary question is whether today, the death of the century of the child is. Postman has argued that the concept of childhood continues to disappear with the growing trends of providing children with similar rights as that of adults. The alterations in paradigm or perceptions shift </w:t>
      </w:r>
      <w:proofErr w:type="gramStart"/>
      <w:r w:rsidRPr="00DF6E08">
        <w:rPr>
          <w:rFonts w:ascii="Arial" w:hAnsi="Arial" w:cs="Arial"/>
        </w:rPr>
        <w:t>in regards to</w:t>
      </w:r>
      <w:proofErr w:type="gramEnd"/>
      <w:r w:rsidRPr="00DF6E08">
        <w:rPr>
          <w:rFonts w:ascii="Arial" w:hAnsi="Arial" w:cs="Arial"/>
        </w:rPr>
        <w:t xml:space="preserve"> children, which James (2009) refers to as the break with tradition that took place in the 1970s and 80s. During this time, there was an increase in the movement’s started regarding a child’s position in society. A good example is the launch of the child’s international year that took place in 1979. This movement made clear the notion regarding the world’s children, child abuse, and the goal towards having happy, innocent, and protect children around the globe (</w:t>
      </w:r>
      <w:proofErr w:type="spellStart"/>
      <w:r w:rsidRPr="00DF6E08">
        <w:rPr>
          <w:rFonts w:ascii="Arial" w:hAnsi="Arial" w:cs="Arial"/>
          <w:color w:val="222222"/>
          <w:shd w:val="clear" w:color="auto" w:fill="FFFFFF"/>
        </w:rPr>
        <w:t>Karpati</w:t>
      </w:r>
      <w:proofErr w:type="spellEnd"/>
      <w:r w:rsidRPr="00DF6E08">
        <w:rPr>
          <w:rFonts w:ascii="Arial" w:hAnsi="Arial" w:cs="Arial"/>
          <w:color w:val="222222"/>
          <w:shd w:val="clear" w:color="auto" w:fill="FFFFFF"/>
        </w:rPr>
        <w:t xml:space="preserve">, Carpenter and </w:t>
      </w:r>
      <w:proofErr w:type="spellStart"/>
      <w:r w:rsidRPr="00DF6E08">
        <w:rPr>
          <w:rFonts w:ascii="Arial" w:hAnsi="Arial" w:cs="Arial"/>
          <w:color w:val="222222"/>
          <w:shd w:val="clear" w:color="auto" w:fill="FFFFFF"/>
        </w:rPr>
        <w:t>Andermann</w:t>
      </w:r>
      <w:proofErr w:type="spellEnd"/>
      <w:r w:rsidRPr="00DF6E08">
        <w:rPr>
          <w:rFonts w:ascii="Arial" w:hAnsi="Arial" w:cs="Arial"/>
          <w:color w:val="222222"/>
          <w:shd w:val="clear" w:color="auto" w:fill="FFFFFF"/>
        </w:rPr>
        <w:t>, 1971)</w:t>
      </w:r>
      <w:r w:rsidRPr="00DF6E08">
        <w:rPr>
          <w:rFonts w:ascii="Arial" w:hAnsi="Arial" w:cs="Arial"/>
        </w:rPr>
        <w:t>. The traditional perceptions that existed concerning children started to change as they were problematized in academics.</w:t>
      </w:r>
    </w:p>
    <w:p w14:paraId="4A95EE4E" w14:textId="77777777" w:rsidR="003C02B8" w:rsidRPr="00DF6E08" w:rsidRDefault="003C02B8" w:rsidP="003C02B8">
      <w:pPr>
        <w:spacing w:line="360" w:lineRule="auto"/>
        <w:rPr>
          <w:rFonts w:ascii="Arial" w:hAnsi="Arial" w:cs="Arial"/>
        </w:rPr>
      </w:pPr>
      <w:r w:rsidRPr="00DF6E08">
        <w:rPr>
          <w:rFonts w:ascii="Arial" w:hAnsi="Arial" w:cs="Arial"/>
        </w:rPr>
        <w:t xml:space="preserve">One James mentions Donaldson (1978) challenged Piaget's famous works on the development of a child. At the same time, various historical works began to recognize children as self-governing and dynamic roles in human evolution. Vygotsky, a Russian psychologist, criticized and questioned the development notion about being natural and universal. Instead, he suggested that the development of a child's social relationships, thinking </w:t>
      </w:r>
      <w:proofErr w:type="gramStart"/>
      <w:r w:rsidRPr="00DF6E08">
        <w:rPr>
          <w:rFonts w:ascii="Arial" w:hAnsi="Arial" w:cs="Arial"/>
        </w:rPr>
        <w:t>are</w:t>
      </w:r>
      <w:proofErr w:type="gramEnd"/>
      <w:r w:rsidRPr="00DF6E08">
        <w:rPr>
          <w:rFonts w:ascii="Arial" w:hAnsi="Arial" w:cs="Arial"/>
        </w:rPr>
        <w:t xml:space="preserve"> dependent on cultural and social contexts (</w:t>
      </w:r>
      <w:r w:rsidRPr="00DF6E08">
        <w:rPr>
          <w:rFonts w:ascii="Arial" w:hAnsi="Arial" w:cs="Arial"/>
          <w:color w:val="222222"/>
          <w:shd w:val="clear" w:color="auto" w:fill="FFFFFF"/>
        </w:rPr>
        <w:t>Hetherington et al., 2009)</w:t>
      </w:r>
      <w:r w:rsidRPr="00DF6E08">
        <w:rPr>
          <w:rFonts w:ascii="Arial" w:hAnsi="Arial" w:cs="Arial"/>
        </w:rPr>
        <w:t>. Besides, the contemporary understanding regarding childhood and children emerged with the development of modern education and the nuclear family that assigned children with different roles. The modern childhood concept is due to the project of institutionalization and education that was created by the bourgeois to make sure that every child grows up to be useful and regulated adults. The emphasis was on the implementation and construction of different legislations that ensure children are in school within a specified period to acquire the required skills that they can use in their adult lives to be significant people in the society (</w:t>
      </w:r>
      <w:r w:rsidRPr="00DF6E08">
        <w:rPr>
          <w:rFonts w:ascii="Arial" w:hAnsi="Arial" w:cs="Arial"/>
          <w:color w:val="222222"/>
          <w:shd w:val="clear" w:color="auto" w:fill="FFFFFF"/>
        </w:rPr>
        <w:t>Halsey and White, 2008)</w:t>
      </w:r>
      <w:r w:rsidRPr="00DF6E08">
        <w:rPr>
          <w:rFonts w:ascii="Arial" w:hAnsi="Arial" w:cs="Arial"/>
        </w:rPr>
        <w:t>. Teachers have constructed these policies and legislations,' and parents interact with the idea that going to school is a crucial investment for the political future. In all welfare, the governments in the social policies have actively shaped the material and cultural conditions of childhood. However, different systems have produced different strategies. Institutions have established different definitions concerning the needs of children and their development. Governments have analyzed the needs of children as well as evaluate the adequacies of their families and measure their progress in terms of the institutions that have since been developed. The institutional framework furthermore has conditioned how children in the society experience various social classes, family, and race as well as the strategies that families with different material resources develop to meet the needs of their children (</w:t>
      </w:r>
      <w:r w:rsidRPr="00DF6E08">
        <w:rPr>
          <w:rFonts w:ascii="Arial" w:hAnsi="Arial" w:cs="Arial"/>
          <w:color w:val="222222"/>
          <w:shd w:val="clear" w:color="auto" w:fill="FFFFFF"/>
        </w:rPr>
        <w:t>Davis and Meltzer, 2007)</w:t>
      </w:r>
      <w:r w:rsidRPr="00DF6E08">
        <w:rPr>
          <w:rFonts w:ascii="Arial" w:hAnsi="Arial" w:cs="Arial"/>
        </w:rPr>
        <w:t>. These institutions have brought a different definition of what it takes to be a child as the average childhood experience is through regulating things like care for children, their behaviors, and education. For every age bracket, some laws and regulations are set to control and guide their childhood. For instance, the ones that assign caregivers the responsibility to limit parent's power set minimum age requirements for work and define school ages.</w:t>
      </w:r>
    </w:p>
    <w:p w14:paraId="74E40C29" w14:textId="77777777" w:rsidR="003C02B8" w:rsidRPr="00DF6E08" w:rsidRDefault="003C02B8" w:rsidP="003C02B8">
      <w:pPr>
        <w:spacing w:line="360" w:lineRule="auto"/>
        <w:rPr>
          <w:rFonts w:ascii="Arial" w:hAnsi="Arial" w:cs="Arial"/>
        </w:rPr>
      </w:pPr>
      <w:r w:rsidRPr="00DF6E08">
        <w:rPr>
          <w:rFonts w:ascii="Arial" w:hAnsi="Arial" w:cs="Arial"/>
        </w:rPr>
        <w:t>After the period of industrialization, children are to go to school so they can be financially Indi pended o their folks, and the period of dependency is essential in shaping the childhood concept in most contemporary societies (</w:t>
      </w:r>
      <w:r w:rsidRPr="00DF6E08">
        <w:rPr>
          <w:rFonts w:ascii="Arial" w:hAnsi="Arial" w:cs="Arial"/>
          <w:color w:val="222222"/>
          <w:shd w:val="clear" w:color="auto" w:fill="FFFFFF"/>
        </w:rPr>
        <w:t>Burton, 1989)</w:t>
      </w:r>
      <w:r w:rsidRPr="00DF6E08">
        <w:rPr>
          <w:rFonts w:ascii="Arial" w:hAnsi="Arial" w:cs="Arial"/>
        </w:rPr>
        <w:t xml:space="preserve">. The distinction between adults and childhood has now been established by one’s ability to write and read.  Besides, this gap continues to increase via the many learned and literate individuals as well as the introduction and development of the internet. Currently, there is an issue in the authority of adults. In most cases, parent </w:t>
      </w:r>
      <w:proofErr w:type="gramStart"/>
      <w:r w:rsidRPr="00DF6E08">
        <w:rPr>
          <w:rFonts w:ascii="Arial" w:hAnsi="Arial" w:cs="Arial"/>
        </w:rPr>
        <w:t>are</w:t>
      </w:r>
      <w:proofErr w:type="gramEnd"/>
      <w:r w:rsidRPr="00DF6E08">
        <w:rPr>
          <w:rFonts w:ascii="Arial" w:hAnsi="Arial" w:cs="Arial"/>
        </w:rPr>
        <w:t xml:space="preserve"> found giving in to their children both financially and emotionally, thus making the existing difference between adult and childhood to lessen. Despite the consideration of different factors, childhood continues to be regarded as a protected time of innocence (</w:t>
      </w:r>
      <w:r w:rsidRPr="00DF6E08">
        <w:rPr>
          <w:rFonts w:ascii="Arial" w:hAnsi="Arial" w:cs="Arial"/>
          <w:color w:val="222222"/>
          <w:shd w:val="clear" w:color="auto" w:fill="FFFFFF"/>
        </w:rPr>
        <w:t>Burchill and Dunhill, 2014)</w:t>
      </w:r>
      <w:r w:rsidRPr="00DF6E08">
        <w:rPr>
          <w:rFonts w:ascii="Arial" w:hAnsi="Arial" w:cs="Arial"/>
        </w:rPr>
        <w:t>. Something that exists in the western ideology. The childhood concept is not fading away. Instead, it is altering in values and ways. The evidence that this concept has gone through many changes ever since the Middle Ages and continues to evolve is enough proof that it is a form of social construction.</w:t>
      </w:r>
    </w:p>
    <w:p w14:paraId="6BB37B53" w14:textId="502FE568" w:rsidR="003C02B8" w:rsidRPr="00DF6E08" w:rsidRDefault="003C02B8" w:rsidP="003C02B8">
      <w:pPr>
        <w:spacing w:line="360" w:lineRule="auto"/>
        <w:rPr>
          <w:rFonts w:ascii="Arial" w:hAnsi="Arial" w:cs="Arial"/>
        </w:rPr>
      </w:pPr>
      <w:r w:rsidRPr="00DF6E08">
        <w:rPr>
          <w:rFonts w:ascii="Arial" w:hAnsi="Arial" w:cs="Arial"/>
        </w:rPr>
        <w:t>To end, class and the demographic research has proven that this concept is not just a valid biological one but more of social construction. This is mainly because the concept has been observed to change with time. In today’s culture, childhood is constructed through the consensus of adopting a reality. The issue comes in non-</w:t>
      </w:r>
      <w:proofErr w:type="gramStart"/>
      <w:r w:rsidRPr="00DF6E08">
        <w:rPr>
          <w:rFonts w:ascii="Arial" w:hAnsi="Arial" w:cs="Arial"/>
        </w:rPr>
        <w:t>whether or not</w:t>
      </w:r>
      <w:proofErr w:type="gramEnd"/>
      <w:r w:rsidRPr="00DF6E08">
        <w:rPr>
          <w:rFonts w:ascii="Arial" w:hAnsi="Arial" w:cs="Arial"/>
        </w:rPr>
        <w:t xml:space="preserve"> childhood should continue to be regarded as a point of vulnerability while it is not relevant. Or instead, adopt similar perceptions to different cultures that allow children their own independence and maturity. The society is most likely to change because of such. This is because compulsory education would not be necessary if children </w:t>
      </w:r>
      <w:proofErr w:type="gramStart"/>
      <w:r w:rsidRPr="00DF6E08">
        <w:rPr>
          <w:rFonts w:ascii="Arial" w:hAnsi="Arial" w:cs="Arial"/>
        </w:rPr>
        <w:t>are allowed to</w:t>
      </w:r>
      <w:proofErr w:type="gramEnd"/>
      <w:r w:rsidRPr="00DF6E08">
        <w:rPr>
          <w:rFonts w:ascii="Arial" w:hAnsi="Arial" w:cs="Arial"/>
        </w:rPr>
        <w:t xml:space="preserve"> be mature and independent as they would have the power to make decisions of their future. The starting age for work would automatically be lower. Even though this notion appears to be more logic, the </w:t>
      </w:r>
      <w:proofErr w:type="gramStart"/>
      <w:r w:rsidRPr="00DF6E08">
        <w:rPr>
          <w:rFonts w:ascii="Arial" w:hAnsi="Arial" w:cs="Arial"/>
        </w:rPr>
        <w:t>society’s</w:t>
      </w:r>
      <w:proofErr w:type="gramEnd"/>
      <w:r w:rsidRPr="00DF6E08">
        <w:rPr>
          <w:rFonts w:ascii="Arial" w:hAnsi="Arial" w:cs="Arial"/>
        </w:rPr>
        <w:t xml:space="preserve"> today depend on the child adult separation to function well.  The economy is solely dependent on childhood services and products as well as educated individuals. The need for the current view on the concept of childhood is enough evidence that it is a social construction. </w:t>
      </w:r>
    </w:p>
    <w:p w14:paraId="5F8F17DC" w14:textId="77777777" w:rsidR="003C02B8" w:rsidRPr="00DF6E08" w:rsidRDefault="003C02B8" w:rsidP="003C02B8">
      <w:pPr>
        <w:pStyle w:val="Heading1"/>
        <w:rPr>
          <w:rFonts w:ascii="Arial" w:hAnsi="Arial" w:cs="Arial"/>
          <w:sz w:val="22"/>
          <w:szCs w:val="22"/>
        </w:rPr>
      </w:pPr>
      <w:r w:rsidRPr="00DF6E08">
        <w:rPr>
          <w:rFonts w:ascii="Arial" w:hAnsi="Arial" w:cs="Arial"/>
          <w:sz w:val="22"/>
          <w:szCs w:val="22"/>
        </w:rPr>
        <w:t>References</w:t>
      </w:r>
    </w:p>
    <w:p w14:paraId="0F9344BE" w14:textId="77777777" w:rsidR="003C02B8" w:rsidRPr="00DF6E08" w:rsidRDefault="003C02B8" w:rsidP="003C02B8">
      <w:pPr>
        <w:spacing w:line="360" w:lineRule="auto"/>
        <w:ind w:left="720" w:hanging="720"/>
        <w:rPr>
          <w:rFonts w:ascii="Arial" w:hAnsi="Arial" w:cs="Arial"/>
          <w:color w:val="222222"/>
          <w:shd w:val="clear" w:color="auto" w:fill="FFFFFF"/>
        </w:rPr>
      </w:pPr>
      <w:r w:rsidRPr="00DF6E08">
        <w:rPr>
          <w:rFonts w:ascii="Arial" w:hAnsi="Arial" w:cs="Arial"/>
          <w:color w:val="222222"/>
          <w:shd w:val="clear" w:color="auto" w:fill="FFFFFF"/>
        </w:rPr>
        <w:t xml:space="preserve">Burchill, R. and Dunhill, A., 2014. Is Wales Leading the Way in </w:t>
      </w:r>
      <w:proofErr w:type="spellStart"/>
      <w:r w:rsidRPr="00DF6E08">
        <w:rPr>
          <w:rFonts w:ascii="Arial" w:hAnsi="Arial" w:cs="Arial"/>
          <w:color w:val="222222"/>
          <w:shd w:val="clear" w:color="auto" w:fill="FFFFFF"/>
        </w:rPr>
        <w:t>Recognising</w:t>
      </w:r>
      <w:proofErr w:type="spellEnd"/>
      <w:r w:rsidRPr="00DF6E08">
        <w:rPr>
          <w:rFonts w:ascii="Arial" w:hAnsi="Arial" w:cs="Arial"/>
          <w:color w:val="222222"/>
          <w:shd w:val="clear" w:color="auto" w:fill="FFFFFF"/>
        </w:rPr>
        <w:t xml:space="preserve"> the Importance of Human Rights in the Delivery of Children's </w:t>
      </w:r>
      <w:proofErr w:type="gramStart"/>
      <w:r w:rsidRPr="00DF6E08">
        <w:rPr>
          <w:rFonts w:ascii="Arial" w:hAnsi="Arial" w:cs="Arial"/>
          <w:color w:val="222222"/>
          <w:shd w:val="clear" w:color="auto" w:fill="FFFFFF"/>
        </w:rPr>
        <w:t>Services?.</w:t>
      </w:r>
      <w:proofErr w:type="gramEnd"/>
    </w:p>
    <w:p w14:paraId="1FC0DD21" w14:textId="77777777" w:rsidR="003C02B8" w:rsidRPr="00DF6E08" w:rsidRDefault="003C02B8" w:rsidP="003C02B8">
      <w:pPr>
        <w:spacing w:line="360" w:lineRule="auto"/>
        <w:ind w:left="720" w:hanging="720"/>
        <w:rPr>
          <w:rFonts w:ascii="Arial" w:hAnsi="Arial" w:cs="Arial"/>
          <w:color w:val="222222"/>
          <w:shd w:val="clear" w:color="auto" w:fill="FFFFFF"/>
        </w:rPr>
      </w:pPr>
      <w:r w:rsidRPr="00DF6E08">
        <w:rPr>
          <w:rFonts w:ascii="Arial" w:hAnsi="Arial" w:cs="Arial"/>
          <w:color w:val="222222"/>
          <w:shd w:val="clear" w:color="auto" w:fill="FFFFFF"/>
        </w:rPr>
        <w:t xml:space="preserve">Burton, A., 1989. Looking forward from </w:t>
      </w:r>
      <w:proofErr w:type="spellStart"/>
      <w:r w:rsidRPr="00DF6E08">
        <w:rPr>
          <w:rFonts w:ascii="Arial" w:hAnsi="Arial" w:cs="Arial"/>
          <w:color w:val="222222"/>
          <w:shd w:val="clear" w:color="auto" w:fill="FFFFFF"/>
        </w:rPr>
        <w:t>Ariès</w:t>
      </w:r>
      <w:proofErr w:type="spellEnd"/>
      <w:r w:rsidRPr="00DF6E08">
        <w:rPr>
          <w:rFonts w:ascii="Arial" w:hAnsi="Arial" w:cs="Arial"/>
          <w:color w:val="222222"/>
          <w:shd w:val="clear" w:color="auto" w:fill="FFFFFF"/>
        </w:rPr>
        <w:t>? Pictorial and material evidence for the history of childhood and family life. </w:t>
      </w:r>
      <w:r w:rsidRPr="00DF6E08">
        <w:rPr>
          <w:rFonts w:ascii="Arial" w:hAnsi="Arial" w:cs="Arial"/>
          <w:i/>
          <w:iCs/>
          <w:color w:val="222222"/>
          <w:shd w:val="clear" w:color="auto" w:fill="FFFFFF"/>
        </w:rPr>
        <w:t>Continuity and Change</w:t>
      </w:r>
      <w:r w:rsidRPr="00DF6E08">
        <w:rPr>
          <w:rFonts w:ascii="Arial" w:hAnsi="Arial" w:cs="Arial"/>
          <w:color w:val="222222"/>
          <w:shd w:val="clear" w:color="auto" w:fill="FFFFFF"/>
        </w:rPr>
        <w:t>, </w:t>
      </w:r>
      <w:r w:rsidRPr="00DF6E08">
        <w:rPr>
          <w:rFonts w:ascii="Arial" w:hAnsi="Arial" w:cs="Arial"/>
          <w:i/>
          <w:iCs/>
          <w:color w:val="222222"/>
          <w:shd w:val="clear" w:color="auto" w:fill="FFFFFF"/>
        </w:rPr>
        <w:t>4</w:t>
      </w:r>
      <w:r w:rsidRPr="00DF6E08">
        <w:rPr>
          <w:rFonts w:ascii="Arial" w:hAnsi="Arial" w:cs="Arial"/>
          <w:color w:val="222222"/>
          <w:shd w:val="clear" w:color="auto" w:fill="FFFFFF"/>
        </w:rPr>
        <w:t>(2), pp.203-229.</w:t>
      </w:r>
    </w:p>
    <w:p w14:paraId="44F005FE" w14:textId="77777777" w:rsidR="003C02B8" w:rsidRPr="00DF6E08" w:rsidRDefault="003C02B8" w:rsidP="003C02B8">
      <w:pPr>
        <w:spacing w:line="360" w:lineRule="auto"/>
        <w:ind w:left="720" w:hanging="720"/>
        <w:rPr>
          <w:rFonts w:ascii="Arial" w:hAnsi="Arial" w:cs="Arial"/>
          <w:color w:val="222222"/>
          <w:shd w:val="clear" w:color="auto" w:fill="FFFFFF"/>
        </w:rPr>
      </w:pPr>
      <w:r w:rsidRPr="00DF6E08">
        <w:rPr>
          <w:rFonts w:ascii="Arial" w:hAnsi="Arial" w:cs="Arial"/>
          <w:color w:val="222222"/>
          <w:shd w:val="clear" w:color="auto" w:fill="FFFFFF"/>
        </w:rPr>
        <w:t>Davis, H. and Meltzer, L., 2007. Working in partnership through early support: distance learning text: working with parents in partnership (book chapter).</w:t>
      </w:r>
    </w:p>
    <w:p w14:paraId="4722B44B" w14:textId="77777777" w:rsidR="003C02B8" w:rsidRPr="00DF6E08" w:rsidRDefault="003C02B8" w:rsidP="003C02B8">
      <w:pPr>
        <w:spacing w:line="360" w:lineRule="auto"/>
        <w:ind w:left="720" w:hanging="720"/>
        <w:rPr>
          <w:rFonts w:ascii="Arial" w:hAnsi="Arial" w:cs="Arial"/>
          <w:color w:val="222222"/>
          <w:shd w:val="clear" w:color="auto" w:fill="FFFFFF"/>
        </w:rPr>
      </w:pPr>
      <w:r w:rsidRPr="00DF6E08">
        <w:rPr>
          <w:rFonts w:ascii="Arial" w:hAnsi="Arial" w:cs="Arial"/>
          <w:color w:val="222222"/>
          <w:shd w:val="clear" w:color="auto" w:fill="FFFFFF"/>
        </w:rPr>
        <w:t>Halsey, K. and White, R., 2008. </w:t>
      </w:r>
      <w:r w:rsidRPr="00DF6E08">
        <w:rPr>
          <w:rFonts w:ascii="Arial" w:hAnsi="Arial" w:cs="Arial"/>
          <w:i/>
          <w:iCs/>
          <w:color w:val="222222"/>
          <w:shd w:val="clear" w:color="auto" w:fill="FFFFFF"/>
        </w:rPr>
        <w:t>Young people, crime and public perceptions: a review of the literature</w:t>
      </w:r>
      <w:r w:rsidRPr="00DF6E08">
        <w:rPr>
          <w:rFonts w:ascii="Arial" w:hAnsi="Arial" w:cs="Arial"/>
          <w:color w:val="222222"/>
          <w:shd w:val="clear" w:color="auto" w:fill="FFFFFF"/>
        </w:rPr>
        <w:t>. Berkshire: National Foundation for Educational Research.</w:t>
      </w:r>
    </w:p>
    <w:p w14:paraId="196B84FA" w14:textId="77777777" w:rsidR="003C02B8" w:rsidRPr="00DF6E08" w:rsidRDefault="003C02B8" w:rsidP="003C02B8">
      <w:pPr>
        <w:spacing w:line="360" w:lineRule="auto"/>
        <w:ind w:left="720" w:hanging="720"/>
        <w:rPr>
          <w:rFonts w:ascii="Arial" w:hAnsi="Arial" w:cs="Arial"/>
          <w:color w:val="222222"/>
          <w:shd w:val="clear" w:color="auto" w:fill="FFFFFF"/>
        </w:rPr>
      </w:pPr>
      <w:r w:rsidRPr="00DF6E08">
        <w:rPr>
          <w:rFonts w:ascii="Arial" w:hAnsi="Arial" w:cs="Arial"/>
          <w:color w:val="222222"/>
          <w:shd w:val="clear" w:color="auto" w:fill="FFFFFF"/>
        </w:rPr>
        <w:t xml:space="preserve">Hetherington, M., Featherstone, G., </w:t>
      </w:r>
      <w:proofErr w:type="spellStart"/>
      <w:r w:rsidRPr="00DF6E08">
        <w:rPr>
          <w:rFonts w:ascii="Arial" w:hAnsi="Arial" w:cs="Arial"/>
          <w:color w:val="222222"/>
          <w:shd w:val="clear" w:color="auto" w:fill="FFFFFF"/>
        </w:rPr>
        <w:t>Bielby</w:t>
      </w:r>
      <w:proofErr w:type="spellEnd"/>
      <w:r w:rsidRPr="00DF6E08">
        <w:rPr>
          <w:rFonts w:ascii="Arial" w:hAnsi="Arial" w:cs="Arial"/>
          <w:color w:val="222222"/>
          <w:shd w:val="clear" w:color="auto" w:fill="FFFFFF"/>
        </w:rPr>
        <w:t>, G. and Passy, R., 2009. </w:t>
      </w:r>
      <w:r w:rsidRPr="00DF6E08">
        <w:rPr>
          <w:rFonts w:ascii="Arial" w:hAnsi="Arial" w:cs="Arial"/>
          <w:i/>
          <w:iCs/>
          <w:color w:val="222222"/>
          <w:shd w:val="clear" w:color="auto" w:fill="FFFFFF"/>
        </w:rPr>
        <w:t>The Sustainable Communities Act: Analysis of Proposals Submitted by Councils. LGA Research Report</w:t>
      </w:r>
      <w:r w:rsidRPr="00DF6E08">
        <w:rPr>
          <w:rFonts w:ascii="Arial" w:hAnsi="Arial" w:cs="Arial"/>
          <w:color w:val="222222"/>
          <w:shd w:val="clear" w:color="auto" w:fill="FFFFFF"/>
        </w:rPr>
        <w:t>. National Foundation for Educational Research. The Mere, Upton Park, Slough, Berkshire, SL1 2DQ, UK.</w:t>
      </w:r>
    </w:p>
    <w:p w14:paraId="4CD93B98" w14:textId="77777777" w:rsidR="003C02B8" w:rsidRPr="00DF6E08" w:rsidRDefault="003C02B8" w:rsidP="003C02B8">
      <w:pPr>
        <w:spacing w:line="360" w:lineRule="auto"/>
        <w:ind w:left="720" w:hanging="720"/>
        <w:rPr>
          <w:rFonts w:ascii="Arial" w:hAnsi="Arial" w:cs="Arial"/>
          <w:color w:val="222222"/>
          <w:shd w:val="clear" w:color="auto" w:fill="FFFFFF"/>
        </w:rPr>
      </w:pPr>
      <w:proofErr w:type="spellStart"/>
      <w:r w:rsidRPr="00DF6E08">
        <w:rPr>
          <w:rFonts w:ascii="Arial" w:hAnsi="Arial" w:cs="Arial"/>
          <w:color w:val="222222"/>
          <w:shd w:val="clear" w:color="auto" w:fill="FFFFFF"/>
        </w:rPr>
        <w:t>Karpati</w:t>
      </w:r>
      <w:proofErr w:type="spellEnd"/>
      <w:r w:rsidRPr="00DF6E08">
        <w:rPr>
          <w:rFonts w:ascii="Arial" w:hAnsi="Arial" w:cs="Arial"/>
          <w:color w:val="222222"/>
          <w:shd w:val="clear" w:color="auto" w:fill="FFFFFF"/>
        </w:rPr>
        <w:t xml:space="preserve">, G., Carpenter, S. and </w:t>
      </w:r>
      <w:proofErr w:type="spellStart"/>
      <w:r w:rsidRPr="00DF6E08">
        <w:rPr>
          <w:rFonts w:ascii="Arial" w:hAnsi="Arial" w:cs="Arial"/>
          <w:color w:val="222222"/>
          <w:shd w:val="clear" w:color="auto" w:fill="FFFFFF"/>
        </w:rPr>
        <w:t>Andermann</w:t>
      </w:r>
      <w:proofErr w:type="spellEnd"/>
      <w:r w:rsidRPr="00DF6E08">
        <w:rPr>
          <w:rFonts w:ascii="Arial" w:hAnsi="Arial" w:cs="Arial"/>
          <w:color w:val="222222"/>
          <w:shd w:val="clear" w:color="auto" w:fill="FFFFFF"/>
        </w:rPr>
        <w:t>, F., 1971. A new concept of childhood nemaline myopathy. </w:t>
      </w:r>
      <w:r w:rsidRPr="00DF6E08">
        <w:rPr>
          <w:rFonts w:ascii="Arial" w:hAnsi="Arial" w:cs="Arial"/>
          <w:i/>
          <w:iCs/>
          <w:color w:val="222222"/>
          <w:shd w:val="clear" w:color="auto" w:fill="FFFFFF"/>
        </w:rPr>
        <w:t>Archives of neurology</w:t>
      </w:r>
      <w:r w:rsidRPr="00DF6E08">
        <w:rPr>
          <w:rFonts w:ascii="Arial" w:hAnsi="Arial" w:cs="Arial"/>
          <w:color w:val="222222"/>
          <w:shd w:val="clear" w:color="auto" w:fill="FFFFFF"/>
        </w:rPr>
        <w:t>, </w:t>
      </w:r>
      <w:r w:rsidRPr="00DF6E08">
        <w:rPr>
          <w:rFonts w:ascii="Arial" w:hAnsi="Arial" w:cs="Arial"/>
          <w:i/>
          <w:iCs/>
          <w:color w:val="222222"/>
          <w:shd w:val="clear" w:color="auto" w:fill="FFFFFF"/>
        </w:rPr>
        <w:t>24</w:t>
      </w:r>
      <w:r w:rsidRPr="00DF6E08">
        <w:rPr>
          <w:rFonts w:ascii="Arial" w:hAnsi="Arial" w:cs="Arial"/>
          <w:color w:val="222222"/>
          <w:shd w:val="clear" w:color="auto" w:fill="FFFFFF"/>
        </w:rPr>
        <w:t>(4), pp.291-304.</w:t>
      </w:r>
    </w:p>
    <w:p w14:paraId="44D008B7"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Keating, A., Marshall, H. and Rudd, P., 2009. Local Authorities and School Improvement: The Use of Statutory Powers.</w:t>
      </w:r>
    </w:p>
    <w:p w14:paraId="7BEB2DCB"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Lamont, E., Harland, J., Atkinson, M. and White, R., 2009. </w:t>
      </w:r>
      <w:r w:rsidRPr="00DF6E08">
        <w:rPr>
          <w:rFonts w:ascii="Arial" w:hAnsi="Arial" w:cs="Arial"/>
          <w:i/>
          <w:iCs/>
          <w:color w:val="222222"/>
          <w:sz w:val="24"/>
          <w:szCs w:val="24"/>
          <w:shd w:val="clear" w:color="auto" w:fill="FFFFFF"/>
        </w:rPr>
        <w:t>Provision of Mental Health Services for Care Leavers: Transition to Adult Services. LGA Research Report</w:t>
      </w:r>
      <w:r w:rsidRPr="00DF6E08">
        <w:rPr>
          <w:rFonts w:ascii="Arial" w:hAnsi="Arial" w:cs="Arial"/>
          <w:color w:val="222222"/>
          <w:sz w:val="24"/>
          <w:szCs w:val="24"/>
          <w:shd w:val="clear" w:color="auto" w:fill="FFFFFF"/>
        </w:rPr>
        <w:t>. National Foundation for Educational Research. The Mere, Upton Park, Slough, Berkshire, SL1 2DQ, UK.</w:t>
      </w:r>
    </w:p>
    <w:p w14:paraId="0848B25F"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Marmot, M., 2005. Social determinants of health inequalities. </w:t>
      </w:r>
      <w:r w:rsidRPr="00DF6E08">
        <w:rPr>
          <w:rFonts w:ascii="Arial" w:hAnsi="Arial" w:cs="Arial"/>
          <w:i/>
          <w:iCs/>
          <w:color w:val="222222"/>
          <w:sz w:val="24"/>
          <w:szCs w:val="24"/>
          <w:shd w:val="clear" w:color="auto" w:fill="FFFFFF"/>
        </w:rPr>
        <w:t>The lancet</w:t>
      </w:r>
      <w:r w:rsidRPr="00DF6E08">
        <w:rPr>
          <w:rFonts w:ascii="Arial" w:hAnsi="Arial" w:cs="Arial"/>
          <w:color w:val="222222"/>
          <w:sz w:val="24"/>
          <w:szCs w:val="24"/>
          <w:shd w:val="clear" w:color="auto" w:fill="FFFFFF"/>
        </w:rPr>
        <w:t>, </w:t>
      </w:r>
      <w:r w:rsidRPr="00DF6E08">
        <w:rPr>
          <w:rFonts w:ascii="Arial" w:hAnsi="Arial" w:cs="Arial"/>
          <w:i/>
          <w:iCs/>
          <w:color w:val="222222"/>
          <w:sz w:val="24"/>
          <w:szCs w:val="24"/>
          <w:shd w:val="clear" w:color="auto" w:fill="FFFFFF"/>
        </w:rPr>
        <w:t>365</w:t>
      </w:r>
      <w:r w:rsidRPr="00DF6E08">
        <w:rPr>
          <w:rFonts w:ascii="Arial" w:hAnsi="Arial" w:cs="Arial"/>
          <w:color w:val="222222"/>
          <w:sz w:val="24"/>
          <w:szCs w:val="24"/>
          <w:shd w:val="clear" w:color="auto" w:fill="FFFFFF"/>
        </w:rPr>
        <w:t>(9464), pp.1099-1104.</w:t>
      </w:r>
    </w:p>
    <w:p w14:paraId="67EF9018"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 xml:space="preserve">Martin, K., </w:t>
      </w:r>
      <w:proofErr w:type="spellStart"/>
      <w:r w:rsidRPr="00DF6E08">
        <w:rPr>
          <w:rFonts w:ascii="Arial" w:hAnsi="Arial" w:cs="Arial"/>
          <w:color w:val="222222"/>
          <w:sz w:val="24"/>
          <w:szCs w:val="24"/>
          <w:shd w:val="clear" w:color="auto" w:fill="FFFFFF"/>
        </w:rPr>
        <w:t>Springate</w:t>
      </w:r>
      <w:proofErr w:type="spellEnd"/>
      <w:r w:rsidRPr="00DF6E08">
        <w:rPr>
          <w:rFonts w:ascii="Arial" w:hAnsi="Arial" w:cs="Arial"/>
          <w:color w:val="222222"/>
          <w:sz w:val="24"/>
          <w:szCs w:val="24"/>
          <w:shd w:val="clear" w:color="auto" w:fill="FFFFFF"/>
        </w:rPr>
        <w:t>, I. and Atkinson, M., 2010. </w:t>
      </w:r>
      <w:r w:rsidRPr="00DF6E08">
        <w:rPr>
          <w:rFonts w:ascii="Arial" w:hAnsi="Arial" w:cs="Arial"/>
          <w:i/>
          <w:iCs/>
          <w:color w:val="222222"/>
          <w:sz w:val="24"/>
          <w:szCs w:val="24"/>
          <w:shd w:val="clear" w:color="auto" w:fill="FFFFFF"/>
        </w:rPr>
        <w:t>Intergenerational Practice: Outcomes and Effectiveness. LGA Research Report</w:t>
      </w:r>
      <w:r w:rsidRPr="00DF6E08">
        <w:rPr>
          <w:rFonts w:ascii="Arial" w:hAnsi="Arial" w:cs="Arial"/>
          <w:color w:val="222222"/>
          <w:sz w:val="24"/>
          <w:szCs w:val="24"/>
          <w:shd w:val="clear" w:color="auto" w:fill="FFFFFF"/>
        </w:rPr>
        <w:t>. National Foundation for Educational Research. The Mere, Upton Park, Slough, Berkshire, SL1 2DQ, UK.</w:t>
      </w:r>
    </w:p>
    <w:p w14:paraId="6C77E1A7"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proofErr w:type="spellStart"/>
      <w:r w:rsidRPr="00DF6E08">
        <w:rPr>
          <w:rFonts w:ascii="Arial" w:hAnsi="Arial" w:cs="Arial"/>
          <w:color w:val="222222"/>
          <w:sz w:val="24"/>
          <w:szCs w:val="24"/>
          <w:shd w:val="clear" w:color="auto" w:fill="FFFFFF"/>
        </w:rPr>
        <w:t>McCrone</w:t>
      </w:r>
      <w:proofErr w:type="spellEnd"/>
      <w:r w:rsidRPr="00DF6E08">
        <w:rPr>
          <w:rFonts w:ascii="Arial" w:hAnsi="Arial" w:cs="Arial"/>
          <w:color w:val="222222"/>
          <w:sz w:val="24"/>
          <w:szCs w:val="24"/>
          <w:shd w:val="clear" w:color="auto" w:fill="FFFFFF"/>
        </w:rPr>
        <w:t>, T., Featherstone, G. and Chamberlain, T., 2009. </w:t>
      </w:r>
      <w:r w:rsidRPr="00DF6E08">
        <w:rPr>
          <w:rFonts w:ascii="Arial" w:hAnsi="Arial" w:cs="Arial"/>
          <w:i/>
          <w:iCs/>
          <w:color w:val="222222"/>
          <w:sz w:val="24"/>
          <w:szCs w:val="24"/>
          <w:shd w:val="clear" w:color="auto" w:fill="FFFFFF"/>
        </w:rPr>
        <w:t>Mapping the terrain: 16-19 funding transfer</w:t>
      </w:r>
      <w:r w:rsidRPr="00DF6E08">
        <w:rPr>
          <w:rFonts w:ascii="Arial" w:hAnsi="Arial" w:cs="Arial"/>
          <w:color w:val="222222"/>
          <w:sz w:val="24"/>
          <w:szCs w:val="24"/>
          <w:shd w:val="clear" w:color="auto" w:fill="FFFFFF"/>
        </w:rPr>
        <w:t>. NFER.</w:t>
      </w:r>
    </w:p>
    <w:p w14:paraId="4E18A3F3" w14:textId="77777777" w:rsidR="003C02B8" w:rsidRPr="00DF6E08" w:rsidRDefault="003C02B8" w:rsidP="003C02B8">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McGoldrick, D., 1991. The United Nations convention on the rights of the child. </w:t>
      </w:r>
      <w:r w:rsidRPr="00DF6E08">
        <w:rPr>
          <w:rFonts w:ascii="Arial" w:hAnsi="Arial" w:cs="Arial"/>
          <w:i/>
          <w:iCs/>
          <w:color w:val="222222"/>
          <w:sz w:val="24"/>
          <w:szCs w:val="24"/>
          <w:shd w:val="clear" w:color="auto" w:fill="FFFFFF"/>
        </w:rPr>
        <w:t>International Journal of Law, Policy and the Family</w:t>
      </w:r>
      <w:r w:rsidRPr="00DF6E08">
        <w:rPr>
          <w:rFonts w:ascii="Arial" w:hAnsi="Arial" w:cs="Arial"/>
          <w:color w:val="222222"/>
          <w:sz w:val="24"/>
          <w:szCs w:val="24"/>
          <w:shd w:val="clear" w:color="auto" w:fill="FFFFFF"/>
        </w:rPr>
        <w:t>, </w:t>
      </w:r>
      <w:r w:rsidRPr="00DF6E08">
        <w:rPr>
          <w:rFonts w:ascii="Arial" w:hAnsi="Arial" w:cs="Arial"/>
          <w:i/>
          <w:iCs/>
          <w:color w:val="222222"/>
          <w:sz w:val="24"/>
          <w:szCs w:val="24"/>
          <w:shd w:val="clear" w:color="auto" w:fill="FFFFFF"/>
        </w:rPr>
        <w:t>5</w:t>
      </w:r>
      <w:r w:rsidRPr="00DF6E08">
        <w:rPr>
          <w:rFonts w:ascii="Arial" w:hAnsi="Arial" w:cs="Arial"/>
          <w:color w:val="222222"/>
          <w:sz w:val="24"/>
          <w:szCs w:val="24"/>
          <w:shd w:val="clear" w:color="auto" w:fill="FFFFFF"/>
        </w:rPr>
        <w:t>(2), pp.132-169.</w:t>
      </w:r>
    </w:p>
    <w:p w14:paraId="22568ADA"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Preston-Shoot, M. and Pratt, M., 2014. Symbolic half-measures? On local safeguarding children boards, their contributions and challenges. </w:t>
      </w:r>
      <w:r w:rsidRPr="00DF6E08">
        <w:rPr>
          <w:rFonts w:ascii="Arial" w:hAnsi="Arial" w:cs="Arial"/>
          <w:i/>
          <w:iCs/>
          <w:color w:val="222222"/>
          <w:sz w:val="24"/>
          <w:szCs w:val="24"/>
          <w:shd w:val="clear" w:color="auto" w:fill="FFFFFF"/>
        </w:rPr>
        <w:t>Moving on from Munro: Improving children's services</w:t>
      </w:r>
      <w:r w:rsidRPr="00DF6E08">
        <w:rPr>
          <w:rFonts w:ascii="Arial" w:hAnsi="Arial" w:cs="Arial"/>
          <w:color w:val="222222"/>
          <w:sz w:val="24"/>
          <w:szCs w:val="24"/>
          <w:shd w:val="clear" w:color="auto" w:fill="FFFFFF"/>
        </w:rPr>
        <w:t>, pp.159-183.</w:t>
      </w:r>
    </w:p>
    <w:p w14:paraId="6D19A469"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Sheet, U.F., 2011. A summary of the rights under the convention on the rights of the child. </w:t>
      </w:r>
      <w:r w:rsidRPr="00DF6E08">
        <w:rPr>
          <w:rFonts w:ascii="Arial" w:hAnsi="Arial" w:cs="Arial"/>
          <w:i/>
          <w:iCs/>
          <w:color w:val="222222"/>
          <w:sz w:val="24"/>
          <w:szCs w:val="24"/>
          <w:shd w:val="clear" w:color="auto" w:fill="FFFFFF"/>
        </w:rPr>
        <w:t xml:space="preserve">Available </w:t>
      </w:r>
      <w:proofErr w:type="gramStart"/>
      <w:r w:rsidRPr="00DF6E08">
        <w:rPr>
          <w:rFonts w:ascii="Arial" w:hAnsi="Arial" w:cs="Arial"/>
          <w:i/>
          <w:iCs/>
          <w:color w:val="222222"/>
          <w:sz w:val="24"/>
          <w:szCs w:val="24"/>
          <w:shd w:val="clear" w:color="auto" w:fill="FFFFFF"/>
        </w:rPr>
        <w:t>at:[</w:t>
      </w:r>
      <w:proofErr w:type="gramEnd"/>
      <w:r w:rsidRPr="00DF6E08">
        <w:rPr>
          <w:rFonts w:ascii="Arial" w:hAnsi="Arial" w:cs="Arial"/>
          <w:i/>
          <w:iCs/>
          <w:color w:val="222222"/>
          <w:sz w:val="24"/>
          <w:szCs w:val="24"/>
          <w:shd w:val="clear" w:color="auto" w:fill="FFFFFF"/>
        </w:rPr>
        <w:t xml:space="preserve">cited and updated: 3rd October, 2013] http://www. </w:t>
      </w:r>
      <w:proofErr w:type="spellStart"/>
      <w:r w:rsidRPr="00DF6E08">
        <w:rPr>
          <w:rFonts w:ascii="Arial" w:hAnsi="Arial" w:cs="Arial"/>
          <w:i/>
          <w:iCs/>
          <w:color w:val="222222"/>
          <w:sz w:val="24"/>
          <w:szCs w:val="24"/>
          <w:shd w:val="clear" w:color="auto" w:fill="FFFFFF"/>
        </w:rPr>
        <w:t>Unicef</w:t>
      </w:r>
      <w:proofErr w:type="spellEnd"/>
      <w:r w:rsidRPr="00DF6E08">
        <w:rPr>
          <w:rFonts w:ascii="Arial" w:hAnsi="Arial" w:cs="Arial"/>
          <w:i/>
          <w:iCs/>
          <w:color w:val="222222"/>
          <w:sz w:val="24"/>
          <w:szCs w:val="24"/>
          <w:shd w:val="clear" w:color="auto" w:fill="FFFFFF"/>
        </w:rPr>
        <w:t>. Org/</w:t>
      </w:r>
      <w:proofErr w:type="spellStart"/>
      <w:r w:rsidRPr="00DF6E08">
        <w:rPr>
          <w:rFonts w:ascii="Arial" w:hAnsi="Arial" w:cs="Arial"/>
          <w:i/>
          <w:iCs/>
          <w:color w:val="222222"/>
          <w:sz w:val="24"/>
          <w:szCs w:val="24"/>
          <w:shd w:val="clear" w:color="auto" w:fill="FFFFFF"/>
        </w:rPr>
        <w:t>crc</w:t>
      </w:r>
      <w:proofErr w:type="spellEnd"/>
      <w:r w:rsidRPr="00DF6E08">
        <w:rPr>
          <w:rFonts w:ascii="Arial" w:hAnsi="Arial" w:cs="Arial"/>
          <w:i/>
          <w:iCs/>
          <w:color w:val="222222"/>
          <w:sz w:val="24"/>
          <w:szCs w:val="24"/>
          <w:shd w:val="clear" w:color="auto" w:fill="FFFFFF"/>
        </w:rPr>
        <w:t>/files/rights overview pdf</w:t>
      </w:r>
      <w:r w:rsidRPr="00DF6E08">
        <w:rPr>
          <w:rFonts w:ascii="Arial" w:hAnsi="Arial" w:cs="Arial"/>
          <w:color w:val="222222"/>
          <w:sz w:val="24"/>
          <w:szCs w:val="24"/>
          <w:shd w:val="clear" w:color="auto" w:fill="FFFFFF"/>
        </w:rPr>
        <w:t>.</w:t>
      </w:r>
    </w:p>
    <w:p w14:paraId="0BC53A79" w14:textId="77777777" w:rsidR="00A15B75" w:rsidRPr="00DF6E08" w:rsidRDefault="00A15B75" w:rsidP="00A15B75">
      <w:pPr>
        <w:spacing w:line="360" w:lineRule="auto"/>
        <w:ind w:left="720" w:hanging="720"/>
        <w:rPr>
          <w:rFonts w:ascii="Arial" w:hAnsi="Arial" w:cs="Arial"/>
          <w:color w:val="222222"/>
          <w:sz w:val="20"/>
          <w:szCs w:val="20"/>
          <w:shd w:val="clear" w:color="auto" w:fill="FFFFFF"/>
        </w:rPr>
      </w:pPr>
      <w:proofErr w:type="spellStart"/>
      <w:r w:rsidRPr="00DF6E08">
        <w:rPr>
          <w:rFonts w:ascii="Arial" w:hAnsi="Arial" w:cs="Arial"/>
          <w:color w:val="222222"/>
          <w:sz w:val="20"/>
          <w:szCs w:val="20"/>
          <w:shd w:val="clear" w:color="auto" w:fill="FFFFFF"/>
        </w:rPr>
        <w:t>Bernoteit</w:t>
      </w:r>
      <w:proofErr w:type="spellEnd"/>
      <w:r w:rsidRPr="00DF6E08">
        <w:rPr>
          <w:rFonts w:ascii="Arial" w:hAnsi="Arial" w:cs="Arial"/>
          <w:color w:val="222222"/>
          <w:sz w:val="20"/>
          <w:szCs w:val="20"/>
          <w:shd w:val="clear" w:color="auto" w:fill="FFFFFF"/>
        </w:rPr>
        <w:t>, S.A., Holt, J.K. and Kirchhoff, A., 2017. Advancing the Illinois Early Childhood Education Workforce: A Model College and Career Pathway. IERC 2017-3. </w:t>
      </w:r>
      <w:r w:rsidRPr="00DF6E08">
        <w:rPr>
          <w:rFonts w:ascii="Arial" w:hAnsi="Arial" w:cs="Arial"/>
          <w:i/>
          <w:iCs/>
          <w:color w:val="222222"/>
          <w:sz w:val="20"/>
          <w:szCs w:val="20"/>
          <w:shd w:val="clear" w:color="auto" w:fill="FFFFFF"/>
        </w:rPr>
        <w:t>Illinois Education Research Council</w:t>
      </w:r>
      <w:r w:rsidRPr="00DF6E08">
        <w:rPr>
          <w:rFonts w:ascii="Arial" w:hAnsi="Arial" w:cs="Arial"/>
          <w:color w:val="222222"/>
          <w:sz w:val="20"/>
          <w:szCs w:val="20"/>
          <w:shd w:val="clear" w:color="auto" w:fill="FFFFFF"/>
        </w:rPr>
        <w:t>.</w:t>
      </w:r>
    </w:p>
    <w:p w14:paraId="2860DDD8"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0"/>
          <w:szCs w:val="20"/>
          <w:shd w:val="clear" w:color="auto" w:fill="FFFFFF"/>
        </w:rPr>
        <w:t xml:space="preserve">Coelho, V., </w:t>
      </w:r>
      <w:proofErr w:type="spellStart"/>
      <w:r w:rsidRPr="00DF6E08">
        <w:rPr>
          <w:rFonts w:ascii="Arial" w:hAnsi="Arial" w:cs="Arial"/>
          <w:color w:val="222222"/>
          <w:sz w:val="20"/>
          <w:szCs w:val="20"/>
          <w:shd w:val="clear" w:color="auto" w:fill="FFFFFF"/>
        </w:rPr>
        <w:t>Marchante</w:t>
      </w:r>
      <w:proofErr w:type="spellEnd"/>
      <w:r w:rsidRPr="00DF6E08">
        <w:rPr>
          <w:rFonts w:ascii="Arial" w:hAnsi="Arial" w:cs="Arial"/>
          <w:color w:val="222222"/>
          <w:sz w:val="20"/>
          <w:szCs w:val="20"/>
          <w:shd w:val="clear" w:color="auto" w:fill="FFFFFF"/>
        </w:rPr>
        <w:t>, M. and Sousa, V., 2016. Positive attitude program’s impact upon self-concept across childhood and adolescence. </w:t>
      </w:r>
      <w:proofErr w:type="spellStart"/>
      <w:r w:rsidRPr="00DF6E08">
        <w:rPr>
          <w:rFonts w:ascii="Arial" w:hAnsi="Arial" w:cs="Arial"/>
          <w:i/>
          <w:iCs/>
          <w:color w:val="222222"/>
          <w:sz w:val="20"/>
          <w:szCs w:val="20"/>
          <w:shd w:val="clear" w:color="auto" w:fill="FFFFFF"/>
        </w:rPr>
        <w:t>Revista</w:t>
      </w:r>
      <w:proofErr w:type="spellEnd"/>
      <w:r w:rsidRPr="00DF6E08">
        <w:rPr>
          <w:rFonts w:ascii="Arial" w:hAnsi="Arial" w:cs="Arial"/>
          <w:i/>
          <w:iCs/>
          <w:color w:val="222222"/>
          <w:sz w:val="20"/>
          <w:szCs w:val="20"/>
          <w:shd w:val="clear" w:color="auto" w:fill="FFFFFF"/>
        </w:rPr>
        <w:t xml:space="preserve"> de </w:t>
      </w:r>
      <w:proofErr w:type="spellStart"/>
      <w:r w:rsidRPr="00DF6E08">
        <w:rPr>
          <w:rFonts w:ascii="Arial" w:hAnsi="Arial" w:cs="Arial"/>
          <w:i/>
          <w:iCs/>
          <w:color w:val="222222"/>
          <w:sz w:val="20"/>
          <w:szCs w:val="20"/>
          <w:shd w:val="clear" w:color="auto" w:fill="FFFFFF"/>
        </w:rPr>
        <w:t>Psicodidáctica</w:t>
      </w:r>
      <w:proofErr w:type="spellEnd"/>
      <w:r w:rsidRPr="00DF6E08">
        <w:rPr>
          <w:rFonts w:ascii="Arial" w:hAnsi="Arial" w:cs="Arial"/>
          <w:color w:val="222222"/>
          <w:sz w:val="20"/>
          <w:szCs w:val="20"/>
          <w:shd w:val="clear" w:color="auto" w:fill="FFFFFF"/>
        </w:rPr>
        <w:t>, </w:t>
      </w:r>
      <w:r w:rsidRPr="00DF6E08">
        <w:rPr>
          <w:rFonts w:ascii="Arial" w:hAnsi="Arial" w:cs="Arial"/>
          <w:i/>
          <w:iCs/>
          <w:color w:val="222222"/>
          <w:sz w:val="20"/>
          <w:szCs w:val="20"/>
          <w:shd w:val="clear" w:color="auto" w:fill="FFFFFF"/>
        </w:rPr>
        <w:t>21</w:t>
      </w:r>
      <w:r w:rsidRPr="00DF6E08">
        <w:rPr>
          <w:rFonts w:ascii="Arial" w:hAnsi="Arial" w:cs="Arial"/>
          <w:color w:val="222222"/>
          <w:sz w:val="20"/>
          <w:szCs w:val="20"/>
          <w:shd w:val="clear" w:color="auto" w:fill="FFFFFF"/>
        </w:rPr>
        <w:t>(2), pp.261-280.</w:t>
      </w:r>
    </w:p>
    <w:p w14:paraId="272B6F8D"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proofErr w:type="spellStart"/>
      <w:r w:rsidRPr="00DF6E08">
        <w:rPr>
          <w:rFonts w:ascii="Arial" w:hAnsi="Arial" w:cs="Arial"/>
          <w:color w:val="222222"/>
          <w:sz w:val="24"/>
          <w:szCs w:val="24"/>
          <w:shd w:val="clear" w:color="auto" w:fill="FFFFFF"/>
        </w:rPr>
        <w:t>Sloper</w:t>
      </w:r>
      <w:proofErr w:type="spellEnd"/>
      <w:r w:rsidRPr="00DF6E08">
        <w:rPr>
          <w:rFonts w:ascii="Arial" w:hAnsi="Arial" w:cs="Arial"/>
          <w:color w:val="222222"/>
          <w:sz w:val="24"/>
          <w:szCs w:val="24"/>
          <w:shd w:val="clear" w:color="auto" w:fill="FFFFFF"/>
        </w:rPr>
        <w:t xml:space="preserve">, P., 2004. Facilitators and barriers for </w:t>
      </w:r>
      <w:proofErr w:type="spellStart"/>
      <w:r w:rsidRPr="00DF6E08">
        <w:rPr>
          <w:rFonts w:ascii="Arial" w:hAnsi="Arial" w:cs="Arial"/>
          <w:color w:val="222222"/>
          <w:sz w:val="24"/>
          <w:szCs w:val="24"/>
          <w:shd w:val="clear" w:color="auto" w:fill="FFFFFF"/>
        </w:rPr>
        <w:t>co</w:t>
      </w:r>
      <w:r w:rsidRPr="00DF6E08">
        <w:rPr>
          <w:rFonts w:ascii="Cambria Math" w:hAnsi="Cambria Math" w:cs="Cambria Math"/>
          <w:color w:val="222222"/>
          <w:sz w:val="24"/>
          <w:szCs w:val="24"/>
          <w:shd w:val="clear" w:color="auto" w:fill="FFFFFF"/>
        </w:rPr>
        <w:t>‐</w:t>
      </w:r>
      <w:r w:rsidRPr="00DF6E08">
        <w:rPr>
          <w:rFonts w:ascii="Arial" w:hAnsi="Arial" w:cs="Arial"/>
          <w:color w:val="222222"/>
          <w:sz w:val="24"/>
          <w:szCs w:val="24"/>
          <w:shd w:val="clear" w:color="auto" w:fill="FFFFFF"/>
        </w:rPr>
        <w:t>ordinated</w:t>
      </w:r>
      <w:proofErr w:type="spellEnd"/>
      <w:r w:rsidRPr="00DF6E08">
        <w:rPr>
          <w:rFonts w:ascii="Arial" w:hAnsi="Arial" w:cs="Arial"/>
          <w:color w:val="222222"/>
          <w:sz w:val="24"/>
          <w:szCs w:val="24"/>
          <w:shd w:val="clear" w:color="auto" w:fill="FFFFFF"/>
        </w:rPr>
        <w:t xml:space="preserve"> multi</w:t>
      </w:r>
      <w:r w:rsidRPr="00DF6E08">
        <w:rPr>
          <w:rFonts w:ascii="Cambria Math" w:hAnsi="Cambria Math" w:cs="Cambria Math"/>
          <w:color w:val="222222"/>
          <w:sz w:val="24"/>
          <w:szCs w:val="24"/>
          <w:shd w:val="clear" w:color="auto" w:fill="FFFFFF"/>
        </w:rPr>
        <w:t>‐</w:t>
      </w:r>
      <w:r w:rsidRPr="00DF6E08">
        <w:rPr>
          <w:rFonts w:ascii="Arial" w:hAnsi="Arial" w:cs="Arial"/>
          <w:color w:val="222222"/>
          <w:sz w:val="24"/>
          <w:szCs w:val="24"/>
          <w:shd w:val="clear" w:color="auto" w:fill="FFFFFF"/>
        </w:rPr>
        <w:t>agency services. </w:t>
      </w:r>
      <w:r w:rsidRPr="00DF6E08">
        <w:rPr>
          <w:rFonts w:ascii="Arial" w:hAnsi="Arial" w:cs="Arial"/>
          <w:i/>
          <w:iCs/>
          <w:color w:val="222222"/>
          <w:sz w:val="24"/>
          <w:szCs w:val="24"/>
          <w:shd w:val="clear" w:color="auto" w:fill="FFFFFF"/>
        </w:rPr>
        <w:t>Child: care, health and development</w:t>
      </w:r>
      <w:r w:rsidRPr="00DF6E08">
        <w:rPr>
          <w:rFonts w:ascii="Arial" w:hAnsi="Arial" w:cs="Arial"/>
          <w:color w:val="222222"/>
          <w:sz w:val="24"/>
          <w:szCs w:val="24"/>
          <w:shd w:val="clear" w:color="auto" w:fill="FFFFFF"/>
        </w:rPr>
        <w:t>, </w:t>
      </w:r>
      <w:r w:rsidRPr="00DF6E08">
        <w:rPr>
          <w:rFonts w:ascii="Arial" w:hAnsi="Arial" w:cs="Arial"/>
          <w:i/>
          <w:iCs/>
          <w:color w:val="222222"/>
          <w:sz w:val="24"/>
          <w:szCs w:val="24"/>
          <w:shd w:val="clear" w:color="auto" w:fill="FFFFFF"/>
        </w:rPr>
        <w:t>30</w:t>
      </w:r>
      <w:r w:rsidRPr="00DF6E08">
        <w:rPr>
          <w:rFonts w:ascii="Arial" w:hAnsi="Arial" w:cs="Arial"/>
          <w:color w:val="222222"/>
          <w:sz w:val="24"/>
          <w:szCs w:val="24"/>
          <w:shd w:val="clear" w:color="auto" w:fill="FFFFFF"/>
        </w:rPr>
        <w:t>(6), pp.571-580.</w:t>
      </w:r>
    </w:p>
    <w:p w14:paraId="48634405"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proofErr w:type="spellStart"/>
      <w:r w:rsidRPr="00DF6E08">
        <w:rPr>
          <w:rFonts w:ascii="Arial" w:hAnsi="Arial" w:cs="Arial"/>
          <w:color w:val="222222"/>
          <w:sz w:val="24"/>
          <w:szCs w:val="24"/>
          <w:shd w:val="clear" w:color="auto" w:fill="FFFFFF"/>
        </w:rPr>
        <w:t>Springate</w:t>
      </w:r>
      <w:proofErr w:type="spellEnd"/>
      <w:r w:rsidRPr="00DF6E08">
        <w:rPr>
          <w:rFonts w:ascii="Arial" w:hAnsi="Arial" w:cs="Arial"/>
          <w:color w:val="222222"/>
          <w:sz w:val="24"/>
          <w:szCs w:val="24"/>
          <w:shd w:val="clear" w:color="auto" w:fill="FFFFFF"/>
        </w:rPr>
        <w:t>, I., Atkinson, M. and Martin, K., 2008. </w:t>
      </w:r>
      <w:r w:rsidRPr="00DF6E08">
        <w:rPr>
          <w:rFonts w:ascii="Arial" w:hAnsi="Arial" w:cs="Arial"/>
          <w:i/>
          <w:iCs/>
          <w:color w:val="222222"/>
          <w:sz w:val="24"/>
          <w:szCs w:val="24"/>
          <w:shd w:val="clear" w:color="auto" w:fill="FFFFFF"/>
        </w:rPr>
        <w:t>Intergenerational Practice: A Review of the Literature. LGA Research Report F/SR262</w:t>
      </w:r>
      <w:r w:rsidRPr="00DF6E08">
        <w:rPr>
          <w:rFonts w:ascii="Arial" w:hAnsi="Arial" w:cs="Arial"/>
          <w:color w:val="222222"/>
          <w:sz w:val="24"/>
          <w:szCs w:val="24"/>
          <w:shd w:val="clear" w:color="auto" w:fill="FFFFFF"/>
        </w:rPr>
        <w:t>. National Foundation for Educational Research. The Mere, Upton Park, Slough, Berkshire, SL1 2DQ, UK.</w:t>
      </w:r>
    </w:p>
    <w:p w14:paraId="23355ED1" w14:textId="77777777" w:rsidR="00A15B75" w:rsidRPr="00DF6E08" w:rsidRDefault="00A15B75" w:rsidP="00A15B75">
      <w:pPr>
        <w:spacing w:line="360" w:lineRule="auto"/>
        <w:ind w:left="720" w:hanging="720"/>
        <w:rPr>
          <w:rFonts w:ascii="Arial" w:hAnsi="Arial" w:cs="Arial"/>
          <w:color w:val="222222"/>
          <w:sz w:val="24"/>
          <w:szCs w:val="24"/>
          <w:shd w:val="clear" w:color="auto" w:fill="FFFFFF"/>
        </w:rPr>
      </w:pPr>
      <w:r w:rsidRPr="00DF6E08">
        <w:rPr>
          <w:rFonts w:ascii="Arial" w:hAnsi="Arial" w:cs="Arial"/>
          <w:color w:val="222222"/>
          <w:sz w:val="24"/>
          <w:szCs w:val="24"/>
          <w:shd w:val="clear" w:color="auto" w:fill="FFFFFF"/>
        </w:rPr>
        <w:t>Wales, N.G.O., 2003. Stop, look, listen.</w:t>
      </w:r>
    </w:p>
    <w:p w14:paraId="51833A16" w14:textId="77777777" w:rsidR="00A15B75" w:rsidRPr="00DF6E08" w:rsidRDefault="00A15B75" w:rsidP="00A15B75">
      <w:pPr>
        <w:spacing w:line="360" w:lineRule="auto"/>
        <w:ind w:left="720" w:hanging="720"/>
        <w:rPr>
          <w:rFonts w:ascii="Arial" w:hAnsi="Arial" w:cs="Arial"/>
          <w:sz w:val="24"/>
          <w:szCs w:val="24"/>
        </w:rPr>
      </w:pPr>
      <w:r w:rsidRPr="00DF6E08">
        <w:rPr>
          <w:rFonts w:ascii="Arial" w:hAnsi="Arial" w:cs="Arial"/>
          <w:color w:val="222222"/>
          <w:sz w:val="24"/>
          <w:szCs w:val="24"/>
          <w:shd w:val="clear" w:color="auto" w:fill="FFFFFF"/>
        </w:rPr>
        <w:t>White, R., Harland, J., Kendall, S. and Kinder, K., 2008. The Role of the Lead Member for Children's Services: Final Report (LGA Research Report F/SR268). </w:t>
      </w:r>
      <w:r w:rsidRPr="00DF6E08">
        <w:rPr>
          <w:rFonts w:ascii="Arial" w:hAnsi="Arial" w:cs="Arial"/>
          <w:i/>
          <w:iCs/>
          <w:color w:val="222222"/>
          <w:sz w:val="24"/>
          <w:szCs w:val="24"/>
          <w:shd w:val="clear" w:color="auto" w:fill="FFFFFF"/>
        </w:rPr>
        <w:t>National Foundation for Educational Research</w:t>
      </w:r>
      <w:r w:rsidRPr="00DF6E08">
        <w:rPr>
          <w:rFonts w:ascii="Arial" w:hAnsi="Arial" w:cs="Arial"/>
          <w:color w:val="222222"/>
          <w:sz w:val="24"/>
          <w:szCs w:val="24"/>
          <w:shd w:val="clear" w:color="auto" w:fill="FFFFFF"/>
        </w:rPr>
        <w:t>.</w:t>
      </w:r>
      <w:r w:rsidRPr="00DF6E08">
        <w:rPr>
          <w:rFonts w:ascii="Arial" w:hAnsi="Arial" w:cs="Arial"/>
          <w:sz w:val="24"/>
          <w:szCs w:val="24"/>
        </w:rPr>
        <w:t xml:space="preserve"> </w:t>
      </w:r>
    </w:p>
    <w:p w14:paraId="325846BE" w14:textId="77777777" w:rsidR="00A15B75" w:rsidRPr="00DF6E08" w:rsidRDefault="00A15B75" w:rsidP="00A15B75">
      <w:pPr>
        <w:spacing w:line="360" w:lineRule="auto"/>
        <w:rPr>
          <w:rFonts w:ascii="Arial" w:hAnsi="Arial" w:cs="Arial"/>
          <w:sz w:val="24"/>
          <w:szCs w:val="24"/>
        </w:rPr>
      </w:pPr>
    </w:p>
    <w:p w14:paraId="7F9EBE50" w14:textId="77777777" w:rsidR="00A15B75" w:rsidRPr="00DF6E08" w:rsidRDefault="00A15B75" w:rsidP="00A15B75">
      <w:pPr>
        <w:spacing w:line="360" w:lineRule="auto"/>
        <w:rPr>
          <w:rFonts w:ascii="Arial" w:hAnsi="Arial" w:cs="Arial"/>
          <w:sz w:val="24"/>
          <w:szCs w:val="24"/>
        </w:rPr>
      </w:pPr>
    </w:p>
    <w:p w14:paraId="07F7F45C" w14:textId="77777777" w:rsidR="003C02B8" w:rsidRPr="00DF6E08" w:rsidRDefault="003C02B8" w:rsidP="003C02B8">
      <w:pPr>
        <w:rPr>
          <w:rFonts w:ascii="Arial" w:hAnsi="Arial" w:cs="Arial"/>
          <w:sz w:val="24"/>
          <w:szCs w:val="24"/>
        </w:rPr>
      </w:pPr>
    </w:p>
    <w:p w14:paraId="4E66131C" w14:textId="77777777" w:rsidR="003C02B8" w:rsidRPr="00DF6E08" w:rsidRDefault="003C02B8" w:rsidP="003C02B8">
      <w:pPr>
        <w:rPr>
          <w:rFonts w:ascii="Arial" w:hAnsi="Arial" w:cs="Arial"/>
          <w:sz w:val="24"/>
          <w:szCs w:val="24"/>
        </w:rPr>
      </w:pPr>
    </w:p>
    <w:p w14:paraId="3CF80106" w14:textId="77777777" w:rsidR="003C02B8" w:rsidRPr="00DF6E08" w:rsidRDefault="003C02B8" w:rsidP="003C02B8">
      <w:pPr>
        <w:rPr>
          <w:rFonts w:ascii="Arial" w:hAnsi="Arial" w:cs="Arial"/>
          <w:sz w:val="24"/>
          <w:szCs w:val="24"/>
        </w:rPr>
      </w:pPr>
    </w:p>
    <w:p w14:paraId="114C1395" w14:textId="77777777" w:rsidR="003C02B8" w:rsidRPr="00DF6E08" w:rsidRDefault="003C02B8" w:rsidP="003C02B8">
      <w:pPr>
        <w:rPr>
          <w:rFonts w:ascii="Arial" w:hAnsi="Arial" w:cs="Arial"/>
          <w:sz w:val="24"/>
          <w:szCs w:val="24"/>
        </w:rPr>
      </w:pPr>
    </w:p>
    <w:p w14:paraId="2E97EAC9" w14:textId="77777777" w:rsidR="003C02B8" w:rsidRPr="00DF6E08" w:rsidRDefault="003C02B8" w:rsidP="003C02B8">
      <w:pPr>
        <w:rPr>
          <w:rFonts w:ascii="Arial" w:hAnsi="Arial" w:cs="Arial"/>
        </w:rPr>
      </w:pPr>
    </w:p>
    <w:sectPr w:rsidR="003C02B8" w:rsidRPr="00DF6E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CD301" w14:textId="77777777" w:rsidR="00DF6E08" w:rsidRDefault="00DF6E08" w:rsidP="00DF6E08">
      <w:pPr>
        <w:spacing w:after="0" w:line="240" w:lineRule="auto"/>
      </w:pPr>
      <w:r>
        <w:separator/>
      </w:r>
    </w:p>
  </w:endnote>
  <w:endnote w:type="continuationSeparator" w:id="0">
    <w:p w14:paraId="77076892" w14:textId="77777777" w:rsidR="00DF6E08" w:rsidRDefault="00DF6E08" w:rsidP="00DF6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3714879"/>
      <w:docPartObj>
        <w:docPartGallery w:val="Page Numbers (Bottom of Page)"/>
        <w:docPartUnique/>
      </w:docPartObj>
    </w:sdtPr>
    <w:sdtEndPr>
      <w:rPr>
        <w:color w:val="7F7F7F" w:themeColor="background1" w:themeShade="7F"/>
        <w:spacing w:val="60"/>
      </w:rPr>
    </w:sdtEndPr>
    <w:sdtContent>
      <w:p w14:paraId="722AA877" w14:textId="7FFC5985" w:rsidR="00DF6E08" w:rsidRDefault="00DF6E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034703" w14:textId="77777777" w:rsidR="00DF6E08" w:rsidRDefault="00DF6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934DC" w14:textId="77777777" w:rsidR="00DF6E08" w:rsidRDefault="00DF6E08" w:rsidP="00DF6E08">
      <w:pPr>
        <w:spacing w:after="0" w:line="240" w:lineRule="auto"/>
      </w:pPr>
      <w:r>
        <w:separator/>
      </w:r>
    </w:p>
  </w:footnote>
  <w:footnote w:type="continuationSeparator" w:id="0">
    <w:p w14:paraId="2BC35900" w14:textId="77777777" w:rsidR="00DF6E08" w:rsidRDefault="00DF6E08" w:rsidP="00DF6E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B8"/>
    <w:rsid w:val="00022902"/>
    <w:rsid w:val="00045B1B"/>
    <w:rsid w:val="00093C9C"/>
    <w:rsid w:val="0009761B"/>
    <w:rsid w:val="000B592D"/>
    <w:rsid w:val="001A6D99"/>
    <w:rsid w:val="001D15DE"/>
    <w:rsid w:val="002439E4"/>
    <w:rsid w:val="00303B6E"/>
    <w:rsid w:val="0032421B"/>
    <w:rsid w:val="003C02B8"/>
    <w:rsid w:val="00474F19"/>
    <w:rsid w:val="004E764A"/>
    <w:rsid w:val="005938B6"/>
    <w:rsid w:val="006E7C8B"/>
    <w:rsid w:val="00706756"/>
    <w:rsid w:val="007F7F5C"/>
    <w:rsid w:val="00820199"/>
    <w:rsid w:val="00827AFD"/>
    <w:rsid w:val="00855DAD"/>
    <w:rsid w:val="00863B2D"/>
    <w:rsid w:val="008755ED"/>
    <w:rsid w:val="009062C8"/>
    <w:rsid w:val="00947844"/>
    <w:rsid w:val="00952608"/>
    <w:rsid w:val="009C4126"/>
    <w:rsid w:val="009E0CB9"/>
    <w:rsid w:val="009E51EB"/>
    <w:rsid w:val="00A15B75"/>
    <w:rsid w:val="00A84EE2"/>
    <w:rsid w:val="00AB1EA9"/>
    <w:rsid w:val="00AB49E6"/>
    <w:rsid w:val="00AE4511"/>
    <w:rsid w:val="00B42952"/>
    <w:rsid w:val="00B509F1"/>
    <w:rsid w:val="00CA2D19"/>
    <w:rsid w:val="00D522F7"/>
    <w:rsid w:val="00D57D20"/>
    <w:rsid w:val="00DA2B1F"/>
    <w:rsid w:val="00DF6E08"/>
    <w:rsid w:val="00EE2928"/>
    <w:rsid w:val="00F04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FE91A"/>
  <w15:chartTrackingRefBased/>
  <w15:docId w15:val="{A219F229-DF64-4047-B5F4-EDE4858AA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2B8"/>
    <w:pPr>
      <w:spacing w:line="256" w:lineRule="auto"/>
    </w:pPr>
    <w:rPr>
      <w:lang w:val="en-US"/>
    </w:rPr>
  </w:style>
  <w:style w:type="paragraph" w:styleId="Heading1">
    <w:name w:val="heading 1"/>
    <w:basedOn w:val="Normal"/>
    <w:next w:val="Normal"/>
    <w:link w:val="Heading1Char"/>
    <w:uiPriority w:val="9"/>
    <w:qFormat/>
    <w:rsid w:val="003C02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2B8"/>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DF6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E08"/>
    <w:rPr>
      <w:lang w:val="en-US"/>
    </w:rPr>
  </w:style>
  <w:style w:type="paragraph" w:styleId="Footer">
    <w:name w:val="footer"/>
    <w:basedOn w:val="Normal"/>
    <w:link w:val="FooterChar"/>
    <w:uiPriority w:val="99"/>
    <w:unhideWhenUsed/>
    <w:rsid w:val="00DF6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E08"/>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130629">
      <w:bodyDiv w:val="1"/>
      <w:marLeft w:val="0"/>
      <w:marRight w:val="0"/>
      <w:marTop w:val="0"/>
      <w:marBottom w:val="0"/>
      <w:divBdr>
        <w:top w:val="none" w:sz="0" w:space="0" w:color="auto"/>
        <w:left w:val="none" w:sz="0" w:space="0" w:color="auto"/>
        <w:bottom w:val="none" w:sz="0" w:space="0" w:color="auto"/>
        <w:right w:val="none" w:sz="0" w:space="0" w:color="auto"/>
      </w:divBdr>
    </w:div>
    <w:div w:id="464549486">
      <w:bodyDiv w:val="1"/>
      <w:marLeft w:val="0"/>
      <w:marRight w:val="0"/>
      <w:marTop w:val="0"/>
      <w:marBottom w:val="0"/>
      <w:divBdr>
        <w:top w:val="none" w:sz="0" w:space="0" w:color="auto"/>
        <w:left w:val="none" w:sz="0" w:space="0" w:color="auto"/>
        <w:bottom w:val="none" w:sz="0" w:space="0" w:color="auto"/>
        <w:right w:val="none" w:sz="0" w:space="0" w:color="auto"/>
      </w:divBdr>
    </w:div>
    <w:div w:id="679814513">
      <w:bodyDiv w:val="1"/>
      <w:marLeft w:val="0"/>
      <w:marRight w:val="0"/>
      <w:marTop w:val="0"/>
      <w:marBottom w:val="0"/>
      <w:divBdr>
        <w:top w:val="none" w:sz="0" w:space="0" w:color="auto"/>
        <w:left w:val="none" w:sz="0" w:space="0" w:color="auto"/>
        <w:bottom w:val="none" w:sz="0" w:space="0" w:color="auto"/>
        <w:right w:val="none" w:sz="0" w:space="0" w:color="auto"/>
      </w:divBdr>
    </w:div>
    <w:div w:id="819421243">
      <w:bodyDiv w:val="1"/>
      <w:marLeft w:val="0"/>
      <w:marRight w:val="0"/>
      <w:marTop w:val="0"/>
      <w:marBottom w:val="0"/>
      <w:divBdr>
        <w:top w:val="none" w:sz="0" w:space="0" w:color="auto"/>
        <w:left w:val="none" w:sz="0" w:space="0" w:color="auto"/>
        <w:bottom w:val="none" w:sz="0" w:space="0" w:color="auto"/>
        <w:right w:val="none" w:sz="0" w:space="0" w:color="auto"/>
      </w:divBdr>
    </w:div>
    <w:div w:id="158244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0" ma:contentTypeDescription="Create a new document." ma:contentTypeScope="" ma:versionID="3953809a5e2d34f068cb1ac7f31c0fc3">
  <xsd:schema xmlns:xsd="http://www.w3.org/2001/XMLSchema" xmlns:xs="http://www.w3.org/2001/XMLSchema" xmlns:p="http://schemas.microsoft.com/office/2006/metadata/properties" xmlns:ns3="28bc52eb-7ba0-4738-a312-c7a8d9f935af" targetNamespace="http://schemas.microsoft.com/office/2006/metadata/properties" ma:root="true" ma:fieldsID="48915088aa31cad8605cebb6182d8df7"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D44F34C-04BB-4CF7-9846-BF831B490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5477A7-E2B7-40B8-BD3A-A1303A887973}">
  <ds:schemaRefs>
    <ds:schemaRef ds:uri="http://schemas.microsoft.com/sharepoint/v3/contenttype/forms"/>
  </ds:schemaRefs>
</ds:datastoreItem>
</file>

<file path=customXml/itemProps3.xml><?xml version="1.0" encoding="utf-8"?>
<ds:datastoreItem xmlns:ds="http://schemas.openxmlformats.org/officeDocument/2006/customXml" ds:itemID="{129FBE45-B308-49B4-B77B-C046AFFB34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2436</Words>
  <Characters>13886</Characters>
  <Application>Microsoft Office Word</Application>
  <DocSecurity>0</DocSecurity>
  <Lines>115</Lines>
  <Paragraphs>32</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Social Construction of Childhood </vt:lpstr>
      <vt:lpstr>Student Name: Karon Mcqueen</vt:lpstr>
      <vt:lpstr>Student number:1809080</vt:lpstr>
      <vt:lpstr>Lecturer: Mark Gallagher</vt:lpstr>
      <vt:lpstr>Date 06:04:2020</vt:lpstr>
      <vt:lpstr/>
      <vt:lpstr/>
      <vt:lpstr/>
      <vt:lpstr/>
      <vt:lpstr/>
      <vt:lpstr/>
      <vt:lpstr/>
      <vt:lpstr/>
      <vt:lpstr>Social Construction of Childhood</vt:lpstr>
      <vt:lpstr>References</vt:lpstr>
    </vt:vector>
  </TitlesOfParts>
  <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Karon Mcqueen (1809080)</dc:creator>
  <cp:keywords/>
  <dc:description/>
  <cp:lastModifiedBy>Karon Mcqueen (1809080)</cp:lastModifiedBy>
  <cp:revision>3</cp:revision>
  <dcterms:created xsi:type="dcterms:W3CDTF">2020-03-31T23:44:00Z</dcterms:created>
  <dcterms:modified xsi:type="dcterms:W3CDTF">2020-03-31T23:45:00Z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