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52737" w14:textId="1AD80934" w:rsidR="00487CD7" w:rsidRPr="00487CD7" w:rsidRDefault="00487CD7" w:rsidP="00DD3539">
      <w:pPr>
        <w:rPr>
          <w:rFonts w:ascii="Times New Roman" w:hAnsi="Times New Roman" w:cs="Times New Roman"/>
          <w:sz w:val="24"/>
          <w:szCs w:val="24"/>
        </w:rPr>
      </w:pPr>
      <w:r w:rsidRPr="00487CD7">
        <w:rPr>
          <w:noProof/>
          <w:bdr w:val="none" w:sz="0" w:space="0" w:color="auto" w:frame="1"/>
        </w:rPr>
        <w:drawing>
          <wp:anchor distT="0" distB="0" distL="114300" distR="114300" simplePos="0" relativeHeight="251658240" behindDoc="1" locked="0" layoutInCell="1" allowOverlap="1" wp14:anchorId="6EDD196C" wp14:editId="54E090ED">
            <wp:simplePos x="0" y="0"/>
            <wp:positionH relativeFrom="column">
              <wp:posOffset>1600200</wp:posOffset>
            </wp:positionH>
            <wp:positionV relativeFrom="paragraph">
              <wp:posOffset>-202223</wp:posOffset>
            </wp:positionV>
            <wp:extent cx="1813560" cy="72390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B330AD" w14:textId="77777777" w:rsidR="00A0583E" w:rsidRDefault="00A0583E" w:rsidP="00AE2057">
      <w:pPr>
        <w:pStyle w:val="Heading1"/>
        <w:tabs>
          <w:tab w:val="left" w:pos="5130"/>
        </w:tabs>
        <w:spacing w:line="360" w:lineRule="auto"/>
        <w:jc w:val="both"/>
      </w:pPr>
      <w:bookmarkStart w:id="0" w:name="_Toc103874945"/>
      <w:bookmarkStart w:id="1" w:name="_Toc103558501"/>
    </w:p>
    <w:p w14:paraId="0CFA737A" w14:textId="77777777" w:rsidR="00A0583E" w:rsidRDefault="00A0583E" w:rsidP="00AE2057">
      <w:pPr>
        <w:pStyle w:val="Heading1"/>
        <w:tabs>
          <w:tab w:val="left" w:pos="5130"/>
        </w:tabs>
        <w:spacing w:line="360" w:lineRule="auto"/>
        <w:jc w:val="both"/>
      </w:pPr>
    </w:p>
    <w:p w14:paraId="26448BD3" w14:textId="77777777" w:rsidR="00A0583E" w:rsidRDefault="00A0583E" w:rsidP="00A0583E">
      <w:pPr>
        <w:jc w:val="center"/>
      </w:pPr>
      <w:r>
        <w:t xml:space="preserve">     </w:t>
      </w:r>
    </w:p>
    <w:p w14:paraId="6D1A8A61" w14:textId="77777777" w:rsidR="00A0583E" w:rsidRDefault="00A0583E" w:rsidP="00A0583E">
      <w:pPr>
        <w:jc w:val="center"/>
      </w:pPr>
    </w:p>
    <w:p w14:paraId="3D86D557" w14:textId="77777777" w:rsidR="00A0583E" w:rsidRDefault="00A0583E" w:rsidP="00A0583E">
      <w:pPr>
        <w:jc w:val="center"/>
      </w:pPr>
    </w:p>
    <w:p w14:paraId="03F4E122" w14:textId="2E3B8C6C" w:rsidR="00A0583E" w:rsidRPr="00BB2446" w:rsidRDefault="00A0583E" w:rsidP="00A0583E">
      <w:pPr>
        <w:jc w:val="center"/>
        <w:rPr>
          <w:sz w:val="40"/>
          <w:szCs w:val="40"/>
        </w:rPr>
      </w:pPr>
      <w:r w:rsidRPr="00BB2446">
        <w:rPr>
          <w:sz w:val="40"/>
          <w:szCs w:val="40"/>
        </w:rPr>
        <w:t>Financial Management for the Hotel Industry</w:t>
      </w:r>
    </w:p>
    <w:p w14:paraId="646D7CE9" w14:textId="77777777" w:rsidR="00A0583E" w:rsidRDefault="00A0583E" w:rsidP="00A0583E"/>
    <w:p w14:paraId="575DF340" w14:textId="77777777" w:rsidR="00A0583E" w:rsidRPr="00B30756" w:rsidRDefault="00A0583E" w:rsidP="00A0583E">
      <w:pPr>
        <w:pStyle w:val="Title"/>
        <w:rPr>
          <w:rFonts w:ascii="Times New Roman" w:hAnsi="Times New Roman" w:cs="Times New Roman"/>
          <w:sz w:val="32"/>
          <w:szCs w:val="32"/>
        </w:rPr>
      </w:pPr>
      <w:r>
        <w:rPr>
          <w:rFonts w:ascii="Times New Roman" w:eastAsia="Calibri" w:hAnsi="Times New Roman" w:cs="Times New Roman"/>
          <w:sz w:val="32"/>
          <w:szCs w:val="32"/>
        </w:rPr>
        <w:t xml:space="preserve">                                       </w:t>
      </w:r>
      <w:r w:rsidRPr="00B30756">
        <w:rPr>
          <w:rFonts w:ascii="Times New Roman" w:eastAsia="Calibri" w:hAnsi="Times New Roman" w:cs="Times New Roman"/>
          <w:sz w:val="32"/>
          <w:szCs w:val="32"/>
        </w:rPr>
        <w:t>Module Code:</w:t>
      </w:r>
      <w:r w:rsidRPr="00B30756">
        <w:rPr>
          <w:rFonts w:ascii="Times New Roman" w:hAnsi="Times New Roman" w:cs="Times New Roman"/>
          <w:sz w:val="32"/>
          <w:szCs w:val="32"/>
        </w:rPr>
        <w:t xml:space="preserve"> BMIH5007</w:t>
      </w:r>
    </w:p>
    <w:p w14:paraId="4A49BAB6" w14:textId="77777777" w:rsidR="00A0583E" w:rsidRPr="00583F5F" w:rsidRDefault="00A0583E" w:rsidP="00A0583E">
      <w:pPr>
        <w:spacing w:line="256" w:lineRule="auto"/>
        <w:rPr>
          <w:rFonts w:cs="Times New Roman"/>
          <w:sz w:val="28"/>
        </w:rPr>
      </w:pPr>
    </w:p>
    <w:p w14:paraId="098CB781" w14:textId="5C66BFAF" w:rsidR="00A0583E" w:rsidRPr="00583F5F" w:rsidRDefault="00A0583E" w:rsidP="00A0583E">
      <w:pPr>
        <w:spacing w:line="256" w:lineRule="auto"/>
        <w:rPr>
          <w:rFonts w:cs="Times New Roman"/>
          <w:sz w:val="28"/>
        </w:rPr>
      </w:pPr>
      <w:r>
        <w:rPr>
          <w:rFonts w:cs="Times New Roman"/>
          <w:sz w:val="28"/>
        </w:rPr>
        <w:t xml:space="preserve">                                </w:t>
      </w:r>
      <w:r w:rsidRPr="00583F5F">
        <w:rPr>
          <w:rFonts w:cs="Times New Roman"/>
          <w:sz w:val="28"/>
        </w:rPr>
        <w:t>Student Name:</w:t>
      </w:r>
      <w:r>
        <w:rPr>
          <w:rFonts w:cs="Times New Roman"/>
          <w:sz w:val="28"/>
        </w:rPr>
        <w:t xml:space="preserve"> Mustafa Zaman</w:t>
      </w:r>
    </w:p>
    <w:p w14:paraId="1C0D640C" w14:textId="77777777" w:rsidR="00A0583E" w:rsidRDefault="00A0583E" w:rsidP="00A0583E">
      <w:pPr>
        <w:spacing w:line="256" w:lineRule="auto"/>
        <w:rPr>
          <w:rFonts w:cs="Times New Roman"/>
          <w:sz w:val="28"/>
        </w:rPr>
      </w:pPr>
      <w:r>
        <w:rPr>
          <w:rFonts w:cs="Times New Roman"/>
          <w:sz w:val="28"/>
        </w:rPr>
        <w:t xml:space="preserve">                                      Student Id: </w:t>
      </w:r>
      <w:r>
        <w:rPr>
          <w:rFonts w:cs="Times New Roman"/>
          <w:sz w:val="28"/>
        </w:rPr>
        <w:t>2016410</w:t>
      </w:r>
    </w:p>
    <w:p w14:paraId="73707B52" w14:textId="687B496C" w:rsidR="00A0583E" w:rsidRPr="00A0583E" w:rsidRDefault="00A0583E" w:rsidP="00A0583E">
      <w:pPr>
        <w:spacing w:line="256" w:lineRule="auto"/>
        <w:rPr>
          <w:rFonts w:cs="Times New Roman"/>
          <w:sz w:val="28"/>
        </w:rPr>
      </w:pPr>
      <w:r>
        <w:rPr>
          <w:rFonts w:cs="Times New Roman"/>
          <w:sz w:val="28"/>
        </w:rPr>
        <w:t xml:space="preserve">                              </w:t>
      </w:r>
      <w:r w:rsidRPr="00A0583E">
        <w:rPr>
          <w:rFonts w:cs="Times New Roman"/>
          <w:color w:val="000000" w:themeColor="text1"/>
          <w:sz w:val="28"/>
        </w:rPr>
        <w:t>Lecturer Name: Dale Clarke</w:t>
      </w:r>
    </w:p>
    <w:p w14:paraId="270D3D62" w14:textId="77777777" w:rsidR="00A0583E" w:rsidRDefault="00A0583E" w:rsidP="00AE2057">
      <w:pPr>
        <w:pStyle w:val="Heading1"/>
        <w:tabs>
          <w:tab w:val="left" w:pos="5130"/>
        </w:tabs>
        <w:spacing w:line="360" w:lineRule="auto"/>
        <w:jc w:val="both"/>
      </w:pPr>
    </w:p>
    <w:p w14:paraId="7CABCD2D" w14:textId="77777777" w:rsidR="00A0583E" w:rsidRDefault="00A0583E" w:rsidP="00AE2057">
      <w:pPr>
        <w:pStyle w:val="Heading1"/>
        <w:tabs>
          <w:tab w:val="left" w:pos="5130"/>
        </w:tabs>
        <w:spacing w:line="360" w:lineRule="auto"/>
        <w:jc w:val="both"/>
      </w:pPr>
    </w:p>
    <w:p w14:paraId="351D4DFF" w14:textId="5CBC96FD" w:rsidR="00A0583E" w:rsidRDefault="00A0583E" w:rsidP="00AE2057">
      <w:pPr>
        <w:pStyle w:val="Heading1"/>
        <w:tabs>
          <w:tab w:val="left" w:pos="5130"/>
        </w:tabs>
        <w:spacing w:line="360" w:lineRule="auto"/>
        <w:jc w:val="both"/>
      </w:pPr>
    </w:p>
    <w:p w14:paraId="49F9512F" w14:textId="7CAC59C7" w:rsidR="00A0583E" w:rsidRDefault="00A0583E" w:rsidP="00A0583E"/>
    <w:p w14:paraId="7AFD2219" w14:textId="5C120E32" w:rsidR="00A0583E" w:rsidRDefault="00A0583E" w:rsidP="00A0583E"/>
    <w:p w14:paraId="3BB76A68" w14:textId="0679F43F" w:rsidR="00A0583E" w:rsidRDefault="00A0583E" w:rsidP="00A0583E"/>
    <w:p w14:paraId="0F9BCDE9" w14:textId="67371FE3" w:rsidR="00A0583E" w:rsidRDefault="00A0583E" w:rsidP="00A0583E"/>
    <w:p w14:paraId="48CF22CD" w14:textId="4D76FC6C" w:rsidR="00A0583E" w:rsidRDefault="00A0583E" w:rsidP="00A0583E"/>
    <w:p w14:paraId="68BE8EED" w14:textId="717E162D" w:rsidR="00A0583E" w:rsidRDefault="00A0583E" w:rsidP="00A0583E"/>
    <w:p w14:paraId="0D25B4C3" w14:textId="77777777" w:rsidR="00A0583E" w:rsidRPr="00A0583E" w:rsidRDefault="00A0583E" w:rsidP="00A0583E"/>
    <w:p w14:paraId="6F539926" w14:textId="545DFF70" w:rsidR="00AE2057" w:rsidRDefault="00CA766D" w:rsidP="00AE2057">
      <w:pPr>
        <w:pStyle w:val="Heading1"/>
        <w:tabs>
          <w:tab w:val="left" w:pos="5130"/>
        </w:tabs>
        <w:spacing w:line="360" w:lineRule="auto"/>
        <w:jc w:val="both"/>
      </w:pPr>
      <w:r>
        <w:t>Executive Summary</w:t>
      </w:r>
      <w:bookmarkEnd w:id="0"/>
    </w:p>
    <w:p w14:paraId="56AF0551" w14:textId="6B454A1A" w:rsidR="00CA766D" w:rsidRPr="00F4671E" w:rsidRDefault="00AE2057" w:rsidP="006F0716">
      <w:pPr>
        <w:tabs>
          <w:tab w:val="left" w:pos="2700"/>
          <w:tab w:val="left" w:pos="5130"/>
        </w:tabs>
        <w:spacing w:line="360" w:lineRule="auto"/>
        <w:jc w:val="both"/>
        <w:rPr>
          <w:rFonts w:ascii="Arial" w:hAnsi="Arial" w:cs="Arial"/>
          <w:sz w:val="22"/>
          <w:szCs w:val="22"/>
        </w:rPr>
      </w:pPr>
      <w:r w:rsidRPr="00F4671E">
        <w:rPr>
          <w:rFonts w:ascii="Arial" w:hAnsi="Arial" w:cs="Arial"/>
          <w:sz w:val="22"/>
          <w:szCs w:val="22"/>
        </w:rPr>
        <w:t xml:space="preserve">Financial statement provides information regarding financial performance and position of an entity whereas financial statement analysis presents the financial information in a manner that is more decision useful. The following report shows the financial statement analysis of Hilton Worldwide Holdings Inc. (HLT) and its financial trend for the year 2019 to 2020. </w:t>
      </w:r>
      <w:r w:rsidR="000A5E1B">
        <w:rPr>
          <w:rFonts w:ascii="Arial" w:hAnsi="Arial" w:cs="Arial"/>
          <w:sz w:val="22"/>
          <w:szCs w:val="22"/>
        </w:rPr>
        <w:t>The report finds significant downfall of financial performance and position of the company. Primary reason might be the impact of COVID-19. However, the managerial efficiency may also be accused of such decline trend in its financial performance and position.</w:t>
      </w:r>
      <w:r w:rsidR="006375F8">
        <w:rPr>
          <w:rFonts w:ascii="Arial" w:hAnsi="Arial" w:cs="Arial"/>
          <w:sz w:val="22"/>
          <w:szCs w:val="22"/>
        </w:rPr>
        <w:t xml:space="preserve"> In conclusion of the report, some recommendations are made which might be effective to overturn the current trend.</w:t>
      </w:r>
      <w:r w:rsidR="000A5E1B">
        <w:rPr>
          <w:rFonts w:ascii="Arial" w:hAnsi="Arial" w:cs="Arial"/>
          <w:sz w:val="22"/>
          <w:szCs w:val="22"/>
        </w:rPr>
        <w:t xml:space="preserve"> </w:t>
      </w:r>
      <w:r w:rsidRPr="00F4671E">
        <w:rPr>
          <w:rFonts w:ascii="Arial" w:hAnsi="Arial" w:cs="Arial"/>
          <w:sz w:val="22"/>
          <w:szCs w:val="22"/>
        </w:rPr>
        <w:t xml:space="preserve">Along with this analysis, the benefits and limitations of financial statement analysis is discussed in the report. </w:t>
      </w:r>
      <w:r w:rsidR="00CA766D" w:rsidRPr="00F4671E">
        <w:rPr>
          <w:rFonts w:ascii="Arial" w:hAnsi="Arial" w:cs="Arial"/>
          <w:sz w:val="22"/>
          <w:szCs w:val="22"/>
        </w:rPr>
        <w:br w:type="page"/>
      </w:r>
    </w:p>
    <w:sdt>
      <w:sdtPr>
        <w:rPr>
          <w:rFonts w:ascii="Calibri" w:eastAsiaTheme="minorHAnsi" w:hAnsi="Calibri" w:cs="Nirmala UI"/>
          <w:b w:val="0"/>
          <w:bCs w:val="0"/>
          <w:color w:val="auto"/>
          <w:sz w:val="20"/>
          <w:szCs w:val="20"/>
          <w:lang w:eastAsia="en-US"/>
        </w:rPr>
        <w:id w:val="1133136466"/>
        <w:docPartObj>
          <w:docPartGallery w:val="Table of Contents"/>
          <w:docPartUnique/>
        </w:docPartObj>
      </w:sdtPr>
      <w:sdtEndPr>
        <w:rPr>
          <w:noProof/>
        </w:rPr>
      </w:sdtEndPr>
      <w:sdtContent>
        <w:p w14:paraId="44D1AF35" w14:textId="6BAE88DB" w:rsidR="00450B9D" w:rsidRDefault="00450B9D" w:rsidP="00AE2057">
          <w:pPr>
            <w:pStyle w:val="TOCHeading"/>
            <w:spacing w:line="360" w:lineRule="auto"/>
            <w:jc w:val="both"/>
          </w:pPr>
          <w:r>
            <w:t>Table of Contents</w:t>
          </w:r>
        </w:p>
        <w:p w14:paraId="38921ABF" w14:textId="77777777" w:rsidR="00AE2057" w:rsidRPr="00F4671E" w:rsidRDefault="00450B9D" w:rsidP="00AE2057">
          <w:pPr>
            <w:pStyle w:val="TOC1"/>
            <w:tabs>
              <w:tab w:val="right" w:leader="dot" w:pos="9350"/>
            </w:tabs>
            <w:spacing w:line="360" w:lineRule="auto"/>
            <w:jc w:val="both"/>
            <w:rPr>
              <w:rFonts w:ascii="Arial" w:eastAsiaTheme="minorEastAsia" w:hAnsi="Arial" w:cs="Arial"/>
              <w:noProof/>
              <w:sz w:val="22"/>
              <w:szCs w:val="22"/>
            </w:rPr>
          </w:pPr>
          <w:r w:rsidRPr="00AE2057">
            <w:rPr>
              <w:rFonts w:ascii="Arial" w:hAnsi="Arial" w:cs="Arial"/>
              <w:sz w:val="24"/>
              <w:szCs w:val="24"/>
            </w:rPr>
            <w:fldChar w:fldCharType="begin"/>
          </w:r>
          <w:r w:rsidRPr="00AE2057">
            <w:rPr>
              <w:rFonts w:ascii="Arial" w:hAnsi="Arial" w:cs="Arial"/>
              <w:sz w:val="24"/>
              <w:szCs w:val="24"/>
            </w:rPr>
            <w:instrText xml:space="preserve"> TOC \o "1-3" \h \z \u </w:instrText>
          </w:r>
          <w:r w:rsidRPr="00AE2057">
            <w:rPr>
              <w:rFonts w:ascii="Arial" w:hAnsi="Arial" w:cs="Arial"/>
              <w:sz w:val="24"/>
              <w:szCs w:val="24"/>
            </w:rPr>
            <w:fldChar w:fldCharType="separate"/>
          </w:r>
          <w:hyperlink w:anchor="_Toc103874945" w:history="1">
            <w:r w:rsidR="00AE2057" w:rsidRPr="00F4671E">
              <w:rPr>
                <w:rStyle w:val="Hyperlink"/>
                <w:rFonts w:ascii="Arial" w:hAnsi="Arial" w:cs="Arial"/>
                <w:noProof/>
                <w:sz w:val="22"/>
                <w:szCs w:val="22"/>
              </w:rPr>
              <w:t>Executive Summary</w:t>
            </w:r>
            <w:r w:rsidR="00AE2057" w:rsidRPr="00F4671E">
              <w:rPr>
                <w:rFonts w:ascii="Arial" w:hAnsi="Arial" w:cs="Arial"/>
                <w:noProof/>
                <w:webHidden/>
                <w:sz w:val="22"/>
                <w:szCs w:val="22"/>
              </w:rPr>
              <w:tab/>
            </w:r>
            <w:r w:rsidR="00AE2057" w:rsidRPr="00F4671E">
              <w:rPr>
                <w:rFonts w:ascii="Arial" w:hAnsi="Arial" w:cs="Arial"/>
                <w:noProof/>
                <w:webHidden/>
                <w:sz w:val="22"/>
                <w:szCs w:val="22"/>
              </w:rPr>
              <w:fldChar w:fldCharType="begin"/>
            </w:r>
            <w:r w:rsidR="00AE2057" w:rsidRPr="00F4671E">
              <w:rPr>
                <w:rFonts w:ascii="Arial" w:hAnsi="Arial" w:cs="Arial"/>
                <w:noProof/>
                <w:webHidden/>
                <w:sz w:val="22"/>
                <w:szCs w:val="22"/>
              </w:rPr>
              <w:instrText xml:space="preserve"> PAGEREF _Toc103874945 \h </w:instrText>
            </w:r>
            <w:r w:rsidR="00AE2057" w:rsidRPr="00F4671E">
              <w:rPr>
                <w:rFonts w:ascii="Arial" w:hAnsi="Arial" w:cs="Arial"/>
                <w:noProof/>
                <w:webHidden/>
                <w:sz w:val="22"/>
                <w:szCs w:val="22"/>
              </w:rPr>
            </w:r>
            <w:r w:rsidR="00AE2057" w:rsidRPr="00F4671E">
              <w:rPr>
                <w:rFonts w:ascii="Arial" w:hAnsi="Arial" w:cs="Arial"/>
                <w:noProof/>
                <w:webHidden/>
                <w:sz w:val="22"/>
                <w:szCs w:val="22"/>
              </w:rPr>
              <w:fldChar w:fldCharType="separate"/>
            </w:r>
            <w:r w:rsidR="00AE2057" w:rsidRPr="00F4671E">
              <w:rPr>
                <w:rFonts w:ascii="Arial" w:hAnsi="Arial" w:cs="Arial"/>
                <w:noProof/>
                <w:webHidden/>
                <w:sz w:val="22"/>
                <w:szCs w:val="22"/>
              </w:rPr>
              <w:t>2</w:t>
            </w:r>
            <w:r w:rsidR="00AE2057" w:rsidRPr="00F4671E">
              <w:rPr>
                <w:rFonts w:ascii="Arial" w:hAnsi="Arial" w:cs="Arial"/>
                <w:noProof/>
                <w:webHidden/>
                <w:sz w:val="22"/>
                <w:szCs w:val="22"/>
              </w:rPr>
              <w:fldChar w:fldCharType="end"/>
            </w:r>
          </w:hyperlink>
        </w:p>
        <w:p w14:paraId="5818EC20" w14:textId="77777777" w:rsidR="00AE2057" w:rsidRPr="00F4671E" w:rsidRDefault="00A0583E" w:rsidP="00AE2057">
          <w:pPr>
            <w:pStyle w:val="TOC1"/>
            <w:tabs>
              <w:tab w:val="right" w:leader="dot" w:pos="9350"/>
            </w:tabs>
            <w:spacing w:line="360" w:lineRule="auto"/>
            <w:jc w:val="both"/>
            <w:rPr>
              <w:rFonts w:ascii="Arial" w:eastAsiaTheme="minorEastAsia" w:hAnsi="Arial" w:cs="Arial"/>
              <w:noProof/>
              <w:sz w:val="22"/>
              <w:szCs w:val="22"/>
            </w:rPr>
          </w:pPr>
          <w:hyperlink w:anchor="_Toc103874946" w:history="1">
            <w:r w:rsidR="00AE2057" w:rsidRPr="00F4671E">
              <w:rPr>
                <w:rStyle w:val="Hyperlink"/>
                <w:rFonts w:ascii="Arial" w:hAnsi="Arial" w:cs="Arial"/>
                <w:noProof/>
                <w:sz w:val="22"/>
                <w:szCs w:val="22"/>
              </w:rPr>
              <w:t>Introduction</w:t>
            </w:r>
            <w:r w:rsidR="00AE2057" w:rsidRPr="00F4671E">
              <w:rPr>
                <w:rFonts w:ascii="Arial" w:hAnsi="Arial" w:cs="Arial"/>
                <w:noProof/>
                <w:webHidden/>
                <w:sz w:val="22"/>
                <w:szCs w:val="22"/>
              </w:rPr>
              <w:tab/>
            </w:r>
            <w:r w:rsidR="00AE2057" w:rsidRPr="00F4671E">
              <w:rPr>
                <w:rFonts w:ascii="Arial" w:hAnsi="Arial" w:cs="Arial"/>
                <w:noProof/>
                <w:webHidden/>
                <w:sz w:val="22"/>
                <w:szCs w:val="22"/>
              </w:rPr>
              <w:fldChar w:fldCharType="begin"/>
            </w:r>
            <w:r w:rsidR="00AE2057" w:rsidRPr="00F4671E">
              <w:rPr>
                <w:rFonts w:ascii="Arial" w:hAnsi="Arial" w:cs="Arial"/>
                <w:noProof/>
                <w:webHidden/>
                <w:sz w:val="22"/>
                <w:szCs w:val="22"/>
              </w:rPr>
              <w:instrText xml:space="preserve"> PAGEREF _Toc103874946 \h </w:instrText>
            </w:r>
            <w:r w:rsidR="00AE2057" w:rsidRPr="00F4671E">
              <w:rPr>
                <w:rFonts w:ascii="Arial" w:hAnsi="Arial" w:cs="Arial"/>
                <w:noProof/>
                <w:webHidden/>
                <w:sz w:val="22"/>
                <w:szCs w:val="22"/>
              </w:rPr>
            </w:r>
            <w:r w:rsidR="00AE2057" w:rsidRPr="00F4671E">
              <w:rPr>
                <w:rFonts w:ascii="Arial" w:hAnsi="Arial" w:cs="Arial"/>
                <w:noProof/>
                <w:webHidden/>
                <w:sz w:val="22"/>
                <w:szCs w:val="22"/>
              </w:rPr>
              <w:fldChar w:fldCharType="separate"/>
            </w:r>
            <w:r w:rsidR="00AE2057" w:rsidRPr="00F4671E">
              <w:rPr>
                <w:rFonts w:ascii="Arial" w:hAnsi="Arial" w:cs="Arial"/>
                <w:noProof/>
                <w:webHidden/>
                <w:sz w:val="22"/>
                <w:szCs w:val="22"/>
              </w:rPr>
              <w:t>4</w:t>
            </w:r>
            <w:r w:rsidR="00AE2057" w:rsidRPr="00F4671E">
              <w:rPr>
                <w:rFonts w:ascii="Arial" w:hAnsi="Arial" w:cs="Arial"/>
                <w:noProof/>
                <w:webHidden/>
                <w:sz w:val="22"/>
                <w:szCs w:val="22"/>
              </w:rPr>
              <w:fldChar w:fldCharType="end"/>
            </w:r>
          </w:hyperlink>
        </w:p>
        <w:p w14:paraId="4F276031" w14:textId="77777777" w:rsidR="00AE2057" w:rsidRPr="00F4671E" w:rsidRDefault="00A0583E" w:rsidP="00AE2057">
          <w:pPr>
            <w:pStyle w:val="TOC1"/>
            <w:tabs>
              <w:tab w:val="right" w:leader="dot" w:pos="9350"/>
            </w:tabs>
            <w:spacing w:line="360" w:lineRule="auto"/>
            <w:jc w:val="both"/>
            <w:rPr>
              <w:rFonts w:ascii="Arial" w:eastAsiaTheme="minorEastAsia" w:hAnsi="Arial" w:cs="Arial"/>
              <w:noProof/>
              <w:sz w:val="22"/>
              <w:szCs w:val="22"/>
            </w:rPr>
          </w:pPr>
          <w:hyperlink w:anchor="_Toc103874947" w:history="1">
            <w:r w:rsidR="00AE2057" w:rsidRPr="00F4671E">
              <w:rPr>
                <w:rStyle w:val="Hyperlink"/>
                <w:rFonts w:ascii="Arial" w:hAnsi="Arial" w:cs="Arial"/>
                <w:noProof/>
                <w:sz w:val="22"/>
                <w:szCs w:val="22"/>
              </w:rPr>
              <w:t>Financial Analysis</w:t>
            </w:r>
            <w:r w:rsidR="00AE2057" w:rsidRPr="00F4671E">
              <w:rPr>
                <w:rFonts w:ascii="Arial" w:hAnsi="Arial" w:cs="Arial"/>
                <w:noProof/>
                <w:webHidden/>
                <w:sz w:val="22"/>
                <w:szCs w:val="22"/>
              </w:rPr>
              <w:tab/>
            </w:r>
            <w:r w:rsidR="00AE2057" w:rsidRPr="00F4671E">
              <w:rPr>
                <w:rFonts w:ascii="Arial" w:hAnsi="Arial" w:cs="Arial"/>
                <w:noProof/>
                <w:webHidden/>
                <w:sz w:val="22"/>
                <w:szCs w:val="22"/>
              </w:rPr>
              <w:fldChar w:fldCharType="begin"/>
            </w:r>
            <w:r w:rsidR="00AE2057" w:rsidRPr="00F4671E">
              <w:rPr>
                <w:rFonts w:ascii="Arial" w:hAnsi="Arial" w:cs="Arial"/>
                <w:noProof/>
                <w:webHidden/>
                <w:sz w:val="22"/>
                <w:szCs w:val="22"/>
              </w:rPr>
              <w:instrText xml:space="preserve"> PAGEREF _Toc103874947 \h </w:instrText>
            </w:r>
            <w:r w:rsidR="00AE2057" w:rsidRPr="00F4671E">
              <w:rPr>
                <w:rFonts w:ascii="Arial" w:hAnsi="Arial" w:cs="Arial"/>
                <w:noProof/>
                <w:webHidden/>
                <w:sz w:val="22"/>
                <w:szCs w:val="22"/>
              </w:rPr>
            </w:r>
            <w:r w:rsidR="00AE2057" w:rsidRPr="00F4671E">
              <w:rPr>
                <w:rFonts w:ascii="Arial" w:hAnsi="Arial" w:cs="Arial"/>
                <w:noProof/>
                <w:webHidden/>
                <w:sz w:val="22"/>
                <w:szCs w:val="22"/>
              </w:rPr>
              <w:fldChar w:fldCharType="separate"/>
            </w:r>
            <w:r w:rsidR="00AE2057" w:rsidRPr="00F4671E">
              <w:rPr>
                <w:rFonts w:ascii="Arial" w:hAnsi="Arial" w:cs="Arial"/>
                <w:noProof/>
                <w:webHidden/>
                <w:sz w:val="22"/>
                <w:szCs w:val="22"/>
              </w:rPr>
              <w:t>5</w:t>
            </w:r>
            <w:r w:rsidR="00AE2057" w:rsidRPr="00F4671E">
              <w:rPr>
                <w:rFonts w:ascii="Arial" w:hAnsi="Arial" w:cs="Arial"/>
                <w:noProof/>
                <w:webHidden/>
                <w:sz w:val="22"/>
                <w:szCs w:val="22"/>
              </w:rPr>
              <w:fldChar w:fldCharType="end"/>
            </w:r>
          </w:hyperlink>
        </w:p>
        <w:p w14:paraId="34A2061A" w14:textId="77777777" w:rsidR="00AE2057" w:rsidRPr="00F4671E" w:rsidRDefault="00A0583E" w:rsidP="00AE2057">
          <w:pPr>
            <w:pStyle w:val="TOC1"/>
            <w:tabs>
              <w:tab w:val="right" w:leader="dot" w:pos="9350"/>
            </w:tabs>
            <w:spacing w:line="360" w:lineRule="auto"/>
            <w:jc w:val="both"/>
            <w:rPr>
              <w:rFonts w:ascii="Arial" w:eastAsiaTheme="minorEastAsia" w:hAnsi="Arial" w:cs="Arial"/>
              <w:noProof/>
              <w:sz w:val="22"/>
              <w:szCs w:val="22"/>
            </w:rPr>
          </w:pPr>
          <w:hyperlink w:anchor="_Toc103874948" w:history="1">
            <w:r w:rsidR="00AE2057" w:rsidRPr="00F4671E">
              <w:rPr>
                <w:rStyle w:val="Hyperlink"/>
                <w:rFonts w:ascii="Arial" w:hAnsi="Arial" w:cs="Arial"/>
                <w:noProof/>
                <w:sz w:val="22"/>
                <w:szCs w:val="22"/>
              </w:rPr>
              <w:t>Financial Analysis Trends</w:t>
            </w:r>
            <w:r w:rsidR="00AE2057" w:rsidRPr="00F4671E">
              <w:rPr>
                <w:rFonts w:ascii="Arial" w:hAnsi="Arial" w:cs="Arial"/>
                <w:noProof/>
                <w:webHidden/>
                <w:sz w:val="22"/>
                <w:szCs w:val="22"/>
              </w:rPr>
              <w:tab/>
            </w:r>
            <w:r w:rsidR="00AE2057" w:rsidRPr="00F4671E">
              <w:rPr>
                <w:rFonts w:ascii="Arial" w:hAnsi="Arial" w:cs="Arial"/>
                <w:noProof/>
                <w:webHidden/>
                <w:sz w:val="22"/>
                <w:szCs w:val="22"/>
              </w:rPr>
              <w:fldChar w:fldCharType="begin"/>
            </w:r>
            <w:r w:rsidR="00AE2057" w:rsidRPr="00F4671E">
              <w:rPr>
                <w:rFonts w:ascii="Arial" w:hAnsi="Arial" w:cs="Arial"/>
                <w:noProof/>
                <w:webHidden/>
                <w:sz w:val="22"/>
                <w:szCs w:val="22"/>
              </w:rPr>
              <w:instrText xml:space="preserve"> PAGEREF _Toc103874948 \h </w:instrText>
            </w:r>
            <w:r w:rsidR="00AE2057" w:rsidRPr="00F4671E">
              <w:rPr>
                <w:rFonts w:ascii="Arial" w:hAnsi="Arial" w:cs="Arial"/>
                <w:noProof/>
                <w:webHidden/>
                <w:sz w:val="22"/>
                <w:szCs w:val="22"/>
              </w:rPr>
            </w:r>
            <w:r w:rsidR="00AE2057" w:rsidRPr="00F4671E">
              <w:rPr>
                <w:rFonts w:ascii="Arial" w:hAnsi="Arial" w:cs="Arial"/>
                <w:noProof/>
                <w:webHidden/>
                <w:sz w:val="22"/>
                <w:szCs w:val="22"/>
              </w:rPr>
              <w:fldChar w:fldCharType="separate"/>
            </w:r>
            <w:r w:rsidR="00AE2057" w:rsidRPr="00F4671E">
              <w:rPr>
                <w:rFonts w:ascii="Arial" w:hAnsi="Arial" w:cs="Arial"/>
                <w:noProof/>
                <w:webHidden/>
                <w:sz w:val="22"/>
                <w:szCs w:val="22"/>
              </w:rPr>
              <w:t>6</w:t>
            </w:r>
            <w:r w:rsidR="00AE2057" w:rsidRPr="00F4671E">
              <w:rPr>
                <w:rFonts w:ascii="Arial" w:hAnsi="Arial" w:cs="Arial"/>
                <w:noProof/>
                <w:webHidden/>
                <w:sz w:val="22"/>
                <w:szCs w:val="22"/>
              </w:rPr>
              <w:fldChar w:fldCharType="end"/>
            </w:r>
          </w:hyperlink>
        </w:p>
        <w:p w14:paraId="46D0E62B" w14:textId="77777777" w:rsidR="00AE2057" w:rsidRPr="00F4671E" w:rsidRDefault="00A0583E" w:rsidP="00AE2057">
          <w:pPr>
            <w:pStyle w:val="TOC1"/>
            <w:tabs>
              <w:tab w:val="right" w:leader="dot" w:pos="9350"/>
            </w:tabs>
            <w:spacing w:line="360" w:lineRule="auto"/>
            <w:jc w:val="both"/>
            <w:rPr>
              <w:rFonts w:ascii="Arial" w:eastAsiaTheme="minorEastAsia" w:hAnsi="Arial" w:cs="Arial"/>
              <w:noProof/>
              <w:sz w:val="22"/>
              <w:szCs w:val="22"/>
            </w:rPr>
          </w:pPr>
          <w:hyperlink w:anchor="_Toc103874949" w:history="1">
            <w:r w:rsidR="00AE2057" w:rsidRPr="00F4671E">
              <w:rPr>
                <w:rStyle w:val="Hyperlink"/>
                <w:rFonts w:ascii="Arial" w:hAnsi="Arial" w:cs="Arial"/>
                <w:noProof/>
                <w:sz w:val="22"/>
                <w:szCs w:val="22"/>
              </w:rPr>
              <w:t>Benefits and Limitations of Ratio Analysis</w:t>
            </w:r>
            <w:r w:rsidR="00AE2057" w:rsidRPr="00F4671E">
              <w:rPr>
                <w:rFonts w:ascii="Arial" w:hAnsi="Arial" w:cs="Arial"/>
                <w:noProof/>
                <w:webHidden/>
                <w:sz w:val="22"/>
                <w:szCs w:val="22"/>
              </w:rPr>
              <w:tab/>
            </w:r>
            <w:r w:rsidR="00AE2057" w:rsidRPr="00F4671E">
              <w:rPr>
                <w:rFonts w:ascii="Arial" w:hAnsi="Arial" w:cs="Arial"/>
                <w:noProof/>
                <w:webHidden/>
                <w:sz w:val="22"/>
                <w:szCs w:val="22"/>
              </w:rPr>
              <w:fldChar w:fldCharType="begin"/>
            </w:r>
            <w:r w:rsidR="00AE2057" w:rsidRPr="00F4671E">
              <w:rPr>
                <w:rFonts w:ascii="Arial" w:hAnsi="Arial" w:cs="Arial"/>
                <w:noProof/>
                <w:webHidden/>
                <w:sz w:val="22"/>
                <w:szCs w:val="22"/>
              </w:rPr>
              <w:instrText xml:space="preserve"> PAGEREF _Toc103874949 \h </w:instrText>
            </w:r>
            <w:r w:rsidR="00AE2057" w:rsidRPr="00F4671E">
              <w:rPr>
                <w:rFonts w:ascii="Arial" w:hAnsi="Arial" w:cs="Arial"/>
                <w:noProof/>
                <w:webHidden/>
                <w:sz w:val="22"/>
                <w:szCs w:val="22"/>
              </w:rPr>
            </w:r>
            <w:r w:rsidR="00AE2057" w:rsidRPr="00F4671E">
              <w:rPr>
                <w:rFonts w:ascii="Arial" w:hAnsi="Arial" w:cs="Arial"/>
                <w:noProof/>
                <w:webHidden/>
                <w:sz w:val="22"/>
                <w:szCs w:val="22"/>
              </w:rPr>
              <w:fldChar w:fldCharType="separate"/>
            </w:r>
            <w:r w:rsidR="00AE2057" w:rsidRPr="00F4671E">
              <w:rPr>
                <w:rFonts w:ascii="Arial" w:hAnsi="Arial" w:cs="Arial"/>
                <w:noProof/>
                <w:webHidden/>
                <w:sz w:val="22"/>
                <w:szCs w:val="22"/>
              </w:rPr>
              <w:t>7</w:t>
            </w:r>
            <w:r w:rsidR="00AE2057" w:rsidRPr="00F4671E">
              <w:rPr>
                <w:rFonts w:ascii="Arial" w:hAnsi="Arial" w:cs="Arial"/>
                <w:noProof/>
                <w:webHidden/>
                <w:sz w:val="22"/>
                <w:szCs w:val="22"/>
              </w:rPr>
              <w:fldChar w:fldCharType="end"/>
            </w:r>
          </w:hyperlink>
        </w:p>
        <w:p w14:paraId="571AC77A" w14:textId="77777777" w:rsidR="00AE2057" w:rsidRPr="00F4671E" w:rsidRDefault="00A0583E" w:rsidP="00AE2057">
          <w:pPr>
            <w:pStyle w:val="TOC1"/>
            <w:tabs>
              <w:tab w:val="right" w:leader="dot" w:pos="9350"/>
            </w:tabs>
            <w:spacing w:line="360" w:lineRule="auto"/>
            <w:jc w:val="both"/>
            <w:rPr>
              <w:rFonts w:ascii="Arial" w:eastAsiaTheme="minorEastAsia" w:hAnsi="Arial" w:cs="Arial"/>
              <w:noProof/>
              <w:sz w:val="22"/>
              <w:szCs w:val="22"/>
            </w:rPr>
          </w:pPr>
          <w:hyperlink w:anchor="_Toc103874950" w:history="1">
            <w:r w:rsidR="00AE2057" w:rsidRPr="00F4671E">
              <w:rPr>
                <w:rStyle w:val="Hyperlink"/>
                <w:rFonts w:ascii="Arial" w:hAnsi="Arial" w:cs="Arial"/>
                <w:noProof/>
                <w:sz w:val="22"/>
                <w:szCs w:val="22"/>
              </w:rPr>
              <w:t>Conclusion</w:t>
            </w:r>
            <w:r w:rsidR="00AE2057" w:rsidRPr="00F4671E">
              <w:rPr>
                <w:rFonts w:ascii="Arial" w:hAnsi="Arial" w:cs="Arial"/>
                <w:noProof/>
                <w:webHidden/>
                <w:sz w:val="22"/>
                <w:szCs w:val="22"/>
              </w:rPr>
              <w:tab/>
            </w:r>
            <w:r w:rsidR="00AE2057" w:rsidRPr="00F4671E">
              <w:rPr>
                <w:rFonts w:ascii="Arial" w:hAnsi="Arial" w:cs="Arial"/>
                <w:noProof/>
                <w:webHidden/>
                <w:sz w:val="22"/>
                <w:szCs w:val="22"/>
              </w:rPr>
              <w:fldChar w:fldCharType="begin"/>
            </w:r>
            <w:r w:rsidR="00AE2057" w:rsidRPr="00F4671E">
              <w:rPr>
                <w:rFonts w:ascii="Arial" w:hAnsi="Arial" w:cs="Arial"/>
                <w:noProof/>
                <w:webHidden/>
                <w:sz w:val="22"/>
                <w:szCs w:val="22"/>
              </w:rPr>
              <w:instrText xml:space="preserve"> PAGEREF _Toc103874950 \h </w:instrText>
            </w:r>
            <w:r w:rsidR="00AE2057" w:rsidRPr="00F4671E">
              <w:rPr>
                <w:rFonts w:ascii="Arial" w:hAnsi="Arial" w:cs="Arial"/>
                <w:noProof/>
                <w:webHidden/>
                <w:sz w:val="22"/>
                <w:szCs w:val="22"/>
              </w:rPr>
            </w:r>
            <w:r w:rsidR="00AE2057" w:rsidRPr="00F4671E">
              <w:rPr>
                <w:rFonts w:ascii="Arial" w:hAnsi="Arial" w:cs="Arial"/>
                <w:noProof/>
                <w:webHidden/>
                <w:sz w:val="22"/>
                <w:szCs w:val="22"/>
              </w:rPr>
              <w:fldChar w:fldCharType="separate"/>
            </w:r>
            <w:r w:rsidR="00AE2057" w:rsidRPr="00F4671E">
              <w:rPr>
                <w:rFonts w:ascii="Arial" w:hAnsi="Arial" w:cs="Arial"/>
                <w:noProof/>
                <w:webHidden/>
                <w:sz w:val="22"/>
                <w:szCs w:val="22"/>
              </w:rPr>
              <w:t>11</w:t>
            </w:r>
            <w:r w:rsidR="00AE2057" w:rsidRPr="00F4671E">
              <w:rPr>
                <w:rFonts w:ascii="Arial" w:hAnsi="Arial" w:cs="Arial"/>
                <w:noProof/>
                <w:webHidden/>
                <w:sz w:val="22"/>
                <w:szCs w:val="22"/>
              </w:rPr>
              <w:fldChar w:fldCharType="end"/>
            </w:r>
          </w:hyperlink>
        </w:p>
        <w:p w14:paraId="39637494" w14:textId="77777777" w:rsidR="00AE2057" w:rsidRPr="00AE2057" w:rsidRDefault="00A0583E" w:rsidP="00AE2057">
          <w:pPr>
            <w:pStyle w:val="TOC1"/>
            <w:tabs>
              <w:tab w:val="right" w:leader="dot" w:pos="9350"/>
            </w:tabs>
            <w:spacing w:line="360" w:lineRule="auto"/>
            <w:jc w:val="both"/>
            <w:rPr>
              <w:rFonts w:ascii="Arial" w:eastAsiaTheme="minorEastAsia" w:hAnsi="Arial" w:cs="Arial"/>
              <w:noProof/>
              <w:sz w:val="24"/>
              <w:szCs w:val="24"/>
            </w:rPr>
          </w:pPr>
          <w:hyperlink w:anchor="_Toc103874951" w:history="1">
            <w:r w:rsidR="00AE2057" w:rsidRPr="00F4671E">
              <w:rPr>
                <w:rStyle w:val="Hyperlink"/>
                <w:rFonts w:ascii="Arial" w:hAnsi="Arial" w:cs="Arial"/>
                <w:noProof/>
                <w:sz w:val="22"/>
                <w:szCs w:val="22"/>
              </w:rPr>
              <w:t>Bibliography</w:t>
            </w:r>
            <w:r w:rsidR="00AE2057" w:rsidRPr="00F4671E">
              <w:rPr>
                <w:rFonts w:ascii="Arial" w:hAnsi="Arial" w:cs="Arial"/>
                <w:noProof/>
                <w:webHidden/>
                <w:sz w:val="22"/>
                <w:szCs w:val="22"/>
              </w:rPr>
              <w:tab/>
            </w:r>
            <w:r w:rsidR="00AE2057" w:rsidRPr="00F4671E">
              <w:rPr>
                <w:rFonts w:ascii="Arial" w:hAnsi="Arial" w:cs="Arial"/>
                <w:noProof/>
                <w:webHidden/>
                <w:sz w:val="22"/>
                <w:szCs w:val="22"/>
              </w:rPr>
              <w:fldChar w:fldCharType="begin"/>
            </w:r>
            <w:r w:rsidR="00AE2057" w:rsidRPr="00F4671E">
              <w:rPr>
                <w:rFonts w:ascii="Arial" w:hAnsi="Arial" w:cs="Arial"/>
                <w:noProof/>
                <w:webHidden/>
                <w:sz w:val="22"/>
                <w:szCs w:val="22"/>
              </w:rPr>
              <w:instrText xml:space="preserve"> PAGEREF _Toc103874951 \h </w:instrText>
            </w:r>
            <w:r w:rsidR="00AE2057" w:rsidRPr="00F4671E">
              <w:rPr>
                <w:rFonts w:ascii="Arial" w:hAnsi="Arial" w:cs="Arial"/>
                <w:noProof/>
                <w:webHidden/>
                <w:sz w:val="22"/>
                <w:szCs w:val="22"/>
              </w:rPr>
            </w:r>
            <w:r w:rsidR="00AE2057" w:rsidRPr="00F4671E">
              <w:rPr>
                <w:rFonts w:ascii="Arial" w:hAnsi="Arial" w:cs="Arial"/>
                <w:noProof/>
                <w:webHidden/>
                <w:sz w:val="22"/>
                <w:szCs w:val="22"/>
              </w:rPr>
              <w:fldChar w:fldCharType="separate"/>
            </w:r>
            <w:r w:rsidR="00AE2057" w:rsidRPr="00F4671E">
              <w:rPr>
                <w:rFonts w:ascii="Arial" w:hAnsi="Arial" w:cs="Arial"/>
                <w:noProof/>
                <w:webHidden/>
                <w:sz w:val="22"/>
                <w:szCs w:val="22"/>
              </w:rPr>
              <w:t>12</w:t>
            </w:r>
            <w:r w:rsidR="00AE2057" w:rsidRPr="00F4671E">
              <w:rPr>
                <w:rFonts w:ascii="Arial" w:hAnsi="Arial" w:cs="Arial"/>
                <w:noProof/>
                <w:webHidden/>
                <w:sz w:val="22"/>
                <w:szCs w:val="22"/>
              </w:rPr>
              <w:fldChar w:fldCharType="end"/>
            </w:r>
          </w:hyperlink>
        </w:p>
        <w:p w14:paraId="3B3B6B95" w14:textId="10DC3A20" w:rsidR="00450B9D" w:rsidRDefault="00450B9D" w:rsidP="00AE2057">
          <w:pPr>
            <w:spacing w:line="360" w:lineRule="auto"/>
            <w:jc w:val="both"/>
          </w:pPr>
          <w:r w:rsidRPr="00AE2057">
            <w:rPr>
              <w:rFonts w:ascii="Arial" w:hAnsi="Arial" w:cs="Arial"/>
              <w:b/>
              <w:bCs/>
              <w:noProof/>
              <w:sz w:val="24"/>
              <w:szCs w:val="24"/>
            </w:rPr>
            <w:fldChar w:fldCharType="end"/>
          </w:r>
        </w:p>
      </w:sdtContent>
    </w:sdt>
    <w:p w14:paraId="2CDFD554" w14:textId="77777777" w:rsidR="00CA766D" w:rsidRDefault="00CA766D">
      <w:pPr>
        <w:rPr>
          <w:rFonts w:ascii="Arial" w:eastAsiaTheme="majorEastAsia" w:hAnsi="Arial" w:cs="Arial"/>
          <w:b/>
          <w:bCs/>
          <w:color w:val="365F91" w:themeColor="accent1" w:themeShade="BF"/>
          <w:sz w:val="28"/>
          <w:szCs w:val="28"/>
        </w:rPr>
      </w:pPr>
      <w:r>
        <w:rPr>
          <w:rFonts w:ascii="Arial" w:hAnsi="Arial" w:cs="Arial"/>
        </w:rPr>
        <w:br w:type="page"/>
      </w:r>
    </w:p>
    <w:p w14:paraId="2C44ECD8" w14:textId="136BE293" w:rsidR="00DA3A08" w:rsidRPr="007250FA" w:rsidRDefault="00430C57" w:rsidP="00430C57">
      <w:pPr>
        <w:pStyle w:val="Heading1"/>
        <w:spacing w:line="360" w:lineRule="auto"/>
        <w:jc w:val="both"/>
        <w:rPr>
          <w:rFonts w:ascii="Arial" w:hAnsi="Arial" w:cs="Arial"/>
        </w:rPr>
      </w:pPr>
      <w:bookmarkStart w:id="2" w:name="_Toc103874946"/>
      <w:r w:rsidRPr="007250FA">
        <w:rPr>
          <w:rFonts w:ascii="Arial" w:hAnsi="Arial" w:cs="Arial"/>
        </w:rPr>
        <w:lastRenderedPageBreak/>
        <w:t>Introduction</w:t>
      </w:r>
      <w:bookmarkEnd w:id="1"/>
      <w:bookmarkEnd w:id="2"/>
    </w:p>
    <w:p w14:paraId="6B3EDF53" w14:textId="3A2A0B2B" w:rsidR="00891CA5" w:rsidRPr="007250FA" w:rsidRDefault="00891CA5" w:rsidP="00B207B8">
      <w:pPr>
        <w:spacing w:line="360" w:lineRule="auto"/>
        <w:jc w:val="both"/>
        <w:rPr>
          <w:rFonts w:ascii="Arial" w:hAnsi="Arial" w:cs="Arial"/>
          <w:sz w:val="22"/>
        </w:rPr>
      </w:pPr>
      <w:r w:rsidRPr="007250FA">
        <w:rPr>
          <w:rFonts w:ascii="Arial" w:hAnsi="Arial" w:cs="Arial"/>
          <w:sz w:val="22"/>
        </w:rPr>
        <w:t>Ratio analysis</w:t>
      </w:r>
      <w:r w:rsidR="00B207B8" w:rsidRPr="007250FA">
        <w:rPr>
          <w:rFonts w:ascii="Arial" w:hAnsi="Arial" w:cs="Arial"/>
          <w:sz w:val="22"/>
        </w:rPr>
        <w:t xml:space="preserve"> is one of the most significant </w:t>
      </w:r>
      <w:r w:rsidR="00A033E8" w:rsidRPr="007250FA">
        <w:rPr>
          <w:rFonts w:ascii="Arial" w:hAnsi="Arial" w:cs="Arial"/>
          <w:sz w:val="22"/>
        </w:rPr>
        <w:t>tools</w:t>
      </w:r>
      <w:r w:rsidR="00B207B8" w:rsidRPr="007250FA">
        <w:rPr>
          <w:rFonts w:ascii="Arial" w:hAnsi="Arial" w:cs="Arial"/>
          <w:sz w:val="22"/>
        </w:rPr>
        <w:t xml:space="preserve"> of financial management in simplifying and analyzing financial statements. </w:t>
      </w:r>
      <w:r w:rsidR="00A033E8" w:rsidRPr="007250FA">
        <w:rPr>
          <w:rFonts w:ascii="Arial" w:hAnsi="Arial" w:cs="Arial"/>
          <w:sz w:val="22"/>
        </w:rPr>
        <w:t>Management, investors, analyst and other stakeholders use this tool to take decisions. Ratios can be used for horizontal analysis or vertical analysis as well as analysis of liquidity, efficiency, profitability, solvency, leverage, etc</w:t>
      </w:r>
      <w:r w:rsidR="006435BD" w:rsidRPr="007250FA">
        <w:rPr>
          <w:rFonts w:ascii="Arial" w:hAnsi="Arial" w:cs="Arial"/>
          <w:sz w:val="22"/>
        </w:rPr>
        <w:t>.</w:t>
      </w:r>
      <w:sdt>
        <w:sdtPr>
          <w:rPr>
            <w:rFonts w:ascii="Arial" w:hAnsi="Arial" w:cs="Arial"/>
            <w:sz w:val="22"/>
          </w:rPr>
          <w:id w:val="925615972"/>
          <w:citation/>
        </w:sdtPr>
        <w:sdtEndPr/>
        <w:sdtContent>
          <w:r w:rsidR="006435BD" w:rsidRPr="007250FA">
            <w:rPr>
              <w:rFonts w:ascii="Arial" w:hAnsi="Arial" w:cs="Arial"/>
              <w:sz w:val="22"/>
            </w:rPr>
            <w:fldChar w:fldCharType="begin"/>
          </w:r>
          <w:r w:rsidR="006435BD" w:rsidRPr="007250FA">
            <w:rPr>
              <w:rFonts w:ascii="Arial" w:hAnsi="Arial" w:cs="Arial"/>
              <w:sz w:val="22"/>
            </w:rPr>
            <w:instrText xml:space="preserve"> CITATION Dav201 \l 1033 </w:instrText>
          </w:r>
          <w:r w:rsidR="006435BD" w:rsidRPr="007250FA">
            <w:rPr>
              <w:rFonts w:ascii="Arial" w:hAnsi="Arial" w:cs="Arial"/>
              <w:sz w:val="22"/>
            </w:rPr>
            <w:fldChar w:fldCharType="separate"/>
          </w:r>
          <w:r w:rsidR="00775B36">
            <w:rPr>
              <w:rFonts w:ascii="Arial" w:hAnsi="Arial" w:cs="Arial"/>
              <w:noProof/>
              <w:sz w:val="22"/>
            </w:rPr>
            <w:t xml:space="preserve"> </w:t>
          </w:r>
          <w:r w:rsidR="00775B36" w:rsidRPr="00775B36">
            <w:rPr>
              <w:rFonts w:ascii="Arial" w:hAnsi="Arial" w:cs="Arial"/>
              <w:noProof/>
              <w:sz w:val="22"/>
            </w:rPr>
            <w:t>(Davidson, 2020)</w:t>
          </w:r>
          <w:r w:rsidR="006435BD" w:rsidRPr="007250FA">
            <w:rPr>
              <w:rFonts w:ascii="Arial" w:hAnsi="Arial" w:cs="Arial"/>
              <w:sz w:val="22"/>
            </w:rPr>
            <w:fldChar w:fldCharType="end"/>
          </w:r>
        </w:sdtContent>
      </w:sdt>
      <w:r w:rsidR="00A033E8" w:rsidRPr="007250FA">
        <w:rPr>
          <w:rFonts w:ascii="Arial" w:hAnsi="Arial" w:cs="Arial"/>
          <w:sz w:val="22"/>
        </w:rPr>
        <w:t xml:space="preserve">. The report provides practical and theoretical understanding of ratio analysis briefly. The horizontal analysis of Hilton Worldwide Holdings Inc. (HLT) is shown in this report. The advantages and limitations of ratio analysis are briefly discussed. </w:t>
      </w:r>
    </w:p>
    <w:p w14:paraId="660A7095" w14:textId="77777777" w:rsidR="00793F3F" w:rsidRPr="007250FA" w:rsidRDefault="00793F3F">
      <w:pPr>
        <w:rPr>
          <w:rFonts w:ascii="Arial" w:eastAsiaTheme="majorEastAsia" w:hAnsi="Arial" w:cs="Arial"/>
          <w:b/>
          <w:bCs/>
          <w:color w:val="365F91" w:themeColor="accent1" w:themeShade="BF"/>
          <w:sz w:val="28"/>
          <w:szCs w:val="28"/>
        </w:rPr>
      </w:pPr>
      <w:r w:rsidRPr="007250FA">
        <w:rPr>
          <w:rFonts w:ascii="Arial" w:hAnsi="Arial" w:cs="Arial"/>
        </w:rPr>
        <w:br w:type="page"/>
      </w:r>
    </w:p>
    <w:p w14:paraId="56DC2067" w14:textId="77777777" w:rsidR="00CA766D" w:rsidRDefault="00CA766D" w:rsidP="009D37DC">
      <w:pPr>
        <w:pStyle w:val="Heading1"/>
        <w:spacing w:line="360" w:lineRule="auto"/>
      </w:pPr>
      <w:bookmarkStart w:id="3" w:name="_Toc103874947"/>
      <w:bookmarkStart w:id="4" w:name="_Toc103558502"/>
      <w:r>
        <w:lastRenderedPageBreak/>
        <w:t>Financial Analysis</w:t>
      </w:r>
      <w:bookmarkEnd w:id="3"/>
    </w:p>
    <w:p w14:paraId="65406552" w14:textId="5096B6D9" w:rsidR="009D37DC" w:rsidRPr="007250FA" w:rsidRDefault="009D37DC" w:rsidP="009D37DC">
      <w:pPr>
        <w:spacing w:line="360" w:lineRule="auto"/>
        <w:jc w:val="both"/>
        <w:rPr>
          <w:rFonts w:ascii="Arial" w:hAnsi="Arial" w:cs="Arial"/>
          <w:sz w:val="22"/>
          <w:szCs w:val="24"/>
        </w:rPr>
      </w:pPr>
      <w:r w:rsidRPr="007250FA">
        <w:rPr>
          <w:rFonts w:ascii="Arial" w:hAnsi="Arial" w:cs="Arial"/>
          <w:sz w:val="22"/>
          <w:szCs w:val="24"/>
        </w:rPr>
        <w:t>Horizontal analysis of financial statement refers to determining the change in financial statements over two or more than two periods. The percentage changes of components of financial statements are calculated to find out the pattern of change. It is a good measure of progress of business entity. By horizontal analysis, entity can find out by what percentage the assets, liabilities, income, expense, equity and their components changed from prior year</w:t>
      </w:r>
      <w:sdt>
        <w:sdtPr>
          <w:rPr>
            <w:rFonts w:ascii="Arial" w:hAnsi="Arial" w:cs="Arial"/>
            <w:sz w:val="22"/>
            <w:szCs w:val="24"/>
          </w:rPr>
          <w:id w:val="-173334812"/>
          <w:citation/>
        </w:sdtPr>
        <w:sdtEndPr/>
        <w:sdtContent>
          <w:r w:rsidRPr="007250FA">
            <w:rPr>
              <w:rFonts w:ascii="Arial" w:hAnsi="Arial" w:cs="Arial"/>
              <w:sz w:val="22"/>
              <w:szCs w:val="24"/>
            </w:rPr>
            <w:fldChar w:fldCharType="begin"/>
          </w:r>
          <w:r w:rsidRPr="007250FA">
            <w:rPr>
              <w:rFonts w:ascii="Arial" w:hAnsi="Arial" w:cs="Arial"/>
              <w:sz w:val="22"/>
              <w:szCs w:val="24"/>
            </w:rPr>
            <w:instrText xml:space="preserve"> CITATION Ach21 \l 1033 </w:instrText>
          </w:r>
          <w:r w:rsidRPr="007250FA">
            <w:rPr>
              <w:rFonts w:ascii="Arial" w:hAnsi="Arial" w:cs="Arial"/>
              <w:sz w:val="22"/>
              <w:szCs w:val="24"/>
            </w:rPr>
            <w:fldChar w:fldCharType="separate"/>
          </w:r>
          <w:r w:rsidR="00775B36">
            <w:rPr>
              <w:rFonts w:ascii="Arial" w:hAnsi="Arial" w:cs="Arial"/>
              <w:noProof/>
              <w:sz w:val="22"/>
              <w:szCs w:val="24"/>
            </w:rPr>
            <w:t xml:space="preserve"> </w:t>
          </w:r>
          <w:r w:rsidR="00775B36" w:rsidRPr="00775B36">
            <w:rPr>
              <w:rFonts w:ascii="Arial" w:hAnsi="Arial" w:cs="Arial"/>
              <w:noProof/>
              <w:sz w:val="22"/>
              <w:szCs w:val="24"/>
            </w:rPr>
            <w:t>(Fajar, 2021)</w:t>
          </w:r>
          <w:r w:rsidRPr="007250FA">
            <w:rPr>
              <w:rFonts w:ascii="Arial" w:hAnsi="Arial" w:cs="Arial"/>
              <w:sz w:val="22"/>
              <w:szCs w:val="24"/>
            </w:rPr>
            <w:fldChar w:fldCharType="end"/>
          </w:r>
        </w:sdtContent>
      </w:sdt>
      <w:r w:rsidRPr="007250FA">
        <w:rPr>
          <w:rFonts w:ascii="Arial" w:hAnsi="Arial" w:cs="Arial"/>
          <w:sz w:val="22"/>
          <w:szCs w:val="24"/>
        </w:rPr>
        <w:t xml:space="preserve">. </w:t>
      </w:r>
    </w:p>
    <w:p w14:paraId="76A6EF9C" w14:textId="51D44BE4" w:rsidR="009D37DC" w:rsidRPr="009D37DC" w:rsidRDefault="009D37DC" w:rsidP="009D37DC">
      <w:pPr>
        <w:spacing w:line="360" w:lineRule="auto"/>
        <w:jc w:val="both"/>
        <w:rPr>
          <w:rFonts w:ascii="Arial" w:hAnsi="Arial" w:cs="Arial"/>
          <w:sz w:val="22"/>
          <w:szCs w:val="24"/>
        </w:rPr>
      </w:pPr>
      <w:r w:rsidRPr="007250FA">
        <w:rPr>
          <w:rFonts w:ascii="Arial" w:hAnsi="Arial" w:cs="Arial"/>
          <w:sz w:val="22"/>
          <w:szCs w:val="24"/>
        </w:rPr>
        <w:t>The horizontal analysis of Hilton Worldwide Holdings Inc. (HLT) is calculated and interpreted below. First, horizontal ratios of income statement of HLT are given by:</w:t>
      </w:r>
    </w:p>
    <w:tbl>
      <w:tblPr>
        <w:tblW w:w="9413" w:type="dxa"/>
        <w:tblInd w:w="93" w:type="dxa"/>
        <w:tblLook w:val="04A0" w:firstRow="1" w:lastRow="0" w:firstColumn="1" w:lastColumn="0" w:noHBand="0" w:noVBand="1"/>
      </w:tblPr>
      <w:tblGrid>
        <w:gridCol w:w="2985"/>
        <w:gridCol w:w="1620"/>
        <w:gridCol w:w="1620"/>
        <w:gridCol w:w="1980"/>
        <w:gridCol w:w="1208"/>
      </w:tblGrid>
      <w:tr w:rsidR="009D37DC" w:rsidRPr="007250FA" w14:paraId="63ECAA3A" w14:textId="77777777" w:rsidTr="00930E61">
        <w:trPr>
          <w:trHeight w:val="481"/>
        </w:trPr>
        <w:tc>
          <w:tcPr>
            <w:tcW w:w="9413" w:type="dxa"/>
            <w:gridSpan w:val="5"/>
            <w:vMerge w:val="restart"/>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7174CDE"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t>Income statement 2019 &amp; 2020</w:t>
            </w:r>
          </w:p>
        </w:tc>
      </w:tr>
      <w:tr w:rsidR="009D37DC" w:rsidRPr="007250FA" w14:paraId="2AF47FBF" w14:textId="77777777" w:rsidTr="00930E61">
        <w:trPr>
          <w:trHeight w:val="481"/>
        </w:trPr>
        <w:tc>
          <w:tcPr>
            <w:tcW w:w="9413" w:type="dxa"/>
            <w:gridSpan w:val="5"/>
            <w:vMerge/>
            <w:tcBorders>
              <w:top w:val="single" w:sz="8" w:space="0" w:color="auto"/>
              <w:left w:val="single" w:sz="8" w:space="0" w:color="auto"/>
              <w:bottom w:val="single" w:sz="4" w:space="0" w:color="auto"/>
              <w:right w:val="single" w:sz="8" w:space="0" w:color="000000"/>
            </w:tcBorders>
            <w:vAlign w:val="center"/>
            <w:hideMark/>
          </w:tcPr>
          <w:p w14:paraId="094B5B26"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p>
        </w:tc>
      </w:tr>
      <w:tr w:rsidR="009D37DC" w:rsidRPr="007250FA" w14:paraId="1B6A4AAE" w14:textId="77777777" w:rsidTr="00930E61">
        <w:trPr>
          <w:trHeight w:val="576"/>
        </w:trPr>
        <w:tc>
          <w:tcPr>
            <w:tcW w:w="9413" w:type="dxa"/>
            <w:gridSpan w:val="5"/>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00D58C0C"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t>Hilton Worldwide Holdings Inc. (HLT)</w:t>
            </w:r>
          </w:p>
        </w:tc>
      </w:tr>
      <w:tr w:rsidR="009D37DC" w:rsidRPr="007250FA" w14:paraId="7CC9CBBE"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57BFB008"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t>Particulars</w:t>
            </w:r>
          </w:p>
        </w:tc>
        <w:tc>
          <w:tcPr>
            <w:tcW w:w="1620" w:type="dxa"/>
            <w:tcBorders>
              <w:top w:val="nil"/>
              <w:left w:val="nil"/>
              <w:bottom w:val="single" w:sz="4" w:space="0" w:color="auto"/>
              <w:right w:val="single" w:sz="4" w:space="0" w:color="auto"/>
            </w:tcBorders>
            <w:shd w:val="clear" w:color="auto" w:fill="auto"/>
            <w:noWrap/>
            <w:vAlign w:val="center"/>
            <w:hideMark/>
          </w:tcPr>
          <w:p w14:paraId="6FD0F86F"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t>2020</w:t>
            </w:r>
          </w:p>
        </w:tc>
        <w:tc>
          <w:tcPr>
            <w:tcW w:w="1620" w:type="dxa"/>
            <w:tcBorders>
              <w:top w:val="nil"/>
              <w:left w:val="nil"/>
              <w:bottom w:val="single" w:sz="4" w:space="0" w:color="auto"/>
              <w:right w:val="single" w:sz="4" w:space="0" w:color="auto"/>
            </w:tcBorders>
            <w:shd w:val="clear" w:color="auto" w:fill="auto"/>
            <w:noWrap/>
            <w:vAlign w:val="center"/>
            <w:hideMark/>
          </w:tcPr>
          <w:p w14:paraId="3ED7B475"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t>2019</w:t>
            </w:r>
          </w:p>
        </w:tc>
        <w:tc>
          <w:tcPr>
            <w:tcW w:w="1980" w:type="dxa"/>
            <w:tcBorders>
              <w:top w:val="nil"/>
              <w:left w:val="nil"/>
              <w:bottom w:val="single" w:sz="4" w:space="0" w:color="auto"/>
              <w:right w:val="single" w:sz="4" w:space="0" w:color="auto"/>
            </w:tcBorders>
            <w:shd w:val="clear" w:color="auto" w:fill="auto"/>
            <w:noWrap/>
            <w:vAlign w:val="center"/>
            <w:hideMark/>
          </w:tcPr>
          <w:p w14:paraId="7432C956"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t>Absolute change</w:t>
            </w:r>
          </w:p>
        </w:tc>
        <w:tc>
          <w:tcPr>
            <w:tcW w:w="1208" w:type="dxa"/>
            <w:tcBorders>
              <w:top w:val="nil"/>
              <w:left w:val="nil"/>
              <w:bottom w:val="single" w:sz="4" w:space="0" w:color="auto"/>
              <w:right w:val="single" w:sz="8" w:space="0" w:color="auto"/>
            </w:tcBorders>
            <w:shd w:val="clear" w:color="auto" w:fill="auto"/>
            <w:noWrap/>
            <w:vAlign w:val="center"/>
            <w:hideMark/>
          </w:tcPr>
          <w:p w14:paraId="5B62EA77"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t>% change</w:t>
            </w:r>
          </w:p>
        </w:tc>
      </w:tr>
      <w:tr w:rsidR="009D37DC" w:rsidRPr="007250FA" w14:paraId="47DAD8BA"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649A232B"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Sales </w:t>
            </w:r>
          </w:p>
        </w:tc>
        <w:tc>
          <w:tcPr>
            <w:tcW w:w="1620" w:type="dxa"/>
            <w:tcBorders>
              <w:top w:val="nil"/>
              <w:left w:val="nil"/>
              <w:bottom w:val="single" w:sz="4" w:space="0" w:color="auto"/>
              <w:right w:val="single" w:sz="4" w:space="0" w:color="auto"/>
            </w:tcBorders>
            <w:shd w:val="clear" w:color="auto" w:fill="auto"/>
            <w:noWrap/>
            <w:vAlign w:val="center"/>
            <w:hideMark/>
          </w:tcPr>
          <w:p w14:paraId="08441F3C"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4,307,000 </w:t>
            </w:r>
          </w:p>
        </w:tc>
        <w:tc>
          <w:tcPr>
            <w:tcW w:w="1620" w:type="dxa"/>
            <w:tcBorders>
              <w:top w:val="nil"/>
              <w:left w:val="nil"/>
              <w:bottom w:val="single" w:sz="4" w:space="0" w:color="auto"/>
              <w:right w:val="single" w:sz="4" w:space="0" w:color="auto"/>
            </w:tcBorders>
            <w:shd w:val="clear" w:color="auto" w:fill="auto"/>
            <w:noWrap/>
            <w:vAlign w:val="center"/>
            <w:hideMark/>
          </w:tcPr>
          <w:p w14:paraId="386F08E1"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9,452,000 </w:t>
            </w:r>
          </w:p>
        </w:tc>
        <w:tc>
          <w:tcPr>
            <w:tcW w:w="1980" w:type="dxa"/>
            <w:tcBorders>
              <w:top w:val="nil"/>
              <w:left w:val="nil"/>
              <w:bottom w:val="single" w:sz="4" w:space="0" w:color="auto"/>
              <w:right w:val="single" w:sz="4" w:space="0" w:color="auto"/>
            </w:tcBorders>
            <w:shd w:val="clear" w:color="auto" w:fill="auto"/>
            <w:noWrap/>
            <w:vAlign w:val="center"/>
            <w:hideMark/>
          </w:tcPr>
          <w:p w14:paraId="16B46F8A"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(5,145,000)</w:t>
            </w:r>
          </w:p>
        </w:tc>
        <w:tc>
          <w:tcPr>
            <w:tcW w:w="1208" w:type="dxa"/>
            <w:tcBorders>
              <w:top w:val="nil"/>
              <w:left w:val="nil"/>
              <w:bottom w:val="single" w:sz="4" w:space="0" w:color="auto"/>
              <w:right w:val="single" w:sz="8" w:space="0" w:color="auto"/>
            </w:tcBorders>
            <w:shd w:val="clear" w:color="auto" w:fill="auto"/>
            <w:noWrap/>
            <w:vAlign w:val="center"/>
            <w:hideMark/>
          </w:tcPr>
          <w:p w14:paraId="2327C5C5" w14:textId="23778016"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-54</w:t>
            </w:r>
          </w:p>
        </w:tc>
      </w:tr>
      <w:tr w:rsidR="009D37DC" w:rsidRPr="007250FA" w14:paraId="6BF3D197"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31B94052"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Cost of goods sold </w:t>
            </w:r>
          </w:p>
        </w:tc>
        <w:tc>
          <w:tcPr>
            <w:tcW w:w="1620" w:type="dxa"/>
            <w:tcBorders>
              <w:top w:val="nil"/>
              <w:left w:val="nil"/>
              <w:bottom w:val="single" w:sz="4" w:space="0" w:color="auto"/>
              <w:right w:val="single" w:sz="4" w:space="0" w:color="auto"/>
            </w:tcBorders>
            <w:shd w:val="clear" w:color="auto" w:fill="auto"/>
            <w:noWrap/>
            <w:vAlign w:val="center"/>
            <w:hideMark/>
          </w:tcPr>
          <w:p w14:paraId="2AE56115"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3,724,000 </w:t>
            </w:r>
          </w:p>
        </w:tc>
        <w:tc>
          <w:tcPr>
            <w:tcW w:w="1620" w:type="dxa"/>
            <w:tcBorders>
              <w:top w:val="nil"/>
              <w:left w:val="nil"/>
              <w:bottom w:val="single" w:sz="4" w:space="0" w:color="auto"/>
              <w:right w:val="single" w:sz="4" w:space="0" w:color="auto"/>
            </w:tcBorders>
            <w:shd w:val="clear" w:color="auto" w:fill="auto"/>
            <w:noWrap/>
            <w:vAlign w:val="center"/>
            <w:hideMark/>
          </w:tcPr>
          <w:p w14:paraId="3CCA2D8F"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7,017,000 </w:t>
            </w:r>
          </w:p>
        </w:tc>
        <w:tc>
          <w:tcPr>
            <w:tcW w:w="1980" w:type="dxa"/>
            <w:tcBorders>
              <w:top w:val="nil"/>
              <w:left w:val="nil"/>
              <w:bottom w:val="single" w:sz="4" w:space="0" w:color="auto"/>
              <w:right w:val="single" w:sz="4" w:space="0" w:color="auto"/>
            </w:tcBorders>
            <w:shd w:val="clear" w:color="auto" w:fill="auto"/>
            <w:noWrap/>
            <w:vAlign w:val="center"/>
            <w:hideMark/>
          </w:tcPr>
          <w:p w14:paraId="33429301"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(3,293,000)</w:t>
            </w:r>
          </w:p>
        </w:tc>
        <w:tc>
          <w:tcPr>
            <w:tcW w:w="1208" w:type="dxa"/>
            <w:tcBorders>
              <w:top w:val="nil"/>
              <w:left w:val="nil"/>
              <w:bottom w:val="single" w:sz="4" w:space="0" w:color="auto"/>
              <w:right w:val="single" w:sz="8" w:space="0" w:color="auto"/>
            </w:tcBorders>
            <w:shd w:val="clear" w:color="auto" w:fill="auto"/>
            <w:noWrap/>
            <w:vAlign w:val="center"/>
            <w:hideMark/>
          </w:tcPr>
          <w:p w14:paraId="1C0E4EDA" w14:textId="3A798AB5"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-47</w:t>
            </w:r>
          </w:p>
        </w:tc>
      </w:tr>
      <w:tr w:rsidR="009D37DC" w:rsidRPr="007250FA" w14:paraId="189DFC72"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03BC8A3E"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Gross profit </w:t>
            </w:r>
          </w:p>
        </w:tc>
        <w:tc>
          <w:tcPr>
            <w:tcW w:w="1620" w:type="dxa"/>
            <w:tcBorders>
              <w:top w:val="nil"/>
              <w:left w:val="nil"/>
              <w:bottom w:val="single" w:sz="4" w:space="0" w:color="auto"/>
              <w:right w:val="single" w:sz="4" w:space="0" w:color="auto"/>
            </w:tcBorders>
            <w:shd w:val="clear" w:color="auto" w:fill="auto"/>
            <w:noWrap/>
            <w:vAlign w:val="center"/>
            <w:hideMark/>
          </w:tcPr>
          <w:p w14:paraId="73100DB7"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583,000 </w:t>
            </w:r>
          </w:p>
        </w:tc>
        <w:tc>
          <w:tcPr>
            <w:tcW w:w="1620" w:type="dxa"/>
            <w:tcBorders>
              <w:top w:val="nil"/>
              <w:left w:val="nil"/>
              <w:bottom w:val="single" w:sz="4" w:space="0" w:color="auto"/>
              <w:right w:val="single" w:sz="4" w:space="0" w:color="auto"/>
            </w:tcBorders>
            <w:shd w:val="clear" w:color="auto" w:fill="auto"/>
            <w:noWrap/>
            <w:vAlign w:val="center"/>
            <w:hideMark/>
          </w:tcPr>
          <w:p w14:paraId="49EB113A"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2,435,000 </w:t>
            </w:r>
          </w:p>
        </w:tc>
        <w:tc>
          <w:tcPr>
            <w:tcW w:w="1980" w:type="dxa"/>
            <w:tcBorders>
              <w:top w:val="nil"/>
              <w:left w:val="nil"/>
              <w:bottom w:val="single" w:sz="4" w:space="0" w:color="auto"/>
              <w:right w:val="single" w:sz="4" w:space="0" w:color="auto"/>
            </w:tcBorders>
            <w:shd w:val="clear" w:color="auto" w:fill="auto"/>
            <w:noWrap/>
            <w:vAlign w:val="center"/>
            <w:hideMark/>
          </w:tcPr>
          <w:p w14:paraId="5A00BFB3"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(1,852,000)</w:t>
            </w:r>
          </w:p>
        </w:tc>
        <w:tc>
          <w:tcPr>
            <w:tcW w:w="1208" w:type="dxa"/>
            <w:tcBorders>
              <w:top w:val="nil"/>
              <w:left w:val="nil"/>
              <w:bottom w:val="single" w:sz="4" w:space="0" w:color="auto"/>
              <w:right w:val="single" w:sz="8" w:space="0" w:color="auto"/>
            </w:tcBorders>
            <w:shd w:val="clear" w:color="auto" w:fill="auto"/>
            <w:noWrap/>
            <w:vAlign w:val="center"/>
            <w:hideMark/>
          </w:tcPr>
          <w:p w14:paraId="69C729DD" w14:textId="63CB1CDD"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-76</w:t>
            </w:r>
          </w:p>
        </w:tc>
      </w:tr>
      <w:tr w:rsidR="009D37DC" w:rsidRPr="007250FA" w14:paraId="33B5B123"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7FEA703C"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Operating Expenses </w:t>
            </w:r>
          </w:p>
        </w:tc>
        <w:tc>
          <w:tcPr>
            <w:tcW w:w="1620" w:type="dxa"/>
            <w:tcBorders>
              <w:top w:val="nil"/>
              <w:left w:val="nil"/>
              <w:bottom w:val="single" w:sz="4" w:space="0" w:color="auto"/>
              <w:right w:val="single" w:sz="4" w:space="0" w:color="auto"/>
            </w:tcBorders>
            <w:shd w:val="clear" w:color="auto" w:fill="auto"/>
            <w:noWrap/>
            <w:vAlign w:val="center"/>
            <w:hideMark/>
          </w:tcPr>
          <w:p w14:paraId="5FE0B14B"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702,000 </w:t>
            </w:r>
          </w:p>
        </w:tc>
        <w:tc>
          <w:tcPr>
            <w:tcW w:w="1620" w:type="dxa"/>
            <w:tcBorders>
              <w:top w:val="nil"/>
              <w:left w:val="nil"/>
              <w:bottom w:val="single" w:sz="4" w:space="0" w:color="auto"/>
              <w:right w:val="single" w:sz="4" w:space="0" w:color="auto"/>
            </w:tcBorders>
            <w:shd w:val="clear" w:color="auto" w:fill="auto"/>
            <w:noWrap/>
            <w:vAlign w:val="center"/>
            <w:hideMark/>
          </w:tcPr>
          <w:p w14:paraId="49FE820E"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859,000 </w:t>
            </w:r>
          </w:p>
        </w:tc>
        <w:tc>
          <w:tcPr>
            <w:tcW w:w="1980" w:type="dxa"/>
            <w:tcBorders>
              <w:top w:val="nil"/>
              <w:left w:val="nil"/>
              <w:bottom w:val="single" w:sz="4" w:space="0" w:color="auto"/>
              <w:right w:val="single" w:sz="4" w:space="0" w:color="auto"/>
            </w:tcBorders>
            <w:shd w:val="clear" w:color="auto" w:fill="auto"/>
            <w:noWrap/>
            <w:vAlign w:val="center"/>
            <w:hideMark/>
          </w:tcPr>
          <w:p w14:paraId="43D03DEF"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(157,000)</w:t>
            </w:r>
          </w:p>
        </w:tc>
        <w:tc>
          <w:tcPr>
            <w:tcW w:w="1208" w:type="dxa"/>
            <w:tcBorders>
              <w:top w:val="nil"/>
              <w:left w:val="nil"/>
              <w:bottom w:val="single" w:sz="4" w:space="0" w:color="auto"/>
              <w:right w:val="single" w:sz="8" w:space="0" w:color="auto"/>
            </w:tcBorders>
            <w:shd w:val="clear" w:color="auto" w:fill="auto"/>
            <w:noWrap/>
            <w:vAlign w:val="center"/>
            <w:hideMark/>
          </w:tcPr>
          <w:p w14:paraId="26E4D46A" w14:textId="021F45B2"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-18</w:t>
            </w:r>
          </w:p>
        </w:tc>
      </w:tr>
      <w:tr w:rsidR="009D37DC" w:rsidRPr="007250FA" w14:paraId="13ED0B59"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5C596241"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Operating income</w:t>
            </w:r>
          </w:p>
        </w:tc>
        <w:tc>
          <w:tcPr>
            <w:tcW w:w="1620" w:type="dxa"/>
            <w:tcBorders>
              <w:top w:val="nil"/>
              <w:left w:val="nil"/>
              <w:bottom w:val="single" w:sz="4" w:space="0" w:color="auto"/>
              <w:right w:val="single" w:sz="4" w:space="0" w:color="auto"/>
            </w:tcBorders>
            <w:shd w:val="clear" w:color="auto" w:fill="auto"/>
            <w:noWrap/>
            <w:vAlign w:val="center"/>
            <w:hideMark/>
          </w:tcPr>
          <w:p w14:paraId="6C1B4FF2"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(119,000)</w:t>
            </w:r>
          </w:p>
        </w:tc>
        <w:tc>
          <w:tcPr>
            <w:tcW w:w="1620" w:type="dxa"/>
            <w:tcBorders>
              <w:top w:val="nil"/>
              <w:left w:val="nil"/>
              <w:bottom w:val="single" w:sz="4" w:space="0" w:color="auto"/>
              <w:right w:val="single" w:sz="4" w:space="0" w:color="auto"/>
            </w:tcBorders>
            <w:shd w:val="clear" w:color="auto" w:fill="auto"/>
            <w:noWrap/>
            <w:vAlign w:val="center"/>
            <w:hideMark/>
          </w:tcPr>
          <w:p w14:paraId="6ED6EC2D"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1,576,000 </w:t>
            </w:r>
          </w:p>
        </w:tc>
        <w:tc>
          <w:tcPr>
            <w:tcW w:w="1980" w:type="dxa"/>
            <w:tcBorders>
              <w:top w:val="nil"/>
              <w:left w:val="nil"/>
              <w:bottom w:val="single" w:sz="4" w:space="0" w:color="auto"/>
              <w:right w:val="single" w:sz="4" w:space="0" w:color="auto"/>
            </w:tcBorders>
            <w:shd w:val="clear" w:color="auto" w:fill="auto"/>
            <w:noWrap/>
            <w:vAlign w:val="center"/>
            <w:hideMark/>
          </w:tcPr>
          <w:p w14:paraId="462F5E87"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(1,695,000)</w:t>
            </w:r>
          </w:p>
        </w:tc>
        <w:tc>
          <w:tcPr>
            <w:tcW w:w="1208" w:type="dxa"/>
            <w:tcBorders>
              <w:top w:val="nil"/>
              <w:left w:val="nil"/>
              <w:bottom w:val="single" w:sz="4" w:space="0" w:color="auto"/>
              <w:right w:val="single" w:sz="8" w:space="0" w:color="auto"/>
            </w:tcBorders>
            <w:shd w:val="clear" w:color="auto" w:fill="auto"/>
            <w:noWrap/>
            <w:vAlign w:val="center"/>
            <w:hideMark/>
          </w:tcPr>
          <w:p w14:paraId="224A3557" w14:textId="04C1775D"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-108</w:t>
            </w:r>
          </w:p>
        </w:tc>
      </w:tr>
      <w:tr w:rsidR="009D37DC" w:rsidRPr="007250FA" w14:paraId="02AAC3A4"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07D9066A"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Interest Expense </w:t>
            </w:r>
          </w:p>
        </w:tc>
        <w:tc>
          <w:tcPr>
            <w:tcW w:w="1620" w:type="dxa"/>
            <w:tcBorders>
              <w:top w:val="nil"/>
              <w:left w:val="nil"/>
              <w:bottom w:val="single" w:sz="4" w:space="0" w:color="auto"/>
              <w:right w:val="single" w:sz="4" w:space="0" w:color="auto"/>
            </w:tcBorders>
            <w:shd w:val="clear" w:color="auto" w:fill="auto"/>
            <w:noWrap/>
            <w:vAlign w:val="center"/>
            <w:hideMark/>
          </w:tcPr>
          <w:p w14:paraId="2BD7C303"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429,000 </w:t>
            </w:r>
          </w:p>
        </w:tc>
        <w:tc>
          <w:tcPr>
            <w:tcW w:w="1620" w:type="dxa"/>
            <w:tcBorders>
              <w:top w:val="nil"/>
              <w:left w:val="nil"/>
              <w:bottom w:val="single" w:sz="4" w:space="0" w:color="auto"/>
              <w:right w:val="single" w:sz="4" w:space="0" w:color="auto"/>
            </w:tcBorders>
            <w:shd w:val="clear" w:color="auto" w:fill="auto"/>
            <w:noWrap/>
            <w:vAlign w:val="center"/>
            <w:hideMark/>
          </w:tcPr>
          <w:p w14:paraId="0F610DE7"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414,000 </w:t>
            </w:r>
          </w:p>
        </w:tc>
        <w:tc>
          <w:tcPr>
            <w:tcW w:w="1980" w:type="dxa"/>
            <w:tcBorders>
              <w:top w:val="nil"/>
              <w:left w:val="nil"/>
              <w:bottom w:val="single" w:sz="4" w:space="0" w:color="auto"/>
              <w:right w:val="single" w:sz="4" w:space="0" w:color="auto"/>
            </w:tcBorders>
            <w:shd w:val="clear" w:color="auto" w:fill="auto"/>
            <w:noWrap/>
            <w:vAlign w:val="center"/>
            <w:hideMark/>
          </w:tcPr>
          <w:p w14:paraId="195F1928"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15,000 </w:t>
            </w:r>
          </w:p>
        </w:tc>
        <w:tc>
          <w:tcPr>
            <w:tcW w:w="1208" w:type="dxa"/>
            <w:tcBorders>
              <w:top w:val="nil"/>
              <w:left w:val="nil"/>
              <w:bottom w:val="single" w:sz="4" w:space="0" w:color="auto"/>
              <w:right w:val="single" w:sz="8" w:space="0" w:color="auto"/>
            </w:tcBorders>
            <w:shd w:val="clear" w:color="auto" w:fill="auto"/>
            <w:noWrap/>
            <w:vAlign w:val="center"/>
            <w:hideMark/>
          </w:tcPr>
          <w:p w14:paraId="7054DCE2" w14:textId="0D0CD906"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4</w:t>
            </w:r>
          </w:p>
        </w:tc>
      </w:tr>
      <w:tr w:rsidR="009D37DC" w:rsidRPr="007250FA" w14:paraId="33CC6062"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6C200FAA"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Total Other income/ expenses</w:t>
            </w:r>
          </w:p>
        </w:tc>
        <w:tc>
          <w:tcPr>
            <w:tcW w:w="1620" w:type="dxa"/>
            <w:tcBorders>
              <w:top w:val="nil"/>
              <w:left w:val="nil"/>
              <w:bottom w:val="single" w:sz="4" w:space="0" w:color="auto"/>
              <w:right w:val="single" w:sz="4" w:space="0" w:color="auto"/>
            </w:tcBorders>
            <w:shd w:val="clear" w:color="auto" w:fill="auto"/>
            <w:noWrap/>
            <w:vAlign w:val="center"/>
            <w:hideMark/>
          </w:tcPr>
          <w:p w14:paraId="2505E998"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(376,000)</w:t>
            </w:r>
          </w:p>
        </w:tc>
        <w:tc>
          <w:tcPr>
            <w:tcW w:w="1620" w:type="dxa"/>
            <w:tcBorders>
              <w:top w:val="nil"/>
              <w:left w:val="nil"/>
              <w:bottom w:val="single" w:sz="4" w:space="0" w:color="auto"/>
              <w:right w:val="single" w:sz="4" w:space="0" w:color="auto"/>
            </w:tcBorders>
            <w:shd w:val="clear" w:color="auto" w:fill="auto"/>
            <w:noWrap/>
            <w:vAlign w:val="center"/>
            <w:hideMark/>
          </w:tcPr>
          <w:p w14:paraId="6EDF27EF"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82,000 </w:t>
            </w:r>
          </w:p>
        </w:tc>
        <w:tc>
          <w:tcPr>
            <w:tcW w:w="1980" w:type="dxa"/>
            <w:tcBorders>
              <w:top w:val="nil"/>
              <w:left w:val="nil"/>
              <w:bottom w:val="single" w:sz="4" w:space="0" w:color="auto"/>
              <w:right w:val="single" w:sz="4" w:space="0" w:color="auto"/>
            </w:tcBorders>
            <w:shd w:val="clear" w:color="auto" w:fill="auto"/>
            <w:noWrap/>
            <w:vAlign w:val="center"/>
            <w:hideMark/>
          </w:tcPr>
          <w:p w14:paraId="020BF31D"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(458,000)</w:t>
            </w:r>
          </w:p>
        </w:tc>
        <w:tc>
          <w:tcPr>
            <w:tcW w:w="1208" w:type="dxa"/>
            <w:tcBorders>
              <w:top w:val="nil"/>
              <w:left w:val="nil"/>
              <w:bottom w:val="single" w:sz="4" w:space="0" w:color="auto"/>
              <w:right w:val="single" w:sz="8" w:space="0" w:color="auto"/>
            </w:tcBorders>
            <w:shd w:val="clear" w:color="auto" w:fill="auto"/>
            <w:noWrap/>
            <w:vAlign w:val="center"/>
            <w:hideMark/>
          </w:tcPr>
          <w:p w14:paraId="1F7A599B" w14:textId="40EE620F"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-559</w:t>
            </w:r>
          </w:p>
        </w:tc>
      </w:tr>
      <w:tr w:rsidR="009D37DC" w:rsidRPr="007250FA" w14:paraId="4B1C9729"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429A6E9C"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Income before taxes </w:t>
            </w:r>
          </w:p>
        </w:tc>
        <w:tc>
          <w:tcPr>
            <w:tcW w:w="1620" w:type="dxa"/>
            <w:tcBorders>
              <w:top w:val="nil"/>
              <w:left w:val="nil"/>
              <w:bottom w:val="single" w:sz="4" w:space="0" w:color="auto"/>
              <w:right w:val="single" w:sz="4" w:space="0" w:color="auto"/>
            </w:tcBorders>
            <w:shd w:val="clear" w:color="auto" w:fill="auto"/>
            <w:noWrap/>
            <w:vAlign w:val="center"/>
            <w:hideMark/>
          </w:tcPr>
          <w:p w14:paraId="39923CCD"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(924,000)</w:t>
            </w:r>
          </w:p>
        </w:tc>
        <w:tc>
          <w:tcPr>
            <w:tcW w:w="1620" w:type="dxa"/>
            <w:tcBorders>
              <w:top w:val="nil"/>
              <w:left w:val="nil"/>
              <w:bottom w:val="single" w:sz="4" w:space="0" w:color="auto"/>
              <w:right w:val="single" w:sz="4" w:space="0" w:color="auto"/>
            </w:tcBorders>
            <w:shd w:val="clear" w:color="auto" w:fill="auto"/>
            <w:noWrap/>
            <w:vAlign w:val="center"/>
            <w:hideMark/>
          </w:tcPr>
          <w:p w14:paraId="3A334E0E"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1,244,000 </w:t>
            </w:r>
          </w:p>
        </w:tc>
        <w:tc>
          <w:tcPr>
            <w:tcW w:w="1980" w:type="dxa"/>
            <w:tcBorders>
              <w:top w:val="nil"/>
              <w:left w:val="nil"/>
              <w:bottom w:val="single" w:sz="4" w:space="0" w:color="auto"/>
              <w:right w:val="single" w:sz="4" w:space="0" w:color="auto"/>
            </w:tcBorders>
            <w:shd w:val="clear" w:color="auto" w:fill="auto"/>
            <w:noWrap/>
            <w:vAlign w:val="center"/>
            <w:hideMark/>
          </w:tcPr>
          <w:p w14:paraId="5D4630CC"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(2,168,000)</w:t>
            </w:r>
          </w:p>
        </w:tc>
        <w:tc>
          <w:tcPr>
            <w:tcW w:w="1208" w:type="dxa"/>
            <w:tcBorders>
              <w:top w:val="nil"/>
              <w:left w:val="nil"/>
              <w:bottom w:val="single" w:sz="4" w:space="0" w:color="auto"/>
              <w:right w:val="single" w:sz="8" w:space="0" w:color="auto"/>
            </w:tcBorders>
            <w:shd w:val="clear" w:color="auto" w:fill="auto"/>
            <w:noWrap/>
            <w:vAlign w:val="center"/>
            <w:hideMark/>
          </w:tcPr>
          <w:p w14:paraId="68CAE769" w14:textId="1434AE73"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-174</w:t>
            </w:r>
          </w:p>
        </w:tc>
      </w:tr>
      <w:tr w:rsidR="009D37DC" w:rsidRPr="007250FA" w14:paraId="4D52A594" w14:textId="77777777" w:rsidTr="00930E61">
        <w:trPr>
          <w:trHeight w:val="576"/>
        </w:trPr>
        <w:tc>
          <w:tcPr>
            <w:tcW w:w="2985" w:type="dxa"/>
            <w:tcBorders>
              <w:top w:val="nil"/>
              <w:left w:val="single" w:sz="8" w:space="0" w:color="auto"/>
              <w:bottom w:val="single" w:sz="8" w:space="0" w:color="auto"/>
              <w:right w:val="single" w:sz="4" w:space="0" w:color="auto"/>
            </w:tcBorders>
            <w:shd w:val="clear" w:color="auto" w:fill="auto"/>
            <w:noWrap/>
            <w:vAlign w:val="center"/>
            <w:hideMark/>
          </w:tcPr>
          <w:p w14:paraId="22DFEEF1"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Net income</w:t>
            </w:r>
          </w:p>
        </w:tc>
        <w:tc>
          <w:tcPr>
            <w:tcW w:w="1620" w:type="dxa"/>
            <w:tcBorders>
              <w:top w:val="nil"/>
              <w:left w:val="nil"/>
              <w:bottom w:val="single" w:sz="8" w:space="0" w:color="auto"/>
              <w:right w:val="single" w:sz="4" w:space="0" w:color="auto"/>
            </w:tcBorders>
            <w:shd w:val="clear" w:color="auto" w:fill="auto"/>
            <w:noWrap/>
            <w:vAlign w:val="center"/>
            <w:hideMark/>
          </w:tcPr>
          <w:p w14:paraId="03DE4E60"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(715,000)</w:t>
            </w:r>
          </w:p>
        </w:tc>
        <w:tc>
          <w:tcPr>
            <w:tcW w:w="1620" w:type="dxa"/>
            <w:tcBorders>
              <w:top w:val="nil"/>
              <w:left w:val="nil"/>
              <w:bottom w:val="single" w:sz="8" w:space="0" w:color="auto"/>
              <w:right w:val="single" w:sz="4" w:space="0" w:color="auto"/>
            </w:tcBorders>
            <w:shd w:val="clear" w:color="auto" w:fill="auto"/>
            <w:noWrap/>
            <w:vAlign w:val="center"/>
            <w:hideMark/>
          </w:tcPr>
          <w:p w14:paraId="02715C8C"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881,000 </w:t>
            </w:r>
          </w:p>
        </w:tc>
        <w:tc>
          <w:tcPr>
            <w:tcW w:w="1980" w:type="dxa"/>
            <w:tcBorders>
              <w:top w:val="nil"/>
              <w:left w:val="nil"/>
              <w:bottom w:val="single" w:sz="4" w:space="0" w:color="auto"/>
              <w:right w:val="single" w:sz="4" w:space="0" w:color="auto"/>
            </w:tcBorders>
            <w:shd w:val="clear" w:color="auto" w:fill="auto"/>
            <w:noWrap/>
            <w:vAlign w:val="center"/>
            <w:hideMark/>
          </w:tcPr>
          <w:p w14:paraId="51F805A7"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(1,596,000)</w:t>
            </w:r>
          </w:p>
        </w:tc>
        <w:tc>
          <w:tcPr>
            <w:tcW w:w="1208" w:type="dxa"/>
            <w:tcBorders>
              <w:top w:val="nil"/>
              <w:left w:val="nil"/>
              <w:bottom w:val="single" w:sz="8" w:space="0" w:color="auto"/>
              <w:right w:val="single" w:sz="8" w:space="0" w:color="auto"/>
            </w:tcBorders>
            <w:shd w:val="clear" w:color="auto" w:fill="auto"/>
            <w:noWrap/>
            <w:vAlign w:val="center"/>
            <w:hideMark/>
          </w:tcPr>
          <w:p w14:paraId="32FDCA9D" w14:textId="44152BEC"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-181</w:t>
            </w:r>
          </w:p>
        </w:tc>
      </w:tr>
    </w:tbl>
    <w:p w14:paraId="3C60A964" w14:textId="77777777" w:rsidR="00CA766D" w:rsidRDefault="00CA766D">
      <w:pPr>
        <w:rPr>
          <w:rFonts w:ascii="Arial" w:hAnsi="Arial" w:cs="Arial"/>
        </w:rPr>
      </w:pPr>
    </w:p>
    <w:p w14:paraId="0B00E2B1" w14:textId="77777777" w:rsidR="009D37DC" w:rsidRDefault="009D37DC" w:rsidP="009D37DC">
      <w:pPr>
        <w:spacing w:line="360" w:lineRule="auto"/>
        <w:jc w:val="both"/>
        <w:rPr>
          <w:rFonts w:ascii="Arial" w:hAnsi="Arial" w:cs="Arial"/>
          <w:sz w:val="22"/>
          <w:szCs w:val="24"/>
        </w:rPr>
      </w:pPr>
    </w:p>
    <w:p w14:paraId="3C0566F5" w14:textId="77777777" w:rsidR="009D37DC" w:rsidRDefault="009D37DC" w:rsidP="009D37DC">
      <w:pPr>
        <w:spacing w:line="360" w:lineRule="auto"/>
        <w:jc w:val="both"/>
        <w:rPr>
          <w:rFonts w:ascii="Arial" w:hAnsi="Arial" w:cs="Arial"/>
          <w:sz w:val="22"/>
          <w:szCs w:val="24"/>
        </w:rPr>
      </w:pPr>
    </w:p>
    <w:p w14:paraId="3E3D0FCC" w14:textId="02C22613" w:rsidR="009D37DC" w:rsidRPr="009D37DC" w:rsidRDefault="009D37DC" w:rsidP="009D37DC">
      <w:pPr>
        <w:spacing w:line="360" w:lineRule="auto"/>
        <w:jc w:val="both"/>
        <w:rPr>
          <w:rFonts w:ascii="Arial" w:hAnsi="Arial" w:cs="Arial"/>
          <w:sz w:val="22"/>
          <w:szCs w:val="24"/>
        </w:rPr>
      </w:pPr>
      <w:r w:rsidRPr="007250FA">
        <w:rPr>
          <w:rFonts w:ascii="Arial" w:hAnsi="Arial" w:cs="Arial"/>
          <w:sz w:val="22"/>
          <w:szCs w:val="24"/>
        </w:rPr>
        <w:t>The horizontal analysis of balance sheet of HLT is calculated and interpreted below:</w:t>
      </w:r>
    </w:p>
    <w:tbl>
      <w:tblPr>
        <w:tblW w:w="9465" w:type="dxa"/>
        <w:tblInd w:w="93" w:type="dxa"/>
        <w:tblLook w:val="04A0" w:firstRow="1" w:lastRow="0" w:firstColumn="1" w:lastColumn="0" w:noHBand="0" w:noVBand="1"/>
      </w:tblPr>
      <w:tblGrid>
        <w:gridCol w:w="2985"/>
        <w:gridCol w:w="1620"/>
        <w:gridCol w:w="1620"/>
        <w:gridCol w:w="1980"/>
        <w:gridCol w:w="1260"/>
      </w:tblGrid>
      <w:tr w:rsidR="009D37DC" w:rsidRPr="007250FA" w14:paraId="619B0FC3" w14:textId="77777777" w:rsidTr="00930E61">
        <w:trPr>
          <w:trHeight w:val="481"/>
        </w:trPr>
        <w:tc>
          <w:tcPr>
            <w:tcW w:w="9465" w:type="dxa"/>
            <w:gridSpan w:val="5"/>
            <w:vMerge w:val="restart"/>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669BD96"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lastRenderedPageBreak/>
              <w:t>Balance Sheet</w:t>
            </w:r>
          </w:p>
        </w:tc>
      </w:tr>
      <w:tr w:rsidR="009D37DC" w:rsidRPr="007250FA" w14:paraId="08A1F6B8" w14:textId="77777777" w:rsidTr="00930E61">
        <w:trPr>
          <w:trHeight w:val="481"/>
        </w:trPr>
        <w:tc>
          <w:tcPr>
            <w:tcW w:w="9465" w:type="dxa"/>
            <w:gridSpan w:val="5"/>
            <w:vMerge/>
            <w:tcBorders>
              <w:top w:val="single" w:sz="8" w:space="0" w:color="auto"/>
              <w:left w:val="single" w:sz="8" w:space="0" w:color="auto"/>
              <w:bottom w:val="single" w:sz="4" w:space="0" w:color="auto"/>
              <w:right w:val="single" w:sz="8" w:space="0" w:color="000000"/>
            </w:tcBorders>
            <w:vAlign w:val="center"/>
            <w:hideMark/>
          </w:tcPr>
          <w:p w14:paraId="14B897BD"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p>
        </w:tc>
      </w:tr>
      <w:tr w:rsidR="009D37DC" w:rsidRPr="007250FA" w14:paraId="577948DD" w14:textId="77777777" w:rsidTr="00930E61">
        <w:trPr>
          <w:trHeight w:val="432"/>
        </w:trPr>
        <w:tc>
          <w:tcPr>
            <w:tcW w:w="9465" w:type="dxa"/>
            <w:gridSpan w:val="5"/>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4882A824"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t>Hilton Worldwide Holdings Inc. (HLT)</w:t>
            </w:r>
          </w:p>
        </w:tc>
      </w:tr>
      <w:tr w:rsidR="009D37DC" w:rsidRPr="007250FA" w14:paraId="5C7C6936"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62ED33AE"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t>Particulars</w:t>
            </w:r>
          </w:p>
        </w:tc>
        <w:tc>
          <w:tcPr>
            <w:tcW w:w="1620" w:type="dxa"/>
            <w:tcBorders>
              <w:top w:val="nil"/>
              <w:left w:val="nil"/>
              <w:bottom w:val="single" w:sz="4" w:space="0" w:color="auto"/>
              <w:right w:val="single" w:sz="4" w:space="0" w:color="auto"/>
            </w:tcBorders>
            <w:shd w:val="clear" w:color="auto" w:fill="auto"/>
            <w:noWrap/>
            <w:vAlign w:val="center"/>
            <w:hideMark/>
          </w:tcPr>
          <w:p w14:paraId="40E47B8B"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t>2020</w:t>
            </w:r>
          </w:p>
        </w:tc>
        <w:tc>
          <w:tcPr>
            <w:tcW w:w="1620" w:type="dxa"/>
            <w:tcBorders>
              <w:top w:val="nil"/>
              <w:left w:val="nil"/>
              <w:bottom w:val="single" w:sz="4" w:space="0" w:color="auto"/>
              <w:right w:val="single" w:sz="4" w:space="0" w:color="auto"/>
            </w:tcBorders>
            <w:shd w:val="clear" w:color="auto" w:fill="auto"/>
            <w:noWrap/>
            <w:vAlign w:val="center"/>
            <w:hideMark/>
          </w:tcPr>
          <w:p w14:paraId="18645B77"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t>2019</w:t>
            </w:r>
          </w:p>
        </w:tc>
        <w:tc>
          <w:tcPr>
            <w:tcW w:w="1980" w:type="dxa"/>
            <w:tcBorders>
              <w:top w:val="nil"/>
              <w:left w:val="nil"/>
              <w:bottom w:val="single" w:sz="4" w:space="0" w:color="auto"/>
              <w:right w:val="single" w:sz="4" w:space="0" w:color="auto"/>
            </w:tcBorders>
            <w:shd w:val="clear" w:color="auto" w:fill="auto"/>
            <w:noWrap/>
            <w:vAlign w:val="center"/>
            <w:hideMark/>
          </w:tcPr>
          <w:p w14:paraId="5D15A125"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t>Absolute change</w:t>
            </w:r>
          </w:p>
        </w:tc>
        <w:tc>
          <w:tcPr>
            <w:tcW w:w="1260" w:type="dxa"/>
            <w:tcBorders>
              <w:top w:val="nil"/>
              <w:left w:val="nil"/>
              <w:bottom w:val="single" w:sz="4" w:space="0" w:color="auto"/>
              <w:right w:val="single" w:sz="8" w:space="0" w:color="auto"/>
            </w:tcBorders>
            <w:shd w:val="clear" w:color="auto" w:fill="auto"/>
            <w:noWrap/>
            <w:vAlign w:val="center"/>
            <w:hideMark/>
          </w:tcPr>
          <w:p w14:paraId="21D3FC22" w14:textId="77777777" w:rsidR="009D37DC" w:rsidRPr="007250FA" w:rsidRDefault="009D37DC" w:rsidP="00930E61">
            <w:pPr>
              <w:spacing w:after="0" w:line="240" w:lineRule="auto"/>
              <w:jc w:val="center"/>
              <w:rPr>
                <w:rFonts w:ascii="Arial" w:eastAsia="Times New Roman" w:hAnsi="Arial" w:cs="Arial"/>
                <w:b/>
                <w:bCs/>
                <w:color w:val="000000"/>
                <w:sz w:val="22"/>
                <w:szCs w:val="24"/>
              </w:rPr>
            </w:pPr>
            <w:r w:rsidRPr="007250FA">
              <w:rPr>
                <w:rFonts w:ascii="Arial" w:eastAsia="Times New Roman" w:hAnsi="Arial" w:cs="Arial"/>
                <w:b/>
                <w:bCs/>
                <w:color w:val="000000"/>
                <w:sz w:val="22"/>
                <w:szCs w:val="24"/>
              </w:rPr>
              <w:t>% change</w:t>
            </w:r>
          </w:p>
        </w:tc>
      </w:tr>
      <w:tr w:rsidR="009D37DC" w:rsidRPr="007250FA" w14:paraId="5745FFEE"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2BDD13AF"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Current Asset </w:t>
            </w:r>
          </w:p>
        </w:tc>
        <w:tc>
          <w:tcPr>
            <w:tcW w:w="1620" w:type="dxa"/>
            <w:tcBorders>
              <w:top w:val="nil"/>
              <w:left w:val="nil"/>
              <w:bottom w:val="single" w:sz="4" w:space="0" w:color="auto"/>
              <w:right w:val="single" w:sz="4" w:space="0" w:color="auto"/>
            </w:tcBorders>
            <w:shd w:val="clear" w:color="auto" w:fill="auto"/>
            <w:noWrap/>
            <w:vAlign w:val="center"/>
            <w:hideMark/>
          </w:tcPr>
          <w:p w14:paraId="5B48FCF6"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4,202,000 </w:t>
            </w:r>
          </w:p>
        </w:tc>
        <w:tc>
          <w:tcPr>
            <w:tcW w:w="1620" w:type="dxa"/>
            <w:tcBorders>
              <w:top w:val="nil"/>
              <w:left w:val="nil"/>
              <w:bottom w:val="single" w:sz="4" w:space="0" w:color="auto"/>
              <w:right w:val="single" w:sz="4" w:space="0" w:color="auto"/>
            </w:tcBorders>
            <w:shd w:val="clear" w:color="auto" w:fill="auto"/>
            <w:noWrap/>
            <w:vAlign w:val="center"/>
            <w:hideMark/>
          </w:tcPr>
          <w:p w14:paraId="1A1D41C9"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2,093,000 </w:t>
            </w:r>
          </w:p>
        </w:tc>
        <w:tc>
          <w:tcPr>
            <w:tcW w:w="1980" w:type="dxa"/>
            <w:tcBorders>
              <w:top w:val="nil"/>
              <w:left w:val="nil"/>
              <w:bottom w:val="single" w:sz="4" w:space="0" w:color="auto"/>
              <w:right w:val="single" w:sz="4" w:space="0" w:color="auto"/>
            </w:tcBorders>
            <w:shd w:val="clear" w:color="auto" w:fill="auto"/>
            <w:noWrap/>
            <w:vAlign w:val="center"/>
            <w:hideMark/>
          </w:tcPr>
          <w:p w14:paraId="6F717C61"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2,109,000 </w:t>
            </w:r>
          </w:p>
        </w:tc>
        <w:tc>
          <w:tcPr>
            <w:tcW w:w="1260" w:type="dxa"/>
            <w:tcBorders>
              <w:top w:val="nil"/>
              <w:left w:val="nil"/>
              <w:bottom w:val="single" w:sz="4" w:space="0" w:color="auto"/>
              <w:right w:val="single" w:sz="8" w:space="0" w:color="auto"/>
            </w:tcBorders>
            <w:shd w:val="clear" w:color="auto" w:fill="auto"/>
            <w:noWrap/>
            <w:vAlign w:val="center"/>
            <w:hideMark/>
          </w:tcPr>
          <w:p w14:paraId="6FBD9690" w14:textId="6981611D"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101</w:t>
            </w:r>
          </w:p>
        </w:tc>
      </w:tr>
      <w:tr w:rsidR="009D37DC" w:rsidRPr="007250FA" w14:paraId="7B9633BC"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337843C6"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Non-current Asset </w:t>
            </w:r>
          </w:p>
        </w:tc>
        <w:tc>
          <w:tcPr>
            <w:tcW w:w="1620" w:type="dxa"/>
            <w:tcBorders>
              <w:top w:val="nil"/>
              <w:left w:val="nil"/>
              <w:bottom w:val="single" w:sz="4" w:space="0" w:color="auto"/>
              <w:right w:val="single" w:sz="4" w:space="0" w:color="auto"/>
            </w:tcBorders>
            <w:shd w:val="clear" w:color="auto" w:fill="auto"/>
            <w:noWrap/>
            <w:vAlign w:val="center"/>
            <w:hideMark/>
          </w:tcPr>
          <w:p w14:paraId="27CCD581"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15,810,000 </w:t>
            </w:r>
          </w:p>
        </w:tc>
        <w:tc>
          <w:tcPr>
            <w:tcW w:w="1620" w:type="dxa"/>
            <w:tcBorders>
              <w:top w:val="nil"/>
              <w:left w:val="nil"/>
              <w:bottom w:val="single" w:sz="4" w:space="0" w:color="auto"/>
              <w:right w:val="single" w:sz="4" w:space="0" w:color="auto"/>
            </w:tcBorders>
            <w:shd w:val="clear" w:color="auto" w:fill="auto"/>
            <w:noWrap/>
            <w:vAlign w:val="center"/>
            <w:hideMark/>
          </w:tcPr>
          <w:p w14:paraId="78276FC8"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12,558,000 </w:t>
            </w:r>
          </w:p>
        </w:tc>
        <w:tc>
          <w:tcPr>
            <w:tcW w:w="1980" w:type="dxa"/>
            <w:tcBorders>
              <w:top w:val="nil"/>
              <w:left w:val="nil"/>
              <w:bottom w:val="single" w:sz="4" w:space="0" w:color="auto"/>
              <w:right w:val="single" w:sz="4" w:space="0" w:color="auto"/>
            </w:tcBorders>
            <w:shd w:val="clear" w:color="auto" w:fill="auto"/>
            <w:noWrap/>
            <w:vAlign w:val="center"/>
            <w:hideMark/>
          </w:tcPr>
          <w:p w14:paraId="1BF83528"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3,252,000 </w:t>
            </w:r>
          </w:p>
        </w:tc>
        <w:tc>
          <w:tcPr>
            <w:tcW w:w="1260" w:type="dxa"/>
            <w:tcBorders>
              <w:top w:val="nil"/>
              <w:left w:val="nil"/>
              <w:bottom w:val="single" w:sz="4" w:space="0" w:color="auto"/>
              <w:right w:val="single" w:sz="8" w:space="0" w:color="auto"/>
            </w:tcBorders>
            <w:shd w:val="clear" w:color="auto" w:fill="auto"/>
            <w:noWrap/>
            <w:vAlign w:val="center"/>
            <w:hideMark/>
          </w:tcPr>
          <w:p w14:paraId="1C1C0FC8" w14:textId="5F3759EA"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26</w:t>
            </w:r>
          </w:p>
        </w:tc>
      </w:tr>
      <w:tr w:rsidR="009D37DC" w:rsidRPr="007250FA" w14:paraId="395CF469"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4C4BA975"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Total Asset </w:t>
            </w:r>
          </w:p>
        </w:tc>
        <w:tc>
          <w:tcPr>
            <w:tcW w:w="1620" w:type="dxa"/>
            <w:tcBorders>
              <w:top w:val="nil"/>
              <w:left w:val="nil"/>
              <w:bottom w:val="single" w:sz="4" w:space="0" w:color="auto"/>
              <w:right w:val="single" w:sz="4" w:space="0" w:color="auto"/>
            </w:tcBorders>
            <w:shd w:val="clear" w:color="auto" w:fill="auto"/>
            <w:noWrap/>
            <w:vAlign w:val="center"/>
            <w:hideMark/>
          </w:tcPr>
          <w:p w14:paraId="0DB0D894"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16,755,000 </w:t>
            </w:r>
          </w:p>
        </w:tc>
        <w:tc>
          <w:tcPr>
            <w:tcW w:w="1620" w:type="dxa"/>
            <w:tcBorders>
              <w:top w:val="nil"/>
              <w:left w:val="nil"/>
              <w:bottom w:val="single" w:sz="4" w:space="0" w:color="auto"/>
              <w:right w:val="single" w:sz="4" w:space="0" w:color="auto"/>
            </w:tcBorders>
            <w:shd w:val="clear" w:color="auto" w:fill="auto"/>
            <w:noWrap/>
            <w:vAlign w:val="center"/>
            <w:hideMark/>
          </w:tcPr>
          <w:p w14:paraId="54716EE5"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14,957,000 </w:t>
            </w:r>
          </w:p>
        </w:tc>
        <w:tc>
          <w:tcPr>
            <w:tcW w:w="1980" w:type="dxa"/>
            <w:tcBorders>
              <w:top w:val="nil"/>
              <w:left w:val="nil"/>
              <w:bottom w:val="single" w:sz="4" w:space="0" w:color="auto"/>
              <w:right w:val="single" w:sz="4" w:space="0" w:color="auto"/>
            </w:tcBorders>
            <w:shd w:val="clear" w:color="auto" w:fill="auto"/>
            <w:noWrap/>
            <w:vAlign w:val="center"/>
            <w:hideMark/>
          </w:tcPr>
          <w:p w14:paraId="1EB82BD3"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1,798,000 </w:t>
            </w:r>
          </w:p>
        </w:tc>
        <w:tc>
          <w:tcPr>
            <w:tcW w:w="1260" w:type="dxa"/>
            <w:tcBorders>
              <w:top w:val="nil"/>
              <w:left w:val="nil"/>
              <w:bottom w:val="single" w:sz="4" w:space="0" w:color="auto"/>
              <w:right w:val="single" w:sz="8" w:space="0" w:color="auto"/>
            </w:tcBorders>
            <w:shd w:val="clear" w:color="auto" w:fill="auto"/>
            <w:noWrap/>
            <w:vAlign w:val="center"/>
            <w:hideMark/>
          </w:tcPr>
          <w:p w14:paraId="1A75EEF5" w14:textId="795F7C7A"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12</w:t>
            </w:r>
          </w:p>
        </w:tc>
      </w:tr>
      <w:tr w:rsidR="009D37DC" w:rsidRPr="007250FA" w14:paraId="43BF8D58"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3E193DF5"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Current Liabilities </w:t>
            </w:r>
          </w:p>
        </w:tc>
        <w:tc>
          <w:tcPr>
            <w:tcW w:w="1620" w:type="dxa"/>
            <w:tcBorders>
              <w:top w:val="nil"/>
              <w:left w:val="nil"/>
              <w:bottom w:val="single" w:sz="4" w:space="0" w:color="auto"/>
              <w:right w:val="single" w:sz="4" w:space="0" w:color="auto"/>
            </w:tcBorders>
            <w:shd w:val="clear" w:color="auto" w:fill="auto"/>
            <w:noWrap/>
            <w:vAlign w:val="center"/>
            <w:hideMark/>
          </w:tcPr>
          <w:p w14:paraId="696AA35D"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2,431,000 </w:t>
            </w:r>
          </w:p>
        </w:tc>
        <w:tc>
          <w:tcPr>
            <w:tcW w:w="1620" w:type="dxa"/>
            <w:tcBorders>
              <w:top w:val="nil"/>
              <w:left w:val="nil"/>
              <w:bottom w:val="single" w:sz="4" w:space="0" w:color="auto"/>
              <w:right w:val="single" w:sz="4" w:space="0" w:color="auto"/>
            </w:tcBorders>
            <w:shd w:val="clear" w:color="auto" w:fill="auto"/>
            <w:noWrap/>
            <w:vAlign w:val="center"/>
            <w:hideMark/>
          </w:tcPr>
          <w:p w14:paraId="3B0A0BF0"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2,871,000 </w:t>
            </w:r>
          </w:p>
        </w:tc>
        <w:tc>
          <w:tcPr>
            <w:tcW w:w="1980" w:type="dxa"/>
            <w:tcBorders>
              <w:top w:val="nil"/>
              <w:left w:val="nil"/>
              <w:bottom w:val="single" w:sz="4" w:space="0" w:color="auto"/>
              <w:right w:val="single" w:sz="4" w:space="0" w:color="auto"/>
            </w:tcBorders>
            <w:shd w:val="clear" w:color="auto" w:fill="auto"/>
            <w:noWrap/>
            <w:vAlign w:val="center"/>
            <w:hideMark/>
          </w:tcPr>
          <w:p w14:paraId="0B78D846"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(440,000)</w:t>
            </w:r>
          </w:p>
        </w:tc>
        <w:tc>
          <w:tcPr>
            <w:tcW w:w="1260" w:type="dxa"/>
            <w:tcBorders>
              <w:top w:val="nil"/>
              <w:left w:val="nil"/>
              <w:bottom w:val="single" w:sz="4" w:space="0" w:color="auto"/>
              <w:right w:val="single" w:sz="8" w:space="0" w:color="auto"/>
            </w:tcBorders>
            <w:shd w:val="clear" w:color="auto" w:fill="auto"/>
            <w:noWrap/>
            <w:vAlign w:val="center"/>
            <w:hideMark/>
          </w:tcPr>
          <w:p w14:paraId="360D9FFD" w14:textId="731EA2FB"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-15</w:t>
            </w:r>
          </w:p>
        </w:tc>
      </w:tr>
      <w:tr w:rsidR="009D37DC" w:rsidRPr="007250FA" w14:paraId="37E81E89"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269E3A0B"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Non-current Liabilities </w:t>
            </w:r>
          </w:p>
        </w:tc>
        <w:tc>
          <w:tcPr>
            <w:tcW w:w="1620" w:type="dxa"/>
            <w:tcBorders>
              <w:top w:val="nil"/>
              <w:left w:val="nil"/>
              <w:bottom w:val="single" w:sz="4" w:space="0" w:color="auto"/>
              <w:right w:val="single" w:sz="4" w:space="0" w:color="auto"/>
            </w:tcBorders>
            <w:shd w:val="clear" w:color="auto" w:fill="auto"/>
            <w:noWrap/>
            <w:vAlign w:val="center"/>
            <w:hideMark/>
          </w:tcPr>
          <w:p w14:paraId="1F258001"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15,810,000 </w:t>
            </w:r>
          </w:p>
        </w:tc>
        <w:tc>
          <w:tcPr>
            <w:tcW w:w="1620" w:type="dxa"/>
            <w:tcBorders>
              <w:top w:val="nil"/>
              <w:left w:val="nil"/>
              <w:bottom w:val="single" w:sz="4" w:space="0" w:color="auto"/>
              <w:right w:val="single" w:sz="4" w:space="0" w:color="auto"/>
            </w:tcBorders>
            <w:shd w:val="clear" w:color="auto" w:fill="auto"/>
            <w:noWrap/>
            <w:vAlign w:val="center"/>
            <w:hideMark/>
          </w:tcPr>
          <w:p w14:paraId="7CAC6F31"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12,558,000 </w:t>
            </w:r>
          </w:p>
        </w:tc>
        <w:tc>
          <w:tcPr>
            <w:tcW w:w="1980" w:type="dxa"/>
            <w:tcBorders>
              <w:top w:val="nil"/>
              <w:left w:val="nil"/>
              <w:bottom w:val="single" w:sz="4" w:space="0" w:color="auto"/>
              <w:right w:val="single" w:sz="4" w:space="0" w:color="auto"/>
            </w:tcBorders>
            <w:shd w:val="clear" w:color="auto" w:fill="auto"/>
            <w:noWrap/>
            <w:vAlign w:val="center"/>
            <w:hideMark/>
          </w:tcPr>
          <w:p w14:paraId="7E3299EA"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3,252,000 </w:t>
            </w:r>
          </w:p>
        </w:tc>
        <w:tc>
          <w:tcPr>
            <w:tcW w:w="1260" w:type="dxa"/>
            <w:tcBorders>
              <w:top w:val="nil"/>
              <w:left w:val="nil"/>
              <w:bottom w:val="single" w:sz="4" w:space="0" w:color="auto"/>
              <w:right w:val="single" w:sz="8" w:space="0" w:color="auto"/>
            </w:tcBorders>
            <w:shd w:val="clear" w:color="auto" w:fill="auto"/>
            <w:noWrap/>
            <w:vAlign w:val="center"/>
            <w:hideMark/>
          </w:tcPr>
          <w:p w14:paraId="7647B498" w14:textId="3C2F06A4"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26</w:t>
            </w:r>
          </w:p>
        </w:tc>
      </w:tr>
      <w:tr w:rsidR="009D37DC" w:rsidRPr="007250FA" w14:paraId="7A582E21"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5EE83639"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Total Liabilities </w:t>
            </w:r>
          </w:p>
        </w:tc>
        <w:tc>
          <w:tcPr>
            <w:tcW w:w="1620" w:type="dxa"/>
            <w:tcBorders>
              <w:top w:val="nil"/>
              <w:left w:val="nil"/>
              <w:bottom w:val="single" w:sz="4" w:space="0" w:color="auto"/>
              <w:right w:val="single" w:sz="4" w:space="0" w:color="auto"/>
            </w:tcBorders>
            <w:shd w:val="clear" w:color="auto" w:fill="auto"/>
            <w:noWrap/>
            <w:vAlign w:val="center"/>
            <w:hideMark/>
          </w:tcPr>
          <w:p w14:paraId="0D751B5A"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18,241,000 </w:t>
            </w:r>
          </w:p>
        </w:tc>
        <w:tc>
          <w:tcPr>
            <w:tcW w:w="1620" w:type="dxa"/>
            <w:tcBorders>
              <w:top w:val="nil"/>
              <w:left w:val="nil"/>
              <w:bottom w:val="single" w:sz="4" w:space="0" w:color="auto"/>
              <w:right w:val="single" w:sz="4" w:space="0" w:color="auto"/>
            </w:tcBorders>
            <w:shd w:val="clear" w:color="auto" w:fill="auto"/>
            <w:noWrap/>
            <w:vAlign w:val="center"/>
            <w:hideMark/>
          </w:tcPr>
          <w:p w14:paraId="60A6FBB9"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15,429,000 </w:t>
            </w:r>
          </w:p>
        </w:tc>
        <w:tc>
          <w:tcPr>
            <w:tcW w:w="1980" w:type="dxa"/>
            <w:tcBorders>
              <w:top w:val="nil"/>
              <w:left w:val="nil"/>
              <w:bottom w:val="single" w:sz="4" w:space="0" w:color="auto"/>
              <w:right w:val="single" w:sz="4" w:space="0" w:color="auto"/>
            </w:tcBorders>
            <w:shd w:val="clear" w:color="auto" w:fill="auto"/>
            <w:noWrap/>
            <w:vAlign w:val="center"/>
            <w:hideMark/>
          </w:tcPr>
          <w:p w14:paraId="0113D29C"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2,812,000 </w:t>
            </w:r>
          </w:p>
        </w:tc>
        <w:tc>
          <w:tcPr>
            <w:tcW w:w="1260" w:type="dxa"/>
            <w:tcBorders>
              <w:top w:val="nil"/>
              <w:left w:val="nil"/>
              <w:bottom w:val="single" w:sz="4" w:space="0" w:color="auto"/>
              <w:right w:val="single" w:sz="8" w:space="0" w:color="auto"/>
            </w:tcBorders>
            <w:shd w:val="clear" w:color="auto" w:fill="auto"/>
            <w:noWrap/>
            <w:vAlign w:val="center"/>
            <w:hideMark/>
          </w:tcPr>
          <w:p w14:paraId="70835B73" w14:textId="65F67D3A"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18</w:t>
            </w:r>
          </w:p>
        </w:tc>
      </w:tr>
      <w:tr w:rsidR="009D37DC" w:rsidRPr="007250FA" w14:paraId="4DB56640"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23EEAE30"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Common Stock </w:t>
            </w:r>
          </w:p>
        </w:tc>
        <w:tc>
          <w:tcPr>
            <w:tcW w:w="1620" w:type="dxa"/>
            <w:tcBorders>
              <w:top w:val="nil"/>
              <w:left w:val="nil"/>
              <w:bottom w:val="single" w:sz="4" w:space="0" w:color="auto"/>
              <w:right w:val="single" w:sz="4" w:space="0" w:color="auto"/>
            </w:tcBorders>
            <w:shd w:val="clear" w:color="auto" w:fill="auto"/>
            <w:noWrap/>
            <w:vAlign w:val="center"/>
            <w:hideMark/>
          </w:tcPr>
          <w:p w14:paraId="169D2734"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3,000 </w:t>
            </w:r>
          </w:p>
        </w:tc>
        <w:tc>
          <w:tcPr>
            <w:tcW w:w="1620" w:type="dxa"/>
            <w:tcBorders>
              <w:top w:val="nil"/>
              <w:left w:val="nil"/>
              <w:bottom w:val="single" w:sz="4" w:space="0" w:color="auto"/>
              <w:right w:val="single" w:sz="4" w:space="0" w:color="auto"/>
            </w:tcBorders>
            <w:shd w:val="clear" w:color="auto" w:fill="auto"/>
            <w:noWrap/>
            <w:vAlign w:val="center"/>
            <w:hideMark/>
          </w:tcPr>
          <w:p w14:paraId="25F5BF79"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3,000 </w:t>
            </w:r>
          </w:p>
        </w:tc>
        <w:tc>
          <w:tcPr>
            <w:tcW w:w="1980" w:type="dxa"/>
            <w:tcBorders>
              <w:top w:val="nil"/>
              <w:left w:val="nil"/>
              <w:bottom w:val="single" w:sz="4" w:space="0" w:color="auto"/>
              <w:right w:val="single" w:sz="4" w:space="0" w:color="auto"/>
            </w:tcBorders>
            <w:shd w:val="clear" w:color="auto" w:fill="auto"/>
            <w:noWrap/>
            <w:vAlign w:val="center"/>
            <w:hideMark/>
          </w:tcPr>
          <w:p w14:paraId="5FBF46AB"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w:t>
            </w:r>
          </w:p>
        </w:tc>
        <w:tc>
          <w:tcPr>
            <w:tcW w:w="1260" w:type="dxa"/>
            <w:tcBorders>
              <w:top w:val="nil"/>
              <w:left w:val="nil"/>
              <w:bottom w:val="single" w:sz="4" w:space="0" w:color="auto"/>
              <w:right w:val="single" w:sz="8" w:space="0" w:color="auto"/>
            </w:tcBorders>
            <w:shd w:val="clear" w:color="auto" w:fill="auto"/>
            <w:noWrap/>
            <w:vAlign w:val="center"/>
            <w:hideMark/>
          </w:tcPr>
          <w:p w14:paraId="4806F36D" w14:textId="6679B3E0"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0</w:t>
            </w:r>
          </w:p>
        </w:tc>
      </w:tr>
      <w:tr w:rsidR="009D37DC" w:rsidRPr="007250FA" w14:paraId="217477D3"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4320944B"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Retained Earnings</w:t>
            </w:r>
          </w:p>
        </w:tc>
        <w:tc>
          <w:tcPr>
            <w:tcW w:w="1620" w:type="dxa"/>
            <w:tcBorders>
              <w:top w:val="nil"/>
              <w:left w:val="nil"/>
              <w:bottom w:val="single" w:sz="4" w:space="0" w:color="auto"/>
              <w:right w:val="single" w:sz="4" w:space="0" w:color="auto"/>
            </w:tcBorders>
            <w:shd w:val="clear" w:color="auto" w:fill="auto"/>
            <w:noWrap/>
            <w:vAlign w:val="center"/>
            <w:hideMark/>
          </w:tcPr>
          <w:p w14:paraId="53E5E26D"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(6,732,000)</w:t>
            </w:r>
          </w:p>
        </w:tc>
        <w:tc>
          <w:tcPr>
            <w:tcW w:w="1620" w:type="dxa"/>
            <w:tcBorders>
              <w:top w:val="nil"/>
              <w:left w:val="nil"/>
              <w:bottom w:val="single" w:sz="4" w:space="0" w:color="auto"/>
              <w:right w:val="single" w:sz="4" w:space="0" w:color="auto"/>
            </w:tcBorders>
            <w:shd w:val="clear" w:color="auto" w:fill="auto"/>
            <w:noWrap/>
            <w:vAlign w:val="center"/>
            <w:hideMark/>
          </w:tcPr>
          <w:p w14:paraId="352C5FFE"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(5,965,000)</w:t>
            </w:r>
          </w:p>
        </w:tc>
        <w:tc>
          <w:tcPr>
            <w:tcW w:w="1980" w:type="dxa"/>
            <w:tcBorders>
              <w:top w:val="nil"/>
              <w:left w:val="nil"/>
              <w:bottom w:val="single" w:sz="4" w:space="0" w:color="auto"/>
              <w:right w:val="single" w:sz="4" w:space="0" w:color="auto"/>
            </w:tcBorders>
            <w:shd w:val="clear" w:color="auto" w:fill="auto"/>
            <w:noWrap/>
            <w:vAlign w:val="center"/>
            <w:hideMark/>
          </w:tcPr>
          <w:p w14:paraId="026B5870"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(767,000)</w:t>
            </w:r>
          </w:p>
        </w:tc>
        <w:tc>
          <w:tcPr>
            <w:tcW w:w="1260" w:type="dxa"/>
            <w:tcBorders>
              <w:top w:val="nil"/>
              <w:left w:val="nil"/>
              <w:bottom w:val="single" w:sz="4" w:space="0" w:color="auto"/>
              <w:right w:val="single" w:sz="8" w:space="0" w:color="auto"/>
            </w:tcBorders>
            <w:shd w:val="clear" w:color="auto" w:fill="auto"/>
            <w:noWrap/>
            <w:vAlign w:val="center"/>
            <w:hideMark/>
          </w:tcPr>
          <w:p w14:paraId="6B2C66E6" w14:textId="5E405E97"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-13</w:t>
            </w:r>
          </w:p>
        </w:tc>
      </w:tr>
      <w:tr w:rsidR="009D37DC" w:rsidRPr="007250FA" w14:paraId="183A57BE" w14:textId="77777777" w:rsidTr="00930E61">
        <w:trPr>
          <w:trHeight w:val="576"/>
        </w:trPr>
        <w:tc>
          <w:tcPr>
            <w:tcW w:w="2985" w:type="dxa"/>
            <w:tcBorders>
              <w:top w:val="nil"/>
              <w:left w:val="single" w:sz="8" w:space="0" w:color="auto"/>
              <w:bottom w:val="single" w:sz="4" w:space="0" w:color="auto"/>
              <w:right w:val="single" w:sz="4" w:space="0" w:color="auto"/>
            </w:tcBorders>
            <w:shd w:val="clear" w:color="auto" w:fill="auto"/>
            <w:noWrap/>
            <w:vAlign w:val="center"/>
            <w:hideMark/>
          </w:tcPr>
          <w:p w14:paraId="0C25A436"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Total Stockholders' Equity </w:t>
            </w:r>
          </w:p>
        </w:tc>
        <w:tc>
          <w:tcPr>
            <w:tcW w:w="1620" w:type="dxa"/>
            <w:tcBorders>
              <w:top w:val="nil"/>
              <w:left w:val="nil"/>
              <w:bottom w:val="single" w:sz="4" w:space="0" w:color="auto"/>
              <w:right w:val="single" w:sz="4" w:space="0" w:color="auto"/>
            </w:tcBorders>
            <w:shd w:val="clear" w:color="auto" w:fill="auto"/>
            <w:noWrap/>
            <w:vAlign w:val="center"/>
            <w:hideMark/>
          </w:tcPr>
          <w:p w14:paraId="1B1954D5"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(1,490,000)</w:t>
            </w:r>
          </w:p>
        </w:tc>
        <w:tc>
          <w:tcPr>
            <w:tcW w:w="1620" w:type="dxa"/>
            <w:tcBorders>
              <w:top w:val="nil"/>
              <w:left w:val="nil"/>
              <w:bottom w:val="single" w:sz="4" w:space="0" w:color="auto"/>
              <w:right w:val="single" w:sz="4" w:space="0" w:color="auto"/>
            </w:tcBorders>
            <w:shd w:val="clear" w:color="auto" w:fill="auto"/>
            <w:noWrap/>
            <w:vAlign w:val="center"/>
            <w:hideMark/>
          </w:tcPr>
          <w:p w14:paraId="35D81F1C"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(482,000)</w:t>
            </w:r>
          </w:p>
        </w:tc>
        <w:tc>
          <w:tcPr>
            <w:tcW w:w="1980" w:type="dxa"/>
            <w:tcBorders>
              <w:top w:val="nil"/>
              <w:left w:val="nil"/>
              <w:bottom w:val="single" w:sz="4" w:space="0" w:color="auto"/>
              <w:right w:val="single" w:sz="4" w:space="0" w:color="auto"/>
            </w:tcBorders>
            <w:shd w:val="clear" w:color="auto" w:fill="auto"/>
            <w:noWrap/>
            <w:vAlign w:val="center"/>
            <w:hideMark/>
          </w:tcPr>
          <w:p w14:paraId="3F2E43B2"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 (1,008,000)</w:t>
            </w:r>
          </w:p>
        </w:tc>
        <w:tc>
          <w:tcPr>
            <w:tcW w:w="1260" w:type="dxa"/>
            <w:tcBorders>
              <w:top w:val="nil"/>
              <w:left w:val="nil"/>
              <w:bottom w:val="single" w:sz="4" w:space="0" w:color="auto"/>
              <w:right w:val="single" w:sz="8" w:space="0" w:color="auto"/>
            </w:tcBorders>
            <w:shd w:val="clear" w:color="auto" w:fill="auto"/>
            <w:noWrap/>
            <w:vAlign w:val="center"/>
            <w:hideMark/>
          </w:tcPr>
          <w:p w14:paraId="6CE7EB4A" w14:textId="5974507B"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-209</w:t>
            </w:r>
          </w:p>
        </w:tc>
      </w:tr>
      <w:tr w:rsidR="009D37DC" w:rsidRPr="007250FA" w14:paraId="43E0F7A7" w14:textId="77777777" w:rsidTr="00930E61">
        <w:trPr>
          <w:trHeight w:val="576"/>
        </w:trPr>
        <w:tc>
          <w:tcPr>
            <w:tcW w:w="2985" w:type="dxa"/>
            <w:tcBorders>
              <w:top w:val="nil"/>
              <w:left w:val="single" w:sz="8" w:space="0" w:color="auto"/>
              <w:bottom w:val="single" w:sz="8" w:space="0" w:color="auto"/>
              <w:right w:val="single" w:sz="4" w:space="0" w:color="auto"/>
            </w:tcBorders>
            <w:shd w:val="clear" w:color="auto" w:fill="auto"/>
            <w:noWrap/>
            <w:vAlign w:val="center"/>
            <w:hideMark/>
          </w:tcPr>
          <w:p w14:paraId="1144D032" w14:textId="77777777" w:rsidR="009D37DC" w:rsidRPr="007250FA" w:rsidRDefault="009D37DC" w:rsidP="00930E61">
            <w:pPr>
              <w:spacing w:after="0" w:line="240" w:lineRule="auto"/>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Total Liabilities and Stockholder </w:t>
            </w:r>
          </w:p>
        </w:tc>
        <w:tc>
          <w:tcPr>
            <w:tcW w:w="1620" w:type="dxa"/>
            <w:tcBorders>
              <w:top w:val="nil"/>
              <w:left w:val="nil"/>
              <w:bottom w:val="single" w:sz="8" w:space="0" w:color="auto"/>
              <w:right w:val="single" w:sz="4" w:space="0" w:color="auto"/>
            </w:tcBorders>
            <w:shd w:val="clear" w:color="auto" w:fill="auto"/>
            <w:noWrap/>
            <w:vAlign w:val="center"/>
            <w:hideMark/>
          </w:tcPr>
          <w:p w14:paraId="17F3BC2C"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16,755,000 </w:t>
            </w:r>
          </w:p>
        </w:tc>
        <w:tc>
          <w:tcPr>
            <w:tcW w:w="1620" w:type="dxa"/>
            <w:tcBorders>
              <w:top w:val="nil"/>
              <w:left w:val="nil"/>
              <w:bottom w:val="single" w:sz="8" w:space="0" w:color="auto"/>
              <w:right w:val="single" w:sz="4" w:space="0" w:color="auto"/>
            </w:tcBorders>
            <w:shd w:val="clear" w:color="auto" w:fill="auto"/>
            <w:noWrap/>
            <w:vAlign w:val="center"/>
            <w:hideMark/>
          </w:tcPr>
          <w:p w14:paraId="7C86ABB0"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14,957,000 </w:t>
            </w:r>
          </w:p>
        </w:tc>
        <w:tc>
          <w:tcPr>
            <w:tcW w:w="1980" w:type="dxa"/>
            <w:tcBorders>
              <w:top w:val="nil"/>
              <w:left w:val="nil"/>
              <w:bottom w:val="single" w:sz="8" w:space="0" w:color="auto"/>
              <w:right w:val="single" w:sz="4" w:space="0" w:color="auto"/>
            </w:tcBorders>
            <w:shd w:val="clear" w:color="auto" w:fill="auto"/>
            <w:noWrap/>
            <w:vAlign w:val="center"/>
            <w:hideMark/>
          </w:tcPr>
          <w:p w14:paraId="5575789F" w14:textId="77777777" w:rsidR="009D37DC" w:rsidRPr="007250FA" w:rsidRDefault="009D37DC" w:rsidP="00930E61">
            <w:pPr>
              <w:spacing w:after="0" w:line="240" w:lineRule="auto"/>
              <w:jc w:val="right"/>
              <w:rPr>
                <w:rFonts w:ascii="Arial" w:eastAsia="Times New Roman" w:hAnsi="Arial" w:cs="Arial"/>
                <w:color w:val="000000"/>
                <w:sz w:val="22"/>
                <w:szCs w:val="22"/>
              </w:rPr>
            </w:pPr>
            <w:r w:rsidRPr="007250FA">
              <w:rPr>
                <w:rFonts w:ascii="Arial" w:eastAsia="Times New Roman" w:hAnsi="Arial" w:cs="Arial"/>
                <w:color w:val="000000"/>
                <w:sz w:val="22"/>
                <w:szCs w:val="22"/>
              </w:rPr>
              <w:t xml:space="preserve">1,798,000 </w:t>
            </w:r>
          </w:p>
        </w:tc>
        <w:tc>
          <w:tcPr>
            <w:tcW w:w="1260" w:type="dxa"/>
            <w:tcBorders>
              <w:top w:val="nil"/>
              <w:left w:val="nil"/>
              <w:bottom w:val="single" w:sz="8" w:space="0" w:color="auto"/>
              <w:right w:val="single" w:sz="8" w:space="0" w:color="auto"/>
            </w:tcBorders>
            <w:shd w:val="clear" w:color="auto" w:fill="auto"/>
            <w:noWrap/>
            <w:vAlign w:val="center"/>
            <w:hideMark/>
          </w:tcPr>
          <w:p w14:paraId="16A14501" w14:textId="15B4F053" w:rsidR="009D37DC" w:rsidRPr="007250FA" w:rsidRDefault="009D37DC" w:rsidP="0041555A">
            <w:pPr>
              <w:spacing w:after="0" w:line="240" w:lineRule="auto"/>
              <w:jc w:val="center"/>
              <w:rPr>
                <w:rFonts w:ascii="Arial" w:eastAsia="Times New Roman" w:hAnsi="Arial" w:cs="Arial"/>
                <w:color w:val="000000"/>
                <w:sz w:val="22"/>
                <w:szCs w:val="22"/>
              </w:rPr>
            </w:pPr>
            <w:r w:rsidRPr="007250FA">
              <w:rPr>
                <w:rFonts w:ascii="Arial" w:eastAsia="Times New Roman" w:hAnsi="Arial" w:cs="Arial"/>
                <w:color w:val="000000"/>
                <w:sz w:val="22"/>
                <w:szCs w:val="22"/>
              </w:rPr>
              <w:t>12</w:t>
            </w:r>
          </w:p>
        </w:tc>
      </w:tr>
    </w:tbl>
    <w:p w14:paraId="0B89F431" w14:textId="77777777" w:rsidR="009D37DC" w:rsidRDefault="009D37DC">
      <w:pPr>
        <w:rPr>
          <w:rFonts w:ascii="Arial" w:hAnsi="Arial" w:cs="Arial"/>
        </w:rPr>
      </w:pPr>
    </w:p>
    <w:p w14:paraId="6FEDEEAE" w14:textId="3795EACE" w:rsidR="009D37DC" w:rsidRDefault="009D37DC" w:rsidP="009D37DC">
      <w:pPr>
        <w:pStyle w:val="Heading1"/>
        <w:spacing w:line="360" w:lineRule="auto"/>
      </w:pPr>
      <w:bookmarkStart w:id="5" w:name="_Toc103874948"/>
      <w:bookmarkEnd w:id="4"/>
      <w:r>
        <w:t>Financial Analysis Trend</w:t>
      </w:r>
      <w:r w:rsidR="00450B9D">
        <w:t>s</w:t>
      </w:r>
      <w:bookmarkEnd w:id="5"/>
    </w:p>
    <w:p w14:paraId="35C2B54D" w14:textId="3490C93F" w:rsidR="009D37DC" w:rsidRPr="009D37DC" w:rsidRDefault="009D37DC" w:rsidP="009D37DC">
      <w:pPr>
        <w:spacing w:line="360" w:lineRule="auto"/>
        <w:jc w:val="both"/>
        <w:rPr>
          <w:rFonts w:ascii="Arial" w:hAnsi="Arial" w:cs="Arial"/>
          <w:sz w:val="22"/>
          <w:szCs w:val="24"/>
        </w:rPr>
      </w:pPr>
      <w:r w:rsidRPr="009D37DC">
        <w:rPr>
          <w:rFonts w:ascii="Arial" w:hAnsi="Arial" w:cs="Arial"/>
          <w:sz w:val="22"/>
          <w:szCs w:val="24"/>
        </w:rPr>
        <w:t xml:space="preserve">Trend analysis is an important tool of horizontal analysis. Trend represents percentage change in accounts of financial statement. Companies expect increasing pattern in its income and asset and </w:t>
      </w:r>
      <w:r w:rsidR="00213628">
        <w:rPr>
          <w:rFonts w:ascii="Arial" w:hAnsi="Arial" w:cs="Arial"/>
          <w:sz w:val="22"/>
          <w:szCs w:val="24"/>
        </w:rPr>
        <w:t xml:space="preserve">at the same time </w:t>
      </w:r>
      <w:r>
        <w:rPr>
          <w:rFonts w:ascii="Arial" w:hAnsi="Arial" w:cs="Arial"/>
          <w:sz w:val="22"/>
          <w:szCs w:val="24"/>
        </w:rPr>
        <w:t>decreas</w:t>
      </w:r>
      <w:r w:rsidR="00213628">
        <w:rPr>
          <w:rFonts w:ascii="Arial" w:hAnsi="Arial" w:cs="Arial"/>
          <w:sz w:val="22"/>
          <w:szCs w:val="24"/>
        </w:rPr>
        <w:t>ing pattern in its expenditure. The financial analysis trend of HTL is discussed below:</w:t>
      </w:r>
    </w:p>
    <w:p w14:paraId="7C871EED" w14:textId="77777777" w:rsidR="00094156" w:rsidRPr="007250FA" w:rsidRDefault="0026409A" w:rsidP="00EF1B08">
      <w:pPr>
        <w:spacing w:line="360" w:lineRule="auto"/>
        <w:jc w:val="both"/>
        <w:rPr>
          <w:rFonts w:ascii="Arial" w:hAnsi="Arial" w:cs="Arial"/>
          <w:sz w:val="22"/>
          <w:szCs w:val="24"/>
        </w:rPr>
      </w:pPr>
      <w:r w:rsidRPr="007250FA">
        <w:rPr>
          <w:rFonts w:ascii="Arial" w:hAnsi="Arial" w:cs="Arial"/>
          <w:sz w:val="22"/>
          <w:szCs w:val="24"/>
        </w:rPr>
        <w:t xml:space="preserve">HTL experienced significant downturn in its financial performance. Firstly, the </w:t>
      </w:r>
      <w:r w:rsidR="001823E4" w:rsidRPr="007250FA">
        <w:rPr>
          <w:rFonts w:ascii="Arial" w:hAnsi="Arial" w:cs="Arial"/>
          <w:sz w:val="22"/>
          <w:szCs w:val="24"/>
        </w:rPr>
        <w:t>sales of the company have</w:t>
      </w:r>
      <w:r w:rsidRPr="007250FA">
        <w:rPr>
          <w:rFonts w:ascii="Arial" w:hAnsi="Arial" w:cs="Arial"/>
          <w:sz w:val="22"/>
          <w:szCs w:val="24"/>
        </w:rPr>
        <w:t xml:space="preserve"> been fallen by 54% which is very alarming. The company might lose its major market share due to such fall in sales revenue. </w:t>
      </w:r>
      <w:r w:rsidR="001823E4" w:rsidRPr="007250FA">
        <w:rPr>
          <w:rFonts w:ascii="Arial" w:hAnsi="Arial" w:cs="Arial"/>
          <w:sz w:val="22"/>
          <w:szCs w:val="24"/>
        </w:rPr>
        <w:t xml:space="preserve">Since sales revenue decreased, cost of goods sold also decreased by 47%. Thus, the gross of the company is decreased by 76%. The decrease in operating expense is by 18% on the contrary. Operating income of 2020 decreased by 108% </w:t>
      </w:r>
      <w:r w:rsidR="001823E4" w:rsidRPr="007250FA">
        <w:rPr>
          <w:rFonts w:ascii="Arial" w:hAnsi="Arial" w:cs="Arial"/>
          <w:sz w:val="22"/>
          <w:szCs w:val="24"/>
        </w:rPr>
        <w:lastRenderedPageBreak/>
        <w:t xml:space="preserve">from 2019. But interest expense increased by 4% indicating the company increased its debt financing. Other income of the company is also decreased by 559%. Due to such decrease in income, the income before tax </w:t>
      </w:r>
      <w:r w:rsidR="00E36764" w:rsidRPr="007250FA">
        <w:rPr>
          <w:rFonts w:ascii="Arial" w:hAnsi="Arial" w:cs="Arial"/>
          <w:sz w:val="22"/>
          <w:szCs w:val="24"/>
        </w:rPr>
        <w:t xml:space="preserve">has </w:t>
      </w:r>
      <w:r w:rsidR="001823E4" w:rsidRPr="007250FA">
        <w:rPr>
          <w:rFonts w:ascii="Arial" w:hAnsi="Arial" w:cs="Arial"/>
          <w:sz w:val="22"/>
          <w:szCs w:val="24"/>
        </w:rPr>
        <w:t>decreased by 174% and net income</w:t>
      </w:r>
      <w:r w:rsidR="00E36764" w:rsidRPr="007250FA">
        <w:rPr>
          <w:rFonts w:ascii="Arial" w:hAnsi="Arial" w:cs="Arial"/>
          <w:sz w:val="22"/>
          <w:szCs w:val="24"/>
        </w:rPr>
        <w:t xml:space="preserve"> has</w:t>
      </w:r>
      <w:r w:rsidR="001823E4" w:rsidRPr="007250FA">
        <w:rPr>
          <w:rFonts w:ascii="Arial" w:hAnsi="Arial" w:cs="Arial"/>
          <w:sz w:val="22"/>
          <w:szCs w:val="24"/>
        </w:rPr>
        <w:t xml:space="preserve"> decreased by 181%. </w:t>
      </w:r>
    </w:p>
    <w:p w14:paraId="56C2F68C" w14:textId="35F72099" w:rsidR="00E36764" w:rsidRPr="00213628" w:rsidRDefault="001823E4" w:rsidP="00213628">
      <w:pPr>
        <w:spacing w:line="360" w:lineRule="auto"/>
        <w:jc w:val="both"/>
        <w:rPr>
          <w:rFonts w:ascii="Arial" w:hAnsi="Arial" w:cs="Arial"/>
          <w:sz w:val="22"/>
          <w:szCs w:val="24"/>
        </w:rPr>
      </w:pPr>
      <w:r w:rsidRPr="007250FA">
        <w:rPr>
          <w:rFonts w:ascii="Arial" w:hAnsi="Arial" w:cs="Arial"/>
          <w:sz w:val="22"/>
          <w:szCs w:val="24"/>
        </w:rPr>
        <w:t>Above analysis shows that the company lost its sales and other incomes</w:t>
      </w:r>
      <w:r w:rsidR="00213628">
        <w:rPr>
          <w:rFonts w:ascii="Arial" w:hAnsi="Arial" w:cs="Arial"/>
          <w:sz w:val="22"/>
          <w:szCs w:val="24"/>
        </w:rPr>
        <w:t xml:space="preserve"> in 2020</w:t>
      </w:r>
      <w:r w:rsidRPr="007250FA">
        <w:rPr>
          <w:rFonts w:ascii="Arial" w:hAnsi="Arial" w:cs="Arial"/>
          <w:sz w:val="22"/>
          <w:szCs w:val="24"/>
        </w:rPr>
        <w:t xml:space="preserve">. Although expenses decreased by at a lower rate than revenue decreased. As a result the company made huge loss in 2020. </w:t>
      </w:r>
    </w:p>
    <w:p w14:paraId="107946DB" w14:textId="3688B792" w:rsidR="00430C57" w:rsidRPr="007250FA" w:rsidRDefault="00213628" w:rsidP="0027075F">
      <w:pPr>
        <w:spacing w:line="360" w:lineRule="auto"/>
        <w:jc w:val="both"/>
        <w:rPr>
          <w:rFonts w:ascii="Arial" w:hAnsi="Arial" w:cs="Arial"/>
          <w:sz w:val="22"/>
          <w:szCs w:val="24"/>
        </w:rPr>
      </w:pPr>
      <w:r>
        <w:rPr>
          <w:rFonts w:ascii="Arial" w:hAnsi="Arial" w:cs="Arial"/>
          <w:sz w:val="22"/>
          <w:szCs w:val="24"/>
        </w:rPr>
        <w:t>In case of financial trend in balance sheet</w:t>
      </w:r>
      <w:r w:rsidR="00E36764" w:rsidRPr="007250FA">
        <w:rPr>
          <w:rFonts w:ascii="Arial" w:hAnsi="Arial" w:cs="Arial"/>
          <w:sz w:val="22"/>
          <w:szCs w:val="24"/>
        </w:rPr>
        <w:t xml:space="preserve">, the current asset of the company significantly increased by 101% and the non-current asset by 26%. Thus, the total asset of the company has experienced 12% increase. </w:t>
      </w:r>
      <w:r w:rsidR="00243B30" w:rsidRPr="007250FA">
        <w:rPr>
          <w:rFonts w:ascii="Arial" w:hAnsi="Arial" w:cs="Arial"/>
          <w:sz w:val="22"/>
          <w:szCs w:val="24"/>
        </w:rPr>
        <w:t xml:space="preserve">In the liability section, current </w:t>
      </w:r>
      <w:r w:rsidR="002025B1" w:rsidRPr="007250FA">
        <w:rPr>
          <w:rFonts w:ascii="Arial" w:hAnsi="Arial" w:cs="Arial"/>
          <w:sz w:val="22"/>
          <w:szCs w:val="24"/>
        </w:rPr>
        <w:t>liabilities decreased by 15%. N</w:t>
      </w:r>
      <w:r w:rsidR="00243B30" w:rsidRPr="007250FA">
        <w:rPr>
          <w:rFonts w:ascii="Arial" w:hAnsi="Arial" w:cs="Arial"/>
          <w:sz w:val="22"/>
          <w:szCs w:val="24"/>
        </w:rPr>
        <w:t>on-current liabilities increased by 26%</w:t>
      </w:r>
      <w:r w:rsidR="002025B1" w:rsidRPr="007250FA">
        <w:rPr>
          <w:rFonts w:ascii="Arial" w:hAnsi="Arial" w:cs="Arial"/>
          <w:sz w:val="22"/>
          <w:szCs w:val="24"/>
        </w:rPr>
        <w:t xml:space="preserve"> which resulted in increase of interest expense that we observed in income statement</w:t>
      </w:r>
      <w:r w:rsidR="00243B30" w:rsidRPr="007250FA">
        <w:rPr>
          <w:rFonts w:ascii="Arial" w:hAnsi="Arial" w:cs="Arial"/>
          <w:sz w:val="22"/>
          <w:szCs w:val="24"/>
        </w:rPr>
        <w:t xml:space="preserve">. </w:t>
      </w:r>
      <w:r w:rsidR="002025B1" w:rsidRPr="007250FA">
        <w:rPr>
          <w:rFonts w:ascii="Arial" w:hAnsi="Arial" w:cs="Arial"/>
          <w:sz w:val="22"/>
          <w:szCs w:val="24"/>
        </w:rPr>
        <w:t xml:space="preserve">Thus, total liabilities increased by 18%. </w:t>
      </w:r>
      <w:r w:rsidR="00C14C89" w:rsidRPr="007250FA">
        <w:rPr>
          <w:rFonts w:ascii="Arial" w:hAnsi="Arial" w:cs="Arial"/>
          <w:sz w:val="22"/>
          <w:szCs w:val="24"/>
        </w:rPr>
        <w:t xml:space="preserve">In shareholders’ equity section, we see common stock remain unchanged indicating HTL didn’t issue any stock during this period. </w:t>
      </w:r>
      <w:r w:rsidR="00C84E6B" w:rsidRPr="007250FA">
        <w:rPr>
          <w:rFonts w:ascii="Arial" w:hAnsi="Arial" w:cs="Arial"/>
          <w:sz w:val="22"/>
          <w:szCs w:val="24"/>
        </w:rPr>
        <w:t xml:space="preserve">Retained earnings increased by 13% </w:t>
      </w:r>
      <w:r w:rsidR="002B4246" w:rsidRPr="007250FA">
        <w:rPr>
          <w:rFonts w:ascii="Arial" w:hAnsi="Arial" w:cs="Arial"/>
          <w:sz w:val="22"/>
          <w:szCs w:val="24"/>
        </w:rPr>
        <w:t>since</w:t>
      </w:r>
      <w:r w:rsidR="00C84E6B" w:rsidRPr="007250FA">
        <w:rPr>
          <w:rFonts w:ascii="Arial" w:hAnsi="Arial" w:cs="Arial"/>
          <w:sz w:val="22"/>
          <w:szCs w:val="24"/>
        </w:rPr>
        <w:t xml:space="preserve"> HTL made </w:t>
      </w:r>
      <w:r w:rsidR="002B4246" w:rsidRPr="007250FA">
        <w:rPr>
          <w:rFonts w:ascii="Arial" w:hAnsi="Arial" w:cs="Arial"/>
          <w:sz w:val="22"/>
          <w:szCs w:val="24"/>
        </w:rPr>
        <w:t xml:space="preserve">huge </w:t>
      </w:r>
      <w:r w:rsidR="00C84E6B" w:rsidRPr="007250FA">
        <w:rPr>
          <w:rFonts w:ascii="Arial" w:hAnsi="Arial" w:cs="Arial"/>
          <w:sz w:val="22"/>
          <w:szCs w:val="24"/>
        </w:rPr>
        <w:t xml:space="preserve">loss during the year. </w:t>
      </w:r>
      <w:r w:rsidR="002B4246" w:rsidRPr="007250FA">
        <w:rPr>
          <w:rFonts w:ascii="Arial" w:hAnsi="Arial" w:cs="Arial"/>
          <w:sz w:val="22"/>
          <w:szCs w:val="24"/>
        </w:rPr>
        <w:t xml:space="preserve">The total shareholders’ equity decreased by 209% consequently. </w:t>
      </w:r>
      <w:r w:rsidR="007854D1" w:rsidRPr="007250FA">
        <w:rPr>
          <w:rFonts w:ascii="Arial" w:hAnsi="Arial" w:cs="Arial"/>
          <w:sz w:val="22"/>
          <w:szCs w:val="24"/>
        </w:rPr>
        <w:t xml:space="preserve">Finally, total liabilities and shareholders’ equity has similar rate of increase as total asset. </w:t>
      </w:r>
    </w:p>
    <w:p w14:paraId="17A00BEA" w14:textId="77777777" w:rsidR="00A05210" w:rsidRPr="007250FA" w:rsidRDefault="00A05210" w:rsidP="0027075F">
      <w:pPr>
        <w:spacing w:line="360" w:lineRule="auto"/>
        <w:jc w:val="both"/>
        <w:rPr>
          <w:rFonts w:ascii="Arial" w:hAnsi="Arial" w:cs="Arial"/>
          <w:sz w:val="22"/>
          <w:szCs w:val="24"/>
        </w:rPr>
      </w:pPr>
      <w:r w:rsidRPr="007250FA">
        <w:rPr>
          <w:rFonts w:ascii="Arial" w:hAnsi="Arial" w:cs="Arial"/>
          <w:sz w:val="22"/>
          <w:szCs w:val="24"/>
        </w:rPr>
        <w:t xml:space="preserve">The company acquired assets by financing from debt sources. The company is highly leveraged which might give rise to risk of bankruptcy. </w:t>
      </w:r>
      <w:r w:rsidR="009878F4" w:rsidRPr="007250FA">
        <w:rPr>
          <w:rFonts w:ascii="Arial" w:hAnsi="Arial" w:cs="Arial"/>
          <w:sz w:val="22"/>
          <w:szCs w:val="24"/>
        </w:rPr>
        <w:t xml:space="preserve">The interest of equity holders in the company is at great risk since retained earnings and total equity decreased greatly. </w:t>
      </w:r>
    </w:p>
    <w:p w14:paraId="71F5C701" w14:textId="3D5BC2CB" w:rsidR="00430C57" w:rsidRPr="007250FA" w:rsidRDefault="00450B9D" w:rsidP="00430C57">
      <w:pPr>
        <w:pStyle w:val="Heading1"/>
        <w:spacing w:line="360" w:lineRule="auto"/>
        <w:jc w:val="both"/>
        <w:rPr>
          <w:rFonts w:ascii="Arial" w:hAnsi="Arial" w:cs="Arial"/>
        </w:rPr>
      </w:pPr>
      <w:bookmarkStart w:id="6" w:name="_Toc103874949"/>
      <w:r>
        <w:rPr>
          <w:rFonts w:ascii="Arial" w:hAnsi="Arial" w:cs="Arial"/>
        </w:rPr>
        <w:t>Benefits and Limitations of Ratio Analysis</w:t>
      </w:r>
      <w:bookmarkEnd w:id="6"/>
    </w:p>
    <w:p w14:paraId="7CE057A3" w14:textId="77777777" w:rsidR="00DD0530" w:rsidRPr="007250FA" w:rsidRDefault="007C0DA3" w:rsidP="0027075F">
      <w:pPr>
        <w:spacing w:line="360" w:lineRule="auto"/>
        <w:jc w:val="both"/>
        <w:rPr>
          <w:rFonts w:ascii="Arial" w:hAnsi="Arial" w:cs="Arial"/>
          <w:sz w:val="22"/>
          <w:szCs w:val="24"/>
        </w:rPr>
      </w:pPr>
      <w:r w:rsidRPr="007250FA">
        <w:rPr>
          <w:rFonts w:ascii="Arial" w:hAnsi="Arial" w:cs="Arial"/>
          <w:sz w:val="22"/>
          <w:szCs w:val="24"/>
        </w:rPr>
        <w:t xml:space="preserve">Ratio analysis is one of the most important tools of decision making. Not only the management, other stakeholders like investors conduct ratio analysis to take better financial decision.  </w:t>
      </w:r>
      <w:r w:rsidR="00DD0530" w:rsidRPr="007250FA">
        <w:rPr>
          <w:rFonts w:ascii="Arial" w:hAnsi="Arial" w:cs="Arial"/>
          <w:sz w:val="22"/>
          <w:szCs w:val="24"/>
        </w:rPr>
        <w:t>Some notable advantages of ratio analysis in decision making are briefly discussed below:</w:t>
      </w:r>
    </w:p>
    <w:p w14:paraId="458F062B" w14:textId="40B9C16A" w:rsidR="00A6417C" w:rsidRPr="007250FA" w:rsidRDefault="00A6417C" w:rsidP="009421E5">
      <w:pPr>
        <w:pStyle w:val="ListParagraph"/>
        <w:numPr>
          <w:ilvl w:val="0"/>
          <w:numId w:val="1"/>
        </w:numPr>
        <w:spacing w:line="360" w:lineRule="auto"/>
        <w:ind w:left="360"/>
        <w:jc w:val="both"/>
        <w:rPr>
          <w:rFonts w:ascii="Arial" w:hAnsi="Arial" w:cs="Arial"/>
          <w:sz w:val="22"/>
          <w:szCs w:val="24"/>
        </w:rPr>
      </w:pPr>
      <w:r w:rsidRPr="007250FA">
        <w:rPr>
          <w:rFonts w:ascii="Arial" w:hAnsi="Arial" w:cs="Arial"/>
          <w:b/>
          <w:sz w:val="22"/>
          <w:szCs w:val="24"/>
        </w:rPr>
        <w:t>Simplifying accounting information</w:t>
      </w:r>
      <w:r w:rsidR="007C0DA3" w:rsidRPr="007250FA">
        <w:rPr>
          <w:rFonts w:ascii="Arial" w:hAnsi="Arial" w:cs="Arial"/>
          <w:b/>
          <w:sz w:val="22"/>
          <w:szCs w:val="24"/>
        </w:rPr>
        <w:t>:</w:t>
      </w:r>
      <w:r w:rsidR="00DD0530" w:rsidRPr="007250FA">
        <w:rPr>
          <w:rFonts w:ascii="Arial" w:hAnsi="Arial" w:cs="Arial"/>
          <w:sz w:val="22"/>
          <w:szCs w:val="24"/>
        </w:rPr>
        <w:t xml:space="preserve"> User</w:t>
      </w:r>
      <w:r w:rsidR="00155832" w:rsidRPr="007250FA">
        <w:rPr>
          <w:rFonts w:ascii="Arial" w:hAnsi="Arial" w:cs="Arial"/>
          <w:sz w:val="22"/>
          <w:szCs w:val="24"/>
        </w:rPr>
        <w:t>s</w:t>
      </w:r>
      <w:r w:rsidR="00DD0530" w:rsidRPr="007250FA">
        <w:rPr>
          <w:rFonts w:ascii="Arial" w:hAnsi="Arial" w:cs="Arial"/>
          <w:sz w:val="22"/>
          <w:szCs w:val="24"/>
        </w:rPr>
        <w:t xml:space="preserve"> of accounting information are many. Not all of them are financially literate. Ratio analysis simplifies the accounting information and users find it easier to make decision based on such ratios</w:t>
      </w:r>
      <w:sdt>
        <w:sdtPr>
          <w:rPr>
            <w:rFonts w:ascii="Arial" w:hAnsi="Arial" w:cs="Arial"/>
            <w:sz w:val="22"/>
            <w:szCs w:val="24"/>
          </w:rPr>
          <w:id w:val="592597045"/>
          <w:citation/>
        </w:sdtPr>
        <w:sdtEndPr/>
        <w:sdtContent>
          <w:r w:rsidR="00563DF9" w:rsidRPr="007250FA">
            <w:rPr>
              <w:rFonts w:ascii="Arial" w:hAnsi="Arial" w:cs="Arial"/>
              <w:sz w:val="22"/>
              <w:szCs w:val="24"/>
            </w:rPr>
            <w:fldChar w:fldCharType="begin"/>
          </w:r>
          <w:r w:rsidR="00563DF9" w:rsidRPr="007250FA">
            <w:rPr>
              <w:rFonts w:ascii="Arial" w:hAnsi="Arial" w:cs="Arial"/>
              <w:sz w:val="22"/>
              <w:szCs w:val="24"/>
            </w:rPr>
            <w:instrText xml:space="preserve"> CITATION Chn211 \l 1033 </w:instrText>
          </w:r>
          <w:r w:rsidR="00563DF9" w:rsidRPr="007250FA">
            <w:rPr>
              <w:rFonts w:ascii="Arial" w:hAnsi="Arial" w:cs="Arial"/>
              <w:sz w:val="22"/>
              <w:szCs w:val="24"/>
            </w:rPr>
            <w:fldChar w:fldCharType="separate"/>
          </w:r>
          <w:r w:rsidR="00775B36">
            <w:rPr>
              <w:rFonts w:ascii="Arial" w:hAnsi="Arial" w:cs="Arial"/>
              <w:noProof/>
              <w:sz w:val="22"/>
              <w:szCs w:val="24"/>
            </w:rPr>
            <w:t xml:space="preserve"> </w:t>
          </w:r>
          <w:r w:rsidR="00775B36" w:rsidRPr="00775B36">
            <w:rPr>
              <w:rFonts w:ascii="Arial" w:hAnsi="Arial" w:cs="Arial"/>
              <w:noProof/>
              <w:sz w:val="22"/>
              <w:szCs w:val="24"/>
            </w:rPr>
            <w:t>(Rashid, The efficiency of financial ratios analysis to evaluate company's profitability, 2021)</w:t>
          </w:r>
          <w:r w:rsidR="00563DF9" w:rsidRPr="007250FA">
            <w:rPr>
              <w:rFonts w:ascii="Arial" w:hAnsi="Arial" w:cs="Arial"/>
              <w:sz w:val="22"/>
              <w:szCs w:val="24"/>
            </w:rPr>
            <w:fldChar w:fldCharType="end"/>
          </w:r>
        </w:sdtContent>
      </w:sdt>
      <w:r w:rsidR="00DD0530" w:rsidRPr="007250FA">
        <w:rPr>
          <w:rFonts w:ascii="Arial" w:hAnsi="Arial" w:cs="Arial"/>
          <w:sz w:val="22"/>
          <w:szCs w:val="24"/>
        </w:rPr>
        <w:t xml:space="preserve">. </w:t>
      </w:r>
    </w:p>
    <w:p w14:paraId="1AEC8680" w14:textId="10382475" w:rsidR="009D431F" w:rsidRPr="007250FA" w:rsidRDefault="009D431F" w:rsidP="009421E5">
      <w:pPr>
        <w:pStyle w:val="ListParagraph"/>
        <w:numPr>
          <w:ilvl w:val="0"/>
          <w:numId w:val="1"/>
        </w:numPr>
        <w:spacing w:line="360" w:lineRule="auto"/>
        <w:ind w:left="360"/>
        <w:jc w:val="both"/>
        <w:rPr>
          <w:rFonts w:ascii="Arial" w:hAnsi="Arial" w:cs="Arial"/>
          <w:sz w:val="22"/>
          <w:szCs w:val="24"/>
        </w:rPr>
      </w:pPr>
      <w:r w:rsidRPr="007250FA">
        <w:rPr>
          <w:rFonts w:ascii="Arial" w:hAnsi="Arial" w:cs="Arial"/>
          <w:b/>
          <w:sz w:val="22"/>
          <w:szCs w:val="24"/>
        </w:rPr>
        <w:t>Analysis of financial position</w:t>
      </w:r>
      <w:r w:rsidR="00155832" w:rsidRPr="007250FA">
        <w:rPr>
          <w:rFonts w:ascii="Arial" w:hAnsi="Arial" w:cs="Arial"/>
          <w:b/>
          <w:sz w:val="22"/>
          <w:szCs w:val="24"/>
        </w:rPr>
        <w:t>:</w:t>
      </w:r>
      <w:r w:rsidR="00155832" w:rsidRPr="007250FA">
        <w:rPr>
          <w:rFonts w:ascii="Arial" w:hAnsi="Arial" w:cs="Arial"/>
          <w:sz w:val="22"/>
          <w:szCs w:val="24"/>
        </w:rPr>
        <w:t xml:space="preserve"> The statement of financial position can be analyzed using ratio analysis. Horizontal analysis provides insight about percentage change in its assets, liabilities, shareholders’ equity and their components from the prior period. </w:t>
      </w:r>
      <w:r w:rsidR="009421E5" w:rsidRPr="007250FA">
        <w:rPr>
          <w:rFonts w:ascii="Arial" w:hAnsi="Arial" w:cs="Arial"/>
          <w:sz w:val="22"/>
          <w:szCs w:val="24"/>
        </w:rPr>
        <w:t xml:space="preserve">It helps to find out the pattern of progress. Other than these ratios like current ratio, working capital ratios helps </w:t>
      </w:r>
      <w:r w:rsidR="009421E5" w:rsidRPr="007250FA">
        <w:rPr>
          <w:rFonts w:ascii="Arial" w:hAnsi="Arial" w:cs="Arial"/>
          <w:sz w:val="22"/>
          <w:szCs w:val="24"/>
        </w:rPr>
        <w:lastRenderedPageBreak/>
        <w:t>to measure liquidity level and debt to asset ratios enable find o</w:t>
      </w:r>
      <w:r w:rsidR="00004317" w:rsidRPr="007250FA">
        <w:rPr>
          <w:rFonts w:ascii="Arial" w:hAnsi="Arial" w:cs="Arial"/>
          <w:sz w:val="22"/>
          <w:szCs w:val="24"/>
        </w:rPr>
        <w:t>ut optimum capital structure</w:t>
      </w:r>
      <w:sdt>
        <w:sdtPr>
          <w:rPr>
            <w:rFonts w:ascii="Arial" w:hAnsi="Arial" w:cs="Arial"/>
            <w:sz w:val="22"/>
            <w:szCs w:val="24"/>
          </w:rPr>
          <w:id w:val="-1323268312"/>
          <w:citation/>
        </w:sdtPr>
        <w:sdtEndPr/>
        <w:sdtContent>
          <w:r w:rsidR="004B4849" w:rsidRPr="007250FA">
            <w:rPr>
              <w:rFonts w:ascii="Arial" w:hAnsi="Arial" w:cs="Arial"/>
              <w:sz w:val="22"/>
              <w:szCs w:val="24"/>
            </w:rPr>
            <w:fldChar w:fldCharType="begin"/>
          </w:r>
          <w:r w:rsidR="004B4849" w:rsidRPr="007250FA">
            <w:rPr>
              <w:rFonts w:ascii="Arial" w:hAnsi="Arial" w:cs="Arial"/>
              <w:sz w:val="22"/>
              <w:szCs w:val="24"/>
            </w:rPr>
            <w:instrText xml:space="preserve"> CITATION Chn18 \l 1033 </w:instrText>
          </w:r>
          <w:r w:rsidR="004B4849" w:rsidRPr="007250FA">
            <w:rPr>
              <w:rFonts w:ascii="Arial" w:hAnsi="Arial" w:cs="Arial"/>
              <w:sz w:val="22"/>
              <w:szCs w:val="24"/>
            </w:rPr>
            <w:fldChar w:fldCharType="separate"/>
          </w:r>
          <w:r w:rsidR="00775B36">
            <w:rPr>
              <w:rFonts w:ascii="Arial" w:hAnsi="Arial" w:cs="Arial"/>
              <w:noProof/>
              <w:sz w:val="22"/>
              <w:szCs w:val="24"/>
            </w:rPr>
            <w:t xml:space="preserve"> </w:t>
          </w:r>
          <w:r w:rsidR="00775B36" w:rsidRPr="00775B36">
            <w:rPr>
              <w:rFonts w:ascii="Arial" w:hAnsi="Arial" w:cs="Arial"/>
              <w:noProof/>
              <w:sz w:val="22"/>
              <w:szCs w:val="24"/>
            </w:rPr>
            <w:t>(Rashid, Efficiency of Financial Ratios Analysis for Evaluating Companies’ Liquidity, 2018)</w:t>
          </w:r>
          <w:r w:rsidR="004B4849" w:rsidRPr="007250FA">
            <w:rPr>
              <w:rFonts w:ascii="Arial" w:hAnsi="Arial" w:cs="Arial"/>
              <w:sz w:val="22"/>
              <w:szCs w:val="24"/>
            </w:rPr>
            <w:fldChar w:fldCharType="end"/>
          </w:r>
        </w:sdtContent>
      </w:sdt>
      <w:r w:rsidR="00004317" w:rsidRPr="007250FA">
        <w:rPr>
          <w:rFonts w:ascii="Arial" w:hAnsi="Arial" w:cs="Arial"/>
          <w:sz w:val="22"/>
          <w:szCs w:val="24"/>
        </w:rPr>
        <w:t xml:space="preserve">. </w:t>
      </w:r>
    </w:p>
    <w:p w14:paraId="7EF09F08" w14:textId="4ACA0C8A" w:rsidR="009D431F" w:rsidRPr="007250FA" w:rsidRDefault="009D431F" w:rsidP="009421E5">
      <w:pPr>
        <w:pStyle w:val="ListParagraph"/>
        <w:numPr>
          <w:ilvl w:val="0"/>
          <w:numId w:val="1"/>
        </w:numPr>
        <w:spacing w:line="360" w:lineRule="auto"/>
        <w:ind w:left="360"/>
        <w:jc w:val="both"/>
        <w:rPr>
          <w:rFonts w:ascii="Arial" w:hAnsi="Arial" w:cs="Arial"/>
          <w:b/>
          <w:sz w:val="22"/>
          <w:szCs w:val="24"/>
        </w:rPr>
      </w:pPr>
      <w:r w:rsidRPr="007250FA">
        <w:rPr>
          <w:rFonts w:ascii="Arial" w:hAnsi="Arial" w:cs="Arial"/>
          <w:b/>
          <w:sz w:val="22"/>
          <w:szCs w:val="24"/>
        </w:rPr>
        <w:t>Analysis of financial performance</w:t>
      </w:r>
      <w:r w:rsidR="00F7751B" w:rsidRPr="007250FA">
        <w:rPr>
          <w:rFonts w:ascii="Arial" w:hAnsi="Arial" w:cs="Arial"/>
          <w:b/>
          <w:sz w:val="22"/>
          <w:szCs w:val="24"/>
        </w:rPr>
        <w:t xml:space="preserve">: </w:t>
      </w:r>
      <w:r w:rsidR="00F7751B" w:rsidRPr="007250FA">
        <w:rPr>
          <w:rFonts w:ascii="Arial" w:hAnsi="Arial" w:cs="Arial"/>
          <w:sz w:val="22"/>
          <w:szCs w:val="24"/>
        </w:rPr>
        <w:t>Financial performance that is measured by calculating gross, operating and net income can be better understood by ratio analysis. The growth or downfall of financial performance can be measured by horizontal analysis. Again, ratios like return on asset (ROA), return on equity (ROE), gross profit margin, operating profit margin, and net profit margin are good measure of profitability</w:t>
      </w:r>
      <w:sdt>
        <w:sdtPr>
          <w:rPr>
            <w:rFonts w:ascii="Arial" w:hAnsi="Arial" w:cs="Arial"/>
            <w:sz w:val="22"/>
            <w:szCs w:val="24"/>
          </w:rPr>
          <w:id w:val="-864056205"/>
          <w:citation/>
        </w:sdtPr>
        <w:sdtEndPr/>
        <w:sdtContent>
          <w:r w:rsidR="004B4849" w:rsidRPr="007250FA">
            <w:rPr>
              <w:rFonts w:ascii="Arial" w:hAnsi="Arial" w:cs="Arial"/>
              <w:sz w:val="22"/>
              <w:szCs w:val="24"/>
            </w:rPr>
            <w:fldChar w:fldCharType="begin"/>
          </w:r>
          <w:r w:rsidR="004B4849" w:rsidRPr="007250FA">
            <w:rPr>
              <w:rFonts w:ascii="Arial" w:hAnsi="Arial" w:cs="Arial"/>
              <w:sz w:val="22"/>
              <w:szCs w:val="24"/>
            </w:rPr>
            <w:instrText xml:space="preserve"> CITATION Chn211 \l 1033 </w:instrText>
          </w:r>
          <w:r w:rsidR="004B4849" w:rsidRPr="007250FA">
            <w:rPr>
              <w:rFonts w:ascii="Arial" w:hAnsi="Arial" w:cs="Arial"/>
              <w:sz w:val="22"/>
              <w:szCs w:val="24"/>
            </w:rPr>
            <w:fldChar w:fldCharType="separate"/>
          </w:r>
          <w:r w:rsidR="00775B36">
            <w:rPr>
              <w:rFonts w:ascii="Arial" w:hAnsi="Arial" w:cs="Arial"/>
              <w:noProof/>
              <w:sz w:val="22"/>
              <w:szCs w:val="24"/>
            </w:rPr>
            <w:t xml:space="preserve"> </w:t>
          </w:r>
          <w:r w:rsidR="00775B36" w:rsidRPr="00775B36">
            <w:rPr>
              <w:rFonts w:ascii="Arial" w:hAnsi="Arial" w:cs="Arial"/>
              <w:noProof/>
              <w:sz w:val="22"/>
              <w:szCs w:val="24"/>
            </w:rPr>
            <w:t>(Rashid, The efficiency of financial ratios analysis to evaluate company's profitability, 2021)</w:t>
          </w:r>
          <w:r w:rsidR="004B4849" w:rsidRPr="007250FA">
            <w:rPr>
              <w:rFonts w:ascii="Arial" w:hAnsi="Arial" w:cs="Arial"/>
              <w:sz w:val="22"/>
              <w:szCs w:val="24"/>
            </w:rPr>
            <w:fldChar w:fldCharType="end"/>
          </w:r>
        </w:sdtContent>
      </w:sdt>
      <w:r w:rsidR="00F7751B" w:rsidRPr="007250FA">
        <w:rPr>
          <w:rFonts w:ascii="Arial" w:hAnsi="Arial" w:cs="Arial"/>
          <w:sz w:val="22"/>
          <w:szCs w:val="24"/>
        </w:rPr>
        <w:t xml:space="preserve">. </w:t>
      </w:r>
    </w:p>
    <w:p w14:paraId="7012017F" w14:textId="77777777" w:rsidR="009D431F" w:rsidRPr="007250FA" w:rsidRDefault="009D431F" w:rsidP="009421E5">
      <w:pPr>
        <w:pStyle w:val="ListParagraph"/>
        <w:numPr>
          <w:ilvl w:val="0"/>
          <w:numId w:val="1"/>
        </w:numPr>
        <w:spacing w:line="360" w:lineRule="auto"/>
        <w:ind w:left="360"/>
        <w:jc w:val="both"/>
        <w:rPr>
          <w:rFonts w:ascii="Arial" w:hAnsi="Arial" w:cs="Arial"/>
          <w:b/>
          <w:sz w:val="22"/>
          <w:szCs w:val="24"/>
        </w:rPr>
      </w:pPr>
      <w:r w:rsidRPr="007250FA">
        <w:rPr>
          <w:rFonts w:ascii="Arial" w:hAnsi="Arial" w:cs="Arial"/>
          <w:b/>
          <w:sz w:val="22"/>
          <w:szCs w:val="24"/>
        </w:rPr>
        <w:t>Analyzing operational efficiency</w:t>
      </w:r>
      <w:r w:rsidR="00FC014D" w:rsidRPr="007250FA">
        <w:rPr>
          <w:rFonts w:ascii="Arial" w:hAnsi="Arial" w:cs="Arial"/>
          <w:b/>
          <w:sz w:val="22"/>
          <w:szCs w:val="24"/>
        </w:rPr>
        <w:t xml:space="preserve">: </w:t>
      </w:r>
      <w:r w:rsidR="00FC014D" w:rsidRPr="007250FA">
        <w:rPr>
          <w:rFonts w:ascii="Arial" w:hAnsi="Arial" w:cs="Arial"/>
          <w:sz w:val="22"/>
          <w:szCs w:val="24"/>
        </w:rPr>
        <w:t xml:space="preserve">There are different ratios to measure operational efficiency. For instance, asset turnover ratio is calculated to measure the managerial efficiency to generate sales by appropriate use of its assets. Some other efficiency ratios are fixed asset turnover ratio, receivable turnover ratio, inventory turnover ratio, etc. The user of financial statement can assess the expertise of management by ratio analysis. </w:t>
      </w:r>
    </w:p>
    <w:p w14:paraId="7DD04E42" w14:textId="62320862" w:rsidR="009D431F" w:rsidRPr="007250FA" w:rsidRDefault="009D431F" w:rsidP="009421E5">
      <w:pPr>
        <w:pStyle w:val="ListParagraph"/>
        <w:numPr>
          <w:ilvl w:val="0"/>
          <w:numId w:val="1"/>
        </w:numPr>
        <w:spacing w:line="360" w:lineRule="auto"/>
        <w:ind w:left="360"/>
        <w:jc w:val="both"/>
        <w:rPr>
          <w:rFonts w:ascii="Arial" w:hAnsi="Arial" w:cs="Arial"/>
          <w:b/>
          <w:sz w:val="22"/>
          <w:szCs w:val="24"/>
        </w:rPr>
      </w:pPr>
      <w:r w:rsidRPr="007250FA">
        <w:rPr>
          <w:rFonts w:ascii="Arial" w:hAnsi="Arial" w:cs="Arial"/>
          <w:b/>
          <w:sz w:val="22"/>
          <w:szCs w:val="24"/>
        </w:rPr>
        <w:t>Assessing profitability</w:t>
      </w:r>
      <w:r w:rsidR="00C13645" w:rsidRPr="007250FA">
        <w:rPr>
          <w:rFonts w:ascii="Arial" w:hAnsi="Arial" w:cs="Arial"/>
          <w:b/>
          <w:sz w:val="22"/>
          <w:szCs w:val="24"/>
        </w:rPr>
        <w:t xml:space="preserve">: </w:t>
      </w:r>
      <w:r w:rsidR="00C13645" w:rsidRPr="007250FA">
        <w:rPr>
          <w:rFonts w:ascii="Arial" w:hAnsi="Arial" w:cs="Arial"/>
          <w:sz w:val="22"/>
          <w:szCs w:val="24"/>
        </w:rPr>
        <w:t>Profit is the ultimate objective of business activities. A manager will aim at achieving maximum profit, an investor</w:t>
      </w:r>
      <w:r w:rsidR="00B274C6" w:rsidRPr="007250FA">
        <w:rPr>
          <w:rFonts w:ascii="Arial" w:hAnsi="Arial" w:cs="Arial"/>
          <w:sz w:val="22"/>
          <w:szCs w:val="24"/>
        </w:rPr>
        <w:t xml:space="preserve"> will require project with higher profitability and other stakeholders also have key interest on profit of a business. The profitability ratios help to assess current and future potentials an entity</w:t>
      </w:r>
      <w:sdt>
        <w:sdtPr>
          <w:rPr>
            <w:rFonts w:ascii="Arial" w:hAnsi="Arial" w:cs="Arial"/>
            <w:sz w:val="22"/>
            <w:szCs w:val="24"/>
          </w:rPr>
          <w:id w:val="1459213794"/>
          <w:citation/>
        </w:sdtPr>
        <w:sdtEndPr/>
        <w:sdtContent>
          <w:r w:rsidR="004B4849" w:rsidRPr="007250FA">
            <w:rPr>
              <w:rFonts w:ascii="Arial" w:hAnsi="Arial" w:cs="Arial"/>
              <w:sz w:val="22"/>
              <w:szCs w:val="24"/>
            </w:rPr>
            <w:fldChar w:fldCharType="begin"/>
          </w:r>
          <w:r w:rsidR="004B4849" w:rsidRPr="007250FA">
            <w:rPr>
              <w:rFonts w:ascii="Arial" w:hAnsi="Arial" w:cs="Arial"/>
              <w:sz w:val="22"/>
              <w:szCs w:val="24"/>
            </w:rPr>
            <w:instrText xml:space="preserve"> CITATION Chn211 \l 1033 </w:instrText>
          </w:r>
          <w:r w:rsidR="004B4849" w:rsidRPr="007250FA">
            <w:rPr>
              <w:rFonts w:ascii="Arial" w:hAnsi="Arial" w:cs="Arial"/>
              <w:sz w:val="22"/>
              <w:szCs w:val="24"/>
            </w:rPr>
            <w:fldChar w:fldCharType="separate"/>
          </w:r>
          <w:r w:rsidR="00775B36">
            <w:rPr>
              <w:rFonts w:ascii="Arial" w:hAnsi="Arial" w:cs="Arial"/>
              <w:noProof/>
              <w:sz w:val="22"/>
              <w:szCs w:val="24"/>
            </w:rPr>
            <w:t xml:space="preserve"> </w:t>
          </w:r>
          <w:r w:rsidR="00775B36" w:rsidRPr="00775B36">
            <w:rPr>
              <w:rFonts w:ascii="Arial" w:hAnsi="Arial" w:cs="Arial"/>
              <w:noProof/>
              <w:sz w:val="22"/>
              <w:szCs w:val="24"/>
            </w:rPr>
            <w:t>(Rashid, The efficiency of financial ratios analysis to evaluate company's profitability, 2021)</w:t>
          </w:r>
          <w:r w:rsidR="004B4849" w:rsidRPr="007250FA">
            <w:rPr>
              <w:rFonts w:ascii="Arial" w:hAnsi="Arial" w:cs="Arial"/>
              <w:sz w:val="22"/>
              <w:szCs w:val="24"/>
            </w:rPr>
            <w:fldChar w:fldCharType="end"/>
          </w:r>
        </w:sdtContent>
      </w:sdt>
      <w:r w:rsidR="00B274C6" w:rsidRPr="007250FA">
        <w:rPr>
          <w:rFonts w:ascii="Arial" w:hAnsi="Arial" w:cs="Arial"/>
          <w:sz w:val="22"/>
          <w:szCs w:val="24"/>
        </w:rPr>
        <w:t xml:space="preserve">. </w:t>
      </w:r>
    </w:p>
    <w:p w14:paraId="3B57342F" w14:textId="3D8409F8" w:rsidR="009D431F" w:rsidRPr="007250FA" w:rsidRDefault="009D431F" w:rsidP="009421E5">
      <w:pPr>
        <w:pStyle w:val="ListParagraph"/>
        <w:numPr>
          <w:ilvl w:val="0"/>
          <w:numId w:val="1"/>
        </w:numPr>
        <w:spacing w:line="360" w:lineRule="auto"/>
        <w:ind w:left="360"/>
        <w:jc w:val="both"/>
        <w:rPr>
          <w:rFonts w:ascii="Arial" w:hAnsi="Arial" w:cs="Arial"/>
          <w:b/>
          <w:sz w:val="22"/>
          <w:szCs w:val="24"/>
        </w:rPr>
      </w:pPr>
      <w:r w:rsidRPr="007250FA">
        <w:rPr>
          <w:rFonts w:ascii="Arial" w:hAnsi="Arial" w:cs="Arial"/>
          <w:b/>
          <w:sz w:val="22"/>
          <w:szCs w:val="24"/>
        </w:rPr>
        <w:t>Determining optimal capital structure</w:t>
      </w:r>
      <w:r w:rsidR="00DC2EAB" w:rsidRPr="007250FA">
        <w:rPr>
          <w:rFonts w:ascii="Arial" w:hAnsi="Arial" w:cs="Arial"/>
          <w:b/>
          <w:sz w:val="22"/>
          <w:szCs w:val="24"/>
        </w:rPr>
        <w:t xml:space="preserve">: </w:t>
      </w:r>
      <w:r w:rsidR="00DC2EAB" w:rsidRPr="007250FA">
        <w:rPr>
          <w:rFonts w:ascii="Arial" w:hAnsi="Arial" w:cs="Arial"/>
          <w:sz w:val="22"/>
          <w:szCs w:val="24"/>
        </w:rPr>
        <w:t xml:space="preserve">There are ratios of capital structure that are used to determine the optimum capital structure that maximize the objectives. </w:t>
      </w:r>
      <w:r w:rsidR="0042474D" w:rsidRPr="007250FA">
        <w:rPr>
          <w:rFonts w:ascii="Arial" w:hAnsi="Arial" w:cs="Arial"/>
          <w:sz w:val="22"/>
          <w:szCs w:val="24"/>
        </w:rPr>
        <w:t xml:space="preserve">When an organization issues greater equity, it loses the opportunity of tax deduction of interest. However, by taking more debt financing, the entity is exposed to risk of bankruptcy. Thus, there’s need to determine the optimum level. Debt to asset, debt to equity ratios help to </w:t>
      </w:r>
      <w:r w:rsidR="004573D9" w:rsidRPr="007250FA">
        <w:rPr>
          <w:rFonts w:ascii="Arial" w:hAnsi="Arial" w:cs="Arial"/>
          <w:sz w:val="22"/>
          <w:szCs w:val="24"/>
        </w:rPr>
        <w:t>reach</w:t>
      </w:r>
      <w:r w:rsidR="0042474D" w:rsidRPr="007250FA">
        <w:rPr>
          <w:rFonts w:ascii="Arial" w:hAnsi="Arial" w:cs="Arial"/>
          <w:sz w:val="22"/>
          <w:szCs w:val="24"/>
        </w:rPr>
        <w:t xml:space="preserve"> capital structure</w:t>
      </w:r>
      <w:sdt>
        <w:sdtPr>
          <w:rPr>
            <w:rFonts w:ascii="Arial" w:hAnsi="Arial" w:cs="Arial"/>
            <w:sz w:val="22"/>
            <w:szCs w:val="24"/>
          </w:rPr>
          <w:id w:val="1497997225"/>
          <w:citation/>
        </w:sdtPr>
        <w:sdtEndPr/>
        <w:sdtContent>
          <w:r w:rsidR="004B4849" w:rsidRPr="007250FA">
            <w:rPr>
              <w:rFonts w:ascii="Arial" w:hAnsi="Arial" w:cs="Arial"/>
              <w:sz w:val="22"/>
              <w:szCs w:val="24"/>
            </w:rPr>
            <w:fldChar w:fldCharType="begin"/>
          </w:r>
          <w:r w:rsidR="004B4849" w:rsidRPr="007250FA">
            <w:rPr>
              <w:rFonts w:ascii="Arial" w:hAnsi="Arial" w:cs="Arial"/>
              <w:sz w:val="22"/>
              <w:szCs w:val="24"/>
            </w:rPr>
            <w:instrText xml:space="preserve"> CITATION San21 \l 1033 </w:instrText>
          </w:r>
          <w:r w:rsidR="004B4849" w:rsidRPr="007250FA">
            <w:rPr>
              <w:rFonts w:ascii="Arial" w:hAnsi="Arial" w:cs="Arial"/>
              <w:sz w:val="22"/>
              <w:szCs w:val="24"/>
            </w:rPr>
            <w:fldChar w:fldCharType="separate"/>
          </w:r>
          <w:r w:rsidR="00775B36">
            <w:rPr>
              <w:rFonts w:ascii="Arial" w:hAnsi="Arial" w:cs="Arial"/>
              <w:noProof/>
              <w:sz w:val="22"/>
              <w:szCs w:val="24"/>
            </w:rPr>
            <w:t xml:space="preserve"> </w:t>
          </w:r>
          <w:r w:rsidR="00775B36" w:rsidRPr="00775B36">
            <w:rPr>
              <w:rFonts w:ascii="Arial" w:hAnsi="Arial" w:cs="Arial"/>
              <w:noProof/>
              <w:sz w:val="22"/>
              <w:szCs w:val="24"/>
            </w:rPr>
            <w:t>(Pant, 2021)</w:t>
          </w:r>
          <w:r w:rsidR="004B4849" w:rsidRPr="007250FA">
            <w:rPr>
              <w:rFonts w:ascii="Arial" w:hAnsi="Arial" w:cs="Arial"/>
              <w:sz w:val="22"/>
              <w:szCs w:val="24"/>
            </w:rPr>
            <w:fldChar w:fldCharType="end"/>
          </w:r>
        </w:sdtContent>
      </w:sdt>
      <w:r w:rsidR="0042474D" w:rsidRPr="007250FA">
        <w:rPr>
          <w:rFonts w:ascii="Arial" w:hAnsi="Arial" w:cs="Arial"/>
          <w:sz w:val="22"/>
          <w:szCs w:val="24"/>
        </w:rPr>
        <w:t xml:space="preserve">. </w:t>
      </w:r>
    </w:p>
    <w:p w14:paraId="1B79D2CE" w14:textId="77686553" w:rsidR="009D431F" w:rsidRPr="007250FA" w:rsidRDefault="009D431F" w:rsidP="009421E5">
      <w:pPr>
        <w:pStyle w:val="ListParagraph"/>
        <w:numPr>
          <w:ilvl w:val="0"/>
          <w:numId w:val="1"/>
        </w:numPr>
        <w:spacing w:line="360" w:lineRule="auto"/>
        <w:ind w:left="360"/>
        <w:jc w:val="both"/>
        <w:rPr>
          <w:rFonts w:ascii="Arial" w:hAnsi="Arial" w:cs="Arial"/>
          <w:b/>
          <w:sz w:val="22"/>
          <w:szCs w:val="24"/>
        </w:rPr>
      </w:pPr>
      <w:r w:rsidRPr="007250FA">
        <w:rPr>
          <w:rFonts w:ascii="Arial" w:hAnsi="Arial" w:cs="Arial"/>
          <w:b/>
          <w:sz w:val="22"/>
          <w:szCs w:val="24"/>
        </w:rPr>
        <w:t>Taking investment decision</w:t>
      </w:r>
      <w:r w:rsidR="004573D9" w:rsidRPr="007250FA">
        <w:rPr>
          <w:rFonts w:ascii="Arial" w:hAnsi="Arial" w:cs="Arial"/>
          <w:b/>
          <w:sz w:val="22"/>
          <w:szCs w:val="24"/>
        </w:rPr>
        <w:t xml:space="preserve">: </w:t>
      </w:r>
      <w:r w:rsidR="004573D9" w:rsidRPr="007250FA">
        <w:rPr>
          <w:rFonts w:ascii="Arial" w:hAnsi="Arial" w:cs="Arial"/>
          <w:sz w:val="22"/>
          <w:szCs w:val="24"/>
        </w:rPr>
        <w:t>The investors must assess current and future prospects of an investment project before making decision. Ratio analysis helps to assess the profitability, liquidity, long term solvency, efficiency and overall financial health of a company as well as the future potential which help to make investment decision</w:t>
      </w:r>
      <w:sdt>
        <w:sdtPr>
          <w:rPr>
            <w:rFonts w:ascii="Arial" w:hAnsi="Arial" w:cs="Arial"/>
            <w:sz w:val="22"/>
            <w:szCs w:val="24"/>
          </w:rPr>
          <w:id w:val="1871175096"/>
          <w:citation/>
        </w:sdtPr>
        <w:sdtEndPr/>
        <w:sdtContent>
          <w:r w:rsidR="00243C30" w:rsidRPr="007250FA">
            <w:rPr>
              <w:rFonts w:ascii="Arial" w:hAnsi="Arial" w:cs="Arial"/>
              <w:sz w:val="22"/>
              <w:szCs w:val="24"/>
            </w:rPr>
            <w:fldChar w:fldCharType="begin"/>
          </w:r>
          <w:r w:rsidR="00243C30" w:rsidRPr="007250FA">
            <w:rPr>
              <w:rFonts w:ascii="Arial" w:hAnsi="Arial" w:cs="Arial"/>
              <w:sz w:val="22"/>
              <w:szCs w:val="24"/>
            </w:rPr>
            <w:instrText xml:space="preserve"> CITATION San21 \l 1033 </w:instrText>
          </w:r>
          <w:r w:rsidR="00243C30" w:rsidRPr="007250FA">
            <w:rPr>
              <w:rFonts w:ascii="Arial" w:hAnsi="Arial" w:cs="Arial"/>
              <w:sz w:val="22"/>
              <w:szCs w:val="24"/>
            </w:rPr>
            <w:fldChar w:fldCharType="separate"/>
          </w:r>
          <w:r w:rsidR="00775B36">
            <w:rPr>
              <w:rFonts w:ascii="Arial" w:hAnsi="Arial" w:cs="Arial"/>
              <w:noProof/>
              <w:sz w:val="22"/>
              <w:szCs w:val="24"/>
            </w:rPr>
            <w:t xml:space="preserve"> </w:t>
          </w:r>
          <w:r w:rsidR="00775B36" w:rsidRPr="00775B36">
            <w:rPr>
              <w:rFonts w:ascii="Arial" w:hAnsi="Arial" w:cs="Arial"/>
              <w:noProof/>
              <w:sz w:val="22"/>
              <w:szCs w:val="24"/>
            </w:rPr>
            <w:t>(Pant, 2021)</w:t>
          </w:r>
          <w:r w:rsidR="00243C30" w:rsidRPr="007250FA">
            <w:rPr>
              <w:rFonts w:ascii="Arial" w:hAnsi="Arial" w:cs="Arial"/>
              <w:sz w:val="22"/>
              <w:szCs w:val="24"/>
            </w:rPr>
            <w:fldChar w:fldCharType="end"/>
          </w:r>
        </w:sdtContent>
      </w:sdt>
      <w:r w:rsidR="004573D9" w:rsidRPr="007250FA">
        <w:rPr>
          <w:rFonts w:ascii="Arial" w:hAnsi="Arial" w:cs="Arial"/>
          <w:sz w:val="22"/>
          <w:szCs w:val="24"/>
        </w:rPr>
        <w:t xml:space="preserve">. </w:t>
      </w:r>
    </w:p>
    <w:p w14:paraId="2B98F99C" w14:textId="5596DB0C" w:rsidR="009D431F" w:rsidRPr="007250FA" w:rsidRDefault="009D431F" w:rsidP="009421E5">
      <w:pPr>
        <w:pStyle w:val="ListParagraph"/>
        <w:numPr>
          <w:ilvl w:val="0"/>
          <w:numId w:val="1"/>
        </w:numPr>
        <w:spacing w:line="360" w:lineRule="auto"/>
        <w:ind w:left="360"/>
        <w:jc w:val="both"/>
        <w:rPr>
          <w:rFonts w:ascii="Arial" w:hAnsi="Arial" w:cs="Arial"/>
          <w:b/>
          <w:sz w:val="22"/>
          <w:szCs w:val="24"/>
        </w:rPr>
      </w:pPr>
      <w:r w:rsidRPr="007250FA">
        <w:rPr>
          <w:rFonts w:ascii="Arial" w:hAnsi="Arial" w:cs="Arial"/>
          <w:b/>
          <w:sz w:val="22"/>
          <w:szCs w:val="24"/>
        </w:rPr>
        <w:t>Identifying potential risk</w:t>
      </w:r>
      <w:r w:rsidR="003947F2" w:rsidRPr="007250FA">
        <w:rPr>
          <w:rFonts w:ascii="Arial" w:hAnsi="Arial" w:cs="Arial"/>
          <w:b/>
          <w:sz w:val="22"/>
          <w:szCs w:val="24"/>
        </w:rPr>
        <w:t xml:space="preserve">: </w:t>
      </w:r>
      <w:r w:rsidR="003947F2" w:rsidRPr="007250FA">
        <w:rPr>
          <w:rFonts w:ascii="Arial" w:hAnsi="Arial" w:cs="Arial"/>
          <w:sz w:val="22"/>
          <w:szCs w:val="24"/>
        </w:rPr>
        <w:t xml:space="preserve">Ratio analysis helps to assess potential risks. An organization may face risks like liquidity risk, long term solvency risk, bankruptcy risk, financial risk, business risk, etc. There are ratios which are calculated to identify such risks. Researchers have established benchmark for each financial ratios with which the ratios of an entity can be compared and assess potential risks. For instance, the current ratio of HTL in 2019 was 0.73:1. But the standard current ratio is 2:1. So, the ratio indicates high liquidity risk for HTL </w:t>
      </w:r>
      <w:r w:rsidR="003947F2" w:rsidRPr="007250FA">
        <w:rPr>
          <w:rFonts w:ascii="Arial" w:hAnsi="Arial" w:cs="Arial"/>
          <w:sz w:val="22"/>
          <w:szCs w:val="24"/>
        </w:rPr>
        <w:lastRenderedPageBreak/>
        <w:t>that the company might be unable to pay-off its short term obligations in due time with its current liabilities</w:t>
      </w:r>
      <w:sdt>
        <w:sdtPr>
          <w:rPr>
            <w:rFonts w:ascii="Arial" w:hAnsi="Arial" w:cs="Arial"/>
            <w:sz w:val="22"/>
            <w:szCs w:val="24"/>
          </w:rPr>
          <w:id w:val="2131509040"/>
          <w:citation/>
        </w:sdtPr>
        <w:sdtEndPr/>
        <w:sdtContent>
          <w:r w:rsidR="00243C30" w:rsidRPr="007250FA">
            <w:rPr>
              <w:rFonts w:ascii="Arial" w:hAnsi="Arial" w:cs="Arial"/>
              <w:sz w:val="22"/>
              <w:szCs w:val="24"/>
            </w:rPr>
            <w:fldChar w:fldCharType="begin"/>
          </w:r>
          <w:r w:rsidR="00243C30" w:rsidRPr="007250FA">
            <w:rPr>
              <w:rFonts w:ascii="Arial" w:hAnsi="Arial" w:cs="Arial"/>
              <w:sz w:val="22"/>
              <w:szCs w:val="24"/>
            </w:rPr>
            <w:instrText xml:space="preserve"> CITATION San21 \l 1033 </w:instrText>
          </w:r>
          <w:r w:rsidR="00243C30" w:rsidRPr="007250FA">
            <w:rPr>
              <w:rFonts w:ascii="Arial" w:hAnsi="Arial" w:cs="Arial"/>
              <w:sz w:val="22"/>
              <w:szCs w:val="24"/>
            </w:rPr>
            <w:fldChar w:fldCharType="separate"/>
          </w:r>
          <w:r w:rsidR="00775B36">
            <w:rPr>
              <w:rFonts w:ascii="Arial" w:hAnsi="Arial" w:cs="Arial"/>
              <w:noProof/>
              <w:sz w:val="22"/>
              <w:szCs w:val="24"/>
            </w:rPr>
            <w:t xml:space="preserve"> </w:t>
          </w:r>
          <w:r w:rsidR="00775B36" w:rsidRPr="00775B36">
            <w:rPr>
              <w:rFonts w:ascii="Arial" w:hAnsi="Arial" w:cs="Arial"/>
              <w:noProof/>
              <w:sz w:val="22"/>
              <w:szCs w:val="24"/>
            </w:rPr>
            <w:t>(Pant, 2021)</w:t>
          </w:r>
          <w:r w:rsidR="00243C30" w:rsidRPr="007250FA">
            <w:rPr>
              <w:rFonts w:ascii="Arial" w:hAnsi="Arial" w:cs="Arial"/>
              <w:sz w:val="22"/>
              <w:szCs w:val="24"/>
            </w:rPr>
            <w:fldChar w:fldCharType="end"/>
          </w:r>
        </w:sdtContent>
      </w:sdt>
      <w:r w:rsidR="003947F2" w:rsidRPr="007250FA">
        <w:rPr>
          <w:rFonts w:ascii="Arial" w:hAnsi="Arial" w:cs="Arial"/>
          <w:sz w:val="22"/>
          <w:szCs w:val="24"/>
        </w:rPr>
        <w:t xml:space="preserve">. </w:t>
      </w:r>
    </w:p>
    <w:p w14:paraId="26ACA82B" w14:textId="4BEA4D42" w:rsidR="009D431F" w:rsidRPr="007250FA" w:rsidRDefault="009D431F" w:rsidP="009421E5">
      <w:pPr>
        <w:pStyle w:val="ListParagraph"/>
        <w:numPr>
          <w:ilvl w:val="0"/>
          <w:numId w:val="1"/>
        </w:numPr>
        <w:spacing w:line="360" w:lineRule="auto"/>
        <w:ind w:left="360"/>
        <w:jc w:val="both"/>
        <w:rPr>
          <w:rFonts w:ascii="Arial" w:hAnsi="Arial" w:cs="Arial"/>
          <w:b/>
          <w:sz w:val="22"/>
          <w:szCs w:val="24"/>
        </w:rPr>
      </w:pPr>
      <w:r w:rsidRPr="007250FA">
        <w:rPr>
          <w:rFonts w:ascii="Arial" w:hAnsi="Arial" w:cs="Arial"/>
          <w:b/>
          <w:sz w:val="22"/>
          <w:szCs w:val="24"/>
        </w:rPr>
        <w:t>Comparing firm performance</w:t>
      </w:r>
      <w:r w:rsidR="002C0202" w:rsidRPr="007250FA">
        <w:rPr>
          <w:rFonts w:ascii="Arial" w:hAnsi="Arial" w:cs="Arial"/>
          <w:b/>
          <w:sz w:val="22"/>
          <w:szCs w:val="24"/>
        </w:rPr>
        <w:t xml:space="preserve">: </w:t>
      </w:r>
      <w:r w:rsidR="002C0202" w:rsidRPr="007250FA">
        <w:rPr>
          <w:rFonts w:ascii="Arial" w:hAnsi="Arial" w:cs="Arial"/>
          <w:sz w:val="22"/>
          <w:szCs w:val="24"/>
        </w:rPr>
        <w:t xml:space="preserve">Management can make better decision by comparing the financial performance with other companies. By financial statement numbers, it is not possible to compare with other companies with absolute values. However, ratios are calculated based on relative values. Thus, the management can compare performance with own past records or with companies operating in similar industry. </w:t>
      </w:r>
      <w:r w:rsidR="00A64AE6" w:rsidRPr="007250FA">
        <w:rPr>
          <w:rFonts w:ascii="Arial" w:hAnsi="Arial" w:cs="Arial"/>
          <w:sz w:val="22"/>
          <w:szCs w:val="24"/>
        </w:rPr>
        <w:t>Investors can also do the similar to find out appropriate project</w:t>
      </w:r>
      <w:sdt>
        <w:sdtPr>
          <w:rPr>
            <w:rFonts w:ascii="Arial" w:hAnsi="Arial" w:cs="Arial"/>
            <w:sz w:val="22"/>
            <w:szCs w:val="24"/>
          </w:rPr>
          <w:id w:val="-863985649"/>
          <w:citation/>
        </w:sdtPr>
        <w:sdtEndPr/>
        <w:sdtContent>
          <w:r w:rsidR="001661AD" w:rsidRPr="007250FA">
            <w:rPr>
              <w:rFonts w:ascii="Arial" w:hAnsi="Arial" w:cs="Arial"/>
              <w:sz w:val="22"/>
              <w:szCs w:val="24"/>
            </w:rPr>
            <w:fldChar w:fldCharType="begin"/>
          </w:r>
          <w:r w:rsidR="001661AD" w:rsidRPr="007250FA">
            <w:rPr>
              <w:rFonts w:ascii="Arial" w:hAnsi="Arial" w:cs="Arial"/>
              <w:sz w:val="22"/>
              <w:szCs w:val="24"/>
            </w:rPr>
            <w:instrText xml:space="preserve"> CITATION Mul15 \l 1033 </w:instrText>
          </w:r>
          <w:r w:rsidR="001661AD" w:rsidRPr="007250FA">
            <w:rPr>
              <w:rFonts w:ascii="Arial" w:hAnsi="Arial" w:cs="Arial"/>
              <w:sz w:val="22"/>
              <w:szCs w:val="24"/>
            </w:rPr>
            <w:fldChar w:fldCharType="separate"/>
          </w:r>
          <w:r w:rsidR="00775B36">
            <w:rPr>
              <w:rFonts w:ascii="Arial" w:hAnsi="Arial" w:cs="Arial"/>
              <w:noProof/>
              <w:sz w:val="22"/>
              <w:szCs w:val="24"/>
            </w:rPr>
            <w:t xml:space="preserve"> </w:t>
          </w:r>
          <w:r w:rsidR="00775B36" w:rsidRPr="00775B36">
            <w:rPr>
              <w:rFonts w:ascii="Arial" w:hAnsi="Arial" w:cs="Arial"/>
              <w:noProof/>
              <w:sz w:val="22"/>
              <w:szCs w:val="24"/>
            </w:rPr>
            <w:t>(Mulyawan, 2015)</w:t>
          </w:r>
          <w:r w:rsidR="001661AD" w:rsidRPr="007250FA">
            <w:rPr>
              <w:rFonts w:ascii="Arial" w:hAnsi="Arial" w:cs="Arial"/>
              <w:sz w:val="22"/>
              <w:szCs w:val="24"/>
            </w:rPr>
            <w:fldChar w:fldCharType="end"/>
          </w:r>
        </w:sdtContent>
      </w:sdt>
      <w:r w:rsidR="00A64AE6" w:rsidRPr="007250FA">
        <w:rPr>
          <w:rFonts w:ascii="Arial" w:hAnsi="Arial" w:cs="Arial"/>
          <w:sz w:val="22"/>
          <w:szCs w:val="24"/>
        </w:rPr>
        <w:t xml:space="preserve">. </w:t>
      </w:r>
    </w:p>
    <w:p w14:paraId="48BC52EF" w14:textId="63FA3787" w:rsidR="00A6417C" w:rsidRPr="007250FA" w:rsidRDefault="00A6417C" w:rsidP="0009496D">
      <w:pPr>
        <w:pStyle w:val="ListParagraph"/>
        <w:numPr>
          <w:ilvl w:val="0"/>
          <w:numId w:val="1"/>
        </w:numPr>
        <w:spacing w:line="360" w:lineRule="auto"/>
        <w:ind w:left="360"/>
        <w:jc w:val="both"/>
        <w:rPr>
          <w:rFonts w:ascii="Arial" w:hAnsi="Arial" w:cs="Arial"/>
          <w:b/>
          <w:sz w:val="22"/>
          <w:szCs w:val="24"/>
        </w:rPr>
      </w:pPr>
      <w:r w:rsidRPr="007250FA">
        <w:rPr>
          <w:rFonts w:ascii="Arial" w:hAnsi="Arial" w:cs="Arial"/>
          <w:b/>
          <w:sz w:val="22"/>
          <w:szCs w:val="24"/>
        </w:rPr>
        <w:t>Future forecasting</w:t>
      </w:r>
      <w:r w:rsidR="00A64AE6" w:rsidRPr="007250FA">
        <w:rPr>
          <w:rFonts w:ascii="Arial" w:hAnsi="Arial" w:cs="Arial"/>
          <w:b/>
          <w:sz w:val="22"/>
          <w:szCs w:val="24"/>
        </w:rPr>
        <w:t xml:space="preserve">: </w:t>
      </w:r>
      <w:r w:rsidR="00A64AE6" w:rsidRPr="007250FA">
        <w:rPr>
          <w:rFonts w:ascii="Arial" w:hAnsi="Arial" w:cs="Arial"/>
          <w:sz w:val="22"/>
          <w:szCs w:val="24"/>
        </w:rPr>
        <w:t xml:space="preserve">Forecasting the future is one of the most important </w:t>
      </w:r>
      <w:r w:rsidR="006B6C8E" w:rsidRPr="007250FA">
        <w:rPr>
          <w:rFonts w:ascii="Arial" w:hAnsi="Arial" w:cs="Arial"/>
          <w:sz w:val="22"/>
          <w:szCs w:val="24"/>
        </w:rPr>
        <w:t>benefits</w:t>
      </w:r>
      <w:r w:rsidR="00A64AE6" w:rsidRPr="007250FA">
        <w:rPr>
          <w:rFonts w:ascii="Arial" w:hAnsi="Arial" w:cs="Arial"/>
          <w:sz w:val="22"/>
          <w:szCs w:val="24"/>
        </w:rPr>
        <w:t xml:space="preserve"> of ratio analysis. Based on past performance, financial managers can predict future outcome and plan to achieve a higher target. Future forecasting enables manager find out the risks and their relative impact on performance. </w:t>
      </w:r>
      <w:r w:rsidR="006B6C8E" w:rsidRPr="007250FA">
        <w:rPr>
          <w:rFonts w:ascii="Arial" w:hAnsi="Arial" w:cs="Arial"/>
          <w:sz w:val="22"/>
          <w:szCs w:val="24"/>
        </w:rPr>
        <w:t>Managers of every department of an entity heavily rely</w:t>
      </w:r>
      <w:r w:rsidR="00A64AE6" w:rsidRPr="007250FA">
        <w:rPr>
          <w:rFonts w:ascii="Arial" w:hAnsi="Arial" w:cs="Arial"/>
          <w:sz w:val="22"/>
          <w:szCs w:val="24"/>
        </w:rPr>
        <w:t xml:space="preserve"> on predicted financial statement to set goals and plans. </w:t>
      </w:r>
      <w:r w:rsidR="004E1A38">
        <w:rPr>
          <w:rFonts w:ascii="Arial" w:hAnsi="Arial" w:cs="Arial"/>
          <w:sz w:val="22"/>
          <w:szCs w:val="24"/>
        </w:rPr>
        <w:t xml:space="preserve">(Yahya </w:t>
      </w:r>
      <w:r w:rsidR="004E1A38" w:rsidRPr="004E1A38">
        <w:rPr>
          <w:rFonts w:ascii="Arial" w:hAnsi="Arial" w:cs="Arial"/>
          <w:i/>
          <w:iCs/>
          <w:sz w:val="22"/>
          <w:szCs w:val="24"/>
        </w:rPr>
        <w:t>et al</w:t>
      </w:r>
      <w:r w:rsidR="004E1A38">
        <w:rPr>
          <w:rFonts w:ascii="Arial" w:hAnsi="Arial" w:cs="Arial"/>
          <w:i/>
          <w:iCs/>
          <w:sz w:val="22"/>
          <w:szCs w:val="24"/>
        </w:rPr>
        <w:t xml:space="preserve">, </w:t>
      </w:r>
      <w:r w:rsidR="004E1A38">
        <w:rPr>
          <w:rFonts w:ascii="Arial" w:hAnsi="Arial" w:cs="Arial"/>
          <w:sz w:val="22"/>
          <w:szCs w:val="24"/>
        </w:rPr>
        <w:t>2013)</w:t>
      </w:r>
    </w:p>
    <w:p w14:paraId="0A6D4D4B" w14:textId="77777777" w:rsidR="0009496D" w:rsidRPr="007250FA" w:rsidRDefault="0009496D" w:rsidP="0043600C">
      <w:pPr>
        <w:spacing w:line="360" w:lineRule="auto"/>
        <w:jc w:val="both"/>
        <w:rPr>
          <w:rFonts w:ascii="Arial" w:hAnsi="Arial" w:cs="Arial"/>
          <w:sz w:val="22"/>
        </w:rPr>
      </w:pPr>
      <w:r w:rsidRPr="007250FA">
        <w:rPr>
          <w:rFonts w:ascii="Arial" w:hAnsi="Arial" w:cs="Arial"/>
          <w:sz w:val="22"/>
        </w:rPr>
        <w:t xml:space="preserve">Despite lots of benefits, ratio analysis is supposed to some limitations. These are mentioned below: </w:t>
      </w:r>
    </w:p>
    <w:p w14:paraId="1E3ADBA3" w14:textId="54188D3E" w:rsidR="00E659E5" w:rsidRPr="007250FA" w:rsidRDefault="00E659E5" w:rsidP="00E765AA">
      <w:pPr>
        <w:pStyle w:val="ListParagraph"/>
        <w:numPr>
          <w:ilvl w:val="0"/>
          <w:numId w:val="2"/>
        </w:numPr>
        <w:spacing w:line="360" w:lineRule="auto"/>
        <w:jc w:val="both"/>
        <w:rPr>
          <w:rFonts w:ascii="Arial" w:hAnsi="Arial" w:cs="Arial"/>
          <w:b/>
          <w:sz w:val="22"/>
        </w:rPr>
      </w:pPr>
      <w:r w:rsidRPr="007250FA">
        <w:rPr>
          <w:rFonts w:ascii="Arial" w:hAnsi="Arial" w:cs="Arial"/>
          <w:b/>
          <w:sz w:val="22"/>
        </w:rPr>
        <w:t>Based on historical information</w:t>
      </w:r>
      <w:r w:rsidR="0043600C" w:rsidRPr="007250FA">
        <w:rPr>
          <w:rFonts w:ascii="Arial" w:hAnsi="Arial" w:cs="Arial"/>
          <w:b/>
          <w:sz w:val="22"/>
        </w:rPr>
        <w:t xml:space="preserve">: </w:t>
      </w:r>
      <w:r w:rsidR="0043600C" w:rsidRPr="007250FA">
        <w:rPr>
          <w:rFonts w:ascii="Arial" w:hAnsi="Arial" w:cs="Arial"/>
          <w:sz w:val="22"/>
        </w:rPr>
        <w:t>Ratio analysis is conducted based on past accounting numbers.</w:t>
      </w:r>
      <w:r w:rsidR="007F09C0" w:rsidRPr="007250FA">
        <w:rPr>
          <w:rFonts w:ascii="Arial" w:hAnsi="Arial" w:cs="Arial"/>
          <w:sz w:val="22"/>
        </w:rPr>
        <w:t xml:space="preserve"> So, the future prediction by ratio analysis may not become accurate</w:t>
      </w:r>
      <w:sdt>
        <w:sdtPr>
          <w:rPr>
            <w:rFonts w:ascii="Arial" w:hAnsi="Arial" w:cs="Arial"/>
            <w:sz w:val="22"/>
          </w:rPr>
          <w:id w:val="1939250552"/>
          <w:citation/>
        </w:sdtPr>
        <w:sdtEndPr/>
        <w:sdtContent>
          <w:r w:rsidR="00713ED9" w:rsidRPr="007250FA">
            <w:rPr>
              <w:rFonts w:ascii="Arial" w:hAnsi="Arial" w:cs="Arial"/>
              <w:sz w:val="22"/>
            </w:rPr>
            <w:fldChar w:fldCharType="begin"/>
          </w:r>
          <w:r w:rsidR="00713ED9" w:rsidRPr="007250FA">
            <w:rPr>
              <w:rFonts w:ascii="Arial" w:hAnsi="Arial" w:cs="Arial"/>
              <w:sz w:val="22"/>
            </w:rPr>
            <w:instrText xml:space="preserve"> CITATION Jos15 \l 1033 </w:instrText>
          </w:r>
          <w:r w:rsidR="00713ED9" w:rsidRPr="007250FA">
            <w:rPr>
              <w:rFonts w:ascii="Arial" w:hAnsi="Arial" w:cs="Arial"/>
              <w:sz w:val="22"/>
            </w:rPr>
            <w:fldChar w:fldCharType="separate"/>
          </w:r>
          <w:r w:rsidR="00775B36">
            <w:rPr>
              <w:rFonts w:ascii="Arial" w:hAnsi="Arial" w:cs="Arial"/>
              <w:noProof/>
              <w:sz w:val="22"/>
            </w:rPr>
            <w:t xml:space="preserve"> </w:t>
          </w:r>
          <w:r w:rsidR="00775B36" w:rsidRPr="00775B36">
            <w:rPr>
              <w:rFonts w:ascii="Arial" w:hAnsi="Arial" w:cs="Arial"/>
              <w:noProof/>
              <w:sz w:val="22"/>
            </w:rPr>
            <w:t>(Faello, 2015)</w:t>
          </w:r>
          <w:r w:rsidR="00713ED9" w:rsidRPr="007250FA">
            <w:rPr>
              <w:rFonts w:ascii="Arial" w:hAnsi="Arial" w:cs="Arial"/>
              <w:sz w:val="22"/>
            </w:rPr>
            <w:fldChar w:fldCharType="end"/>
          </w:r>
        </w:sdtContent>
      </w:sdt>
      <w:r w:rsidR="007F09C0" w:rsidRPr="007250FA">
        <w:rPr>
          <w:rFonts w:ascii="Arial" w:hAnsi="Arial" w:cs="Arial"/>
          <w:sz w:val="22"/>
        </w:rPr>
        <w:t>.</w:t>
      </w:r>
    </w:p>
    <w:p w14:paraId="5308C831" w14:textId="3C4E7939" w:rsidR="00E659E5" w:rsidRPr="007250FA" w:rsidRDefault="00E659E5" w:rsidP="00E765AA">
      <w:pPr>
        <w:pStyle w:val="ListParagraph"/>
        <w:numPr>
          <w:ilvl w:val="0"/>
          <w:numId w:val="2"/>
        </w:numPr>
        <w:spacing w:line="360" w:lineRule="auto"/>
        <w:jc w:val="both"/>
        <w:rPr>
          <w:rFonts w:ascii="Arial" w:hAnsi="Arial" w:cs="Arial"/>
          <w:b/>
          <w:sz w:val="22"/>
        </w:rPr>
      </w:pPr>
      <w:r w:rsidRPr="007250FA">
        <w:rPr>
          <w:rFonts w:ascii="Arial" w:hAnsi="Arial" w:cs="Arial"/>
          <w:b/>
          <w:sz w:val="22"/>
        </w:rPr>
        <w:t>Quantitative measure</w:t>
      </w:r>
      <w:r w:rsidR="007F09C0" w:rsidRPr="007250FA">
        <w:rPr>
          <w:rFonts w:ascii="Arial" w:hAnsi="Arial" w:cs="Arial"/>
          <w:b/>
          <w:sz w:val="22"/>
        </w:rPr>
        <w:t xml:space="preserve">: </w:t>
      </w:r>
      <w:r w:rsidR="007F09C0" w:rsidRPr="007250FA">
        <w:rPr>
          <w:rFonts w:ascii="Arial" w:hAnsi="Arial" w:cs="Arial"/>
          <w:sz w:val="22"/>
        </w:rPr>
        <w:t>Ratios are quantitative measure not qualitative. Other than accounting numbers, performance of business depends on many other aspects. For instance, companies with great prospect in the past failed even to survive during past pandemic. The industry, government structure, management authority, monitoring, macro and micro environmental factors etc. have great influence on firm performance</w:t>
      </w:r>
      <w:sdt>
        <w:sdtPr>
          <w:rPr>
            <w:rFonts w:ascii="Arial" w:hAnsi="Arial" w:cs="Arial"/>
            <w:sz w:val="22"/>
          </w:rPr>
          <w:id w:val="1924683643"/>
          <w:citation/>
        </w:sdtPr>
        <w:sdtEndPr/>
        <w:sdtContent>
          <w:r w:rsidR="00563DF9" w:rsidRPr="007250FA">
            <w:rPr>
              <w:rFonts w:ascii="Arial" w:hAnsi="Arial" w:cs="Arial"/>
              <w:sz w:val="22"/>
            </w:rPr>
            <w:fldChar w:fldCharType="begin"/>
          </w:r>
          <w:r w:rsidR="00563DF9" w:rsidRPr="007250FA">
            <w:rPr>
              <w:rFonts w:ascii="Arial" w:hAnsi="Arial" w:cs="Arial"/>
              <w:sz w:val="22"/>
            </w:rPr>
            <w:instrText xml:space="preserve"> CITATION Jos15 \l 1033 </w:instrText>
          </w:r>
          <w:r w:rsidR="00563DF9" w:rsidRPr="007250FA">
            <w:rPr>
              <w:rFonts w:ascii="Arial" w:hAnsi="Arial" w:cs="Arial"/>
              <w:sz w:val="22"/>
            </w:rPr>
            <w:fldChar w:fldCharType="separate"/>
          </w:r>
          <w:r w:rsidR="00775B36">
            <w:rPr>
              <w:rFonts w:ascii="Arial" w:hAnsi="Arial" w:cs="Arial"/>
              <w:noProof/>
              <w:sz w:val="22"/>
            </w:rPr>
            <w:t xml:space="preserve"> </w:t>
          </w:r>
          <w:r w:rsidR="00775B36" w:rsidRPr="00775B36">
            <w:rPr>
              <w:rFonts w:ascii="Arial" w:hAnsi="Arial" w:cs="Arial"/>
              <w:noProof/>
              <w:sz w:val="22"/>
            </w:rPr>
            <w:t>(Faello, 2015)</w:t>
          </w:r>
          <w:r w:rsidR="00563DF9" w:rsidRPr="007250FA">
            <w:rPr>
              <w:rFonts w:ascii="Arial" w:hAnsi="Arial" w:cs="Arial"/>
              <w:sz w:val="22"/>
            </w:rPr>
            <w:fldChar w:fldCharType="end"/>
          </w:r>
        </w:sdtContent>
      </w:sdt>
      <w:r w:rsidR="007F09C0" w:rsidRPr="007250FA">
        <w:rPr>
          <w:rFonts w:ascii="Arial" w:hAnsi="Arial" w:cs="Arial"/>
          <w:sz w:val="22"/>
        </w:rPr>
        <w:t xml:space="preserve">. </w:t>
      </w:r>
    </w:p>
    <w:p w14:paraId="12F4E0B0" w14:textId="787C401D" w:rsidR="00E659E5" w:rsidRPr="007250FA" w:rsidRDefault="00E659E5" w:rsidP="00E765AA">
      <w:pPr>
        <w:pStyle w:val="ListParagraph"/>
        <w:numPr>
          <w:ilvl w:val="0"/>
          <w:numId w:val="2"/>
        </w:numPr>
        <w:spacing w:line="360" w:lineRule="auto"/>
        <w:jc w:val="both"/>
        <w:rPr>
          <w:rFonts w:ascii="Arial" w:hAnsi="Arial" w:cs="Arial"/>
          <w:b/>
          <w:sz w:val="22"/>
        </w:rPr>
      </w:pPr>
      <w:r w:rsidRPr="007250FA">
        <w:rPr>
          <w:rFonts w:ascii="Arial" w:hAnsi="Arial" w:cs="Arial"/>
          <w:b/>
          <w:sz w:val="22"/>
        </w:rPr>
        <w:t>Not considering accounting policies</w:t>
      </w:r>
      <w:r w:rsidR="007F09C0" w:rsidRPr="007250FA">
        <w:rPr>
          <w:rFonts w:ascii="Arial" w:hAnsi="Arial" w:cs="Arial"/>
          <w:b/>
          <w:sz w:val="22"/>
        </w:rPr>
        <w:t xml:space="preserve">: </w:t>
      </w:r>
      <w:r w:rsidR="007F09C0" w:rsidRPr="007250FA">
        <w:rPr>
          <w:rFonts w:ascii="Arial" w:hAnsi="Arial" w:cs="Arial"/>
          <w:sz w:val="22"/>
        </w:rPr>
        <w:t xml:space="preserve">Accounting policies are not considered in ratio analysis. The management may use a specific policy over others to show good numbers in the financial statements. </w:t>
      </w:r>
      <w:r w:rsidR="00F279A0" w:rsidRPr="007250FA">
        <w:rPr>
          <w:rFonts w:ascii="Arial" w:hAnsi="Arial" w:cs="Arial"/>
          <w:sz w:val="22"/>
        </w:rPr>
        <w:t>Since ratios do not consider accounting policies, real scenario may not be projected properly</w:t>
      </w:r>
      <w:sdt>
        <w:sdtPr>
          <w:rPr>
            <w:rFonts w:ascii="Arial" w:hAnsi="Arial" w:cs="Arial"/>
            <w:sz w:val="22"/>
          </w:rPr>
          <w:id w:val="-602259320"/>
          <w:citation/>
        </w:sdtPr>
        <w:sdtEndPr/>
        <w:sdtContent>
          <w:r w:rsidR="00563DF9" w:rsidRPr="007250FA">
            <w:rPr>
              <w:rFonts w:ascii="Arial" w:hAnsi="Arial" w:cs="Arial"/>
              <w:sz w:val="22"/>
            </w:rPr>
            <w:fldChar w:fldCharType="begin"/>
          </w:r>
          <w:r w:rsidR="00563DF9" w:rsidRPr="007250FA">
            <w:rPr>
              <w:rFonts w:ascii="Arial" w:hAnsi="Arial" w:cs="Arial"/>
              <w:sz w:val="22"/>
            </w:rPr>
            <w:instrText xml:space="preserve"> CITATION Jos15 \l 1033 </w:instrText>
          </w:r>
          <w:r w:rsidR="00563DF9" w:rsidRPr="007250FA">
            <w:rPr>
              <w:rFonts w:ascii="Arial" w:hAnsi="Arial" w:cs="Arial"/>
              <w:sz w:val="22"/>
            </w:rPr>
            <w:fldChar w:fldCharType="separate"/>
          </w:r>
          <w:r w:rsidR="00775B36">
            <w:rPr>
              <w:rFonts w:ascii="Arial" w:hAnsi="Arial" w:cs="Arial"/>
              <w:noProof/>
              <w:sz w:val="22"/>
            </w:rPr>
            <w:t xml:space="preserve"> </w:t>
          </w:r>
          <w:r w:rsidR="00775B36" w:rsidRPr="00775B36">
            <w:rPr>
              <w:rFonts w:ascii="Arial" w:hAnsi="Arial" w:cs="Arial"/>
              <w:noProof/>
              <w:sz w:val="22"/>
            </w:rPr>
            <w:t>(Faello, 2015)</w:t>
          </w:r>
          <w:r w:rsidR="00563DF9" w:rsidRPr="007250FA">
            <w:rPr>
              <w:rFonts w:ascii="Arial" w:hAnsi="Arial" w:cs="Arial"/>
              <w:sz w:val="22"/>
            </w:rPr>
            <w:fldChar w:fldCharType="end"/>
          </w:r>
        </w:sdtContent>
      </w:sdt>
      <w:r w:rsidR="00F279A0" w:rsidRPr="007250FA">
        <w:rPr>
          <w:rFonts w:ascii="Arial" w:hAnsi="Arial" w:cs="Arial"/>
          <w:sz w:val="22"/>
        </w:rPr>
        <w:t xml:space="preserve">. </w:t>
      </w:r>
    </w:p>
    <w:p w14:paraId="575C6E18" w14:textId="796E7351" w:rsidR="00E659E5" w:rsidRPr="007250FA" w:rsidRDefault="00E659E5" w:rsidP="00E765AA">
      <w:pPr>
        <w:pStyle w:val="ListParagraph"/>
        <w:numPr>
          <w:ilvl w:val="0"/>
          <w:numId w:val="2"/>
        </w:numPr>
        <w:spacing w:line="360" w:lineRule="auto"/>
        <w:jc w:val="both"/>
        <w:rPr>
          <w:rFonts w:ascii="Arial" w:hAnsi="Arial" w:cs="Arial"/>
          <w:b/>
          <w:sz w:val="22"/>
        </w:rPr>
      </w:pPr>
      <w:r w:rsidRPr="007250FA">
        <w:rPr>
          <w:rFonts w:ascii="Arial" w:hAnsi="Arial" w:cs="Arial"/>
          <w:b/>
          <w:sz w:val="22"/>
        </w:rPr>
        <w:t>Seasonal effects</w:t>
      </w:r>
      <w:r w:rsidR="0036097B" w:rsidRPr="007250FA">
        <w:rPr>
          <w:rFonts w:ascii="Arial" w:hAnsi="Arial" w:cs="Arial"/>
          <w:b/>
          <w:sz w:val="22"/>
        </w:rPr>
        <w:t xml:space="preserve">: </w:t>
      </w:r>
      <w:r w:rsidR="0036097B" w:rsidRPr="007250FA">
        <w:rPr>
          <w:rFonts w:ascii="Arial" w:hAnsi="Arial" w:cs="Arial"/>
          <w:sz w:val="22"/>
        </w:rPr>
        <w:t>In particular time, the entity may experience uneven results. If ratios do not exclude such seasonal effects, the findings may not be appropriate for decision making</w:t>
      </w:r>
      <w:sdt>
        <w:sdtPr>
          <w:rPr>
            <w:rFonts w:ascii="Arial" w:hAnsi="Arial" w:cs="Arial"/>
            <w:sz w:val="22"/>
          </w:rPr>
          <w:id w:val="1189797428"/>
          <w:citation/>
        </w:sdtPr>
        <w:sdtEndPr/>
        <w:sdtContent>
          <w:r w:rsidR="00563DF9" w:rsidRPr="007250FA">
            <w:rPr>
              <w:rFonts w:ascii="Arial" w:hAnsi="Arial" w:cs="Arial"/>
              <w:sz w:val="22"/>
            </w:rPr>
            <w:fldChar w:fldCharType="begin"/>
          </w:r>
          <w:r w:rsidR="00563DF9" w:rsidRPr="007250FA">
            <w:rPr>
              <w:rFonts w:ascii="Arial" w:hAnsi="Arial" w:cs="Arial"/>
              <w:sz w:val="22"/>
            </w:rPr>
            <w:instrText xml:space="preserve"> CITATION Jos15 \l 1033 </w:instrText>
          </w:r>
          <w:r w:rsidR="00563DF9" w:rsidRPr="007250FA">
            <w:rPr>
              <w:rFonts w:ascii="Arial" w:hAnsi="Arial" w:cs="Arial"/>
              <w:sz w:val="22"/>
            </w:rPr>
            <w:fldChar w:fldCharType="separate"/>
          </w:r>
          <w:r w:rsidR="00775B36">
            <w:rPr>
              <w:rFonts w:ascii="Arial" w:hAnsi="Arial" w:cs="Arial"/>
              <w:noProof/>
              <w:sz w:val="22"/>
            </w:rPr>
            <w:t xml:space="preserve"> </w:t>
          </w:r>
          <w:r w:rsidR="00775B36" w:rsidRPr="00775B36">
            <w:rPr>
              <w:rFonts w:ascii="Arial" w:hAnsi="Arial" w:cs="Arial"/>
              <w:noProof/>
              <w:sz w:val="22"/>
            </w:rPr>
            <w:t>(Faello, 2015)</w:t>
          </w:r>
          <w:r w:rsidR="00563DF9" w:rsidRPr="007250FA">
            <w:rPr>
              <w:rFonts w:ascii="Arial" w:hAnsi="Arial" w:cs="Arial"/>
              <w:sz w:val="22"/>
            </w:rPr>
            <w:fldChar w:fldCharType="end"/>
          </w:r>
        </w:sdtContent>
      </w:sdt>
      <w:r w:rsidR="0036097B" w:rsidRPr="007250FA">
        <w:rPr>
          <w:rFonts w:ascii="Arial" w:hAnsi="Arial" w:cs="Arial"/>
          <w:sz w:val="22"/>
        </w:rPr>
        <w:t xml:space="preserve">. </w:t>
      </w:r>
    </w:p>
    <w:p w14:paraId="0FF8645D" w14:textId="25F75CB0" w:rsidR="00E659E5" w:rsidRPr="007250FA" w:rsidRDefault="00E659E5" w:rsidP="00E765AA">
      <w:pPr>
        <w:pStyle w:val="ListParagraph"/>
        <w:numPr>
          <w:ilvl w:val="0"/>
          <w:numId w:val="2"/>
        </w:numPr>
        <w:spacing w:line="360" w:lineRule="auto"/>
        <w:jc w:val="both"/>
        <w:rPr>
          <w:rFonts w:ascii="Arial" w:hAnsi="Arial" w:cs="Arial"/>
          <w:b/>
          <w:sz w:val="22"/>
        </w:rPr>
      </w:pPr>
      <w:r w:rsidRPr="007250FA">
        <w:rPr>
          <w:rFonts w:ascii="Arial" w:hAnsi="Arial" w:cs="Arial"/>
          <w:b/>
          <w:sz w:val="22"/>
        </w:rPr>
        <w:t>Manipulation of financial statement</w:t>
      </w:r>
      <w:r w:rsidR="0036097B" w:rsidRPr="007250FA">
        <w:rPr>
          <w:rFonts w:ascii="Arial" w:hAnsi="Arial" w:cs="Arial"/>
          <w:b/>
          <w:sz w:val="22"/>
        </w:rPr>
        <w:t xml:space="preserve">: </w:t>
      </w:r>
      <w:r w:rsidR="0036097B" w:rsidRPr="007250FA">
        <w:rPr>
          <w:rFonts w:ascii="Arial" w:hAnsi="Arial" w:cs="Arial"/>
          <w:sz w:val="22"/>
        </w:rPr>
        <w:t xml:space="preserve">Agency theory states that managers are driven by self-interest at the cost of owners. Thus they have incentive to manipulate the financial </w:t>
      </w:r>
      <w:r w:rsidR="0036097B" w:rsidRPr="007250FA">
        <w:rPr>
          <w:rFonts w:ascii="Arial" w:hAnsi="Arial" w:cs="Arial"/>
          <w:sz w:val="22"/>
        </w:rPr>
        <w:lastRenderedPageBreak/>
        <w:t>statements. Since ratios are calculated based on financial statements, manipulated data might give inaccurate results</w:t>
      </w:r>
      <w:sdt>
        <w:sdtPr>
          <w:rPr>
            <w:rFonts w:ascii="Arial" w:hAnsi="Arial" w:cs="Arial"/>
            <w:sz w:val="22"/>
          </w:rPr>
          <w:id w:val="-918866771"/>
          <w:citation/>
        </w:sdtPr>
        <w:sdtEndPr/>
        <w:sdtContent>
          <w:r w:rsidR="00563DF9" w:rsidRPr="007250FA">
            <w:rPr>
              <w:rFonts w:ascii="Arial" w:hAnsi="Arial" w:cs="Arial"/>
              <w:sz w:val="22"/>
            </w:rPr>
            <w:fldChar w:fldCharType="begin"/>
          </w:r>
          <w:r w:rsidR="00563DF9" w:rsidRPr="007250FA">
            <w:rPr>
              <w:rFonts w:ascii="Arial" w:hAnsi="Arial" w:cs="Arial"/>
              <w:sz w:val="22"/>
            </w:rPr>
            <w:instrText xml:space="preserve"> CITATION Jos15 \l 1033 </w:instrText>
          </w:r>
          <w:r w:rsidR="00563DF9" w:rsidRPr="007250FA">
            <w:rPr>
              <w:rFonts w:ascii="Arial" w:hAnsi="Arial" w:cs="Arial"/>
              <w:sz w:val="22"/>
            </w:rPr>
            <w:fldChar w:fldCharType="separate"/>
          </w:r>
          <w:r w:rsidR="00775B36">
            <w:rPr>
              <w:rFonts w:ascii="Arial" w:hAnsi="Arial" w:cs="Arial"/>
              <w:noProof/>
              <w:sz w:val="22"/>
            </w:rPr>
            <w:t xml:space="preserve"> </w:t>
          </w:r>
          <w:r w:rsidR="00775B36" w:rsidRPr="00775B36">
            <w:rPr>
              <w:rFonts w:ascii="Arial" w:hAnsi="Arial" w:cs="Arial"/>
              <w:noProof/>
              <w:sz w:val="22"/>
            </w:rPr>
            <w:t>(Faello, 2015)</w:t>
          </w:r>
          <w:r w:rsidR="00563DF9" w:rsidRPr="007250FA">
            <w:rPr>
              <w:rFonts w:ascii="Arial" w:hAnsi="Arial" w:cs="Arial"/>
              <w:sz w:val="22"/>
            </w:rPr>
            <w:fldChar w:fldCharType="end"/>
          </w:r>
        </w:sdtContent>
      </w:sdt>
      <w:r w:rsidR="0036097B" w:rsidRPr="007250FA">
        <w:rPr>
          <w:rFonts w:ascii="Arial" w:hAnsi="Arial" w:cs="Arial"/>
          <w:sz w:val="22"/>
        </w:rPr>
        <w:t xml:space="preserve">. </w:t>
      </w:r>
    </w:p>
    <w:p w14:paraId="472F0EDD" w14:textId="7CB1CF4B" w:rsidR="00E659E5" w:rsidRPr="007250FA" w:rsidRDefault="00E659E5" w:rsidP="00E765AA">
      <w:pPr>
        <w:pStyle w:val="ListParagraph"/>
        <w:numPr>
          <w:ilvl w:val="0"/>
          <w:numId w:val="2"/>
        </w:numPr>
        <w:spacing w:line="360" w:lineRule="auto"/>
        <w:jc w:val="both"/>
        <w:rPr>
          <w:rFonts w:ascii="Arial" w:hAnsi="Arial" w:cs="Arial"/>
          <w:b/>
          <w:sz w:val="22"/>
        </w:rPr>
      </w:pPr>
      <w:r w:rsidRPr="007250FA">
        <w:rPr>
          <w:rFonts w:ascii="Arial" w:hAnsi="Arial" w:cs="Arial"/>
          <w:b/>
          <w:sz w:val="22"/>
        </w:rPr>
        <w:t>Inflationary effect</w:t>
      </w:r>
      <w:r w:rsidR="00B43694" w:rsidRPr="007250FA">
        <w:rPr>
          <w:rFonts w:ascii="Arial" w:hAnsi="Arial" w:cs="Arial"/>
          <w:b/>
          <w:sz w:val="22"/>
        </w:rPr>
        <w:t xml:space="preserve">: </w:t>
      </w:r>
      <w:r w:rsidR="00B43694" w:rsidRPr="007250FA">
        <w:rPr>
          <w:rFonts w:ascii="Arial" w:hAnsi="Arial" w:cs="Arial"/>
          <w:sz w:val="22"/>
        </w:rPr>
        <w:t>The inflation rate has huge impact on financial results. Most of the time, ratios of different years are horizontally compared without converting the past data by using inflationary change. Thus, there is scope of inappropriate analysis</w:t>
      </w:r>
      <w:sdt>
        <w:sdtPr>
          <w:rPr>
            <w:rFonts w:ascii="Arial" w:hAnsi="Arial" w:cs="Arial"/>
            <w:sz w:val="22"/>
          </w:rPr>
          <w:id w:val="-509139530"/>
          <w:citation/>
        </w:sdtPr>
        <w:sdtEndPr/>
        <w:sdtContent>
          <w:r w:rsidR="00243C30" w:rsidRPr="007250FA">
            <w:rPr>
              <w:rFonts w:ascii="Arial" w:hAnsi="Arial" w:cs="Arial"/>
              <w:sz w:val="22"/>
            </w:rPr>
            <w:fldChar w:fldCharType="begin"/>
          </w:r>
          <w:r w:rsidR="00243C30" w:rsidRPr="007250FA">
            <w:rPr>
              <w:rFonts w:ascii="Arial" w:hAnsi="Arial" w:cs="Arial"/>
              <w:sz w:val="22"/>
            </w:rPr>
            <w:instrText xml:space="preserve"> CITATION Dhe22 \l 1033 </w:instrText>
          </w:r>
          <w:r w:rsidR="00243C30" w:rsidRPr="007250FA">
            <w:rPr>
              <w:rFonts w:ascii="Arial" w:hAnsi="Arial" w:cs="Arial"/>
              <w:sz w:val="22"/>
            </w:rPr>
            <w:fldChar w:fldCharType="separate"/>
          </w:r>
          <w:r w:rsidR="00775B36">
            <w:rPr>
              <w:rFonts w:ascii="Arial" w:hAnsi="Arial" w:cs="Arial"/>
              <w:noProof/>
              <w:sz w:val="22"/>
            </w:rPr>
            <w:t xml:space="preserve"> </w:t>
          </w:r>
          <w:r w:rsidR="00775B36" w:rsidRPr="00775B36">
            <w:rPr>
              <w:rFonts w:ascii="Arial" w:hAnsi="Arial" w:cs="Arial"/>
              <w:noProof/>
              <w:sz w:val="22"/>
            </w:rPr>
            <w:t>(Vaidya, 2022)</w:t>
          </w:r>
          <w:r w:rsidR="00243C30" w:rsidRPr="007250FA">
            <w:rPr>
              <w:rFonts w:ascii="Arial" w:hAnsi="Arial" w:cs="Arial"/>
              <w:sz w:val="22"/>
            </w:rPr>
            <w:fldChar w:fldCharType="end"/>
          </w:r>
        </w:sdtContent>
      </w:sdt>
      <w:r w:rsidR="00B43694" w:rsidRPr="007250FA">
        <w:rPr>
          <w:rFonts w:ascii="Arial" w:hAnsi="Arial" w:cs="Arial"/>
          <w:sz w:val="22"/>
        </w:rPr>
        <w:t xml:space="preserve">. </w:t>
      </w:r>
    </w:p>
    <w:p w14:paraId="735A0E45" w14:textId="26282BB9" w:rsidR="00E659E5" w:rsidRPr="007250FA" w:rsidRDefault="00E659E5" w:rsidP="00E765AA">
      <w:pPr>
        <w:pStyle w:val="ListParagraph"/>
        <w:numPr>
          <w:ilvl w:val="0"/>
          <w:numId w:val="2"/>
        </w:numPr>
        <w:spacing w:line="360" w:lineRule="auto"/>
        <w:jc w:val="both"/>
        <w:rPr>
          <w:rFonts w:ascii="Arial" w:hAnsi="Arial" w:cs="Arial"/>
          <w:b/>
          <w:sz w:val="22"/>
        </w:rPr>
      </w:pPr>
      <w:r w:rsidRPr="007250FA">
        <w:rPr>
          <w:rFonts w:ascii="Arial" w:hAnsi="Arial" w:cs="Arial"/>
          <w:b/>
          <w:sz w:val="22"/>
        </w:rPr>
        <w:t>Not suitable in comparing firm from different industries</w:t>
      </w:r>
      <w:r w:rsidR="00C46C92" w:rsidRPr="007250FA">
        <w:rPr>
          <w:rFonts w:ascii="Arial" w:hAnsi="Arial" w:cs="Arial"/>
          <w:b/>
          <w:sz w:val="22"/>
        </w:rPr>
        <w:t xml:space="preserve">: </w:t>
      </w:r>
      <w:r w:rsidR="00C46C92" w:rsidRPr="007250FA">
        <w:rPr>
          <w:rFonts w:ascii="Arial" w:hAnsi="Arial" w:cs="Arial"/>
          <w:sz w:val="22"/>
        </w:rPr>
        <w:t>Ratios of compan</w:t>
      </w:r>
      <w:r w:rsidR="00E554E0" w:rsidRPr="007250FA">
        <w:rPr>
          <w:rFonts w:ascii="Arial" w:hAnsi="Arial" w:cs="Arial"/>
          <w:sz w:val="22"/>
        </w:rPr>
        <w:t>y operating in one industry can</w:t>
      </w:r>
      <w:r w:rsidR="00C46C92" w:rsidRPr="007250FA">
        <w:rPr>
          <w:rFonts w:ascii="Arial" w:hAnsi="Arial" w:cs="Arial"/>
          <w:sz w:val="22"/>
        </w:rPr>
        <w:t xml:space="preserve">not be compared with company of other industry. </w:t>
      </w:r>
      <w:r w:rsidR="00E554E0" w:rsidRPr="007250FA">
        <w:rPr>
          <w:rFonts w:ascii="Arial" w:hAnsi="Arial" w:cs="Arial"/>
          <w:sz w:val="22"/>
        </w:rPr>
        <w:t>For instance, banks are supposed to maintain greater level of liquidity. On the other hand, manufacturing companies might not keep huge liquid assets as idle money. So, the current ratio of these two companies cannot be compared</w:t>
      </w:r>
      <w:sdt>
        <w:sdtPr>
          <w:rPr>
            <w:rFonts w:ascii="Arial" w:hAnsi="Arial" w:cs="Arial"/>
            <w:sz w:val="22"/>
          </w:rPr>
          <w:id w:val="-1225749397"/>
          <w:citation/>
        </w:sdtPr>
        <w:sdtEndPr/>
        <w:sdtContent>
          <w:r w:rsidR="00243C30" w:rsidRPr="007250FA">
            <w:rPr>
              <w:rFonts w:ascii="Arial" w:hAnsi="Arial" w:cs="Arial"/>
              <w:sz w:val="22"/>
            </w:rPr>
            <w:fldChar w:fldCharType="begin"/>
          </w:r>
          <w:r w:rsidR="00243C30" w:rsidRPr="007250FA">
            <w:rPr>
              <w:rFonts w:ascii="Arial" w:hAnsi="Arial" w:cs="Arial"/>
              <w:sz w:val="22"/>
            </w:rPr>
            <w:instrText xml:space="preserve"> CITATION Dhe22 \l 1033 </w:instrText>
          </w:r>
          <w:r w:rsidR="00243C30" w:rsidRPr="007250FA">
            <w:rPr>
              <w:rFonts w:ascii="Arial" w:hAnsi="Arial" w:cs="Arial"/>
              <w:sz w:val="22"/>
            </w:rPr>
            <w:fldChar w:fldCharType="separate"/>
          </w:r>
          <w:r w:rsidR="00775B36">
            <w:rPr>
              <w:rFonts w:ascii="Arial" w:hAnsi="Arial" w:cs="Arial"/>
              <w:noProof/>
              <w:sz w:val="22"/>
            </w:rPr>
            <w:t xml:space="preserve"> </w:t>
          </w:r>
          <w:r w:rsidR="00775B36" w:rsidRPr="00775B36">
            <w:rPr>
              <w:rFonts w:ascii="Arial" w:hAnsi="Arial" w:cs="Arial"/>
              <w:noProof/>
              <w:sz w:val="22"/>
            </w:rPr>
            <w:t>(Vaidya, 2022)</w:t>
          </w:r>
          <w:r w:rsidR="00243C30" w:rsidRPr="007250FA">
            <w:rPr>
              <w:rFonts w:ascii="Arial" w:hAnsi="Arial" w:cs="Arial"/>
              <w:sz w:val="22"/>
            </w:rPr>
            <w:fldChar w:fldCharType="end"/>
          </w:r>
        </w:sdtContent>
      </w:sdt>
      <w:r w:rsidR="00E554E0" w:rsidRPr="007250FA">
        <w:rPr>
          <w:rFonts w:ascii="Arial" w:hAnsi="Arial" w:cs="Arial"/>
          <w:sz w:val="22"/>
        </w:rPr>
        <w:t xml:space="preserve">. </w:t>
      </w:r>
    </w:p>
    <w:p w14:paraId="60E27309" w14:textId="155C296A" w:rsidR="00E659E5" w:rsidRPr="007250FA" w:rsidRDefault="00DF16EE" w:rsidP="00775688">
      <w:pPr>
        <w:spacing w:line="360" w:lineRule="auto"/>
        <w:jc w:val="both"/>
        <w:rPr>
          <w:rFonts w:ascii="Arial" w:hAnsi="Arial" w:cs="Arial"/>
          <w:sz w:val="22"/>
        </w:rPr>
      </w:pPr>
      <w:r w:rsidRPr="007250FA">
        <w:rPr>
          <w:rFonts w:ascii="Arial" w:hAnsi="Arial" w:cs="Arial"/>
          <w:sz w:val="22"/>
        </w:rPr>
        <w:t>Again, there is also limitation regarding benchmark of ratios. Theses benchmarks are not suitable for every company or every industry. The user might find it very complex to interpret the results of ratio analysis</w:t>
      </w:r>
      <w:sdt>
        <w:sdtPr>
          <w:rPr>
            <w:rFonts w:ascii="Arial" w:hAnsi="Arial" w:cs="Arial"/>
            <w:sz w:val="22"/>
          </w:rPr>
          <w:id w:val="1966538014"/>
          <w:citation/>
        </w:sdtPr>
        <w:sdtEndPr/>
        <w:sdtContent>
          <w:r w:rsidR="00243C30" w:rsidRPr="007250FA">
            <w:rPr>
              <w:rFonts w:ascii="Arial" w:hAnsi="Arial" w:cs="Arial"/>
              <w:sz w:val="22"/>
            </w:rPr>
            <w:fldChar w:fldCharType="begin"/>
          </w:r>
          <w:r w:rsidR="00243C30" w:rsidRPr="007250FA">
            <w:rPr>
              <w:rFonts w:ascii="Arial" w:hAnsi="Arial" w:cs="Arial"/>
              <w:sz w:val="22"/>
            </w:rPr>
            <w:instrText xml:space="preserve"> CITATION Dhe22 \l 1033 </w:instrText>
          </w:r>
          <w:r w:rsidR="00243C30" w:rsidRPr="007250FA">
            <w:rPr>
              <w:rFonts w:ascii="Arial" w:hAnsi="Arial" w:cs="Arial"/>
              <w:sz w:val="22"/>
            </w:rPr>
            <w:fldChar w:fldCharType="separate"/>
          </w:r>
          <w:r w:rsidR="00775B36">
            <w:rPr>
              <w:rFonts w:ascii="Arial" w:hAnsi="Arial" w:cs="Arial"/>
              <w:noProof/>
              <w:sz w:val="22"/>
            </w:rPr>
            <w:t xml:space="preserve"> </w:t>
          </w:r>
          <w:r w:rsidR="00775B36" w:rsidRPr="00775B36">
            <w:rPr>
              <w:rFonts w:ascii="Arial" w:hAnsi="Arial" w:cs="Arial"/>
              <w:noProof/>
              <w:sz w:val="22"/>
            </w:rPr>
            <w:t>(Vaidya, 2022)</w:t>
          </w:r>
          <w:r w:rsidR="00243C30" w:rsidRPr="007250FA">
            <w:rPr>
              <w:rFonts w:ascii="Arial" w:hAnsi="Arial" w:cs="Arial"/>
              <w:sz w:val="22"/>
            </w:rPr>
            <w:fldChar w:fldCharType="end"/>
          </w:r>
        </w:sdtContent>
      </w:sdt>
      <w:r w:rsidRPr="007250FA">
        <w:rPr>
          <w:rFonts w:ascii="Arial" w:hAnsi="Arial" w:cs="Arial"/>
          <w:sz w:val="22"/>
        </w:rPr>
        <w:t xml:space="preserve">. </w:t>
      </w:r>
    </w:p>
    <w:p w14:paraId="319C1CBA" w14:textId="646FF954" w:rsidR="00CF2F0A" w:rsidRDefault="00CF2F0A" w:rsidP="00CF2F0A">
      <w:pPr>
        <w:rPr>
          <w:rFonts w:ascii="Arial" w:hAnsi="Arial" w:cs="Arial"/>
        </w:rPr>
      </w:pPr>
      <w:bookmarkStart w:id="7" w:name="_Toc103558505"/>
      <w:bookmarkStart w:id="8" w:name="_Toc103874950"/>
    </w:p>
    <w:p w14:paraId="36BCFD7C" w14:textId="0B553C17" w:rsidR="00AB6953" w:rsidRDefault="00AB6953" w:rsidP="00CF2F0A">
      <w:pPr>
        <w:rPr>
          <w:rFonts w:ascii="Arial" w:hAnsi="Arial" w:cs="Arial"/>
        </w:rPr>
      </w:pPr>
    </w:p>
    <w:p w14:paraId="5FEF011D" w14:textId="52254633" w:rsidR="00AB6953" w:rsidRDefault="00AB6953" w:rsidP="00CF2F0A">
      <w:pPr>
        <w:rPr>
          <w:rFonts w:ascii="Arial" w:hAnsi="Arial" w:cs="Arial"/>
        </w:rPr>
      </w:pPr>
    </w:p>
    <w:p w14:paraId="7B02EFBC" w14:textId="77777777" w:rsidR="00AB6953" w:rsidRDefault="00AB6953" w:rsidP="00CF2F0A">
      <w:pPr>
        <w:rPr>
          <w:rFonts w:ascii="Arial" w:hAnsi="Arial" w:cs="Arial"/>
        </w:rPr>
      </w:pPr>
    </w:p>
    <w:p w14:paraId="1CF122A2" w14:textId="42BEED23" w:rsidR="00430C57" w:rsidRPr="00CF2F0A" w:rsidRDefault="00430C57" w:rsidP="00CF2F0A">
      <w:pPr>
        <w:rPr>
          <w:rFonts w:ascii="Arial" w:eastAsiaTheme="majorEastAsia" w:hAnsi="Arial" w:cs="Arial"/>
          <w:b/>
          <w:bCs/>
          <w:color w:val="0070C0"/>
          <w:sz w:val="32"/>
          <w:szCs w:val="32"/>
        </w:rPr>
      </w:pPr>
      <w:r w:rsidRPr="00CF2F0A">
        <w:rPr>
          <w:rFonts w:ascii="Arial" w:hAnsi="Arial" w:cs="Arial"/>
          <w:color w:val="0070C0"/>
          <w:sz w:val="32"/>
          <w:szCs w:val="32"/>
        </w:rPr>
        <w:t>Conclusion</w:t>
      </w:r>
      <w:bookmarkEnd w:id="7"/>
      <w:bookmarkEnd w:id="8"/>
    </w:p>
    <w:p w14:paraId="69CA658F" w14:textId="09CA366F" w:rsidR="00430C57" w:rsidRPr="007250FA" w:rsidRDefault="0043002A" w:rsidP="00F967FF">
      <w:pPr>
        <w:spacing w:line="360" w:lineRule="auto"/>
        <w:jc w:val="both"/>
        <w:rPr>
          <w:rFonts w:ascii="Arial" w:hAnsi="Arial" w:cs="Arial"/>
          <w:sz w:val="22"/>
          <w:szCs w:val="24"/>
        </w:rPr>
      </w:pPr>
      <w:r w:rsidRPr="007250FA">
        <w:rPr>
          <w:rFonts w:ascii="Arial" w:hAnsi="Arial" w:cs="Arial"/>
          <w:sz w:val="22"/>
        </w:rPr>
        <w:t xml:space="preserve">Ratio analysis is crucial tool in assessing financial performance, position, future </w:t>
      </w:r>
      <w:proofErr w:type="gramStart"/>
      <w:r w:rsidRPr="007250FA">
        <w:rPr>
          <w:rFonts w:ascii="Arial" w:hAnsi="Arial" w:cs="Arial"/>
          <w:sz w:val="22"/>
        </w:rPr>
        <w:t>prospect</w:t>
      </w:r>
      <w:proofErr w:type="gramEnd"/>
      <w:r w:rsidRPr="007250FA">
        <w:rPr>
          <w:rFonts w:ascii="Arial" w:hAnsi="Arial" w:cs="Arial"/>
          <w:sz w:val="22"/>
        </w:rPr>
        <w:t xml:space="preserve"> and potential risk. By horizontal analysis it is found that the financial performance and position of </w:t>
      </w:r>
      <w:r w:rsidRPr="007250FA">
        <w:rPr>
          <w:rFonts w:ascii="Arial" w:hAnsi="Arial" w:cs="Arial"/>
          <w:sz w:val="22"/>
          <w:szCs w:val="24"/>
        </w:rPr>
        <w:t xml:space="preserve">Hilton Worldwide Holdings Inc. (HLT) has deteriorated during 2020. There is obvious reason of pandemic. Ratio analysis can potentially provide insights regarding measures need to revive </w:t>
      </w:r>
      <w:proofErr w:type="gramStart"/>
      <w:r w:rsidRPr="007250FA">
        <w:rPr>
          <w:rFonts w:ascii="Arial" w:hAnsi="Arial" w:cs="Arial"/>
          <w:sz w:val="22"/>
          <w:szCs w:val="24"/>
        </w:rPr>
        <w:t>firms</w:t>
      </w:r>
      <w:proofErr w:type="gramEnd"/>
      <w:r w:rsidRPr="007250FA">
        <w:rPr>
          <w:rFonts w:ascii="Arial" w:hAnsi="Arial" w:cs="Arial"/>
          <w:sz w:val="22"/>
          <w:szCs w:val="24"/>
        </w:rPr>
        <w:t xml:space="preserve"> performance and accelerate growth</w:t>
      </w:r>
      <w:sdt>
        <w:sdtPr>
          <w:rPr>
            <w:rFonts w:ascii="Arial" w:hAnsi="Arial" w:cs="Arial"/>
            <w:sz w:val="22"/>
            <w:szCs w:val="24"/>
          </w:rPr>
          <w:id w:val="-1598396546"/>
          <w:citation/>
        </w:sdtPr>
        <w:sdtEndPr/>
        <w:sdtContent>
          <w:r w:rsidR="00C80364" w:rsidRPr="007250FA">
            <w:rPr>
              <w:rFonts w:ascii="Arial" w:hAnsi="Arial" w:cs="Arial"/>
              <w:sz w:val="22"/>
              <w:szCs w:val="24"/>
            </w:rPr>
            <w:fldChar w:fldCharType="begin"/>
          </w:r>
          <w:r w:rsidR="00C80364" w:rsidRPr="007250FA">
            <w:rPr>
              <w:rFonts w:ascii="Arial" w:hAnsi="Arial" w:cs="Arial"/>
              <w:sz w:val="22"/>
              <w:szCs w:val="24"/>
            </w:rPr>
            <w:instrText xml:space="preserve"> CITATION Yah13 \l 1033 </w:instrText>
          </w:r>
          <w:r w:rsidR="00C80364" w:rsidRPr="007250FA">
            <w:rPr>
              <w:rFonts w:ascii="Arial" w:hAnsi="Arial" w:cs="Arial"/>
              <w:sz w:val="22"/>
              <w:szCs w:val="24"/>
            </w:rPr>
            <w:fldChar w:fldCharType="separate"/>
          </w:r>
          <w:r w:rsidR="00775B36">
            <w:rPr>
              <w:rFonts w:ascii="Arial" w:hAnsi="Arial" w:cs="Arial"/>
              <w:noProof/>
              <w:sz w:val="22"/>
              <w:szCs w:val="24"/>
            </w:rPr>
            <w:t xml:space="preserve"> </w:t>
          </w:r>
          <w:r w:rsidR="00775B36" w:rsidRPr="00775B36">
            <w:rPr>
              <w:rFonts w:ascii="Arial" w:hAnsi="Arial" w:cs="Arial"/>
              <w:noProof/>
              <w:sz w:val="22"/>
              <w:szCs w:val="24"/>
            </w:rPr>
            <w:t>(Yahya, Ali, Mir, Yaqoob, &amp; Khan, 2013)</w:t>
          </w:r>
          <w:r w:rsidR="00C80364" w:rsidRPr="007250FA">
            <w:rPr>
              <w:rFonts w:ascii="Arial" w:hAnsi="Arial" w:cs="Arial"/>
              <w:sz w:val="22"/>
              <w:szCs w:val="24"/>
            </w:rPr>
            <w:fldChar w:fldCharType="end"/>
          </w:r>
        </w:sdtContent>
      </w:sdt>
      <w:r w:rsidRPr="007250FA">
        <w:rPr>
          <w:rFonts w:ascii="Arial" w:hAnsi="Arial" w:cs="Arial"/>
          <w:sz w:val="22"/>
          <w:szCs w:val="24"/>
        </w:rPr>
        <w:t xml:space="preserve">. </w:t>
      </w:r>
      <w:r w:rsidR="00F967FF" w:rsidRPr="007250FA">
        <w:rPr>
          <w:rFonts w:ascii="Arial" w:hAnsi="Arial" w:cs="Arial"/>
          <w:sz w:val="22"/>
          <w:szCs w:val="24"/>
        </w:rPr>
        <w:t xml:space="preserve">Hilton Worldwide Holdings Inc. (HLT) should increase its sales, reduce costs and minimize dependency on debt financing </w:t>
      </w:r>
      <w:r w:rsidR="00FE550D" w:rsidRPr="007250FA">
        <w:rPr>
          <w:rFonts w:ascii="Arial" w:hAnsi="Arial" w:cs="Arial"/>
          <w:sz w:val="22"/>
          <w:szCs w:val="24"/>
        </w:rPr>
        <w:t xml:space="preserve">to overturn its financial downfall. </w:t>
      </w:r>
    </w:p>
    <w:p w14:paraId="14A70E72" w14:textId="77777777" w:rsidR="00793F3F" w:rsidRPr="007250FA" w:rsidRDefault="00793F3F">
      <w:pPr>
        <w:rPr>
          <w:rFonts w:ascii="Arial" w:hAnsi="Arial" w:cs="Arial"/>
          <w:sz w:val="24"/>
          <w:szCs w:val="24"/>
        </w:rPr>
      </w:pPr>
      <w:r w:rsidRPr="007250FA">
        <w:rPr>
          <w:rFonts w:ascii="Arial" w:hAnsi="Arial" w:cs="Arial"/>
          <w:sz w:val="24"/>
          <w:szCs w:val="24"/>
        </w:rPr>
        <w:br w:type="page"/>
      </w:r>
    </w:p>
    <w:bookmarkStart w:id="9" w:name="_Toc103558506" w:displacedByCustomXml="next"/>
    <w:bookmarkStart w:id="10" w:name="_Toc103874951" w:displacedByCustomXml="next"/>
    <w:sdt>
      <w:sdtPr>
        <w:rPr>
          <w:rFonts w:ascii="Arial" w:eastAsiaTheme="minorHAnsi" w:hAnsi="Arial" w:cs="Arial"/>
          <w:b w:val="0"/>
          <w:bCs w:val="0"/>
          <w:color w:val="auto"/>
          <w:sz w:val="20"/>
          <w:szCs w:val="20"/>
        </w:rPr>
        <w:id w:val="-1276937638"/>
        <w:docPartObj>
          <w:docPartGallery w:val="Bibliographies"/>
          <w:docPartUnique/>
        </w:docPartObj>
      </w:sdtPr>
      <w:sdtEndPr/>
      <w:sdtContent>
        <w:bookmarkEnd w:id="9" w:displacedByCustomXml="prev"/>
        <w:p w14:paraId="67E1E9AD" w14:textId="41473A38" w:rsidR="00793F3F" w:rsidRPr="007250FA" w:rsidRDefault="00AE2057">
          <w:pPr>
            <w:pStyle w:val="Heading1"/>
            <w:rPr>
              <w:rFonts w:ascii="Arial" w:hAnsi="Arial" w:cs="Arial"/>
            </w:rPr>
          </w:pPr>
          <w:r>
            <w:rPr>
              <w:rFonts w:ascii="Arial" w:hAnsi="Arial" w:cs="Arial"/>
            </w:rPr>
            <w:t>Bibliography</w:t>
          </w:r>
          <w:bookmarkEnd w:id="10"/>
        </w:p>
        <w:sdt>
          <w:sdtPr>
            <w:rPr>
              <w:rFonts w:ascii="Arial" w:hAnsi="Arial" w:cs="Arial"/>
            </w:rPr>
            <w:id w:val="111145805"/>
            <w:bibliography/>
          </w:sdtPr>
          <w:sdtEndPr/>
          <w:sdtContent>
            <w:p w14:paraId="42558D59" w14:textId="77777777" w:rsidR="00775B36" w:rsidRDefault="00793F3F" w:rsidP="00775B36">
              <w:pPr>
                <w:pStyle w:val="Bibliography"/>
                <w:ind w:left="720" w:hanging="720"/>
                <w:rPr>
                  <w:noProof/>
                  <w:sz w:val="24"/>
                  <w:szCs w:val="24"/>
                </w:rPr>
              </w:pPr>
              <w:r w:rsidRPr="007250FA">
                <w:rPr>
                  <w:rFonts w:ascii="Arial" w:hAnsi="Arial" w:cs="Arial"/>
                  <w:sz w:val="22"/>
                  <w:szCs w:val="22"/>
                </w:rPr>
                <w:fldChar w:fldCharType="begin"/>
              </w:r>
              <w:r w:rsidRPr="007250FA">
                <w:rPr>
                  <w:rFonts w:ascii="Arial" w:hAnsi="Arial" w:cs="Arial"/>
                  <w:sz w:val="22"/>
                  <w:szCs w:val="22"/>
                </w:rPr>
                <w:instrText xml:space="preserve"> BIBLIOGRAPHY </w:instrText>
              </w:r>
              <w:r w:rsidRPr="007250FA">
                <w:rPr>
                  <w:rFonts w:ascii="Arial" w:hAnsi="Arial" w:cs="Arial"/>
                  <w:sz w:val="22"/>
                  <w:szCs w:val="22"/>
                </w:rPr>
                <w:fldChar w:fldCharType="separate"/>
              </w:r>
              <w:r w:rsidR="00775B36">
                <w:rPr>
                  <w:noProof/>
                </w:rPr>
                <w:t xml:space="preserve">Davidson, W. (2020). </w:t>
              </w:r>
              <w:r w:rsidR="00775B36">
                <w:rPr>
                  <w:i/>
                  <w:iCs/>
                  <w:noProof/>
                </w:rPr>
                <w:t>Financial Statement Analysis: Basis for Management Advice</w:t>
              </w:r>
              <w:r w:rsidR="00775B36">
                <w:rPr>
                  <w:noProof/>
                </w:rPr>
                <w:t xml:space="preserve"> (1 ed.). doi:10.1002/9781119743217</w:t>
              </w:r>
            </w:p>
            <w:p w14:paraId="671C57A3" w14:textId="77777777" w:rsidR="00775B36" w:rsidRDefault="00775B36" w:rsidP="00775B36">
              <w:pPr>
                <w:pStyle w:val="Bibliography"/>
                <w:ind w:left="720" w:hanging="720"/>
                <w:rPr>
                  <w:noProof/>
                </w:rPr>
              </w:pPr>
              <w:r>
                <w:rPr>
                  <w:noProof/>
                </w:rPr>
                <w:t xml:space="preserve">Faello, J. (2015). Understanding the limitations of financial ratios. </w:t>
              </w:r>
              <w:r>
                <w:rPr>
                  <w:i/>
                  <w:iCs/>
                  <w:noProof/>
                </w:rPr>
                <w:t>Academy of Accounting and Financial Studies Journal, 19</w:t>
              </w:r>
              <w:r>
                <w:rPr>
                  <w:noProof/>
                </w:rPr>
                <w:t>(3), 75-86.</w:t>
              </w:r>
            </w:p>
            <w:p w14:paraId="455AECEB" w14:textId="77777777" w:rsidR="00775B36" w:rsidRDefault="00775B36" w:rsidP="00775B36">
              <w:pPr>
                <w:pStyle w:val="Bibliography"/>
                <w:ind w:left="720" w:hanging="720"/>
                <w:rPr>
                  <w:noProof/>
                </w:rPr>
              </w:pPr>
              <w:r>
                <w:rPr>
                  <w:noProof/>
                </w:rPr>
                <w:t xml:space="preserve">Fajar, A. (2021). Comparative Analysis of Financial Statements PT. Indofood Sukses Makmur Tbk. </w:t>
              </w:r>
              <w:r>
                <w:rPr>
                  <w:i/>
                  <w:iCs/>
                  <w:noProof/>
                </w:rPr>
                <w:t>International Journal of Multicultural and Multireligious Understanding, 8</w:t>
              </w:r>
              <w:r>
                <w:rPr>
                  <w:noProof/>
                </w:rPr>
                <w:t>(3).</w:t>
              </w:r>
            </w:p>
            <w:p w14:paraId="4C3FD201" w14:textId="77777777" w:rsidR="00775B36" w:rsidRDefault="00775B36" w:rsidP="00775B36">
              <w:pPr>
                <w:pStyle w:val="Bibliography"/>
                <w:ind w:left="720" w:hanging="720"/>
                <w:rPr>
                  <w:noProof/>
                </w:rPr>
              </w:pPr>
              <w:r>
                <w:rPr>
                  <w:noProof/>
                </w:rPr>
                <w:t xml:space="preserve">Mulyawan, S. (2015). The Benefits of Financial Ratios' as the Indocators of Future Bankruptcy on the Economic Crisis. </w:t>
              </w:r>
              <w:r>
                <w:rPr>
                  <w:i/>
                  <w:iCs/>
                  <w:noProof/>
                </w:rPr>
                <w:t>International Journal of Nusantara Islam, 3</w:t>
              </w:r>
              <w:r>
                <w:rPr>
                  <w:noProof/>
                </w:rPr>
                <w:t>(1). Retrieved 2015</w:t>
              </w:r>
            </w:p>
            <w:p w14:paraId="47685A03" w14:textId="77777777" w:rsidR="00775B36" w:rsidRDefault="00775B36" w:rsidP="00775B36">
              <w:pPr>
                <w:pStyle w:val="Bibliography"/>
                <w:ind w:left="720" w:hanging="720"/>
                <w:rPr>
                  <w:noProof/>
                </w:rPr>
              </w:pPr>
              <w:r>
                <w:rPr>
                  <w:noProof/>
                </w:rPr>
                <w:t xml:space="preserve">Pant, S. (2021). </w:t>
              </w:r>
              <w:r>
                <w:rPr>
                  <w:i/>
                  <w:iCs/>
                  <w:noProof/>
                </w:rPr>
                <w:t>Ratio Analysis: Meaning, Advantages and Limitations</w:t>
              </w:r>
              <w:r>
                <w:rPr>
                  <w:noProof/>
                </w:rPr>
                <w:t>. Retrieved from https://www.yourarticlelibrary.com/accounting/ratio-analysis/ratio-analysis-meaning-advantages-and-limitations-accounting/65204</w:t>
              </w:r>
            </w:p>
            <w:p w14:paraId="09520347" w14:textId="77777777" w:rsidR="00775B36" w:rsidRDefault="00775B36" w:rsidP="00775B36">
              <w:pPr>
                <w:pStyle w:val="Bibliography"/>
                <w:ind w:left="720" w:hanging="720"/>
                <w:rPr>
                  <w:noProof/>
                </w:rPr>
              </w:pPr>
              <w:r>
                <w:rPr>
                  <w:noProof/>
                </w:rPr>
                <w:t xml:space="preserve">Rashid, C. A. (2018). Efficiency of Financial Ratios Analysis for Evaluating Companies’ Liquidity. </w:t>
              </w:r>
              <w:r>
                <w:rPr>
                  <w:i/>
                  <w:iCs/>
                  <w:noProof/>
                </w:rPr>
                <w:t>International Journal of Social Sciences and Educational Studies, 4</w:t>
              </w:r>
              <w:r>
                <w:rPr>
                  <w:noProof/>
                </w:rPr>
                <w:t>(4), 110-123.</w:t>
              </w:r>
            </w:p>
            <w:p w14:paraId="2A547AA2" w14:textId="77777777" w:rsidR="00775B36" w:rsidRDefault="00775B36" w:rsidP="00775B36">
              <w:pPr>
                <w:pStyle w:val="Bibliography"/>
                <w:ind w:left="720" w:hanging="720"/>
                <w:rPr>
                  <w:noProof/>
                </w:rPr>
              </w:pPr>
              <w:r>
                <w:rPr>
                  <w:noProof/>
                </w:rPr>
                <w:t xml:space="preserve">Rashid, C. A. (2021). The efficiency of financial ratios analysis to evaluate company's profitability. </w:t>
              </w:r>
              <w:r>
                <w:rPr>
                  <w:i/>
                  <w:iCs/>
                  <w:noProof/>
                </w:rPr>
                <w:t>Journal of Global Economics and Business , 2</w:t>
              </w:r>
              <w:r>
                <w:rPr>
                  <w:noProof/>
                </w:rPr>
                <w:t>(4), 119-132.</w:t>
              </w:r>
            </w:p>
            <w:p w14:paraId="05F16967" w14:textId="77777777" w:rsidR="00775B36" w:rsidRDefault="00775B36" w:rsidP="00775B36">
              <w:pPr>
                <w:pStyle w:val="Bibliography"/>
                <w:ind w:left="720" w:hanging="720"/>
                <w:rPr>
                  <w:noProof/>
                </w:rPr>
              </w:pPr>
              <w:r>
                <w:rPr>
                  <w:noProof/>
                </w:rPr>
                <w:t xml:space="preserve">Vaidya, D. (2022). </w:t>
              </w:r>
              <w:r>
                <w:rPr>
                  <w:i/>
                  <w:iCs/>
                  <w:noProof/>
                </w:rPr>
                <w:t>Ratio Analysis Limitations</w:t>
              </w:r>
              <w:r>
                <w:rPr>
                  <w:noProof/>
                </w:rPr>
                <w:t>. Retrieved from https://www.wallstreetmojo.com/ratio-analysis-limitations/</w:t>
              </w:r>
            </w:p>
            <w:p w14:paraId="19655203" w14:textId="77777777" w:rsidR="00775B36" w:rsidRDefault="00775B36" w:rsidP="00775B36">
              <w:pPr>
                <w:pStyle w:val="Bibliography"/>
                <w:ind w:left="720" w:hanging="720"/>
                <w:rPr>
                  <w:noProof/>
                </w:rPr>
              </w:pPr>
              <w:r>
                <w:rPr>
                  <w:noProof/>
                </w:rPr>
                <w:t xml:space="preserve">Yahya, F., Ali, S. A., Mir, Z., Yaqoob, M., &amp; Khan, U. A. (2013). Significant Analysis for Financial Statements: An Empirical Study of National and Unilever Foods. </w:t>
              </w:r>
              <w:r>
                <w:rPr>
                  <w:i/>
                  <w:iCs/>
                  <w:noProof/>
                </w:rPr>
                <w:t>Research Journal of Finance and Accounting , 4</w:t>
              </w:r>
              <w:r>
                <w:rPr>
                  <w:noProof/>
                </w:rPr>
                <w:t>(1).</w:t>
              </w:r>
            </w:p>
            <w:p w14:paraId="3F1C333D" w14:textId="37A4D624" w:rsidR="00793F3F" w:rsidRPr="007250FA" w:rsidRDefault="00793F3F" w:rsidP="00775B36">
              <w:pPr>
                <w:spacing w:line="360" w:lineRule="auto"/>
                <w:jc w:val="both"/>
                <w:rPr>
                  <w:rFonts w:ascii="Arial" w:hAnsi="Arial" w:cs="Arial"/>
                </w:rPr>
              </w:pPr>
              <w:r w:rsidRPr="007250FA">
                <w:rPr>
                  <w:rFonts w:ascii="Arial" w:hAnsi="Arial" w:cs="Arial"/>
                  <w:b/>
                  <w:bCs/>
                  <w:noProof/>
                  <w:sz w:val="22"/>
                  <w:szCs w:val="22"/>
                </w:rPr>
                <w:fldChar w:fldCharType="end"/>
              </w:r>
            </w:p>
          </w:sdtContent>
        </w:sdt>
      </w:sdtContent>
    </w:sdt>
    <w:p w14:paraId="37E673FE" w14:textId="77777777" w:rsidR="00793F3F" w:rsidRPr="007250FA" w:rsidRDefault="00793F3F" w:rsidP="00F967FF">
      <w:pPr>
        <w:spacing w:line="360" w:lineRule="auto"/>
        <w:jc w:val="both"/>
        <w:rPr>
          <w:rFonts w:ascii="Arial" w:hAnsi="Arial" w:cs="Arial"/>
          <w:sz w:val="24"/>
        </w:rPr>
      </w:pPr>
    </w:p>
    <w:p w14:paraId="1EFCA008" w14:textId="77777777" w:rsidR="00A80B82" w:rsidRPr="007250FA" w:rsidRDefault="00A80B82">
      <w:pPr>
        <w:rPr>
          <w:rFonts w:ascii="Arial" w:hAnsi="Arial" w:cs="Arial"/>
        </w:rPr>
      </w:pPr>
    </w:p>
    <w:p w14:paraId="5C9414B1" w14:textId="77777777" w:rsidR="00A80B82" w:rsidRPr="007250FA" w:rsidRDefault="00A80B82">
      <w:pPr>
        <w:rPr>
          <w:rFonts w:ascii="Arial" w:hAnsi="Arial" w:cs="Arial"/>
        </w:rPr>
      </w:pPr>
    </w:p>
    <w:sectPr w:rsidR="00A80B82" w:rsidRPr="007250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F9140B"/>
    <w:multiLevelType w:val="hybridMultilevel"/>
    <w:tmpl w:val="8310A5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B35F49"/>
    <w:multiLevelType w:val="hybridMultilevel"/>
    <w:tmpl w:val="A2423E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B82"/>
    <w:rsid w:val="00004317"/>
    <w:rsid w:val="00094156"/>
    <w:rsid w:val="0009496D"/>
    <w:rsid w:val="000A5E1B"/>
    <w:rsid w:val="00155832"/>
    <w:rsid w:val="001661AD"/>
    <w:rsid w:val="001823E4"/>
    <w:rsid w:val="002025B1"/>
    <w:rsid w:val="00213628"/>
    <w:rsid w:val="00243B30"/>
    <w:rsid w:val="00243C30"/>
    <w:rsid w:val="0026409A"/>
    <w:rsid w:val="0027075F"/>
    <w:rsid w:val="002B4246"/>
    <w:rsid w:val="002C0202"/>
    <w:rsid w:val="0036097B"/>
    <w:rsid w:val="0038658F"/>
    <w:rsid w:val="003947F2"/>
    <w:rsid w:val="003951DA"/>
    <w:rsid w:val="0041555A"/>
    <w:rsid w:val="0042474D"/>
    <w:rsid w:val="0043002A"/>
    <w:rsid w:val="00430C57"/>
    <w:rsid w:val="0043600C"/>
    <w:rsid w:val="00450B9D"/>
    <w:rsid w:val="004573D9"/>
    <w:rsid w:val="00487CD7"/>
    <w:rsid w:val="004B4849"/>
    <w:rsid w:val="004E1A38"/>
    <w:rsid w:val="00563DF9"/>
    <w:rsid w:val="006375F8"/>
    <w:rsid w:val="006435BD"/>
    <w:rsid w:val="006824E6"/>
    <w:rsid w:val="006B6C8E"/>
    <w:rsid w:val="006F0716"/>
    <w:rsid w:val="00704291"/>
    <w:rsid w:val="00713ED9"/>
    <w:rsid w:val="007250FA"/>
    <w:rsid w:val="00775688"/>
    <w:rsid w:val="00775B36"/>
    <w:rsid w:val="007854D1"/>
    <w:rsid w:val="00793F3F"/>
    <w:rsid w:val="007C0DA3"/>
    <w:rsid w:val="007F09C0"/>
    <w:rsid w:val="00863661"/>
    <w:rsid w:val="00865984"/>
    <w:rsid w:val="008744F6"/>
    <w:rsid w:val="00891CA5"/>
    <w:rsid w:val="009421E5"/>
    <w:rsid w:val="009878F4"/>
    <w:rsid w:val="009D37DC"/>
    <w:rsid w:val="009D431F"/>
    <w:rsid w:val="00A033E8"/>
    <w:rsid w:val="00A05210"/>
    <w:rsid w:val="00A0583E"/>
    <w:rsid w:val="00A13201"/>
    <w:rsid w:val="00A40BEB"/>
    <w:rsid w:val="00A6417C"/>
    <w:rsid w:val="00A64AE6"/>
    <w:rsid w:val="00A80B82"/>
    <w:rsid w:val="00AB6953"/>
    <w:rsid w:val="00AD12A6"/>
    <w:rsid w:val="00AE2057"/>
    <w:rsid w:val="00B207B8"/>
    <w:rsid w:val="00B274C6"/>
    <w:rsid w:val="00B43694"/>
    <w:rsid w:val="00BB41DC"/>
    <w:rsid w:val="00BE5C4C"/>
    <w:rsid w:val="00C13645"/>
    <w:rsid w:val="00C14C89"/>
    <w:rsid w:val="00C46C92"/>
    <w:rsid w:val="00C80364"/>
    <w:rsid w:val="00C84E6B"/>
    <w:rsid w:val="00CA766D"/>
    <w:rsid w:val="00CC6624"/>
    <w:rsid w:val="00CF2F0A"/>
    <w:rsid w:val="00D00E7C"/>
    <w:rsid w:val="00D2031F"/>
    <w:rsid w:val="00DA3A08"/>
    <w:rsid w:val="00DC2928"/>
    <w:rsid w:val="00DC2EAB"/>
    <w:rsid w:val="00DD0530"/>
    <w:rsid w:val="00DD3539"/>
    <w:rsid w:val="00DF16EE"/>
    <w:rsid w:val="00E3413A"/>
    <w:rsid w:val="00E36764"/>
    <w:rsid w:val="00E554E0"/>
    <w:rsid w:val="00E659E5"/>
    <w:rsid w:val="00E765AA"/>
    <w:rsid w:val="00EC15DC"/>
    <w:rsid w:val="00ED0BE4"/>
    <w:rsid w:val="00EF1B08"/>
    <w:rsid w:val="00F279A0"/>
    <w:rsid w:val="00F340DB"/>
    <w:rsid w:val="00F4671E"/>
    <w:rsid w:val="00F7751B"/>
    <w:rsid w:val="00F811D6"/>
    <w:rsid w:val="00F967FF"/>
    <w:rsid w:val="00FC014D"/>
    <w:rsid w:val="00FD018B"/>
    <w:rsid w:val="00FE5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AEAF0"/>
  <w15:docId w15:val="{C0AB8B64-B212-A94C-BCFD-21427D5DF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Nirmala UI"/>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C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C5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D431F"/>
    <w:pPr>
      <w:ind w:left="720"/>
      <w:contextualSpacing/>
    </w:pPr>
  </w:style>
  <w:style w:type="paragraph" w:styleId="TOCHeading">
    <w:name w:val="TOC Heading"/>
    <w:basedOn w:val="Heading1"/>
    <w:next w:val="Normal"/>
    <w:uiPriority w:val="39"/>
    <w:semiHidden/>
    <w:unhideWhenUsed/>
    <w:qFormat/>
    <w:rsid w:val="00EC15DC"/>
    <w:pPr>
      <w:outlineLvl w:val="9"/>
    </w:pPr>
    <w:rPr>
      <w:lang w:eastAsia="ja-JP"/>
    </w:rPr>
  </w:style>
  <w:style w:type="paragraph" w:styleId="TOC1">
    <w:name w:val="toc 1"/>
    <w:basedOn w:val="Normal"/>
    <w:next w:val="Normal"/>
    <w:autoRedefine/>
    <w:uiPriority w:val="39"/>
    <w:unhideWhenUsed/>
    <w:rsid w:val="00EC15DC"/>
    <w:pPr>
      <w:spacing w:after="100"/>
    </w:pPr>
  </w:style>
  <w:style w:type="character" w:styleId="Hyperlink">
    <w:name w:val="Hyperlink"/>
    <w:basedOn w:val="DefaultParagraphFont"/>
    <w:uiPriority w:val="99"/>
    <w:unhideWhenUsed/>
    <w:rsid w:val="00EC15DC"/>
    <w:rPr>
      <w:color w:val="0000FF" w:themeColor="hyperlink"/>
      <w:u w:val="single"/>
    </w:rPr>
  </w:style>
  <w:style w:type="paragraph" w:styleId="BalloonText">
    <w:name w:val="Balloon Text"/>
    <w:basedOn w:val="Normal"/>
    <w:link w:val="BalloonTextChar"/>
    <w:uiPriority w:val="99"/>
    <w:semiHidden/>
    <w:unhideWhenUsed/>
    <w:rsid w:val="00EC15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DC"/>
    <w:rPr>
      <w:rFonts w:ascii="Tahoma" w:hAnsi="Tahoma" w:cs="Tahoma"/>
      <w:sz w:val="16"/>
      <w:szCs w:val="16"/>
    </w:rPr>
  </w:style>
  <w:style w:type="paragraph" w:styleId="Bibliography">
    <w:name w:val="Bibliography"/>
    <w:basedOn w:val="Normal"/>
    <w:next w:val="Normal"/>
    <w:uiPriority w:val="37"/>
    <w:unhideWhenUsed/>
    <w:rsid w:val="00793F3F"/>
  </w:style>
  <w:style w:type="paragraph" w:styleId="NormalWeb">
    <w:name w:val="Normal (Web)"/>
    <w:basedOn w:val="Normal"/>
    <w:uiPriority w:val="99"/>
    <w:semiHidden/>
    <w:unhideWhenUsed/>
    <w:rsid w:val="00487CD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A0583E"/>
    <w:pPr>
      <w:spacing w:after="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A0583E"/>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6224">
      <w:bodyDiv w:val="1"/>
      <w:marLeft w:val="0"/>
      <w:marRight w:val="0"/>
      <w:marTop w:val="0"/>
      <w:marBottom w:val="0"/>
      <w:divBdr>
        <w:top w:val="none" w:sz="0" w:space="0" w:color="auto"/>
        <w:left w:val="none" w:sz="0" w:space="0" w:color="auto"/>
        <w:bottom w:val="none" w:sz="0" w:space="0" w:color="auto"/>
        <w:right w:val="none" w:sz="0" w:space="0" w:color="auto"/>
      </w:divBdr>
    </w:div>
    <w:div w:id="102960268">
      <w:bodyDiv w:val="1"/>
      <w:marLeft w:val="0"/>
      <w:marRight w:val="0"/>
      <w:marTop w:val="0"/>
      <w:marBottom w:val="0"/>
      <w:divBdr>
        <w:top w:val="none" w:sz="0" w:space="0" w:color="auto"/>
        <w:left w:val="none" w:sz="0" w:space="0" w:color="auto"/>
        <w:bottom w:val="none" w:sz="0" w:space="0" w:color="auto"/>
        <w:right w:val="none" w:sz="0" w:space="0" w:color="auto"/>
      </w:divBdr>
    </w:div>
    <w:div w:id="124274521">
      <w:bodyDiv w:val="1"/>
      <w:marLeft w:val="0"/>
      <w:marRight w:val="0"/>
      <w:marTop w:val="0"/>
      <w:marBottom w:val="0"/>
      <w:divBdr>
        <w:top w:val="none" w:sz="0" w:space="0" w:color="auto"/>
        <w:left w:val="none" w:sz="0" w:space="0" w:color="auto"/>
        <w:bottom w:val="none" w:sz="0" w:space="0" w:color="auto"/>
        <w:right w:val="none" w:sz="0" w:space="0" w:color="auto"/>
      </w:divBdr>
    </w:div>
    <w:div w:id="166600265">
      <w:bodyDiv w:val="1"/>
      <w:marLeft w:val="0"/>
      <w:marRight w:val="0"/>
      <w:marTop w:val="0"/>
      <w:marBottom w:val="0"/>
      <w:divBdr>
        <w:top w:val="none" w:sz="0" w:space="0" w:color="auto"/>
        <w:left w:val="none" w:sz="0" w:space="0" w:color="auto"/>
        <w:bottom w:val="none" w:sz="0" w:space="0" w:color="auto"/>
        <w:right w:val="none" w:sz="0" w:space="0" w:color="auto"/>
      </w:divBdr>
    </w:div>
    <w:div w:id="177699912">
      <w:bodyDiv w:val="1"/>
      <w:marLeft w:val="0"/>
      <w:marRight w:val="0"/>
      <w:marTop w:val="0"/>
      <w:marBottom w:val="0"/>
      <w:divBdr>
        <w:top w:val="none" w:sz="0" w:space="0" w:color="auto"/>
        <w:left w:val="none" w:sz="0" w:space="0" w:color="auto"/>
        <w:bottom w:val="none" w:sz="0" w:space="0" w:color="auto"/>
        <w:right w:val="none" w:sz="0" w:space="0" w:color="auto"/>
      </w:divBdr>
    </w:div>
    <w:div w:id="231014998">
      <w:bodyDiv w:val="1"/>
      <w:marLeft w:val="0"/>
      <w:marRight w:val="0"/>
      <w:marTop w:val="0"/>
      <w:marBottom w:val="0"/>
      <w:divBdr>
        <w:top w:val="none" w:sz="0" w:space="0" w:color="auto"/>
        <w:left w:val="none" w:sz="0" w:space="0" w:color="auto"/>
        <w:bottom w:val="none" w:sz="0" w:space="0" w:color="auto"/>
        <w:right w:val="none" w:sz="0" w:space="0" w:color="auto"/>
      </w:divBdr>
    </w:div>
    <w:div w:id="237180419">
      <w:bodyDiv w:val="1"/>
      <w:marLeft w:val="0"/>
      <w:marRight w:val="0"/>
      <w:marTop w:val="0"/>
      <w:marBottom w:val="0"/>
      <w:divBdr>
        <w:top w:val="none" w:sz="0" w:space="0" w:color="auto"/>
        <w:left w:val="none" w:sz="0" w:space="0" w:color="auto"/>
        <w:bottom w:val="none" w:sz="0" w:space="0" w:color="auto"/>
        <w:right w:val="none" w:sz="0" w:space="0" w:color="auto"/>
      </w:divBdr>
    </w:div>
    <w:div w:id="257376061">
      <w:bodyDiv w:val="1"/>
      <w:marLeft w:val="0"/>
      <w:marRight w:val="0"/>
      <w:marTop w:val="0"/>
      <w:marBottom w:val="0"/>
      <w:divBdr>
        <w:top w:val="none" w:sz="0" w:space="0" w:color="auto"/>
        <w:left w:val="none" w:sz="0" w:space="0" w:color="auto"/>
        <w:bottom w:val="none" w:sz="0" w:space="0" w:color="auto"/>
        <w:right w:val="none" w:sz="0" w:space="0" w:color="auto"/>
      </w:divBdr>
    </w:div>
    <w:div w:id="267276947">
      <w:bodyDiv w:val="1"/>
      <w:marLeft w:val="0"/>
      <w:marRight w:val="0"/>
      <w:marTop w:val="0"/>
      <w:marBottom w:val="0"/>
      <w:divBdr>
        <w:top w:val="none" w:sz="0" w:space="0" w:color="auto"/>
        <w:left w:val="none" w:sz="0" w:space="0" w:color="auto"/>
        <w:bottom w:val="none" w:sz="0" w:space="0" w:color="auto"/>
        <w:right w:val="none" w:sz="0" w:space="0" w:color="auto"/>
      </w:divBdr>
    </w:div>
    <w:div w:id="330645317">
      <w:bodyDiv w:val="1"/>
      <w:marLeft w:val="0"/>
      <w:marRight w:val="0"/>
      <w:marTop w:val="0"/>
      <w:marBottom w:val="0"/>
      <w:divBdr>
        <w:top w:val="none" w:sz="0" w:space="0" w:color="auto"/>
        <w:left w:val="none" w:sz="0" w:space="0" w:color="auto"/>
        <w:bottom w:val="none" w:sz="0" w:space="0" w:color="auto"/>
        <w:right w:val="none" w:sz="0" w:space="0" w:color="auto"/>
      </w:divBdr>
    </w:div>
    <w:div w:id="334722598">
      <w:bodyDiv w:val="1"/>
      <w:marLeft w:val="0"/>
      <w:marRight w:val="0"/>
      <w:marTop w:val="0"/>
      <w:marBottom w:val="0"/>
      <w:divBdr>
        <w:top w:val="none" w:sz="0" w:space="0" w:color="auto"/>
        <w:left w:val="none" w:sz="0" w:space="0" w:color="auto"/>
        <w:bottom w:val="none" w:sz="0" w:space="0" w:color="auto"/>
        <w:right w:val="none" w:sz="0" w:space="0" w:color="auto"/>
      </w:divBdr>
    </w:div>
    <w:div w:id="354431358">
      <w:bodyDiv w:val="1"/>
      <w:marLeft w:val="0"/>
      <w:marRight w:val="0"/>
      <w:marTop w:val="0"/>
      <w:marBottom w:val="0"/>
      <w:divBdr>
        <w:top w:val="none" w:sz="0" w:space="0" w:color="auto"/>
        <w:left w:val="none" w:sz="0" w:space="0" w:color="auto"/>
        <w:bottom w:val="none" w:sz="0" w:space="0" w:color="auto"/>
        <w:right w:val="none" w:sz="0" w:space="0" w:color="auto"/>
      </w:divBdr>
    </w:div>
    <w:div w:id="357439542">
      <w:bodyDiv w:val="1"/>
      <w:marLeft w:val="0"/>
      <w:marRight w:val="0"/>
      <w:marTop w:val="0"/>
      <w:marBottom w:val="0"/>
      <w:divBdr>
        <w:top w:val="none" w:sz="0" w:space="0" w:color="auto"/>
        <w:left w:val="none" w:sz="0" w:space="0" w:color="auto"/>
        <w:bottom w:val="none" w:sz="0" w:space="0" w:color="auto"/>
        <w:right w:val="none" w:sz="0" w:space="0" w:color="auto"/>
      </w:divBdr>
    </w:div>
    <w:div w:id="365453471">
      <w:bodyDiv w:val="1"/>
      <w:marLeft w:val="0"/>
      <w:marRight w:val="0"/>
      <w:marTop w:val="0"/>
      <w:marBottom w:val="0"/>
      <w:divBdr>
        <w:top w:val="none" w:sz="0" w:space="0" w:color="auto"/>
        <w:left w:val="none" w:sz="0" w:space="0" w:color="auto"/>
        <w:bottom w:val="none" w:sz="0" w:space="0" w:color="auto"/>
        <w:right w:val="none" w:sz="0" w:space="0" w:color="auto"/>
      </w:divBdr>
    </w:div>
    <w:div w:id="373777304">
      <w:bodyDiv w:val="1"/>
      <w:marLeft w:val="0"/>
      <w:marRight w:val="0"/>
      <w:marTop w:val="0"/>
      <w:marBottom w:val="0"/>
      <w:divBdr>
        <w:top w:val="none" w:sz="0" w:space="0" w:color="auto"/>
        <w:left w:val="none" w:sz="0" w:space="0" w:color="auto"/>
        <w:bottom w:val="none" w:sz="0" w:space="0" w:color="auto"/>
        <w:right w:val="none" w:sz="0" w:space="0" w:color="auto"/>
      </w:divBdr>
    </w:div>
    <w:div w:id="387611078">
      <w:bodyDiv w:val="1"/>
      <w:marLeft w:val="0"/>
      <w:marRight w:val="0"/>
      <w:marTop w:val="0"/>
      <w:marBottom w:val="0"/>
      <w:divBdr>
        <w:top w:val="none" w:sz="0" w:space="0" w:color="auto"/>
        <w:left w:val="none" w:sz="0" w:space="0" w:color="auto"/>
        <w:bottom w:val="none" w:sz="0" w:space="0" w:color="auto"/>
        <w:right w:val="none" w:sz="0" w:space="0" w:color="auto"/>
      </w:divBdr>
    </w:div>
    <w:div w:id="408384594">
      <w:bodyDiv w:val="1"/>
      <w:marLeft w:val="0"/>
      <w:marRight w:val="0"/>
      <w:marTop w:val="0"/>
      <w:marBottom w:val="0"/>
      <w:divBdr>
        <w:top w:val="none" w:sz="0" w:space="0" w:color="auto"/>
        <w:left w:val="none" w:sz="0" w:space="0" w:color="auto"/>
        <w:bottom w:val="none" w:sz="0" w:space="0" w:color="auto"/>
        <w:right w:val="none" w:sz="0" w:space="0" w:color="auto"/>
      </w:divBdr>
    </w:div>
    <w:div w:id="543450953">
      <w:bodyDiv w:val="1"/>
      <w:marLeft w:val="0"/>
      <w:marRight w:val="0"/>
      <w:marTop w:val="0"/>
      <w:marBottom w:val="0"/>
      <w:divBdr>
        <w:top w:val="none" w:sz="0" w:space="0" w:color="auto"/>
        <w:left w:val="none" w:sz="0" w:space="0" w:color="auto"/>
        <w:bottom w:val="none" w:sz="0" w:space="0" w:color="auto"/>
        <w:right w:val="none" w:sz="0" w:space="0" w:color="auto"/>
      </w:divBdr>
    </w:div>
    <w:div w:id="565839734">
      <w:bodyDiv w:val="1"/>
      <w:marLeft w:val="0"/>
      <w:marRight w:val="0"/>
      <w:marTop w:val="0"/>
      <w:marBottom w:val="0"/>
      <w:divBdr>
        <w:top w:val="none" w:sz="0" w:space="0" w:color="auto"/>
        <w:left w:val="none" w:sz="0" w:space="0" w:color="auto"/>
        <w:bottom w:val="none" w:sz="0" w:space="0" w:color="auto"/>
        <w:right w:val="none" w:sz="0" w:space="0" w:color="auto"/>
      </w:divBdr>
    </w:div>
    <w:div w:id="608315652">
      <w:bodyDiv w:val="1"/>
      <w:marLeft w:val="0"/>
      <w:marRight w:val="0"/>
      <w:marTop w:val="0"/>
      <w:marBottom w:val="0"/>
      <w:divBdr>
        <w:top w:val="none" w:sz="0" w:space="0" w:color="auto"/>
        <w:left w:val="none" w:sz="0" w:space="0" w:color="auto"/>
        <w:bottom w:val="none" w:sz="0" w:space="0" w:color="auto"/>
        <w:right w:val="none" w:sz="0" w:space="0" w:color="auto"/>
      </w:divBdr>
    </w:div>
    <w:div w:id="610018953">
      <w:bodyDiv w:val="1"/>
      <w:marLeft w:val="0"/>
      <w:marRight w:val="0"/>
      <w:marTop w:val="0"/>
      <w:marBottom w:val="0"/>
      <w:divBdr>
        <w:top w:val="none" w:sz="0" w:space="0" w:color="auto"/>
        <w:left w:val="none" w:sz="0" w:space="0" w:color="auto"/>
        <w:bottom w:val="none" w:sz="0" w:space="0" w:color="auto"/>
        <w:right w:val="none" w:sz="0" w:space="0" w:color="auto"/>
      </w:divBdr>
    </w:div>
    <w:div w:id="623462615">
      <w:bodyDiv w:val="1"/>
      <w:marLeft w:val="0"/>
      <w:marRight w:val="0"/>
      <w:marTop w:val="0"/>
      <w:marBottom w:val="0"/>
      <w:divBdr>
        <w:top w:val="none" w:sz="0" w:space="0" w:color="auto"/>
        <w:left w:val="none" w:sz="0" w:space="0" w:color="auto"/>
        <w:bottom w:val="none" w:sz="0" w:space="0" w:color="auto"/>
        <w:right w:val="none" w:sz="0" w:space="0" w:color="auto"/>
      </w:divBdr>
    </w:div>
    <w:div w:id="641354136">
      <w:bodyDiv w:val="1"/>
      <w:marLeft w:val="0"/>
      <w:marRight w:val="0"/>
      <w:marTop w:val="0"/>
      <w:marBottom w:val="0"/>
      <w:divBdr>
        <w:top w:val="none" w:sz="0" w:space="0" w:color="auto"/>
        <w:left w:val="none" w:sz="0" w:space="0" w:color="auto"/>
        <w:bottom w:val="none" w:sz="0" w:space="0" w:color="auto"/>
        <w:right w:val="none" w:sz="0" w:space="0" w:color="auto"/>
      </w:divBdr>
    </w:div>
    <w:div w:id="679357820">
      <w:bodyDiv w:val="1"/>
      <w:marLeft w:val="0"/>
      <w:marRight w:val="0"/>
      <w:marTop w:val="0"/>
      <w:marBottom w:val="0"/>
      <w:divBdr>
        <w:top w:val="none" w:sz="0" w:space="0" w:color="auto"/>
        <w:left w:val="none" w:sz="0" w:space="0" w:color="auto"/>
        <w:bottom w:val="none" w:sz="0" w:space="0" w:color="auto"/>
        <w:right w:val="none" w:sz="0" w:space="0" w:color="auto"/>
      </w:divBdr>
    </w:div>
    <w:div w:id="692149686">
      <w:bodyDiv w:val="1"/>
      <w:marLeft w:val="0"/>
      <w:marRight w:val="0"/>
      <w:marTop w:val="0"/>
      <w:marBottom w:val="0"/>
      <w:divBdr>
        <w:top w:val="none" w:sz="0" w:space="0" w:color="auto"/>
        <w:left w:val="none" w:sz="0" w:space="0" w:color="auto"/>
        <w:bottom w:val="none" w:sz="0" w:space="0" w:color="auto"/>
        <w:right w:val="none" w:sz="0" w:space="0" w:color="auto"/>
      </w:divBdr>
    </w:div>
    <w:div w:id="697316003">
      <w:bodyDiv w:val="1"/>
      <w:marLeft w:val="0"/>
      <w:marRight w:val="0"/>
      <w:marTop w:val="0"/>
      <w:marBottom w:val="0"/>
      <w:divBdr>
        <w:top w:val="none" w:sz="0" w:space="0" w:color="auto"/>
        <w:left w:val="none" w:sz="0" w:space="0" w:color="auto"/>
        <w:bottom w:val="none" w:sz="0" w:space="0" w:color="auto"/>
        <w:right w:val="none" w:sz="0" w:space="0" w:color="auto"/>
      </w:divBdr>
    </w:div>
    <w:div w:id="699355111">
      <w:bodyDiv w:val="1"/>
      <w:marLeft w:val="0"/>
      <w:marRight w:val="0"/>
      <w:marTop w:val="0"/>
      <w:marBottom w:val="0"/>
      <w:divBdr>
        <w:top w:val="none" w:sz="0" w:space="0" w:color="auto"/>
        <w:left w:val="none" w:sz="0" w:space="0" w:color="auto"/>
        <w:bottom w:val="none" w:sz="0" w:space="0" w:color="auto"/>
        <w:right w:val="none" w:sz="0" w:space="0" w:color="auto"/>
      </w:divBdr>
    </w:div>
    <w:div w:id="727726624">
      <w:bodyDiv w:val="1"/>
      <w:marLeft w:val="0"/>
      <w:marRight w:val="0"/>
      <w:marTop w:val="0"/>
      <w:marBottom w:val="0"/>
      <w:divBdr>
        <w:top w:val="none" w:sz="0" w:space="0" w:color="auto"/>
        <w:left w:val="none" w:sz="0" w:space="0" w:color="auto"/>
        <w:bottom w:val="none" w:sz="0" w:space="0" w:color="auto"/>
        <w:right w:val="none" w:sz="0" w:space="0" w:color="auto"/>
      </w:divBdr>
    </w:div>
    <w:div w:id="757795599">
      <w:bodyDiv w:val="1"/>
      <w:marLeft w:val="0"/>
      <w:marRight w:val="0"/>
      <w:marTop w:val="0"/>
      <w:marBottom w:val="0"/>
      <w:divBdr>
        <w:top w:val="none" w:sz="0" w:space="0" w:color="auto"/>
        <w:left w:val="none" w:sz="0" w:space="0" w:color="auto"/>
        <w:bottom w:val="none" w:sz="0" w:space="0" w:color="auto"/>
        <w:right w:val="none" w:sz="0" w:space="0" w:color="auto"/>
      </w:divBdr>
    </w:div>
    <w:div w:id="763458907">
      <w:bodyDiv w:val="1"/>
      <w:marLeft w:val="0"/>
      <w:marRight w:val="0"/>
      <w:marTop w:val="0"/>
      <w:marBottom w:val="0"/>
      <w:divBdr>
        <w:top w:val="none" w:sz="0" w:space="0" w:color="auto"/>
        <w:left w:val="none" w:sz="0" w:space="0" w:color="auto"/>
        <w:bottom w:val="none" w:sz="0" w:space="0" w:color="auto"/>
        <w:right w:val="none" w:sz="0" w:space="0" w:color="auto"/>
      </w:divBdr>
    </w:div>
    <w:div w:id="772826276">
      <w:bodyDiv w:val="1"/>
      <w:marLeft w:val="0"/>
      <w:marRight w:val="0"/>
      <w:marTop w:val="0"/>
      <w:marBottom w:val="0"/>
      <w:divBdr>
        <w:top w:val="none" w:sz="0" w:space="0" w:color="auto"/>
        <w:left w:val="none" w:sz="0" w:space="0" w:color="auto"/>
        <w:bottom w:val="none" w:sz="0" w:space="0" w:color="auto"/>
        <w:right w:val="none" w:sz="0" w:space="0" w:color="auto"/>
      </w:divBdr>
    </w:div>
    <w:div w:id="831944744">
      <w:bodyDiv w:val="1"/>
      <w:marLeft w:val="0"/>
      <w:marRight w:val="0"/>
      <w:marTop w:val="0"/>
      <w:marBottom w:val="0"/>
      <w:divBdr>
        <w:top w:val="none" w:sz="0" w:space="0" w:color="auto"/>
        <w:left w:val="none" w:sz="0" w:space="0" w:color="auto"/>
        <w:bottom w:val="none" w:sz="0" w:space="0" w:color="auto"/>
        <w:right w:val="none" w:sz="0" w:space="0" w:color="auto"/>
      </w:divBdr>
    </w:div>
    <w:div w:id="836723787">
      <w:bodyDiv w:val="1"/>
      <w:marLeft w:val="0"/>
      <w:marRight w:val="0"/>
      <w:marTop w:val="0"/>
      <w:marBottom w:val="0"/>
      <w:divBdr>
        <w:top w:val="none" w:sz="0" w:space="0" w:color="auto"/>
        <w:left w:val="none" w:sz="0" w:space="0" w:color="auto"/>
        <w:bottom w:val="none" w:sz="0" w:space="0" w:color="auto"/>
        <w:right w:val="none" w:sz="0" w:space="0" w:color="auto"/>
      </w:divBdr>
    </w:div>
    <w:div w:id="905723219">
      <w:bodyDiv w:val="1"/>
      <w:marLeft w:val="0"/>
      <w:marRight w:val="0"/>
      <w:marTop w:val="0"/>
      <w:marBottom w:val="0"/>
      <w:divBdr>
        <w:top w:val="none" w:sz="0" w:space="0" w:color="auto"/>
        <w:left w:val="none" w:sz="0" w:space="0" w:color="auto"/>
        <w:bottom w:val="none" w:sz="0" w:space="0" w:color="auto"/>
        <w:right w:val="none" w:sz="0" w:space="0" w:color="auto"/>
      </w:divBdr>
    </w:div>
    <w:div w:id="926381644">
      <w:bodyDiv w:val="1"/>
      <w:marLeft w:val="0"/>
      <w:marRight w:val="0"/>
      <w:marTop w:val="0"/>
      <w:marBottom w:val="0"/>
      <w:divBdr>
        <w:top w:val="none" w:sz="0" w:space="0" w:color="auto"/>
        <w:left w:val="none" w:sz="0" w:space="0" w:color="auto"/>
        <w:bottom w:val="none" w:sz="0" w:space="0" w:color="auto"/>
        <w:right w:val="none" w:sz="0" w:space="0" w:color="auto"/>
      </w:divBdr>
    </w:div>
    <w:div w:id="939263519">
      <w:bodyDiv w:val="1"/>
      <w:marLeft w:val="0"/>
      <w:marRight w:val="0"/>
      <w:marTop w:val="0"/>
      <w:marBottom w:val="0"/>
      <w:divBdr>
        <w:top w:val="none" w:sz="0" w:space="0" w:color="auto"/>
        <w:left w:val="none" w:sz="0" w:space="0" w:color="auto"/>
        <w:bottom w:val="none" w:sz="0" w:space="0" w:color="auto"/>
        <w:right w:val="none" w:sz="0" w:space="0" w:color="auto"/>
      </w:divBdr>
    </w:div>
    <w:div w:id="984314709">
      <w:bodyDiv w:val="1"/>
      <w:marLeft w:val="0"/>
      <w:marRight w:val="0"/>
      <w:marTop w:val="0"/>
      <w:marBottom w:val="0"/>
      <w:divBdr>
        <w:top w:val="none" w:sz="0" w:space="0" w:color="auto"/>
        <w:left w:val="none" w:sz="0" w:space="0" w:color="auto"/>
        <w:bottom w:val="none" w:sz="0" w:space="0" w:color="auto"/>
        <w:right w:val="none" w:sz="0" w:space="0" w:color="auto"/>
      </w:divBdr>
    </w:div>
    <w:div w:id="996691634">
      <w:bodyDiv w:val="1"/>
      <w:marLeft w:val="0"/>
      <w:marRight w:val="0"/>
      <w:marTop w:val="0"/>
      <w:marBottom w:val="0"/>
      <w:divBdr>
        <w:top w:val="none" w:sz="0" w:space="0" w:color="auto"/>
        <w:left w:val="none" w:sz="0" w:space="0" w:color="auto"/>
        <w:bottom w:val="none" w:sz="0" w:space="0" w:color="auto"/>
        <w:right w:val="none" w:sz="0" w:space="0" w:color="auto"/>
      </w:divBdr>
    </w:div>
    <w:div w:id="1009870973">
      <w:bodyDiv w:val="1"/>
      <w:marLeft w:val="0"/>
      <w:marRight w:val="0"/>
      <w:marTop w:val="0"/>
      <w:marBottom w:val="0"/>
      <w:divBdr>
        <w:top w:val="none" w:sz="0" w:space="0" w:color="auto"/>
        <w:left w:val="none" w:sz="0" w:space="0" w:color="auto"/>
        <w:bottom w:val="none" w:sz="0" w:space="0" w:color="auto"/>
        <w:right w:val="none" w:sz="0" w:space="0" w:color="auto"/>
      </w:divBdr>
    </w:div>
    <w:div w:id="1033964788">
      <w:bodyDiv w:val="1"/>
      <w:marLeft w:val="0"/>
      <w:marRight w:val="0"/>
      <w:marTop w:val="0"/>
      <w:marBottom w:val="0"/>
      <w:divBdr>
        <w:top w:val="none" w:sz="0" w:space="0" w:color="auto"/>
        <w:left w:val="none" w:sz="0" w:space="0" w:color="auto"/>
        <w:bottom w:val="none" w:sz="0" w:space="0" w:color="auto"/>
        <w:right w:val="none" w:sz="0" w:space="0" w:color="auto"/>
      </w:divBdr>
    </w:div>
    <w:div w:id="1158381471">
      <w:bodyDiv w:val="1"/>
      <w:marLeft w:val="0"/>
      <w:marRight w:val="0"/>
      <w:marTop w:val="0"/>
      <w:marBottom w:val="0"/>
      <w:divBdr>
        <w:top w:val="none" w:sz="0" w:space="0" w:color="auto"/>
        <w:left w:val="none" w:sz="0" w:space="0" w:color="auto"/>
        <w:bottom w:val="none" w:sz="0" w:space="0" w:color="auto"/>
        <w:right w:val="none" w:sz="0" w:space="0" w:color="auto"/>
      </w:divBdr>
    </w:div>
    <w:div w:id="1165053862">
      <w:bodyDiv w:val="1"/>
      <w:marLeft w:val="0"/>
      <w:marRight w:val="0"/>
      <w:marTop w:val="0"/>
      <w:marBottom w:val="0"/>
      <w:divBdr>
        <w:top w:val="none" w:sz="0" w:space="0" w:color="auto"/>
        <w:left w:val="none" w:sz="0" w:space="0" w:color="auto"/>
        <w:bottom w:val="none" w:sz="0" w:space="0" w:color="auto"/>
        <w:right w:val="none" w:sz="0" w:space="0" w:color="auto"/>
      </w:divBdr>
    </w:div>
    <w:div w:id="1171289864">
      <w:bodyDiv w:val="1"/>
      <w:marLeft w:val="0"/>
      <w:marRight w:val="0"/>
      <w:marTop w:val="0"/>
      <w:marBottom w:val="0"/>
      <w:divBdr>
        <w:top w:val="none" w:sz="0" w:space="0" w:color="auto"/>
        <w:left w:val="none" w:sz="0" w:space="0" w:color="auto"/>
        <w:bottom w:val="none" w:sz="0" w:space="0" w:color="auto"/>
        <w:right w:val="none" w:sz="0" w:space="0" w:color="auto"/>
      </w:divBdr>
    </w:div>
    <w:div w:id="1175002355">
      <w:bodyDiv w:val="1"/>
      <w:marLeft w:val="0"/>
      <w:marRight w:val="0"/>
      <w:marTop w:val="0"/>
      <w:marBottom w:val="0"/>
      <w:divBdr>
        <w:top w:val="none" w:sz="0" w:space="0" w:color="auto"/>
        <w:left w:val="none" w:sz="0" w:space="0" w:color="auto"/>
        <w:bottom w:val="none" w:sz="0" w:space="0" w:color="auto"/>
        <w:right w:val="none" w:sz="0" w:space="0" w:color="auto"/>
      </w:divBdr>
    </w:div>
    <w:div w:id="1207067424">
      <w:bodyDiv w:val="1"/>
      <w:marLeft w:val="0"/>
      <w:marRight w:val="0"/>
      <w:marTop w:val="0"/>
      <w:marBottom w:val="0"/>
      <w:divBdr>
        <w:top w:val="none" w:sz="0" w:space="0" w:color="auto"/>
        <w:left w:val="none" w:sz="0" w:space="0" w:color="auto"/>
        <w:bottom w:val="none" w:sz="0" w:space="0" w:color="auto"/>
        <w:right w:val="none" w:sz="0" w:space="0" w:color="auto"/>
      </w:divBdr>
    </w:div>
    <w:div w:id="1237519976">
      <w:bodyDiv w:val="1"/>
      <w:marLeft w:val="0"/>
      <w:marRight w:val="0"/>
      <w:marTop w:val="0"/>
      <w:marBottom w:val="0"/>
      <w:divBdr>
        <w:top w:val="none" w:sz="0" w:space="0" w:color="auto"/>
        <w:left w:val="none" w:sz="0" w:space="0" w:color="auto"/>
        <w:bottom w:val="none" w:sz="0" w:space="0" w:color="auto"/>
        <w:right w:val="none" w:sz="0" w:space="0" w:color="auto"/>
      </w:divBdr>
    </w:div>
    <w:div w:id="1268469268">
      <w:bodyDiv w:val="1"/>
      <w:marLeft w:val="0"/>
      <w:marRight w:val="0"/>
      <w:marTop w:val="0"/>
      <w:marBottom w:val="0"/>
      <w:divBdr>
        <w:top w:val="none" w:sz="0" w:space="0" w:color="auto"/>
        <w:left w:val="none" w:sz="0" w:space="0" w:color="auto"/>
        <w:bottom w:val="none" w:sz="0" w:space="0" w:color="auto"/>
        <w:right w:val="none" w:sz="0" w:space="0" w:color="auto"/>
      </w:divBdr>
    </w:div>
    <w:div w:id="1306547807">
      <w:bodyDiv w:val="1"/>
      <w:marLeft w:val="0"/>
      <w:marRight w:val="0"/>
      <w:marTop w:val="0"/>
      <w:marBottom w:val="0"/>
      <w:divBdr>
        <w:top w:val="none" w:sz="0" w:space="0" w:color="auto"/>
        <w:left w:val="none" w:sz="0" w:space="0" w:color="auto"/>
        <w:bottom w:val="none" w:sz="0" w:space="0" w:color="auto"/>
        <w:right w:val="none" w:sz="0" w:space="0" w:color="auto"/>
      </w:divBdr>
    </w:div>
    <w:div w:id="1329678097">
      <w:bodyDiv w:val="1"/>
      <w:marLeft w:val="0"/>
      <w:marRight w:val="0"/>
      <w:marTop w:val="0"/>
      <w:marBottom w:val="0"/>
      <w:divBdr>
        <w:top w:val="none" w:sz="0" w:space="0" w:color="auto"/>
        <w:left w:val="none" w:sz="0" w:space="0" w:color="auto"/>
        <w:bottom w:val="none" w:sz="0" w:space="0" w:color="auto"/>
        <w:right w:val="none" w:sz="0" w:space="0" w:color="auto"/>
      </w:divBdr>
    </w:div>
    <w:div w:id="1362362711">
      <w:bodyDiv w:val="1"/>
      <w:marLeft w:val="0"/>
      <w:marRight w:val="0"/>
      <w:marTop w:val="0"/>
      <w:marBottom w:val="0"/>
      <w:divBdr>
        <w:top w:val="none" w:sz="0" w:space="0" w:color="auto"/>
        <w:left w:val="none" w:sz="0" w:space="0" w:color="auto"/>
        <w:bottom w:val="none" w:sz="0" w:space="0" w:color="auto"/>
        <w:right w:val="none" w:sz="0" w:space="0" w:color="auto"/>
      </w:divBdr>
    </w:div>
    <w:div w:id="1374844699">
      <w:bodyDiv w:val="1"/>
      <w:marLeft w:val="0"/>
      <w:marRight w:val="0"/>
      <w:marTop w:val="0"/>
      <w:marBottom w:val="0"/>
      <w:divBdr>
        <w:top w:val="none" w:sz="0" w:space="0" w:color="auto"/>
        <w:left w:val="none" w:sz="0" w:space="0" w:color="auto"/>
        <w:bottom w:val="none" w:sz="0" w:space="0" w:color="auto"/>
        <w:right w:val="none" w:sz="0" w:space="0" w:color="auto"/>
      </w:divBdr>
      <w:divsChild>
        <w:div w:id="1694107314">
          <w:marLeft w:val="504"/>
          <w:marRight w:val="0"/>
          <w:marTop w:val="0"/>
          <w:marBottom w:val="0"/>
          <w:divBdr>
            <w:top w:val="none" w:sz="0" w:space="0" w:color="auto"/>
            <w:left w:val="none" w:sz="0" w:space="0" w:color="auto"/>
            <w:bottom w:val="none" w:sz="0" w:space="0" w:color="auto"/>
            <w:right w:val="none" w:sz="0" w:space="0" w:color="auto"/>
          </w:divBdr>
        </w:div>
        <w:div w:id="1488866348">
          <w:marLeft w:val="504"/>
          <w:marRight w:val="0"/>
          <w:marTop w:val="0"/>
          <w:marBottom w:val="0"/>
          <w:divBdr>
            <w:top w:val="none" w:sz="0" w:space="0" w:color="auto"/>
            <w:left w:val="none" w:sz="0" w:space="0" w:color="auto"/>
            <w:bottom w:val="none" w:sz="0" w:space="0" w:color="auto"/>
            <w:right w:val="none" w:sz="0" w:space="0" w:color="auto"/>
          </w:divBdr>
        </w:div>
      </w:divsChild>
    </w:div>
    <w:div w:id="1387290454">
      <w:bodyDiv w:val="1"/>
      <w:marLeft w:val="0"/>
      <w:marRight w:val="0"/>
      <w:marTop w:val="0"/>
      <w:marBottom w:val="0"/>
      <w:divBdr>
        <w:top w:val="none" w:sz="0" w:space="0" w:color="auto"/>
        <w:left w:val="none" w:sz="0" w:space="0" w:color="auto"/>
        <w:bottom w:val="none" w:sz="0" w:space="0" w:color="auto"/>
        <w:right w:val="none" w:sz="0" w:space="0" w:color="auto"/>
      </w:divBdr>
    </w:div>
    <w:div w:id="1415736696">
      <w:bodyDiv w:val="1"/>
      <w:marLeft w:val="0"/>
      <w:marRight w:val="0"/>
      <w:marTop w:val="0"/>
      <w:marBottom w:val="0"/>
      <w:divBdr>
        <w:top w:val="none" w:sz="0" w:space="0" w:color="auto"/>
        <w:left w:val="none" w:sz="0" w:space="0" w:color="auto"/>
        <w:bottom w:val="none" w:sz="0" w:space="0" w:color="auto"/>
        <w:right w:val="none" w:sz="0" w:space="0" w:color="auto"/>
      </w:divBdr>
    </w:div>
    <w:div w:id="1484739407">
      <w:bodyDiv w:val="1"/>
      <w:marLeft w:val="0"/>
      <w:marRight w:val="0"/>
      <w:marTop w:val="0"/>
      <w:marBottom w:val="0"/>
      <w:divBdr>
        <w:top w:val="none" w:sz="0" w:space="0" w:color="auto"/>
        <w:left w:val="none" w:sz="0" w:space="0" w:color="auto"/>
        <w:bottom w:val="none" w:sz="0" w:space="0" w:color="auto"/>
        <w:right w:val="none" w:sz="0" w:space="0" w:color="auto"/>
      </w:divBdr>
    </w:div>
    <w:div w:id="1537423103">
      <w:bodyDiv w:val="1"/>
      <w:marLeft w:val="0"/>
      <w:marRight w:val="0"/>
      <w:marTop w:val="0"/>
      <w:marBottom w:val="0"/>
      <w:divBdr>
        <w:top w:val="none" w:sz="0" w:space="0" w:color="auto"/>
        <w:left w:val="none" w:sz="0" w:space="0" w:color="auto"/>
        <w:bottom w:val="none" w:sz="0" w:space="0" w:color="auto"/>
        <w:right w:val="none" w:sz="0" w:space="0" w:color="auto"/>
      </w:divBdr>
    </w:div>
    <w:div w:id="1545630997">
      <w:bodyDiv w:val="1"/>
      <w:marLeft w:val="0"/>
      <w:marRight w:val="0"/>
      <w:marTop w:val="0"/>
      <w:marBottom w:val="0"/>
      <w:divBdr>
        <w:top w:val="none" w:sz="0" w:space="0" w:color="auto"/>
        <w:left w:val="none" w:sz="0" w:space="0" w:color="auto"/>
        <w:bottom w:val="none" w:sz="0" w:space="0" w:color="auto"/>
        <w:right w:val="none" w:sz="0" w:space="0" w:color="auto"/>
      </w:divBdr>
    </w:div>
    <w:div w:id="1599487473">
      <w:bodyDiv w:val="1"/>
      <w:marLeft w:val="0"/>
      <w:marRight w:val="0"/>
      <w:marTop w:val="0"/>
      <w:marBottom w:val="0"/>
      <w:divBdr>
        <w:top w:val="none" w:sz="0" w:space="0" w:color="auto"/>
        <w:left w:val="none" w:sz="0" w:space="0" w:color="auto"/>
        <w:bottom w:val="none" w:sz="0" w:space="0" w:color="auto"/>
        <w:right w:val="none" w:sz="0" w:space="0" w:color="auto"/>
      </w:divBdr>
    </w:div>
    <w:div w:id="1612935693">
      <w:bodyDiv w:val="1"/>
      <w:marLeft w:val="0"/>
      <w:marRight w:val="0"/>
      <w:marTop w:val="0"/>
      <w:marBottom w:val="0"/>
      <w:divBdr>
        <w:top w:val="none" w:sz="0" w:space="0" w:color="auto"/>
        <w:left w:val="none" w:sz="0" w:space="0" w:color="auto"/>
        <w:bottom w:val="none" w:sz="0" w:space="0" w:color="auto"/>
        <w:right w:val="none" w:sz="0" w:space="0" w:color="auto"/>
      </w:divBdr>
    </w:div>
    <w:div w:id="1645506804">
      <w:bodyDiv w:val="1"/>
      <w:marLeft w:val="0"/>
      <w:marRight w:val="0"/>
      <w:marTop w:val="0"/>
      <w:marBottom w:val="0"/>
      <w:divBdr>
        <w:top w:val="none" w:sz="0" w:space="0" w:color="auto"/>
        <w:left w:val="none" w:sz="0" w:space="0" w:color="auto"/>
        <w:bottom w:val="none" w:sz="0" w:space="0" w:color="auto"/>
        <w:right w:val="none" w:sz="0" w:space="0" w:color="auto"/>
      </w:divBdr>
    </w:div>
    <w:div w:id="1668630804">
      <w:bodyDiv w:val="1"/>
      <w:marLeft w:val="0"/>
      <w:marRight w:val="0"/>
      <w:marTop w:val="0"/>
      <w:marBottom w:val="0"/>
      <w:divBdr>
        <w:top w:val="none" w:sz="0" w:space="0" w:color="auto"/>
        <w:left w:val="none" w:sz="0" w:space="0" w:color="auto"/>
        <w:bottom w:val="none" w:sz="0" w:space="0" w:color="auto"/>
        <w:right w:val="none" w:sz="0" w:space="0" w:color="auto"/>
      </w:divBdr>
    </w:div>
    <w:div w:id="1690135544">
      <w:bodyDiv w:val="1"/>
      <w:marLeft w:val="0"/>
      <w:marRight w:val="0"/>
      <w:marTop w:val="0"/>
      <w:marBottom w:val="0"/>
      <w:divBdr>
        <w:top w:val="none" w:sz="0" w:space="0" w:color="auto"/>
        <w:left w:val="none" w:sz="0" w:space="0" w:color="auto"/>
        <w:bottom w:val="none" w:sz="0" w:space="0" w:color="auto"/>
        <w:right w:val="none" w:sz="0" w:space="0" w:color="auto"/>
      </w:divBdr>
    </w:div>
    <w:div w:id="1762484531">
      <w:bodyDiv w:val="1"/>
      <w:marLeft w:val="0"/>
      <w:marRight w:val="0"/>
      <w:marTop w:val="0"/>
      <w:marBottom w:val="0"/>
      <w:divBdr>
        <w:top w:val="none" w:sz="0" w:space="0" w:color="auto"/>
        <w:left w:val="none" w:sz="0" w:space="0" w:color="auto"/>
        <w:bottom w:val="none" w:sz="0" w:space="0" w:color="auto"/>
        <w:right w:val="none" w:sz="0" w:space="0" w:color="auto"/>
      </w:divBdr>
    </w:div>
    <w:div w:id="1765494693">
      <w:bodyDiv w:val="1"/>
      <w:marLeft w:val="0"/>
      <w:marRight w:val="0"/>
      <w:marTop w:val="0"/>
      <w:marBottom w:val="0"/>
      <w:divBdr>
        <w:top w:val="none" w:sz="0" w:space="0" w:color="auto"/>
        <w:left w:val="none" w:sz="0" w:space="0" w:color="auto"/>
        <w:bottom w:val="none" w:sz="0" w:space="0" w:color="auto"/>
        <w:right w:val="none" w:sz="0" w:space="0" w:color="auto"/>
      </w:divBdr>
    </w:div>
    <w:div w:id="1799105440">
      <w:bodyDiv w:val="1"/>
      <w:marLeft w:val="0"/>
      <w:marRight w:val="0"/>
      <w:marTop w:val="0"/>
      <w:marBottom w:val="0"/>
      <w:divBdr>
        <w:top w:val="none" w:sz="0" w:space="0" w:color="auto"/>
        <w:left w:val="none" w:sz="0" w:space="0" w:color="auto"/>
        <w:bottom w:val="none" w:sz="0" w:space="0" w:color="auto"/>
        <w:right w:val="none" w:sz="0" w:space="0" w:color="auto"/>
      </w:divBdr>
    </w:div>
    <w:div w:id="1817063710">
      <w:bodyDiv w:val="1"/>
      <w:marLeft w:val="0"/>
      <w:marRight w:val="0"/>
      <w:marTop w:val="0"/>
      <w:marBottom w:val="0"/>
      <w:divBdr>
        <w:top w:val="none" w:sz="0" w:space="0" w:color="auto"/>
        <w:left w:val="none" w:sz="0" w:space="0" w:color="auto"/>
        <w:bottom w:val="none" w:sz="0" w:space="0" w:color="auto"/>
        <w:right w:val="none" w:sz="0" w:space="0" w:color="auto"/>
      </w:divBdr>
    </w:div>
    <w:div w:id="1928419545">
      <w:bodyDiv w:val="1"/>
      <w:marLeft w:val="0"/>
      <w:marRight w:val="0"/>
      <w:marTop w:val="0"/>
      <w:marBottom w:val="0"/>
      <w:divBdr>
        <w:top w:val="none" w:sz="0" w:space="0" w:color="auto"/>
        <w:left w:val="none" w:sz="0" w:space="0" w:color="auto"/>
        <w:bottom w:val="none" w:sz="0" w:space="0" w:color="auto"/>
        <w:right w:val="none" w:sz="0" w:space="0" w:color="auto"/>
      </w:divBdr>
    </w:div>
    <w:div w:id="1936087429">
      <w:bodyDiv w:val="1"/>
      <w:marLeft w:val="0"/>
      <w:marRight w:val="0"/>
      <w:marTop w:val="0"/>
      <w:marBottom w:val="0"/>
      <w:divBdr>
        <w:top w:val="none" w:sz="0" w:space="0" w:color="auto"/>
        <w:left w:val="none" w:sz="0" w:space="0" w:color="auto"/>
        <w:bottom w:val="none" w:sz="0" w:space="0" w:color="auto"/>
        <w:right w:val="none" w:sz="0" w:space="0" w:color="auto"/>
      </w:divBdr>
    </w:div>
    <w:div w:id="1943687574">
      <w:bodyDiv w:val="1"/>
      <w:marLeft w:val="0"/>
      <w:marRight w:val="0"/>
      <w:marTop w:val="0"/>
      <w:marBottom w:val="0"/>
      <w:divBdr>
        <w:top w:val="none" w:sz="0" w:space="0" w:color="auto"/>
        <w:left w:val="none" w:sz="0" w:space="0" w:color="auto"/>
        <w:bottom w:val="none" w:sz="0" w:space="0" w:color="auto"/>
        <w:right w:val="none" w:sz="0" w:space="0" w:color="auto"/>
      </w:divBdr>
    </w:div>
    <w:div w:id="1954626819">
      <w:bodyDiv w:val="1"/>
      <w:marLeft w:val="0"/>
      <w:marRight w:val="0"/>
      <w:marTop w:val="0"/>
      <w:marBottom w:val="0"/>
      <w:divBdr>
        <w:top w:val="none" w:sz="0" w:space="0" w:color="auto"/>
        <w:left w:val="none" w:sz="0" w:space="0" w:color="auto"/>
        <w:bottom w:val="none" w:sz="0" w:space="0" w:color="auto"/>
        <w:right w:val="none" w:sz="0" w:space="0" w:color="auto"/>
      </w:divBdr>
    </w:div>
    <w:div w:id="1968468405">
      <w:bodyDiv w:val="1"/>
      <w:marLeft w:val="0"/>
      <w:marRight w:val="0"/>
      <w:marTop w:val="0"/>
      <w:marBottom w:val="0"/>
      <w:divBdr>
        <w:top w:val="none" w:sz="0" w:space="0" w:color="auto"/>
        <w:left w:val="none" w:sz="0" w:space="0" w:color="auto"/>
        <w:bottom w:val="none" w:sz="0" w:space="0" w:color="auto"/>
        <w:right w:val="none" w:sz="0" w:space="0" w:color="auto"/>
      </w:divBdr>
    </w:div>
    <w:div w:id="2005162007">
      <w:bodyDiv w:val="1"/>
      <w:marLeft w:val="0"/>
      <w:marRight w:val="0"/>
      <w:marTop w:val="0"/>
      <w:marBottom w:val="0"/>
      <w:divBdr>
        <w:top w:val="none" w:sz="0" w:space="0" w:color="auto"/>
        <w:left w:val="none" w:sz="0" w:space="0" w:color="auto"/>
        <w:bottom w:val="none" w:sz="0" w:space="0" w:color="auto"/>
        <w:right w:val="none" w:sz="0" w:space="0" w:color="auto"/>
      </w:divBdr>
    </w:div>
    <w:div w:id="2014917613">
      <w:bodyDiv w:val="1"/>
      <w:marLeft w:val="0"/>
      <w:marRight w:val="0"/>
      <w:marTop w:val="0"/>
      <w:marBottom w:val="0"/>
      <w:divBdr>
        <w:top w:val="none" w:sz="0" w:space="0" w:color="auto"/>
        <w:left w:val="none" w:sz="0" w:space="0" w:color="auto"/>
        <w:bottom w:val="none" w:sz="0" w:space="0" w:color="auto"/>
        <w:right w:val="none" w:sz="0" w:space="0" w:color="auto"/>
      </w:divBdr>
    </w:div>
    <w:div w:id="2081825705">
      <w:bodyDiv w:val="1"/>
      <w:marLeft w:val="0"/>
      <w:marRight w:val="0"/>
      <w:marTop w:val="0"/>
      <w:marBottom w:val="0"/>
      <w:divBdr>
        <w:top w:val="none" w:sz="0" w:space="0" w:color="auto"/>
        <w:left w:val="none" w:sz="0" w:space="0" w:color="auto"/>
        <w:bottom w:val="none" w:sz="0" w:space="0" w:color="auto"/>
        <w:right w:val="none" w:sz="0" w:space="0" w:color="auto"/>
      </w:divBdr>
    </w:div>
    <w:div w:id="2124036845">
      <w:bodyDiv w:val="1"/>
      <w:marLeft w:val="0"/>
      <w:marRight w:val="0"/>
      <w:marTop w:val="0"/>
      <w:marBottom w:val="0"/>
      <w:divBdr>
        <w:top w:val="none" w:sz="0" w:space="0" w:color="auto"/>
        <w:left w:val="none" w:sz="0" w:space="0" w:color="auto"/>
        <w:bottom w:val="none" w:sz="0" w:space="0" w:color="auto"/>
        <w:right w:val="none" w:sz="0" w:space="0" w:color="auto"/>
      </w:divBdr>
    </w:div>
    <w:div w:id="212803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Dav201</b:Tag>
    <b:SourceType>Book</b:SourceType>
    <b:Guid>{D2C854CB-EA64-4921-A36C-87059766295C}</b:Guid>
    <b:Title>Financial Statement Analysis: Basis for Management Advice</b:Title>
    <b:Year>2020</b:Year>
    <b:Author>
      <b:Author>
        <b:NameList>
          <b:Person>
            <b:Last>Davidson</b:Last>
            <b:First>Wallace</b:First>
          </b:Person>
        </b:NameList>
      </b:Author>
    </b:Author>
    <b:Edition>1</b:Edition>
    <b:DOI>10.1002/9781119743217</b:DOI>
    <b:RefOrder>1</b:RefOrder>
  </b:Source>
  <b:Source>
    <b:Tag>Ach21</b:Tag>
    <b:SourceType>JournalArticle</b:SourceType>
    <b:Guid>{C542777B-8FF2-4985-8A52-11098D0C790B}</b:Guid>
    <b:Title>Comparative Analysis of Financial Statements PT. Indofood Sukses Makmur Tbk</b:Title>
    <b:Year>2021</b:Year>
    <b:Author>
      <b:Author>
        <b:NameList>
          <b:Person>
            <b:Last>Fajar</b:Last>
            <b:First>Achmarul</b:First>
          </b:Person>
        </b:NameList>
      </b:Author>
    </b:Author>
    <b:JournalName>International Journal of Multicultural and Multireligious Understanding</b:JournalName>
    <b:Volume>8</b:Volume>
    <b:Issue>3</b:Issue>
    <b:RefOrder>2</b:RefOrder>
  </b:Source>
  <b:Source>
    <b:Tag>Jos15</b:Tag>
    <b:SourceType>JournalArticle</b:SourceType>
    <b:Guid>{0ED5AB40-B560-448D-AF71-4693C02FD34E}</b:Guid>
    <b:Author>
      <b:Author>
        <b:NameList>
          <b:Person>
            <b:Last>Faello</b:Last>
            <b:First>Joseph</b:First>
          </b:Person>
        </b:NameList>
      </b:Author>
    </b:Author>
    <b:Title>Understanding the limitations of financial ratios</b:Title>
    <b:JournalName>Academy of Accounting and Financial Studies Journal</b:JournalName>
    <b:Year>2015</b:Year>
    <b:Pages>75-86</b:Pages>
    <b:Volume>19</b:Volume>
    <b:Issue>3</b:Issue>
    <b:RefOrder>8</b:RefOrder>
  </b:Source>
  <b:Source>
    <b:Tag>Chn211</b:Tag>
    <b:SourceType>JournalArticle</b:SourceType>
    <b:Guid>{71098D31-35EC-4815-8D0C-AA28B617D8C0}</b:Guid>
    <b:Author>
      <b:Author>
        <b:NameList>
          <b:Person>
            <b:Last>Rashid</b:Last>
            <b:First>Chnar</b:First>
            <b:Middle>Abdullah</b:Middle>
          </b:Person>
        </b:NameList>
      </b:Author>
    </b:Author>
    <b:Title>The efficiency of financial ratios analysis to evaluate company's profitability</b:Title>
    <b:JournalName>Journal of Global Economics and Business </b:JournalName>
    <b:Year>2021</b:Year>
    <b:Pages>119-132</b:Pages>
    <b:Volume>2</b:Volume>
    <b:Issue>4</b:Issue>
    <b:RefOrder>3</b:RefOrder>
  </b:Source>
  <b:Source>
    <b:Tag>Chn18</b:Tag>
    <b:SourceType>JournalArticle</b:SourceType>
    <b:Guid>{E49FE707-AA9B-4978-93FA-AB5E0AE22126}</b:Guid>
    <b:Author>
      <b:Author>
        <b:NameList>
          <b:Person>
            <b:Last>Rashid</b:Last>
            <b:First>Chnar</b:First>
            <b:Middle>Abdullah</b:Middle>
          </b:Person>
        </b:NameList>
      </b:Author>
    </b:Author>
    <b:Title>Efficiency of Financial Ratios Analysis for Evaluating Companies’ Liquidity</b:Title>
    <b:JournalName>International Journal of Social Sciences and Educational Studies</b:JournalName>
    <b:Year>2018</b:Year>
    <b:Pages>110-123</b:Pages>
    <b:Volume>4</b:Volume>
    <b:Issue>4</b:Issue>
    <b:RefOrder>4</b:RefOrder>
  </b:Source>
  <b:Source>
    <b:Tag>San21</b:Tag>
    <b:SourceType>InternetSite</b:SourceType>
    <b:Guid>{EA9DACE3-5E39-48F3-B848-02A51FF04C5E}</b:Guid>
    <b:Title>Ratio Analysis: Meaning, Advantages and Limitations</b:Title>
    <b:Year>2021</b:Year>
    <b:Author>
      <b:Author>
        <b:NameList>
          <b:Person>
            <b:Last>Pant</b:Last>
            <b:First>Sangram</b:First>
          </b:Person>
        </b:NameList>
      </b:Author>
    </b:Author>
    <b:URL>https://www.yourarticlelibrary.com/accounting/ratio-analysis/ratio-analysis-meaning-advantages-and-limitations-accounting/65204</b:URL>
    <b:RefOrder>5</b:RefOrder>
  </b:Source>
  <b:Source>
    <b:Tag>Dhe22</b:Tag>
    <b:SourceType>InternetSite</b:SourceType>
    <b:Guid>{38B4B40C-F618-4C3F-9E94-B26B3610DCF9}</b:Guid>
    <b:Author>
      <b:Author>
        <b:NameList>
          <b:Person>
            <b:Last>Vaidya</b:Last>
            <b:First>Dheeraj</b:First>
          </b:Person>
        </b:NameList>
      </b:Author>
    </b:Author>
    <b:Title>Ratio Analysis Limitations</b:Title>
    <b:Year>2022</b:Year>
    <b:URL>https://www.wallstreetmojo.com/ratio-analysis-limitations/</b:URL>
    <b:RefOrder>9</b:RefOrder>
  </b:Source>
  <b:Source>
    <b:Tag>Mul15</b:Tag>
    <b:SourceType>JournalArticle</b:SourceType>
    <b:Guid>{FF11A3B9-88A9-4B0A-A005-BD70EA469E1B}</b:Guid>
    <b:Author>
      <b:Author>
        <b:NameList>
          <b:Person>
            <b:Last>Mulyawan</b:Last>
            <b:First>Setia</b:First>
          </b:Person>
        </b:NameList>
      </b:Author>
    </b:Author>
    <b:Title>The Benefits of Financial Ratios' as the Indocators of Future Bankruptcy on the Economic Crisis</b:Title>
    <b:Year>2015</b:Year>
    <b:YearAccessed>2015</b:YearAccessed>
    <b:JournalName>International Journal of Nusantara Islam</b:JournalName>
    <b:Volume>3</b:Volume>
    <b:Issue>1</b:Issue>
    <b:RefOrder>6</b:RefOrder>
  </b:Source>
  <b:Source xmlns:b="http://schemas.openxmlformats.org/officeDocument/2006/bibliography">
    <b:Tag>Yah13</b:Tag>
    <b:SourceType>JournalArticle</b:SourceType>
    <b:Guid>{5DB9D86B-E6FF-42CB-9E50-0F04C848A6AF}</b:Guid>
    <b:Author>
      <b:Author>
        <b:NameList>
          <b:Person>
            <b:Last>Yahya</b:Last>
            <b:First>Farzan</b:First>
          </b:Person>
          <b:Person>
            <b:Last>Ali</b:Last>
            <b:Middle>Atif </b:Middle>
            <b:First>Syed </b:First>
          </b:Person>
          <b:Person>
            <b:Last>Mir</b:Last>
            <b:First>Zarak </b:First>
          </b:Person>
          <b:Person>
            <b:Last>Yaqoob</b:Last>
            <b:First>Mariam </b:First>
          </b:Person>
          <b:Person>
            <b:Last> Khan</b:Last>
            <b:Middle> Ahmad</b:Middle>
            <b:First>Usman</b:First>
          </b:Person>
        </b:NameList>
      </b:Author>
    </b:Author>
    <b:Title>Significant Analysis for Financial Statements: An Empirical Study of National and Unilever Foods</b:Title>
    <b:JournalName>Research Journal of Finance and Accounting </b:JournalName>
    <b:Year>2013</b:Year>
    <b:Volume>4</b:Volume>
    <b:Issue>1</b:Issue>
    <b:RefOrder>7</b:RefOrder>
  </b:Source>
</b:Sources>
</file>

<file path=customXml/itemProps1.xml><?xml version="1.0" encoding="utf-8"?>
<ds:datastoreItem xmlns:ds="http://schemas.openxmlformats.org/officeDocument/2006/customXml" ds:itemID="{781F7312-EB6E-A04C-91AD-815EE36E4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2550</Words>
  <Characters>14537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Mohammad Arifur Rahman Khan (2022401)</cp:lastModifiedBy>
  <cp:revision>8</cp:revision>
  <dcterms:created xsi:type="dcterms:W3CDTF">2022-06-01T12:50:00Z</dcterms:created>
  <dcterms:modified xsi:type="dcterms:W3CDTF">2022-06-01T22:00:00Z</dcterms:modified>
</cp:coreProperties>
</file>