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DB93E7" w14:textId="6BB9CEEE" w:rsidR="005F7C6E" w:rsidRPr="005F7C6E" w:rsidRDefault="005F7C6E">
      <w:pPr>
        <w:rPr>
          <w:sz w:val="32"/>
          <w:szCs w:val="32"/>
        </w:rPr>
      </w:pPr>
      <w:r w:rsidRPr="005F7C6E">
        <w:rPr>
          <w:sz w:val="32"/>
          <w:szCs w:val="32"/>
        </w:rPr>
        <w:t>Problem questions on Free Movement of persons</w:t>
      </w:r>
    </w:p>
    <w:p w14:paraId="55920F2D" w14:textId="2A4EE574" w:rsidR="005F7C6E" w:rsidRPr="005F7C6E" w:rsidRDefault="005F7C6E" w:rsidP="005F7C6E">
      <w:pPr>
        <w:pStyle w:val="ListParagraph"/>
        <w:numPr>
          <w:ilvl w:val="0"/>
          <w:numId w:val="1"/>
        </w:numPr>
        <w:rPr>
          <w:sz w:val="28"/>
          <w:szCs w:val="28"/>
        </w:rPr>
      </w:pPr>
      <w:r w:rsidRPr="005F7C6E">
        <w:rPr>
          <w:sz w:val="28"/>
          <w:szCs w:val="28"/>
        </w:rPr>
        <w:t xml:space="preserve">Mark and Jeremy (who are both Irish citizens) are friends, who currently share a flat in Dublin. </w:t>
      </w:r>
    </w:p>
    <w:p w14:paraId="2FC55DC5" w14:textId="77777777" w:rsidR="005F7C6E" w:rsidRPr="005F7C6E" w:rsidRDefault="005F7C6E" w:rsidP="005F7C6E">
      <w:pPr>
        <w:pStyle w:val="ListParagraph"/>
        <w:rPr>
          <w:sz w:val="28"/>
          <w:szCs w:val="28"/>
        </w:rPr>
      </w:pPr>
    </w:p>
    <w:p w14:paraId="5DBB7524" w14:textId="0A8A28D3" w:rsidR="005F7C6E" w:rsidRPr="005F7C6E" w:rsidRDefault="005F7C6E" w:rsidP="005F7C6E">
      <w:pPr>
        <w:pStyle w:val="ListParagraph"/>
        <w:rPr>
          <w:sz w:val="28"/>
          <w:szCs w:val="28"/>
        </w:rPr>
      </w:pPr>
      <w:r w:rsidRPr="005F7C6E">
        <w:rPr>
          <w:sz w:val="28"/>
          <w:szCs w:val="28"/>
        </w:rPr>
        <w:t xml:space="preserve">Fearing that his career is going nowhere, Mark has decided to give up his job and he intends to move to France. However, Mark has found it more difficult than expected to find employment in France. He was rejected for one post, because the company concerned already had its ‘requisite number of foreign nationals on the payroll’. Furthermore, his application for a post working as a kitchen assistant in the catering department of the French National Assembly (Parliament) was rejected, because it was deemed to be a public service post. </w:t>
      </w:r>
    </w:p>
    <w:p w14:paraId="714CD22F" w14:textId="77777777" w:rsidR="005F7C6E" w:rsidRPr="005F7C6E" w:rsidRDefault="005F7C6E" w:rsidP="005F7C6E">
      <w:pPr>
        <w:pStyle w:val="ListParagraph"/>
        <w:rPr>
          <w:sz w:val="28"/>
          <w:szCs w:val="28"/>
        </w:rPr>
      </w:pPr>
    </w:p>
    <w:p w14:paraId="2F34C7DA" w14:textId="77777777" w:rsidR="005F7C6E" w:rsidRPr="005F7C6E" w:rsidRDefault="005F7C6E" w:rsidP="005F7C6E">
      <w:pPr>
        <w:pStyle w:val="ListParagraph"/>
        <w:rPr>
          <w:sz w:val="28"/>
          <w:szCs w:val="28"/>
        </w:rPr>
      </w:pPr>
      <w:r w:rsidRPr="005F7C6E">
        <w:rPr>
          <w:sz w:val="28"/>
          <w:szCs w:val="28"/>
        </w:rPr>
        <w:t xml:space="preserve">Mark has, in any event, decided that he will enter France with a view to looking for work. He is not concerned by French restrictions on residence, which state that if a job is not found within six months he must leave France, as he is confident of finding work quickly. </w:t>
      </w:r>
    </w:p>
    <w:p w14:paraId="3C65FE4E" w14:textId="2B28435F" w:rsidR="005F7C6E" w:rsidRPr="005F7C6E" w:rsidRDefault="005F7C6E" w:rsidP="005F7C6E">
      <w:pPr>
        <w:pStyle w:val="ListParagraph"/>
        <w:rPr>
          <w:sz w:val="28"/>
          <w:szCs w:val="28"/>
        </w:rPr>
      </w:pPr>
      <w:r w:rsidRPr="005F7C6E">
        <w:rPr>
          <w:sz w:val="28"/>
          <w:szCs w:val="28"/>
        </w:rPr>
        <w:t xml:space="preserve">Jeremy has also decided to move to France. Jeremy has been offered a part-time position in a French music studio, but was told that the 16 hours available each week would not classify him as a worker under French law. It was therefore explained to him that he would not be entitled to the same level of pay as French nationals. </w:t>
      </w:r>
    </w:p>
    <w:p w14:paraId="42AD5560" w14:textId="77777777" w:rsidR="005F7C6E" w:rsidRPr="005F7C6E" w:rsidRDefault="005F7C6E" w:rsidP="005F7C6E">
      <w:pPr>
        <w:pStyle w:val="ListParagraph"/>
        <w:rPr>
          <w:sz w:val="28"/>
          <w:szCs w:val="28"/>
        </w:rPr>
      </w:pPr>
    </w:p>
    <w:p w14:paraId="50D22E81" w14:textId="0EB110C1" w:rsidR="005F7C6E" w:rsidRPr="005F7C6E" w:rsidRDefault="005F7C6E" w:rsidP="005F7C6E">
      <w:pPr>
        <w:pStyle w:val="ListParagraph"/>
        <w:rPr>
          <w:sz w:val="28"/>
          <w:szCs w:val="28"/>
        </w:rPr>
      </w:pPr>
      <w:r w:rsidRPr="005F7C6E">
        <w:rPr>
          <w:sz w:val="28"/>
          <w:szCs w:val="28"/>
        </w:rPr>
        <w:t xml:space="preserve">Jeremy’s wife, Nancy, a United States citizen, plans to join Jeremy in France. Although they separated some time ago, Jeremy remains hopeful that the relationship is not beyond repair. Nancy would like to take up employment in France and has experience in the health and fitness industry. </w:t>
      </w:r>
    </w:p>
    <w:p w14:paraId="39DC7D87" w14:textId="77777777" w:rsidR="005F7C6E" w:rsidRPr="005F7C6E" w:rsidRDefault="005F7C6E" w:rsidP="005F7C6E">
      <w:pPr>
        <w:pStyle w:val="ListParagraph"/>
        <w:rPr>
          <w:sz w:val="28"/>
          <w:szCs w:val="28"/>
        </w:rPr>
      </w:pPr>
    </w:p>
    <w:p w14:paraId="1FD80965" w14:textId="2FD9C7C9" w:rsidR="005F7C6E" w:rsidRPr="005F7C6E" w:rsidRDefault="005F7C6E" w:rsidP="005F7C6E">
      <w:pPr>
        <w:pStyle w:val="ListParagraph"/>
        <w:rPr>
          <w:sz w:val="28"/>
          <w:szCs w:val="28"/>
        </w:rPr>
      </w:pPr>
      <w:r w:rsidRPr="005F7C6E">
        <w:rPr>
          <w:sz w:val="28"/>
          <w:szCs w:val="28"/>
        </w:rPr>
        <w:t>One week before they were due to leave the UK, Jeremy was arrested on suspicion of having mutilated and killed several horses a number of years ago. Mark is alarmed by this news, as he fears that it will affect both of their chances of moving to France. Mark is aware that this is not the first time Jeremy has been involved with the police. Nancy has decided that, whatever happens, she still plans to go.</w:t>
      </w:r>
    </w:p>
    <w:p w14:paraId="3189EC45" w14:textId="61DE6414" w:rsidR="009257EB" w:rsidRDefault="005F7C6E">
      <w:pPr>
        <w:rPr>
          <w:sz w:val="28"/>
          <w:szCs w:val="28"/>
        </w:rPr>
      </w:pPr>
      <w:r w:rsidRPr="005F7C6E">
        <w:rPr>
          <w:sz w:val="28"/>
          <w:szCs w:val="28"/>
        </w:rPr>
        <w:lastRenderedPageBreak/>
        <w:t xml:space="preserve"> Advise Mark, Jeremy and Nancy as to their rights under EU law on the free movement of persons. (25 marks)</w:t>
      </w:r>
    </w:p>
    <w:p w14:paraId="2BB239EB" w14:textId="608B70E3" w:rsidR="00957176" w:rsidRPr="00957176" w:rsidRDefault="00957176">
      <w:pPr>
        <w:rPr>
          <w:sz w:val="24"/>
          <w:szCs w:val="24"/>
        </w:rPr>
      </w:pPr>
      <w:r w:rsidRPr="00957176">
        <w:rPr>
          <w:sz w:val="24"/>
          <w:szCs w:val="24"/>
        </w:rPr>
        <w:t xml:space="preserve">This question concerns rights of free movement of persons. Initially, rights of free movement applied to workers and those providing services. This was one of the four freedoms of the common or single market. Subsequently a qualified right of free movement was granted as an incident of citizenship of the EU. The two bases of rights still exist, but the Free Movement Directive (2004/38) does not really distinguish between them. Under Art 20 TFEU all EU citizens have the right to move to and reside freely in all Member States. However, this unqualified right only extends for a period of three months: Dir Art 6. Longer term residence is guaranteed only for employed or </w:t>
      </w:r>
      <w:proofErr w:type="spellStart"/>
      <w:r w:rsidRPr="00957176">
        <w:rPr>
          <w:sz w:val="24"/>
          <w:szCs w:val="24"/>
        </w:rPr>
        <w:t>self</w:t>
      </w:r>
      <w:r>
        <w:rPr>
          <w:sz w:val="24"/>
          <w:szCs w:val="24"/>
        </w:rPr>
        <w:t xml:space="preserve"> </w:t>
      </w:r>
      <w:r w:rsidRPr="00957176">
        <w:rPr>
          <w:sz w:val="24"/>
          <w:szCs w:val="24"/>
        </w:rPr>
        <w:t>employed</w:t>
      </w:r>
      <w:proofErr w:type="spellEnd"/>
      <w:r w:rsidRPr="00957176">
        <w:rPr>
          <w:sz w:val="24"/>
          <w:szCs w:val="24"/>
        </w:rPr>
        <w:t xml:space="preserve"> workers, which for certain purposes discussed below includes work seekers, students, those who are economically self-sufficient, and their respective families: Dir Art 7. The family members may be of any nationality, but third country nationals only have rights based on their relationship with the EU citizen, while family members who are EU citizens themselves may of course establish their own rights of residence on the basis of their own circumstances. A spouse is included within the definition of family member: Dir Art 2, and in </w:t>
      </w:r>
      <w:proofErr w:type="spellStart"/>
      <w:r w:rsidRPr="00957176">
        <w:rPr>
          <w:sz w:val="24"/>
          <w:szCs w:val="24"/>
        </w:rPr>
        <w:t>Diatta</w:t>
      </w:r>
      <w:proofErr w:type="spellEnd"/>
      <w:r w:rsidRPr="00957176">
        <w:rPr>
          <w:sz w:val="24"/>
          <w:szCs w:val="24"/>
        </w:rPr>
        <w:t xml:space="preserve"> (1985) it was held that separation did not affect the position, only a legal dissolution of the marriage would do </w:t>
      </w:r>
      <w:proofErr w:type="spellStart"/>
      <w:r w:rsidRPr="00957176">
        <w:rPr>
          <w:sz w:val="24"/>
          <w:szCs w:val="24"/>
        </w:rPr>
        <w:t>so.Page</w:t>
      </w:r>
      <w:proofErr w:type="spellEnd"/>
      <w:r w:rsidRPr="00957176">
        <w:rPr>
          <w:sz w:val="24"/>
          <w:szCs w:val="24"/>
        </w:rPr>
        <w:t xml:space="preserve"> 12 of 17 An EU citizen may take advantage of the three months general right to move to another state to seek work, and after this time may not be expelled from the host state so long as he can demonstrate that he is continuing to seek work and has a reasonable chance of being employed: Dir Art 14. However, there is no entitlement to social assistance during this period: Dir Art 24. A Member State may exclude or expel an EU citizen, but only on specific grounds contained in the Directive. This includes the grounds of public policy or public security, but any action must be proportionate and based exclusively on the personal conduct of the individual. In particular a previous criminal record does not in itself constitute grounds for exclusion or expulsion. The personal conduct of the individual must represent a genuine, present and sufficiently serious threat affecting one of the fundamental interests of society: Art 27. Article 45 TFEU guarantees free movement for workers without discrimination on grounds of nationality in such matters as remuneration and other conditions of employment. This is given further articulation by Regulation 492/2011, which seeks to ensure that migrant workers are treated with the same priority and subject to the same conditions as nationals of the host state. In particular quotas for migrant workers are prohibited: Art 4. The concept of worker is an autonomous concept of EU law. To be a worker, the work must be more than wholly minimal, must have a certain duration and be performed for and under the direction of an employer. It must be real and substantial, but does not have to be full-time, or be sufficient to wholly support the worker: Levin (1982). The equal treatment provisions do not apply to employment in the public service: Art 45.4. However, this has been restrictively interpreted to exclude posts such as teachers and nurses in public schools and hospitals, and also a range of industrial workers in the public sector. See e.g. Commission v Belgium (No 2) (1982). There must be either some senior management responsibility, or some close link with the central activities of the state. The application of these principles to the facts of the question is as follows. Insofar as the first rejection of Mark is concerned, if this constitutes a quota it will be an unlawful means </w:t>
      </w:r>
      <w:r w:rsidRPr="00957176">
        <w:rPr>
          <w:sz w:val="24"/>
          <w:szCs w:val="24"/>
        </w:rPr>
        <w:lastRenderedPageBreak/>
        <w:t xml:space="preserve">of discrimination on grounds of nationality which Mark can challenge before the French court. It is not clear whether this is an official quota, or one applied by the employer on its own initiative, but since Art 45 is directly horizontally effective, Mark can pursue a remedy in either event. Ordinarily, employment as a kitchen assistant would be seen as excluded from the public service exemption. However, this employment is actually in the French Parliament building, and it is at least arguable that security considerations may justify treating all such employment as falling within the public service exemption. Mark can continue to reside in France beyond the initial three month period if he is a work seeker. It was held that a state could not under normal circumstances treat a period of less than six months as sufficient to establish whether or not someone had a reasonable prospect of finding employment: </w:t>
      </w:r>
      <w:proofErr w:type="spellStart"/>
      <w:r w:rsidRPr="00957176">
        <w:rPr>
          <w:sz w:val="24"/>
          <w:szCs w:val="24"/>
        </w:rPr>
        <w:t>Antonissen</w:t>
      </w:r>
      <w:proofErr w:type="spellEnd"/>
      <w:r w:rsidRPr="00957176">
        <w:rPr>
          <w:sz w:val="24"/>
          <w:szCs w:val="24"/>
        </w:rPr>
        <w:t xml:space="preserve"> (1991). In any event, as long as Mark can demonstrate that he is still actively seeking employment and has a reasonable prospect of finding it, Page 13 of 17 he cannot be expelled. The part-time work which Jeremy has obtained will be sufficient to constitute him a worker under EU law since it is real and substantial, of significant duration and at the direction of another. He must therefore not be discriminated against in relation to matters such as remuneration, and if he is may take proceedings in the French courts. If the arrest leads to proceedings, and Jeremy is convicted, then this could constitute a basis for the French to consider excluding or expelling. The mere fact of the conviction, and any previous convictions will not be sufficient. It is noted that the alleged offences were some time ago. The French authorities would need to demonstrate that Jeremy continues to be a threat to one of the interests of society. This could not be established merely by historic convictions, but could be justified if there was a current assessment indicating that Jeremy, because of his mental condition, represented a danger at the present time. He is entitled to full reasons and an opportunity to challenge the decision. Nancy is a US citizen, so any rights she may have under EU law derive from Jeremy. If Jeremy does move to France she is entitled to accompany him. Their estrangement does not affect the legal position, although a divorce would. Initially Nancy would not have any independent rights, so if Jeremy either does not go to France, or is excluded or expelled, she would have no EU rights: Dir Art 12. </w:t>
      </w:r>
    </w:p>
    <w:p w14:paraId="3ABD7D27" w14:textId="1277214E" w:rsidR="005F7C6E" w:rsidRDefault="005F7C6E">
      <w:pPr>
        <w:rPr>
          <w:sz w:val="28"/>
          <w:szCs w:val="28"/>
        </w:rPr>
      </w:pPr>
    </w:p>
    <w:p w14:paraId="08A3F6B5" w14:textId="13DAFB50" w:rsidR="005F7C6E" w:rsidRPr="005F7C6E" w:rsidRDefault="005F7C6E" w:rsidP="005F7C6E">
      <w:pPr>
        <w:pStyle w:val="ListParagraph"/>
        <w:numPr>
          <w:ilvl w:val="0"/>
          <w:numId w:val="1"/>
        </w:numPr>
        <w:rPr>
          <w:sz w:val="28"/>
          <w:szCs w:val="28"/>
        </w:rPr>
      </w:pPr>
      <w:r w:rsidRPr="005F7C6E">
        <w:rPr>
          <w:sz w:val="28"/>
          <w:szCs w:val="28"/>
        </w:rPr>
        <w:t>Emily currently lives in Dublin with her partner, Derek. They are not married but have been living together for about seven years. They are both Irish citizens.</w:t>
      </w:r>
    </w:p>
    <w:p w14:paraId="52E7F5CB" w14:textId="77777777" w:rsidR="005F7C6E" w:rsidRPr="005F7C6E" w:rsidRDefault="005F7C6E" w:rsidP="005F7C6E">
      <w:pPr>
        <w:pStyle w:val="ListParagraph"/>
        <w:rPr>
          <w:sz w:val="28"/>
          <w:szCs w:val="28"/>
        </w:rPr>
      </w:pPr>
    </w:p>
    <w:p w14:paraId="0792CBC2" w14:textId="6FCAF475" w:rsidR="005F7C6E" w:rsidRPr="005F7C6E" w:rsidRDefault="005F7C6E" w:rsidP="005F7C6E">
      <w:pPr>
        <w:pStyle w:val="ListParagraph"/>
        <w:rPr>
          <w:sz w:val="28"/>
          <w:szCs w:val="28"/>
        </w:rPr>
      </w:pPr>
      <w:r w:rsidRPr="005F7C6E">
        <w:rPr>
          <w:sz w:val="28"/>
          <w:szCs w:val="28"/>
        </w:rPr>
        <w:t xml:space="preserve"> Until very recently, they both worked as architects with the same firm, but Derek has now resigned. He had been finding the job increasingly stressful and is suffering from high blood pressure. </w:t>
      </w:r>
    </w:p>
    <w:p w14:paraId="581112A1" w14:textId="77777777" w:rsidR="005F7C6E" w:rsidRPr="005F7C6E" w:rsidRDefault="005F7C6E" w:rsidP="005F7C6E">
      <w:pPr>
        <w:pStyle w:val="ListParagraph"/>
        <w:rPr>
          <w:sz w:val="28"/>
          <w:szCs w:val="28"/>
        </w:rPr>
      </w:pPr>
    </w:p>
    <w:p w14:paraId="2F6BFBFD" w14:textId="22049A82" w:rsidR="005F7C6E" w:rsidRPr="005F7C6E" w:rsidRDefault="005F7C6E" w:rsidP="005F7C6E">
      <w:pPr>
        <w:pStyle w:val="ListParagraph"/>
        <w:rPr>
          <w:sz w:val="28"/>
          <w:szCs w:val="28"/>
        </w:rPr>
      </w:pPr>
      <w:r w:rsidRPr="005F7C6E">
        <w:rPr>
          <w:sz w:val="28"/>
          <w:szCs w:val="28"/>
        </w:rPr>
        <w:t xml:space="preserve">Kerry (aged 25) is Emily’s daughter from a previous relationship. Kerry went through a rebellious phase a few years ago and was convicted of a series of drugs offences, including charges of possession of crack cocaine </w:t>
      </w:r>
      <w:r w:rsidRPr="005F7C6E">
        <w:rPr>
          <w:sz w:val="28"/>
          <w:szCs w:val="28"/>
        </w:rPr>
        <w:lastRenderedPageBreak/>
        <w:t xml:space="preserve">with intent to supply. She was sentenced to a substantial period of youth custody. However, she has recently become much more settled and is currently doing a biology degree at Dublin City University. </w:t>
      </w:r>
    </w:p>
    <w:p w14:paraId="25A835E9" w14:textId="77777777" w:rsidR="005F7C6E" w:rsidRPr="005F7C6E" w:rsidRDefault="005F7C6E" w:rsidP="005F7C6E">
      <w:pPr>
        <w:pStyle w:val="ListParagraph"/>
        <w:rPr>
          <w:sz w:val="28"/>
          <w:szCs w:val="28"/>
        </w:rPr>
      </w:pPr>
    </w:p>
    <w:p w14:paraId="3E6CE3E1" w14:textId="4128E677" w:rsidR="005F7C6E" w:rsidRPr="005F7C6E" w:rsidRDefault="005F7C6E" w:rsidP="005F7C6E">
      <w:pPr>
        <w:pStyle w:val="ListParagraph"/>
        <w:rPr>
          <w:sz w:val="28"/>
          <w:szCs w:val="28"/>
        </w:rPr>
      </w:pPr>
      <w:r w:rsidRPr="005F7C6E">
        <w:rPr>
          <w:sz w:val="28"/>
          <w:szCs w:val="28"/>
        </w:rPr>
        <w:t xml:space="preserve">Emily is worried about Derek’s health. She feels that they would both benefit from a change of scenery, and she is planning to get a job as an architect in Barcelona. Emily has many years of experience as an architect and has seen an advertisement for a suitable vacancy. Although Emily has not applied for the job yet, she is confident that, given her qualifications and experience, her application has a good chance of being successful. In any event, Emily has a friend who practises as an architect in Barcelona, and he has told her that he has spare space in his office where she could work on a self-employed basis. </w:t>
      </w:r>
    </w:p>
    <w:p w14:paraId="591E2D42" w14:textId="77777777" w:rsidR="005F7C6E" w:rsidRPr="005F7C6E" w:rsidRDefault="005F7C6E" w:rsidP="005F7C6E">
      <w:pPr>
        <w:pStyle w:val="ListParagraph"/>
        <w:rPr>
          <w:sz w:val="28"/>
          <w:szCs w:val="28"/>
        </w:rPr>
      </w:pPr>
    </w:p>
    <w:p w14:paraId="28D40580" w14:textId="75BB287F" w:rsidR="005F7C6E" w:rsidRPr="005F7C6E" w:rsidRDefault="005F7C6E" w:rsidP="005F7C6E">
      <w:pPr>
        <w:pStyle w:val="ListParagraph"/>
        <w:rPr>
          <w:sz w:val="28"/>
          <w:szCs w:val="28"/>
        </w:rPr>
      </w:pPr>
      <w:r w:rsidRPr="005F7C6E">
        <w:rPr>
          <w:sz w:val="28"/>
          <w:szCs w:val="28"/>
        </w:rPr>
        <w:t xml:space="preserve">Derek has decided that he does not want to go back to being an architect. He has always had a passion for cooking and would like to retrain as a professional chef. He has made some enquiries and there are a number of suitable professional cookery courses at colleges in Barcelona. </w:t>
      </w:r>
    </w:p>
    <w:p w14:paraId="280D8314" w14:textId="77777777" w:rsidR="005F7C6E" w:rsidRPr="005F7C6E" w:rsidRDefault="005F7C6E" w:rsidP="005F7C6E">
      <w:pPr>
        <w:pStyle w:val="ListParagraph"/>
        <w:rPr>
          <w:sz w:val="28"/>
          <w:szCs w:val="28"/>
        </w:rPr>
      </w:pPr>
    </w:p>
    <w:p w14:paraId="04839968" w14:textId="296A6252" w:rsidR="005F7C6E" w:rsidRPr="005F7C6E" w:rsidRDefault="005F7C6E" w:rsidP="005F7C6E">
      <w:pPr>
        <w:pStyle w:val="ListParagraph"/>
        <w:rPr>
          <w:sz w:val="28"/>
          <w:szCs w:val="28"/>
        </w:rPr>
      </w:pPr>
      <w:r w:rsidRPr="005F7C6E">
        <w:rPr>
          <w:sz w:val="28"/>
          <w:szCs w:val="28"/>
        </w:rPr>
        <w:t xml:space="preserve">Kerry has asked Emily whether she can move to Barcelona to live with Emily and Derek, when she finishes her degree course. Kerry thinks that she might want to train as a nurse and has already identified a suitable course in Barcelona. </w:t>
      </w:r>
    </w:p>
    <w:p w14:paraId="714AA546" w14:textId="77777777" w:rsidR="005F7C6E" w:rsidRPr="005F7C6E" w:rsidRDefault="005F7C6E" w:rsidP="005F7C6E">
      <w:pPr>
        <w:pStyle w:val="ListParagraph"/>
        <w:rPr>
          <w:sz w:val="28"/>
          <w:szCs w:val="28"/>
        </w:rPr>
      </w:pPr>
    </w:p>
    <w:p w14:paraId="0255D1D3" w14:textId="77777777" w:rsidR="005F7C6E" w:rsidRPr="005F7C6E" w:rsidRDefault="005F7C6E" w:rsidP="005F7C6E">
      <w:pPr>
        <w:pStyle w:val="ListParagraph"/>
        <w:rPr>
          <w:sz w:val="28"/>
          <w:szCs w:val="28"/>
        </w:rPr>
      </w:pPr>
      <w:r w:rsidRPr="005F7C6E">
        <w:rPr>
          <w:sz w:val="28"/>
          <w:szCs w:val="28"/>
        </w:rPr>
        <w:t xml:space="preserve">If possible, Emily would also like to take her Uncle Fred with her to Barcelona. Fred is a retired American citizen and he came over to Ireland to live near Emily and her family several years ago, when his wife died. Fred currently lives three miles from Emily and is very close to the whole family. Fred is unable to drive due to his poor eyesight. Emily sometimes helps him out with his housework and often buys his groceries for him. </w:t>
      </w:r>
    </w:p>
    <w:p w14:paraId="7F456288" w14:textId="169EA3B6" w:rsidR="005F7C6E" w:rsidRDefault="005F7C6E" w:rsidP="005F7C6E">
      <w:pPr>
        <w:rPr>
          <w:sz w:val="28"/>
          <w:szCs w:val="28"/>
        </w:rPr>
      </w:pPr>
      <w:r w:rsidRPr="005F7C6E">
        <w:rPr>
          <w:sz w:val="28"/>
          <w:szCs w:val="28"/>
        </w:rPr>
        <w:t>Advise Emily of her rights and also of the rights of Derek, Kerry and Fred to carry out their plans, as outlined above. (25 marks</w:t>
      </w:r>
      <w:r w:rsidRPr="005F7C6E">
        <w:rPr>
          <w:sz w:val="28"/>
          <w:szCs w:val="28"/>
        </w:rPr>
        <w:t>)</w:t>
      </w:r>
    </w:p>
    <w:p w14:paraId="5EFB3430" w14:textId="7C3770C9" w:rsidR="00957176" w:rsidRPr="00957176" w:rsidRDefault="00957176" w:rsidP="005F7C6E">
      <w:pPr>
        <w:rPr>
          <w:sz w:val="24"/>
          <w:szCs w:val="24"/>
        </w:rPr>
      </w:pPr>
      <w:r w:rsidRPr="00957176">
        <w:rPr>
          <w:sz w:val="24"/>
          <w:szCs w:val="24"/>
        </w:rPr>
        <w:t xml:space="preserve">This question concerns freedom of movement of persons. Originally this was afforded as one of the four freedoms of the Common Market. It applied, by virtue of Art 45 TFEU, directly to workers, who were defined as those who for a certain period of time perform services of some economic value for and under the direction of another for remuneration: </w:t>
      </w:r>
      <w:r w:rsidRPr="00957176">
        <w:rPr>
          <w:sz w:val="24"/>
          <w:szCs w:val="24"/>
        </w:rPr>
        <w:lastRenderedPageBreak/>
        <w:t>Lawrie-Blum (1986). This is an autonomous definition in EU law. It extends to those who are working part</w:t>
      </w:r>
      <w:r w:rsidRPr="00957176">
        <w:rPr>
          <w:sz w:val="24"/>
          <w:szCs w:val="24"/>
        </w:rPr>
        <w:t xml:space="preserve">time even if that work is not sufficient fully support them and they are therefore partly dependent on family members: Levin (1982) or on state benefits: </w:t>
      </w:r>
      <w:proofErr w:type="spellStart"/>
      <w:r w:rsidRPr="00957176">
        <w:rPr>
          <w:sz w:val="24"/>
          <w:szCs w:val="24"/>
        </w:rPr>
        <w:t>Kempf</w:t>
      </w:r>
      <w:proofErr w:type="spellEnd"/>
      <w:r w:rsidRPr="00957176">
        <w:rPr>
          <w:sz w:val="24"/>
          <w:szCs w:val="24"/>
        </w:rPr>
        <w:t xml:space="preserve"> (1986). The only exclusions of those for whom work is purely therapeutic or rehabilitative: </w:t>
      </w:r>
      <w:proofErr w:type="spellStart"/>
      <w:r w:rsidRPr="00957176">
        <w:rPr>
          <w:sz w:val="24"/>
          <w:szCs w:val="24"/>
        </w:rPr>
        <w:t>Bettray</w:t>
      </w:r>
      <w:proofErr w:type="spellEnd"/>
      <w:r w:rsidRPr="00957176">
        <w:rPr>
          <w:sz w:val="24"/>
          <w:szCs w:val="24"/>
        </w:rPr>
        <w:t xml:space="preserve"> (1989). Self-employed professionals did not come within this definition but have the right to freedom of establishment under Art 49 TFEU. Art 45 and Regulation 492/2011 (replacing Regulation 1612/68) guarantee those who have actually secured work the right to travel and reside in the host Member State and to benefit in employment from the same terms and conditions as national workers with no discrimination. Case law, e.g. </w:t>
      </w:r>
      <w:proofErr w:type="spellStart"/>
      <w:r w:rsidRPr="00957176">
        <w:rPr>
          <w:sz w:val="24"/>
          <w:szCs w:val="24"/>
        </w:rPr>
        <w:t>Antonissen</w:t>
      </w:r>
      <w:proofErr w:type="spellEnd"/>
      <w:r w:rsidRPr="00957176">
        <w:rPr>
          <w:sz w:val="24"/>
          <w:szCs w:val="24"/>
        </w:rPr>
        <w:t xml:space="preserve"> (1991) has extended the right to enter and reside in another state for the purpose of seeking employment. What constitutes seeking employment will depend on whether the applicant can demonstrate that they have a genuine prospect of securing employment, but in any event at least six months must be allowed for this purpose. Subsequently, the Maastricht treaty, which created the European Union, also created the concept of citizenship of the EU. Rights associated with citizenship coexist with those granted under Arts 45 and 49. Directive 2004/38 now sets out the conditions under which the right of free movement established in general terms in Arts 20 and 21 TFEU it can be exercised. All EU citizens have the right to move to, and reside in, any Member State for a period of three months, without any formalities other than proof of identity and status, but subject to the proviso that they have no recourse to public funds (other than access to health services using the E111/EHIC scheme): Dir Art 6. This can be for any purpose, including </w:t>
      </w:r>
      <w:proofErr w:type="spellStart"/>
      <w:r w:rsidRPr="00957176">
        <w:rPr>
          <w:sz w:val="24"/>
          <w:szCs w:val="24"/>
        </w:rPr>
        <w:t>jobseeking</w:t>
      </w:r>
      <w:proofErr w:type="spellEnd"/>
      <w:r w:rsidRPr="00957176">
        <w:rPr>
          <w:sz w:val="24"/>
          <w:szCs w:val="24"/>
        </w:rPr>
        <w:t xml:space="preserve">. The right extends to their family members, of whatever nationality. Core family members are spouses, registered partners, dependent children and dependent ascendant relatives of either the EU citizen or their spouse: Dir Art 2.2. Other family members, namely those who are financially dependent or require personal care on serious health grounds, together with partners enjoying a durable relationship enjoy a slightly less extensive right to have entry and residence facilitated: Dir Art 3.2. A citizen, together with family members, may reside for longer than three months if they are a worker or self-employed person in the host member state. Note that, in this respect, the right of establishment for a self-employed worker (as opposed to the activities of legal persons) is largely </w:t>
      </w:r>
      <w:proofErr w:type="spellStart"/>
      <w:r w:rsidRPr="00957176">
        <w:rPr>
          <w:sz w:val="24"/>
          <w:szCs w:val="24"/>
        </w:rPr>
        <w:t>equiparated</w:t>
      </w:r>
      <w:proofErr w:type="spellEnd"/>
      <w:r w:rsidRPr="00957176">
        <w:rPr>
          <w:sz w:val="24"/>
          <w:szCs w:val="24"/>
        </w:rPr>
        <w:t xml:space="preserve"> Page 15 of 20 to the right of a worker. The same applies to those who are of independent means, and those who are pursuing a course of study at a recognised educational establishment, including, but not limited to, undergraduate and postgraduate degrees: Dir Art 7. Architects and nurses are both covered by specific provisions of Directive 2005/36 which sets up a comprehensive scheme for the mutual recognition of professional qualifications. Pursuant to Dir Art 27 a Member State may refuse admission to, or expel, an EU citizen or family member on grounds of public health, public order and public security. Note that the public health exemption relates solely to infectious or contagious diseases on a WHO list of diseases with potential epidemic implications. Action taken in respect of public order and security must be based exclusively on the actions of the individual and not on the basis of association with others. It must also be based on an assessment of whether or not the individual constitutes a genuine, present and sufficiently serious threat affecting one of the fundamental interests of society. Previous criminal convictions do not of themselves constitute grounds (as previously established by the Court in </w:t>
      </w:r>
      <w:proofErr w:type="spellStart"/>
      <w:r w:rsidRPr="00957176">
        <w:rPr>
          <w:sz w:val="24"/>
          <w:szCs w:val="24"/>
        </w:rPr>
        <w:t>Bouchereau</w:t>
      </w:r>
      <w:proofErr w:type="spellEnd"/>
      <w:r w:rsidRPr="00957176">
        <w:rPr>
          <w:sz w:val="24"/>
          <w:szCs w:val="24"/>
        </w:rPr>
        <w:t xml:space="preserve"> (1977)) but may </w:t>
      </w:r>
      <w:r w:rsidRPr="00957176">
        <w:rPr>
          <w:sz w:val="24"/>
          <w:szCs w:val="24"/>
        </w:rPr>
        <w:lastRenderedPageBreak/>
        <w:t xml:space="preserve">form part of an assessment of the threat currently posed by the individual. The response of the state must also be proportionate. If Emily secures the job referred to before moving to Spain, as an EU national she will have the right to accept the job offer, move freely within Spain and stay there for the purposes of employment in accordance with provisions governing employment of nationals in Spain: Art 45, Dir 2004/38 and Reg. 492/2011. She will clearly fall within the definition of a worker. Under Art 7(2) Reg 492/2011 she is entitled to the same social and tax advantages as Spanish nationals. If she opts for the self-employed alternative, she has the same right of extended residence, but will not benefit from the additional specific protections attaching to workers. She is however entitled to establish herself under the conditions laid down by Spain for its own nationals. In each case she will have to produce the necessary evidence confirming her architecture qualifications as specified in Dir 2005/36, specifically Arts 46 and 49 and Annex VI, point 6. If Emily leaves Ireland before obtaining a job she will be able to enter Spain and reside there for a reasonable time as a job seeker: Royer (1976). The length of this period is not certain. Royer suggested 3 months may be appropriate but </w:t>
      </w:r>
      <w:proofErr w:type="spellStart"/>
      <w:r w:rsidRPr="00957176">
        <w:rPr>
          <w:sz w:val="24"/>
          <w:szCs w:val="24"/>
        </w:rPr>
        <w:t>Antonissen</w:t>
      </w:r>
      <w:proofErr w:type="spellEnd"/>
      <w:r w:rsidRPr="00957176">
        <w:rPr>
          <w:sz w:val="24"/>
          <w:szCs w:val="24"/>
        </w:rPr>
        <w:t xml:space="preserve"> suggested 6 months or longer if someone was actively and genuinely seeking work. However, Emily’s position is less secure if she enters as a work-seeker – she is not entitled to a residence permit. Alternatively, if she has sufficient resources and comprehensive sickness insurance, she could rely on Dir 2004/38 as a person of independent means (as could any family members falling within Art 2.2). Derek has a number of alternatives to establish his rights to live in Spain. Firstly, he could try and rely on his rights as an unmarried partner of a worker if Emily secures a job before moving to Spain. An unmarried partner (even if they have been in a long term and stable relationship) does not fall within the definition of spouse in Art 10(1) of Reg 492/2011. If Spanish law permits its own nationals to cohabit with a national of another member state and gives them certain rights, then the provisions prohibiting discrimination on grounds of nationality under Art 12 will apply: Reed (1986). If Emily is classed as a worker, the right to have her cohabitee living with her may be included within the ambit of a social advantage under Art 7(2) Reg 492/2011. His right to Page 16 of 20 study may also be included within the ambit of Art 7(2). Even if Spain does not recognise unofficial partnerships, he is still entitled to have his entry and residence facilitated on the basis of a durable relationship. If this route is not successful and if he is serious about a change of career, he could try and establish his own independent right to enter as a student. It is likely that the course will satisfy the requirements for Dir 2004/38. He will have the right to reside for the duration of the course even if this is a private course. He may not be discriminated against in terms of the fees charged and will be entitled to any loans to finance these, although not to a maintenance loan, unless he qualifies for one under Irish or Spanish national rules. In principle, he should not have access to public funds, although cases such as </w:t>
      </w:r>
      <w:proofErr w:type="spellStart"/>
      <w:r w:rsidRPr="00957176">
        <w:rPr>
          <w:sz w:val="24"/>
          <w:szCs w:val="24"/>
        </w:rPr>
        <w:t>Grzelczyk</w:t>
      </w:r>
      <w:proofErr w:type="spellEnd"/>
      <w:r w:rsidRPr="00957176">
        <w:rPr>
          <w:sz w:val="24"/>
          <w:szCs w:val="24"/>
        </w:rPr>
        <w:t xml:space="preserve"> (2001) suggest that, particularly if the need for such support is short term and at the very end of the course, it would be inconsistent with the concept of EU citizenship to deny access. There is perhaps an analogy with the case law which indicates that while those who are claiming residence on the basis of independent means should not be having regular recourse to a substantial extent to public funds, occasional recourse should not be regarded as incompatible with the status: Brey (2013). Kerry may have the right to join Emily as a family member. However, as she is over 21, she will have to demonstrate she is actually </w:t>
      </w:r>
      <w:r w:rsidRPr="00957176">
        <w:rPr>
          <w:sz w:val="24"/>
          <w:szCs w:val="24"/>
        </w:rPr>
        <w:lastRenderedPageBreak/>
        <w:t xml:space="preserve">dependent. As she will just have completed a university degree, and plans to undertake further advanced vocational training, she may indeed be financially dependent. However, Kerry can simply seek to enter and reside as a student in her own right. In this respect, her position is similar to that of Derek. The Spanish authorities might try to refuse her entry into their territory. They would be seeking to rely on the fact that Kerry posed a threat to public order or security pursuant to Dir Art 27. Although her previous convictions are significant, and resulted in a custodial sentence, the focus should be on the current situation and whether or not there is evidence to suggest that she currently poses a “genuine and sufficiently serious threat to public policy” “affecting one of the fundamental interests of society”. The response of the member state must be proportionate. It seems unlikely that there will be sufficient grounds for Spain to refuse Kerry’s entry. Fred </w:t>
      </w:r>
      <w:proofErr w:type="spellStart"/>
      <w:r w:rsidRPr="00957176">
        <w:rPr>
          <w:sz w:val="24"/>
          <w:szCs w:val="24"/>
        </w:rPr>
        <w:t>Fred</w:t>
      </w:r>
      <w:proofErr w:type="spellEnd"/>
      <w:r w:rsidRPr="00957176">
        <w:rPr>
          <w:sz w:val="24"/>
          <w:szCs w:val="24"/>
        </w:rPr>
        <w:t xml:space="preserve"> is not an EU citizen, so has no independent right under EU law to live in Spain. Any rights he has will be due to his relationship with Emily. Fred does not live with Emily, and we are not told that she is providing personal care on serious health grounds so he will only be able to move to Spain with her in his capacity as a family member within Dir Art 3 if he is dependent on her. If he relies on Emily to do his grocery shopping etc, he may be able to prove he is dependent on her for these purposes, but this is unlikely. Dependence normally entails financial reliance, and the existence of the alternative criterion tends to reinforce this. </w:t>
      </w:r>
    </w:p>
    <w:sectPr w:rsidR="00957176" w:rsidRPr="009571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6A74E5"/>
    <w:multiLevelType w:val="hybridMultilevel"/>
    <w:tmpl w:val="8EB8AC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7C6E"/>
    <w:rsid w:val="005F7C6E"/>
    <w:rsid w:val="009257EB"/>
    <w:rsid w:val="009571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FD298C"/>
  <w15:chartTrackingRefBased/>
  <w15:docId w15:val="{0CC87B60-76D4-4F6F-B5EB-19AB56A00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7C6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3095</Words>
  <Characters>17643</Characters>
  <Application>Microsoft Office Word</Application>
  <DocSecurity>0</DocSecurity>
  <Lines>147</Lines>
  <Paragraphs>41</Paragraphs>
  <ScaleCrop>false</ScaleCrop>
  <Company/>
  <LinksUpToDate>false</LinksUpToDate>
  <CharactersWithSpaces>20697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2</cp:revision>
  <dcterms:created xsi:type="dcterms:W3CDTF">2021-03-21T11:03:00Z</dcterms:created>
  <dcterms:modified xsi:type="dcterms:W3CDTF">2021-03-21T11:03:00Z</dcterms:modified>
</cp:coreProperties>
</file>