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8743F" w14:textId="77777777" w:rsidR="006B2DDE" w:rsidRPr="00046301" w:rsidRDefault="006B2DDE" w:rsidP="00046301">
      <w:pPr>
        <w:spacing w:line="360" w:lineRule="auto"/>
        <w:jc w:val="both"/>
        <w:rPr>
          <w:rFonts w:ascii="Times New Roman" w:hAnsi="Times New Roman" w:cs="Times New Roman"/>
        </w:rPr>
      </w:pPr>
    </w:p>
    <w:p w14:paraId="100998F2" w14:textId="77777777" w:rsidR="00046301" w:rsidRDefault="00046301" w:rsidP="00046301">
      <w:pPr>
        <w:spacing w:line="360" w:lineRule="auto"/>
        <w:jc w:val="both"/>
        <w:rPr>
          <w:rFonts w:ascii="Times New Roman" w:hAnsi="Times New Roman" w:cs="Times New Roman"/>
          <w:b/>
          <w:bCs/>
        </w:rPr>
      </w:pPr>
    </w:p>
    <w:p w14:paraId="5527A2CF" w14:textId="77777777" w:rsidR="00046301" w:rsidRDefault="00046301" w:rsidP="00046301">
      <w:pPr>
        <w:spacing w:line="360" w:lineRule="auto"/>
        <w:jc w:val="both"/>
        <w:rPr>
          <w:rFonts w:ascii="Times New Roman" w:hAnsi="Times New Roman" w:cs="Times New Roman"/>
          <w:b/>
          <w:bCs/>
        </w:rPr>
      </w:pPr>
    </w:p>
    <w:p w14:paraId="7CA4E5B6" w14:textId="77777777" w:rsidR="00046301" w:rsidRDefault="00046301" w:rsidP="00046301">
      <w:pPr>
        <w:spacing w:line="360" w:lineRule="auto"/>
        <w:jc w:val="both"/>
        <w:rPr>
          <w:rFonts w:ascii="Times New Roman" w:hAnsi="Times New Roman" w:cs="Times New Roman"/>
          <w:b/>
          <w:bCs/>
        </w:rPr>
      </w:pPr>
    </w:p>
    <w:p w14:paraId="68345BB5" w14:textId="77777777" w:rsidR="00046301" w:rsidRDefault="00046301" w:rsidP="00046301">
      <w:pPr>
        <w:spacing w:line="360" w:lineRule="auto"/>
        <w:jc w:val="both"/>
        <w:rPr>
          <w:rFonts w:ascii="Times New Roman" w:hAnsi="Times New Roman" w:cs="Times New Roman"/>
          <w:b/>
          <w:bCs/>
        </w:rPr>
      </w:pPr>
    </w:p>
    <w:p w14:paraId="479881FB" w14:textId="77CE49C9" w:rsidR="00046301" w:rsidRPr="00046301" w:rsidRDefault="00046301" w:rsidP="00046301">
      <w:pPr>
        <w:spacing w:line="360" w:lineRule="auto"/>
        <w:jc w:val="center"/>
        <w:rPr>
          <w:rFonts w:ascii="Times New Roman" w:hAnsi="Times New Roman" w:cs="Times New Roman"/>
          <w:b/>
          <w:bCs/>
          <w:sz w:val="40"/>
          <w:szCs w:val="40"/>
        </w:rPr>
      </w:pPr>
      <w:r w:rsidRPr="00046301">
        <w:rPr>
          <w:rFonts w:ascii="Times New Roman" w:hAnsi="Times New Roman" w:cs="Times New Roman"/>
          <w:b/>
          <w:bCs/>
          <w:sz w:val="40"/>
          <w:szCs w:val="40"/>
        </w:rPr>
        <w:t>BMMB7026</w:t>
      </w:r>
      <w:r w:rsidRPr="00046301">
        <w:rPr>
          <w:sz w:val="40"/>
          <w:szCs w:val="40"/>
        </w:rPr>
        <w:t xml:space="preserve"> </w:t>
      </w:r>
      <w:r w:rsidRPr="00046301">
        <w:rPr>
          <w:rFonts w:ascii="Times New Roman" w:hAnsi="Times New Roman" w:cs="Times New Roman"/>
          <w:b/>
          <w:bCs/>
          <w:sz w:val="40"/>
          <w:szCs w:val="40"/>
        </w:rPr>
        <w:t>Managing Marketing Change</w:t>
      </w:r>
    </w:p>
    <w:p w14:paraId="08D60709" w14:textId="77777777" w:rsidR="00046301" w:rsidRDefault="00046301" w:rsidP="00046301">
      <w:pPr>
        <w:spacing w:line="360" w:lineRule="auto"/>
        <w:jc w:val="both"/>
        <w:rPr>
          <w:rFonts w:ascii="Times New Roman" w:hAnsi="Times New Roman" w:cs="Times New Roman"/>
          <w:b/>
          <w:bCs/>
        </w:rPr>
      </w:pPr>
    </w:p>
    <w:p w14:paraId="2F7F005D" w14:textId="77777777" w:rsidR="00046301" w:rsidRDefault="00046301" w:rsidP="00046301">
      <w:pPr>
        <w:spacing w:line="360" w:lineRule="auto"/>
        <w:jc w:val="both"/>
        <w:rPr>
          <w:rFonts w:ascii="Times New Roman" w:hAnsi="Times New Roman" w:cs="Times New Roman"/>
          <w:b/>
          <w:bCs/>
        </w:rPr>
      </w:pPr>
    </w:p>
    <w:p w14:paraId="7A953A7E" w14:textId="77777777" w:rsidR="00046301" w:rsidRDefault="00046301" w:rsidP="00046301">
      <w:pPr>
        <w:spacing w:line="360" w:lineRule="auto"/>
        <w:jc w:val="both"/>
        <w:rPr>
          <w:rFonts w:ascii="Times New Roman" w:hAnsi="Times New Roman" w:cs="Times New Roman"/>
          <w:b/>
          <w:bCs/>
        </w:rPr>
      </w:pPr>
    </w:p>
    <w:p w14:paraId="626BACAA" w14:textId="77777777" w:rsidR="00046301" w:rsidRDefault="00046301" w:rsidP="00046301">
      <w:pPr>
        <w:spacing w:line="360" w:lineRule="auto"/>
        <w:jc w:val="both"/>
        <w:rPr>
          <w:rFonts w:ascii="Times New Roman" w:hAnsi="Times New Roman" w:cs="Times New Roman"/>
          <w:b/>
          <w:bCs/>
        </w:rPr>
      </w:pPr>
    </w:p>
    <w:p w14:paraId="45F857EE" w14:textId="77777777" w:rsidR="00046301" w:rsidRDefault="00046301" w:rsidP="00046301">
      <w:pPr>
        <w:spacing w:line="360" w:lineRule="auto"/>
        <w:jc w:val="both"/>
        <w:rPr>
          <w:rFonts w:ascii="Times New Roman" w:hAnsi="Times New Roman" w:cs="Times New Roman"/>
          <w:b/>
          <w:bCs/>
        </w:rPr>
      </w:pPr>
    </w:p>
    <w:p w14:paraId="5DE41D09" w14:textId="77777777" w:rsidR="00046301" w:rsidRDefault="00046301" w:rsidP="00046301">
      <w:pPr>
        <w:spacing w:line="360" w:lineRule="auto"/>
        <w:jc w:val="both"/>
        <w:rPr>
          <w:rFonts w:ascii="Times New Roman" w:hAnsi="Times New Roman" w:cs="Times New Roman"/>
          <w:b/>
          <w:bCs/>
        </w:rPr>
      </w:pPr>
    </w:p>
    <w:p w14:paraId="2E73A8ED" w14:textId="77777777" w:rsidR="00046301" w:rsidRDefault="00046301" w:rsidP="00046301">
      <w:pPr>
        <w:spacing w:line="360" w:lineRule="auto"/>
        <w:jc w:val="both"/>
        <w:rPr>
          <w:rFonts w:ascii="Times New Roman" w:hAnsi="Times New Roman" w:cs="Times New Roman"/>
          <w:b/>
          <w:bCs/>
        </w:rPr>
      </w:pPr>
    </w:p>
    <w:p w14:paraId="5A9BBA0F" w14:textId="77777777" w:rsidR="00046301" w:rsidRDefault="00046301" w:rsidP="00046301">
      <w:pPr>
        <w:spacing w:line="360" w:lineRule="auto"/>
        <w:jc w:val="both"/>
        <w:rPr>
          <w:rFonts w:ascii="Times New Roman" w:hAnsi="Times New Roman" w:cs="Times New Roman"/>
          <w:b/>
          <w:bCs/>
        </w:rPr>
      </w:pPr>
    </w:p>
    <w:p w14:paraId="141CB6CD" w14:textId="354CF283" w:rsidR="00046301" w:rsidRDefault="00046301" w:rsidP="00046301">
      <w:pPr>
        <w:spacing w:line="360" w:lineRule="auto"/>
        <w:jc w:val="both"/>
        <w:rPr>
          <w:rFonts w:ascii="Times New Roman" w:hAnsi="Times New Roman" w:cs="Times New Roman"/>
          <w:b/>
          <w:bCs/>
        </w:rPr>
      </w:pPr>
      <w:r>
        <w:rPr>
          <w:rFonts w:ascii="Times New Roman" w:hAnsi="Times New Roman" w:cs="Times New Roman"/>
          <w:b/>
          <w:bCs/>
        </w:rPr>
        <w:t>Student Name: Mahbuba Akter Baly</w:t>
      </w:r>
    </w:p>
    <w:p w14:paraId="3593807D" w14:textId="0DFF0A16" w:rsidR="00046301" w:rsidRDefault="00046301" w:rsidP="00046301">
      <w:pPr>
        <w:spacing w:line="360" w:lineRule="auto"/>
        <w:jc w:val="both"/>
        <w:rPr>
          <w:rFonts w:ascii="Times New Roman" w:hAnsi="Times New Roman" w:cs="Times New Roman"/>
          <w:b/>
          <w:bCs/>
        </w:rPr>
      </w:pPr>
      <w:r>
        <w:rPr>
          <w:rFonts w:ascii="Times New Roman" w:hAnsi="Times New Roman" w:cs="Times New Roman"/>
          <w:b/>
          <w:bCs/>
        </w:rPr>
        <w:t>ID: 2514693</w:t>
      </w:r>
    </w:p>
    <w:p w14:paraId="1C22683E" w14:textId="77777777" w:rsidR="00046301" w:rsidRDefault="00046301" w:rsidP="00046301">
      <w:pPr>
        <w:spacing w:line="360" w:lineRule="auto"/>
        <w:jc w:val="both"/>
        <w:rPr>
          <w:rFonts w:ascii="Times New Roman" w:hAnsi="Times New Roman" w:cs="Times New Roman"/>
          <w:b/>
          <w:bCs/>
        </w:rPr>
      </w:pPr>
    </w:p>
    <w:p w14:paraId="4EF3985B" w14:textId="77777777" w:rsidR="00046301" w:rsidRDefault="00046301" w:rsidP="00046301">
      <w:pPr>
        <w:spacing w:line="360" w:lineRule="auto"/>
        <w:jc w:val="both"/>
        <w:rPr>
          <w:rFonts w:ascii="Times New Roman" w:hAnsi="Times New Roman" w:cs="Times New Roman"/>
          <w:b/>
          <w:bCs/>
        </w:rPr>
      </w:pPr>
    </w:p>
    <w:p w14:paraId="7FC7A1CF" w14:textId="77777777" w:rsidR="00046301" w:rsidRDefault="00046301" w:rsidP="00046301">
      <w:pPr>
        <w:spacing w:line="360" w:lineRule="auto"/>
        <w:jc w:val="both"/>
        <w:rPr>
          <w:rFonts w:ascii="Times New Roman" w:hAnsi="Times New Roman" w:cs="Times New Roman"/>
          <w:b/>
          <w:bCs/>
        </w:rPr>
      </w:pPr>
    </w:p>
    <w:p w14:paraId="59162848" w14:textId="77777777" w:rsidR="00046301" w:rsidRDefault="00046301" w:rsidP="00046301">
      <w:pPr>
        <w:spacing w:line="360" w:lineRule="auto"/>
        <w:jc w:val="both"/>
        <w:rPr>
          <w:rFonts w:ascii="Times New Roman" w:hAnsi="Times New Roman" w:cs="Times New Roman"/>
          <w:b/>
          <w:bCs/>
        </w:rPr>
      </w:pPr>
    </w:p>
    <w:p w14:paraId="1DB4671C" w14:textId="77777777" w:rsidR="00046301" w:rsidRDefault="00046301" w:rsidP="00046301">
      <w:pPr>
        <w:spacing w:line="360" w:lineRule="auto"/>
        <w:jc w:val="both"/>
        <w:rPr>
          <w:rFonts w:ascii="Times New Roman" w:hAnsi="Times New Roman" w:cs="Times New Roman"/>
          <w:b/>
          <w:bCs/>
        </w:rPr>
      </w:pPr>
    </w:p>
    <w:p w14:paraId="209F16FC" w14:textId="77777777" w:rsidR="00046301" w:rsidRDefault="00046301" w:rsidP="00046301">
      <w:pPr>
        <w:spacing w:line="360" w:lineRule="auto"/>
        <w:jc w:val="both"/>
        <w:rPr>
          <w:rFonts w:ascii="Times New Roman" w:hAnsi="Times New Roman" w:cs="Times New Roman"/>
          <w:b/>
          <w:bCs/>
        </w:rPr>
      </w:pPr>
    </w:p>
    <w:p w14:paraId="0C2478E2" w14:textId="77777777" w:rsidR="00046301" w:rsidRDefault="00046301" w:rsidP="00046301">
      <w:pPr>
        <w:spacing w:line="360" w:lineRule="auto"/>
        <w:jc w:val="both"/>
        <w:rPr>
          <w:rFonts w:ascii="Times New Roman" w:hAnsi="Times New Roman" w:cs="Times New Roman"/>
          <w:b/>
          <w:bCs/>
        </w:rPr>
      </w:pPr>
    </w:p>
    <w:p w14:paraId="012D8E0F" w14:textId="7228C1C8" w:rsidR="006B2DDE" w:rsidRPr="00046301" w:rsidRDefault="006B2DDE" w:rsidP="00046301">
      <w:pPr>
        <w:spacing w:line="360" w:lineRule="auto"/>
        <w:jc w:val="both"/>
        <w:rPr>
          <w:rFonts w:ascii="Times New Roman" w:hAnsi="Times New Roman" w:cs="Times New Roman"/>
          <w:b/>
          <w:bCs/>
        </w:rPr>
      </w:pPr>
      <w:r w:rsidRPr="00046301">
        <w:rPr>
          <w:rFonts w:ascii="Times New Roman" w:hAnsi="Times New Roman" w:cs="Times New Roman"/>
          <w:b/>
          <w:bCs/>
        </w:rPr>
        <w:t>Executive Summary</w:t>
      </w:r>
    </w:p>
    <w:p w14:paraId="6023A5C3" w14:textId="52BEE1B4" w:rsidR="006B2DDE" w:rsidRPr="00046301" w:rsidRDefault="006B2DDE" w:rsidP="00046301">
      <w:pPr>
        <w:spacing w:line="360" w:lineRule="auto"/>
        <w:jc w:val="both"/>
        <w:rPr>
          <w:rFonts w:ascii="Times New Roman" w:hAnsi="Times New Roman" w:cs="Times New Roman"/>
        </w:rPr>
      </w:pPr>
      <w:r w:rsidRPr="00046301">
        <w:rPr>
          <w:rFonts w:ascii="Times New Roman" w:hAnsi="Times New Roman" w:cs="Times New Roman"/>
        </w:rPr>
        <w:t>AstraZeneca</w:t>
      </w:r>
      <w:r w:rsidRPr="00046301">
        <w:rPr>
          <w:rFonts w:ascii="Times New Roman" w:hAnsi="Times New Roman" w:cs="Times New Roman"/>
        </w:rPr>
        <w:t xml:space="preserve"> has seen significant business success in recent years, despite disruptions in the market. However, it is at a strategic crossroads as it pursues its goal of having </w:t>
      </w:r>
      <w:r w:rsidRPr="00046301">
        <w:rPr>
          <w:rFonts w:ascii="Times New Roman" w:hAnsi="Times New Roman" w:cs="Times New Roman"/>
        </w:rPr>
        <w:t>$80 billion</w:t>
      </w:r>
      <w:r w:rsidRPr="00046301">
        <w:rPr>
          <w:rFonts w:ascii="Times New Roman" w:hAnsi="Times New Roman" w:cs="Times New Roman"/>
        </w:rPr>
        <w:t xml:space="preserve"> of yearly revenue. This </w:t>
      </w:r>
      <w:r w:rsidR="00913631" w:rsidRPr="00046301">
        <w:rPr>
          <w:rFonts w:ascii="Times New Roman" w:hAnsi="Times New Roman" w:cs="Times New Roman"/>
        </w:rPr>
        <w:t>report analyses and evaluates the global landscape of the healthcare and pharmaceutical industry, which is constantly in flux. The report applies PESTEL and Porter’s Five Forces model</w:t>
      </w:r>
      <w:r w:rsidR="00ED5400" w:rsidRPr="00046301">
        <w:rPr>
          <w:rFonts w:ascii="Times New Roman" w:hAnsi="Times New Roman" w:cs="Times New Roman"/>
        </w:rPr>
        <w:t xml:space="preserve"> to identify and analyse macro-environment factors affecting its business performance. The report also analyses the various approaches through which the organization manages customer expectations. The analysis of </w:t>
      </w:r>
      <w:r w:rsidR="00ED5400" w:rsidRPr="00046301">
        <w:rPr>
          <w:rFonts w:ascii="Times New Roman" w:hAnsi="Times New Roman" w:cs="Times New Roman"/>
        </w:rPr>
        <w:t>AstraZeneca’s</w:t>
      </w:r>
      <w:r w:rsidR="00ED5400" w:rsidRPr="00046301">
        <w:rPr>
          <w:rFonts w:ascii="Times New Roman" w:hAnsi="Times New Roman" w:cs="Times New Roman"/>
        </w:rPr>
        <w:t xml:space="preserve"> marketing strategies </w:t>
      </w:r>
      <w:proofErr w:type="gramStart"/>
      <w:r w:rsidR="00ED5400" w:rsidRPr="00046301">
        <w:rPr>
          <w:rFonts w:ascii="Times New Roman" w:hAnsi="Times New Roman" w:cs="Times New Roman"/>
        </w:rPr>
        <w:t>reveal</w:t>
      </w:r>
      <w:proofErr w:type="gramEnd"/>
      <w:r w:rsidR="00ED5400" w:rsidRPr="00046301">
        <w:rPr>
          <w:rFonts w:ascii="Times New Roman" w:hAnsi="Times New Roman" w:cs="Times New Roman"/>
        </w:rPr>
        <w:t xml:space="preserve"> its key approaches for business success, mostly industry leadership through service-enhanced medicine model. Its marketing strategy is analysed through STP and 7Ps of marketing analysis. The analysis revealed some key insights, such as how the organization moved away from traditional marketing approaches in favour of the AI-integrated omnichannel approach. Lastly, the report addresses the shortcomings in the business approach of </w:t>
      </w:r>
      <w:proofErr w:type="gramStart"/>
      <w:r w:rsidR="00ED5400" w:rsidRPr="00046301">
        <w:rPr>
          <w:rFonts w:ascii="Times New Roman" w:hAnsi="Times New Roman" w:cs="Times New Roman"/>
        </w:rPr>
        <w:t>AstraZeneca</w:t>
      </w:r>
      <w:r w:rsidR="00ED5400" w:rsidRPr="00046301">
        <w:rPr>
          <w:rFonts w:ascii="Times New Roman" w:hAnsi="Times New Roman" w:cs="Times New Roman"/>
        </w:rPr>
        <w:t>, and</w:t>
      </w:r>
      <w:proofErr w:type="gramEnd"/>
      <w:r w:rsidR="00ED5400" w:rsidRPr="00046301">
        <w:rPr>
          <w:rFonts w:ascii="Times New Roman" w:hAnsi="Times New Roman" w:cs="Times New Roman"/>
        </w:rPr>
        <w:t xml:space="preserve"> offers recommendations for the company to implement. </w:t>
      </w:r>
    </w:p>
    <w:p w14:paraId="49D91BF4"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3AE378FA"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2878AD54"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26DC2E7F"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12F4EFA7"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19A4106D"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7713AE3E"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16D14C38"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39A44EF3"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0C2513E7"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18A8B305"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7D2A632B"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2636C975"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620CED28"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sdt>
      <w:sdtPr>
        <w:id w:val="136247694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E01B257" w14:textId="037C29F2" w:rsidR="00046301" w:rsidRPr="00046301" w:rsidRDefault="00046301">
          <w:pPr>
            <w:pStyle w:val="TOCHeading"/>
            <w:rPr>
              <w:rFonts w:ascii="Times New Roman" w:hAnsi="Times New Roman" w:cs="Times New Roman"/>
            </w:rPr>
          </w:pPr>
          <w:r w:rsidRPr="00046301">
            <w:rPr>
              <w:rFonts w:ascii="Times New Roman" w:hAnsi="Times New Roman" w:cs="Times New Roman"/>
            </w:rPr>
            <w:t>Contents</w:t>
          </w:r>
        </w:p>
        <w:p w14:paraId="2D04471C" w14:textId="65D3ADDD" w:rsidR="00046301" w:rsidRPr="00046301" w:rsidRDefault="00046301">
          <w:pPr>
            <w:pStyle w:val="TOC1"/>
            <w:tabs>
              <w:tab w:val="right" w:leader="dot" w:pos="9350"/>
            </w:tabs>
            <w:rPr>
              <w:rFonts w:ascii="Times New Roman" w:eastAsiaTheme="minorEastAsia" w:hAnsi="Times New Roman" w:cs="Times New Roman"/>
              <w:noProof/>
              <w:lang w:val="en-US"/>
            </w:rPr>
          </w:pPr>
          <w:r w:rsidRPr="00046301">
            <w:rPr>
              <w:rFonts w:ascii="Times New Roman" w:hAnsi="Times New Roman" w:cs="Times New Roman"/>
            </w:rPr>
            <w:fldChar w:fldCharType="begin"/>
          </w:r>
          <w:r w:rsidRPr="00046301">
            <w:rPr>
              <w:rFonts w:ascii="Times New Roman" w:hAnsi="Times New Roman" w:cs="Times New Roman"/>
            </w:rPr>
            <w:instrText xml:space="preserve"> TOC \o "1-3" \h \z \u </w:instrText>
          </w:r>
          <w:r w:rsidRPr="00046301">
            <w:rPr>
              <w:rFonts w:ascii="Times New Roman" w:hAnsi="Times New Roman" w:cs="Times New Roman"/>
            </w:rPr>
            <w:fldChar w:fldCharType="separate"/>
          </w:r>
          <w:hyperlink w:anchor="_Toc218596940" w:history="1">
            <w:r w:rsidRPr="00046301">
              <w:rPr>
                <w:rStyle w:val="Hyperlink"/>
                <w:rFonts w:ascii="Times New Roman" w:eastAsia="Times New Roman" w:hAnsi="Times New Roman" w:cs="Times New Roman"/>
                <w:noProof/>
              </w:rPr>
              <w:t>Introduction</w:t>
            </w:r>
            <w:r w:rsidRPr="00046301">
              <w:rPr>
                <w:rFonts w:ascii="Times New Roman" w:hAnsi="Times New Roman" w:cs="Times New Roman"/>
                <w:noProof/>
                <w:webHidden/>
              </w:rPr>
              <w:tab/>
            </w:r>
            <w:r w:rsidRPr="00046301">
              <w:rPr>
                <w:rFonts w:ascii="Times New Roman" w:hAnsi="Times New Roman" w:cs="Times New Roman"/>
                <w:noProof/>
                <w:webHidden/>
              </w:rPr>
              <w:fldChar w:fldCharType="begin"/>
            </w:r>
            <w:r w:rsidRPr="00046301">
              <w:rPr>
                <w:rFonts w:ascii="Times New Roman" w:hAnsi="Times New Roman" w:cs="Times New Roman"/>
                <w:noProof/>
                <w:webHidden/>
              </w:rPr>
              <w:instrText xml:space="preserve"> PAGEREF _Toc218596940 \h </w:instrText>
            </w:r>
            <w:r w:rsidRPr="00046301">
              <w:rPr>
                <w:rFonts w:ascii="Times New Roman" w:hAnsi="Times New Roman" w:cs="Times New Roman"/>
                <w:noProof/>
                <w:webHidden/>
              </w:rPr>
            </w:r>
            <w:r w:rsidRPr="00046301">
              <w:rPr>
                <w:rFonts w:ascii="Times New Roman" w:hAnsi="Times New Roman" w:cs="Times New Roman"/>
                <w:noProof/>
                <w:webHidden/>
              </w:rPr>
              <w:fldChar w:fldCharType="separate"/>
            </w:r>
            <w:r>
              <w:rPr>
                <w:rFonts w:ascii="Times New Roman" w:hAnsi="Times New Roman" w:cs="Times New Roman"/>
                <w:noProof/>
                <w:webHidden/>
              </w:rPr>
              <w:t>4</w:t>
            </w:r>
            <w:r w:rsidRPr="00046301">
              <w:rPr>
                <w:rFonts w:ascii="Times New Roman" w:hAnsi="Times New Roman" w:cs="Times New Roman"/>
                <w:noProof/>
                <w:webHidden/>
              </w:rPr>
              <w:fldChar w:fldCharType="end"/>
            </w:r>
          </w:hyperlink>
        </w:p>
        <w:p w14:paraId="1828D404" w14:textId="1FA22F32" w:rsidR="00046301" w:rsidRPr="00046301" w:rsidRDefault="00046301">
          <w:pPr>
            <w:pStyle w:val="TOC1"/>
            <w:tabs>
              <w:tab w:val="right" w:leader="dot" w:pos="9350"/>
            </w:tabs>
            <w:rPr>
              <w:rFonts w:ascii="Times New Roman" w:eastAsiaTheme="minorEastAsia" w:hAnsi="Times New Roman" w:cs="Times New Roman"/>
              <w:noProof/>
              <w:lang w:val="en-US"/>
            </w:rPr>
          </w:pPr>
          <w:hyperlink w:anchor="_Toc218596941" w:history="1">
            <w:r w:rsidRPr="00046301">
              <w:rPr>
                <w:rStyle w:val="Hyperlink"/>
                <w:rFonts w:ascii="Times New Roman" w:eastAsia="Times New Roman" w:hAnsi="Times New Roman" w:cs="Times New Roman"/>
                <w:noProof/>
              </w:rPr>
              <w:t>Macro Environment (PESTLE) Analysis</w:t>
            </w:r>
            <w:r w:rsidRPr="00046301">
              <w:rPr>
                <w:rFonts w:ascii="Times New Roman" w:hAnsi="Times New Roman" w:cs="Times New Roman"/>
                <w:noProof/>
                <w:webHidden/>
              </w:rPr>
              <w:tab/>
            </w:r>
            <w:r w:rsidRPr="00046301">
              <w:rPr>
                <w:rFonts w:ascii="Times New Roman" w:hAnsi="Times New Roman" w:cs="Times New Roman"/>
                <w:noProof/>
                <w:webHidden/>
              </w:rPr>
              <w:fldChar w:fldCharType="begin"/>
            </w:r>
            <w:r w:rsidRPr="00046301">
              <w:rPr>
                <w:rFonts w:ascii="Times New Roman" w:hAnsi="Times New Roman" w:cs="Times New Roman"/>
                <w:noProof/>
                <w:webHidden/>
              </w:rPr>
              <w:instrText xml:space="preserve"> PAGEREF _Toc218596941 \h </w:instrText>
            </w:r>
            <w:r w:rsidRPr="00046301">
              <w:rPr>
                <w:rFonts w:ascii="Times New Roman" w:hAnsi="Times New Roman" w:cs="Times New Roman"/>
                <w:noProof/>
                <w:webHidden/>
              </w:rPr>
            </w:r>
            <w:r w:rsidRPr="00046301">
              <w:rPr>
                <w:rFonts w:ascii="Times New Roman" w:hAnsi="Times New Roman" w:cs="Times New Roman"/>
                <w:noProof/>
                <w:webHidden/>
              </w:rPr>
              <w:fldChar w:fldCharType="separate"/>
            </w:r>
            <w:r>
              <w:rPr>
                <w:rFonts w:ascii="Times New Roman" w:hAnsi="Times New Roman" w:cs="Times New Roman"/>
                <w:noProof/>
                <w:webHidden/>
              </w:rPr>
              <w:t>4</w:t>
            </w:r>
            <w:r w:rsidRPr="00046301">
              <w:rPr>
                <w:rFonts w:ascii="Times New Roman" w:hAnsi="Times New Roman" w:cs="Times New Roman"/>
                <w:noProof/>
                <w:webHidden/>
              </w:rPr>
              <w:fldChar w:fldCharType="end"/>
            </w:r>
          </w:hyperlink>
        </w:p>
        <w:p w14:paraId="715A64EF" w14:textId="19F27DE4" w:rsidR="00046301" w:rsidRPr="00046301" w:rsidRDefault="00046301">
          <w:pPr>
            <w:pStyle w:val="TOC1"/>
            <w:tabs>
              <w:tab w:val="right" w:leader="dot" w:pos="9350"/>
            </w:tabs>
            <w:rPr>
              <w:rFonts w:ascii="Times New Roman" w:eastAsiaTheme="minorEastAsia" w:hAnsi="Times New Roman" w:cs="Times New Roman"/>
              <w:noProof/>
              <w:lang w:val="en-US"/>
            </w:rPr>
          </w:pPr>
          <w:hyperlink w:anchor="_Toc218596942" w:history="1">
            <w:r w:rsidRPr="00046301">
              <w:rPr>
                <w:rStyle w:val="Hyperlink"/>
                <w:rFonts w:ascii="Times New Roman" w:eastAsia="Times New Roman" w:hAnsi="Times New Roman" w:cs="Times New Roman"/>
                <w:noProof/>
              </w:rPr>
              <w:t>Micro Environment Analysis</w:t>
            </w:r>
            <w:r w:rsidRPr="00046301">
              <w:rPr>
                <w:rFonts w:ascii="Times New Roman" w:hAnsi="Times New Roman" w:cs="Times New Roman"/>
                <w:noProof/>
                <w:webHidden/>
              </w:rPr>
              <w:tab/>
            </w:r>
            <w:r w:rsidRPr="00046301">
              <w:rPr>
                <w:rFonts w:ascii="Times New Roman" w:hAnsi="Times New Roman" w:cs="Times New Roman"/>
                <w:noProof/>
                <w:webHidden/>
              </w:rPr>
              <w:fldChar w:fldCharType="begin"/>
            </w:r>
            <w:r w:rsidRPr="00046301">
              <w:rPr>
                <w:rFonts w:ascii="Times New Roman" w:hAnsi="Times New Roman" w:cs="Times New Roman"/>
                <w:noProof/>
                <w:webHidden/>
              </w:rPr>
              <w:instrText xml:space="preserve"> PAGEREF _Toc218596942 \h </w:instrText>
            </w:r>
            <w:r w:rsidRPr="00046301">
              <w:rPr>
                <w:rFonts w:ascii="Times New Roman" w:hAnsi="Times New Roman" w:cs="Times New Roman"/>
                <w:noProof/>
                <w:webHidden/>
              </w:rPr>
            </w:r>
            <w:r w:rsidRPr="00046301">
              <w:rPr>
                <w:rFonts w:ascii="Times New Roman" w:hAnsi="Times New Roman" w:cs="Times New Roman"/>
                <w:noProof/>
                <w:webHidden/>
              </w:rPr>
              <w:fldChar w:fldCharType="separate"/>
            </w:r>
            <w:r>
              <w:rPr>
                <w:rFonts w:ascii="Times New Roman" w:hAnsi="Times New Roman" w:cs="Times New Roman"/>
                <w:noProof/>
                <w:webHidden/>
              </w:rPr>
              <w:t>7</w:t>
            </w:r>
            <w:r w:rsidRPr="00046301">
              <w:rPr>
                <w:rFonts w:ascii="Times New Roman" w:hAnsi="Times New Roman" w:cs="Times New Roman"/>
                <w:noProof/>
                <w:webHidden/>
              </w:rPr>
              <w:fldChar w:fldCharType="end"/>
            </w:r>
          </w:hyperlink>
        </w:p>
        <w:p w14:paraId="33DF099B" w14:textId="1CAB7FE0" w:rsidR="00046301" w:rsidRPr="00046301" w:rsidRDefault="00046301">
          <w:pPr>
            <w:pStyle w:val="TOC2"/>
            <w:tabs>
              <w:tab w:val="right" w:leader="dot" w:pos="9350"/>
            </w:tabs>
            <w:rPr>
              <w:rFonts w:ascii="Times New Roman" w:eastAsiaTheme="minorEastAsia" w:hAnsi="Times New Roman" w:cs="Times New Roman"/>
              <w:noProof/>
              <w:lang w:val="en-US"/>
            </w:rPr>
          </w:pPr>
          <w:hyperlink w:anchor="_Toc218596943" w:history="1">
            <w:r w:rsidRPr="00046301">
              <w:rPr>
                <w:rStyle w:val="Hyperlink"/>
                <w:rFonts w:ascii="Times New Roman" w:eastAsia="Times New Roman" w:hAnsi="Times New Roman" w:cs="Times New Roman"/>
                <w:noProof/>
              </w:rPr>
              <w:t>Porter’s Five Forces Analysis</w:t>
            </w:r>
            <w:r w:rsidRPr="00046301">
              <w:rPr>
                <w:rFonts w:ascii="Times New Roman" w:hAnsi="Times New Roman" w:cs="Times New Roman"/>
                <w:noProof/>
                <w:webHidden/>
              </w:rPr>
              <w:tab/>
            </w:r>
            <w:r w:rsidRPr="00046301">
              <w:rPr>
                <w:rFonts w:ascii="Times New Roman" w:hAnsi="Times New Roman" w:cs="Times New Roman"/>
                <w:noProof/>
                <w:webHidden/>
              </w:rPr>
              <w:fldChar w:fldCharType="begin"/>
            </w:r>
            <w:r w:rsidRPr="00046301">
              <w:rPr>
                <w:rFonts w:ascii="Times New Roman" w:hAnsi="Times New Roman" w:cs="Times New Roman"/>
                <w:noProof/>
                <w:webHidden/>
              </w:rPr>
              <w:instrText xml:space="preserve"> PAGEREF _Toc218596943 \h </w:instrText>
            </w:r>
            <w:r w:rsidRPr="00046301">
              <w:rPr>
                <w:rFonts w:ascii="Times New Roman" w:hAnsi="Times New Roman" w:cs="Times New Roman"/>
                <w:noProof/>
                <w:webHidden/>
              </w:rPr>
            </w:r>
            <w:r w:rsidRPr="00046301">
              <w:rPr>
                <w:rFonts w:ascii="Times New Roman" w:hAnsi="Times New Roman" w:cs="Times New Roman"/>
                <w:noProof/>
                <w:webHidden/>
              </w:rPr>
              <w:fldChar w:fldCharType="separate"/>
            </w:r>
            <w:r>
              <w:rPr>
                <w:rFonts w:ascii="Times New Roman" w:hAnsi="Times New Roman" w:cs="Times New Roman"/>
                <w:noProof/>
                <w:webHidden/>
              </w:rPr>
              <w:t>7</w:t>
            </w:r>
            <w:r w:rsidRPr="00046301">
              <w:rPr>
                <w:rFonts w:ascii="Times New Roman" w:hAnsi="Times New Roman" w:cs="Times New Roman"/>
                <w:noProof/>
                <w:webHidden/>
              </w:rPr>
              <w:fldChar w:fldCharType="end"/>
            </w:r>
          </w:hyperlink>
        </w:p>
        <w:p w14:paraId="0E803EA0" w14:textId="3C5AE6E4" w:rsidR="00046301" w:rsidRPr="00046301" w:rsidRDefault="00046301">
          <w:pPr>
            <w:pStyle w:val="TOC2"/>
            <w:tabs>
              <w:tab w:val="right" w:leader="dot" w:pos="9350"/>
            </w:tabs>
            <w:rPr>
              <w:rFonts w:ascii="Times New Roman" w:eastAsiaTheme="minorEastAsia" w:hAnsi="Times New Roman" w:cs="Times New Roman"/>
              <w:noProof/>
              <w:lang w:val="en-US"/>
            </w:rPr>
          </w:pPr>
          <w:hyperlink w:anchor="_Toc218596944" w:history="1">
            <w:r w:rsidRPr="00046301">
              <w:rPr>
                <w:rStyle w:val="Hyperlink"/>
                <w:rFonts w:ascii="Times New Roman" w:eastAsia="Times New Roman" w:hAnsi="Times New Roman" w:cs="Times New Roman"/>
                <w:noProof/>
              </w:rPr>
              <w:t>Customer Analysis</w:t>
            </w:r>
            <w:r w:rsidRPr="00046301">
              <w:rPr>
                <w:rFonts w:ascii="Times New Roman" w:hAnsi="Times New Roman" w:cs="Times New Roman"/>
                <w:noProof/>
                <w:webHidden/>
              </w:rPr>
              <w:tab/>
            </w:r>
            <w:r w:rsidRPr="00046301">
              <w:rPr>
                <w:rFonts w:ascii="Times New Roman" w:hAnsi="Times New Roman" w:cs="Times New Roman"/>
                <w:noProof/>
                <w:webHidden/>
              </w:rPr>
              <w:fldChar w:fldCharType="begin"/>
            </w:r>
            <w:r w:rsidRPr="00046301">
              <w:rPr>
                <w:rFonts w:ascii="Times New Roman" w:hAnsi="Times New Roman" w:cs="Times New Roman"/>
                <w:noProof/>
                <w:webHidden/>
              </w:rPr>
              <w:instrText xml:space="preserve"> PAGEREF _Toc218596944 \h </w:instrText>
            </w:r>
            <w:r w:rsidRPr="00046301">
              <w:rPr>
                <w:rFonts w:ascii="Times New Roman" w:hAnsi="Times New Roman" w:cs="Times New Roman"/>
                <w:noProof/>
                <w:webHidden/>
              </w:rPr>
            </w:r>
            <w:r w:rsidRPr="00046301">
              <w:rPr>
                <w:rFonts w:ascii="Times New Roman" w:hAnsi="Times New Roman" w:cs="Times New Roman"/>
                <w:noProof/>
                <w:webHidden/>
              </w:rPr>
              <w:fldChar w:fldCharType="separate"/>
            </w:r>
            <w:r>
              <w:rPr>
                <w:rFonts w:ascii="Times New Roman" w:hAnsi="Times New Roman" w:cs="Times New Roman"/>
                <w:noProof/>
                <w:webHidden/>
              </w:rPr>
              <w:t>9</w:t>
            </w:r>
            <w:r w:rsidRPr="00046301">
              <w:rPr>
                <w:rFonts w:ascii="Times New Roman" w:hAnsi="Times New Roman" w:cs="Times New Roman"/>
                <w:noProof/>
                <w:webHidden/>
              </w:rPr>
              <w:fldChar w:fldCharType="end"/>
            </w:r>
          </w:hyperlink>
        </w:p>
        <w:p w14:paraId="68EF4641" w14:textId="0CAF5670" w:rsidR="00046301" w:rsidRPr="00046301" w:rsidRDefault="00046301">
          <w:pPr>
            <w:pStyle w:val="TOC3"/>
            <w:tabs>
              <w:tab w:val="right" w:leader="dot" w:pos="9350"/>
            </w:tabs>
            <w:rPr>
              <w:rFonts w:ascii="Times New Roman" w:eastAsiaTheme="minorEastAsia" w:hAnsi="Times New Roman" w:cs="Times New Roman"/>
              <w:noProof/>
              <w:lang w:val="en-US"/>
            </w:rPr>
          </w:pPr>
          <w:hyperlink w:anchor="_Toc218596945" w:history="1">
            <w:r w:rsidRPr="00046301">
              <w:rPr>
                <w:rStyle w:val="Hyperlink"/>
                <w:rFonts w:ascii="Times New Roman" w:eastAsia="Times New Roman" w:hAnsi="Times New Roman" w:cs="Times New Roman"/>
                <w:noProof/>
              </w:rPr>
              <w:t>Segmentation of the Customer Ecosystem</w:t>
            </w:r>
            <w:r w:rsidRPr="00046301">
              <w:rPr>
                <w:rFonts w:ascii="Times New Roman" w:hAnsi="Times New Roman" w:cs="Times New Roman"/>
                <w:noProof/>
                <w:webHidden/>
              </w:rPr>
              <w:tab/>
            </w:r>
            <w:r w:rsidRPr="00046301">
              <w:rPr>
                <w:rFonts w:ascii="Times New Roman" w:hAnsi="Times New Roman" w:cs="Times New Roman"/>
                <w:noProof/>
                <w:webHidden/>
              </w:rPr>
              <w:fldChar w:fldCharType="begin"/>
            </w:r>
            <w:r w:rsidRPr="00046301">
              <w:rPr>
                <w:rFonts w:ascii="Times New Roman" w:hAnsi="Times New Roman" w:cs="Times New Roman"/>
                <w:noProof/>
                <w:webHidden/>
              </w:rPr>
              <w:instrText xml:space="preserve"> PAGEREF _Toc218596945 \h </w:instrText>
            </w:r>
            <w:r w:rsidRPr="00046301">
              <w:rPr>
                <w:rFonts w:ascii="Times New Roman" w:hAnsi="Times New Roman" w:cs="Times New Roman"/>
                <w:noProof/>
                <w:webHidden/>
              </w:rPr>
            </w:r>
            <w:r w:rsidRPr="00046301">
              <w:rPr>
                <w:rFonts w:ascii="Times New Roman" w:hAnsi="Times New Roman" w:cs="Times New Roman"/>
                <w:noProof/>
                <w:webHidden/>
              </w:rPr>
              <w:fldChar w:fldCharType="separate"/>
            </w:r>
            <w:r>
              <w:rPr>
                <w:rFonts w:ascii="Times New Roman" w:hAnsi="Times New Roman" w:cs="Times New Roman"/>
                <w:noProof/>
                <w:webHidden/>
              </w:rPr>
              <w:t>9</w:t>
            </w:r>
            <w:r w:rsidRPr="00046301">
              <w:rPr>
                <w:rFonts w:ascii="Times New Roman" w:hAnsi="Times New Roman" w:cs="Times New Roman"/>
                <w:noProof/>
                <w:webHidden/>
              </w:rPr>
              <w:fldChar w:fldCharType="end"/>
            </w:r>
          </w:hyperlink>
        </w:p>
        <w:p w14:paraId="3E672C6A" w14:textId="6806272B" w:rsidR="00046301" w:rsidRPr="00046301" w:rsidRDefault="00046301">
          <w:pPr>
            <w:pStyle w:val="TOC3"/>
            <w:tabs>
              <w:tab w:val="right" w:leader="dot" w:pos="9350"/>
            </w:tabs>
            <w:rPr>
              <w:rFonts w:ascii="Times New Roman" w:eastAsiaTheme="minorEastAsia" w:hAnsi="Times New Roman" w:cs="Times New Roman"/>
              <w:noProof/>
              <w:lang w:val="en-US"/>
            </w:rPr>
          </w:pPr>
          <w:hyperlink w:anchor="_Toc218596946" w:history="1">
            <w:r w:rsidRPr="00046301">
              <w:rPr>
                <w:rStyle w:val="Hyperlink"/>
                <w:rFonts w:ascii="Times New Roman" w:eastAsia="Times New Roman" w:hAnsi="Times New Roman" w:cs="Times New Roman"/>
                <w:noProof/>
              </w:rPr>
              <w:t>Personalization and Digital Engagement</w:t>
            </w:r>
            <w:r w:rsidRPr="00046301">
              <w:rPr>
                <w:rFonts w:ascii="Times New Roman" w:hAnsi="Times New Roman" w:cs="Times New Roman"/>
                <w:noProof/>
                <w:webHidden/>
              </w:rPr>
              <w:tab/>
            </w:r>
            <w:r w:rsidRPr="00046301">
              <w:rPr>
                <w:rFonts w:ascii="Times New Roman" w:hAnsi="Times New Roman" w:cs="Times New Roman"/>
                <w:noProof/>
                <w:webHidden/>
              </w:rPr>
              <w:fldChar w:fldCharType="begin"/>
            </w:r>
            <w:r w:rsidRPr="00046301">
              <w:rPr>
                <w:rFonts w:ascii="Times New Roman" w:hAnsi="Times New Roman" w:cs="Times New Roman"/>
                <w:noProof/>
                <w:webHidden/>
              </w:rPr>
              <w:instrText xml:space="preserve"> PAGEREF _Toc218596946 \h </w:instrText>
            </w:r>
            <w:r w:rsidRPr="00046301">
              <w:rPr>
                <w:rFonts w:ascii="Times New Roman" w:hAnsi="Times New Roman" w:cs="Times New Roman"/>
                <w:noProof/>
                <w:webHidden/>
              </w:rPr>
            </w:r>
            <w:r w:rsidRPr="00046301">
              <w:rPr>
                <w:rFonts w:ascii="Times New Roman" w:hAnsi="Times New Roman" w:cs="Times New Roman"/>
                <w:noProof/>
                <w:webHidden/>
              </w:rPr>
              <w:fldChar w:fldCharType="separate"/>
            </w:r>
            <w:r>
              <w:rPr>
                <w:rFonts w:ascii="Times New Roman" w:hAnsi="Times New Roman" w:cs="Times New Roman"/>
                <w:noProof/>
                <w:webHidden/>
              </w:rPr>
              <w:t>10</w:t>
            </w:r>
            <w:r w:rsidRPr="00046301">
              <w:rPr>
                <w:rFonts w:ascii="Times New Roman" w:hAnsi="Times New Roman" w:cs="Times New Roman"/>
                <w:noProof/>
                <w:webHidden/>
              </w:rPr>
              <w:fldChar w:fldCharType="end"/>
            </w:r>
          </w:hyperlink>
        </w:p>
        <w:p w14:paraId="171FC191" w14:textId="22017A97" w:rsidR="00046301" w:rsidRPr="00046301" w:rsidRDefault="00046301">
          <w:pPr>
            <w:pStyle w:val="TOC3"/>
            <w:tabs>
              <w:tab w:val="right" w:leader="dot" w:pos="9350"/>
            </w:tabs>
            <w:rPr>
              <w:rFonts w:ascii="Times New Roman" w:eastAsiaTheme="minorEastAsia" w:hAnsi="Times New Roman" w:cs="Times New Roman"/>
              <w:noProof/>
              <w:lang w:val="en-US"/>
            </w:rPr>
          </w:pPr>
          <w:hyperlink w:anchor="_Toc218596947" w:history="1">
            <w:r w:rsidRPr="00046301">
              <w:rPr>
                <w:rStyle w:val="Hyperlink"/>
                <w:rFonts w:ascii="Times New Roman" w:eastAsia="Times New Roman" w:hAnsi="Times New Roman" w:cs="Times New Roman"/>
                <w:noProof/>
              </w:rPr>
              <w:t>Trust and Sustainability as a Competitive Advantage</w:t>
            </w:r>
            <w:r w:rsidRPr="00046301">
              <w:rPr>
                <w:rFonts w:ascii="Times New Roman" w:hAnsi="Times New Roman" w:cs="Times New Roman"/>
                <w:noProof/>
                <w:webHidden/>
              </w:rPr>
              <w:tab/>
            </w:r>
            <w:r w:rsidRPr="00046301">
              <w:rPr>
                <w:rFonts w:ascii="Times New Roman" w:hAnsi="Times New Roman" w:cs="Times New Roman"/>
                <w:noProof/>
                <w:webHidden/>
              </w:rPr>
              <w:fldChar w:fldCharType="begin"/>
            </w:r>
            <w:r w:rsidRPr="00046301">
              <w:rPr>
                <w:rFonts w:ascii="Times New Roman" w:hAnsi="Times New Roman" w:cs="Times New Roman"/>
                <w:noProof/>
                <w:webHidden/>
              </w:rPr>
              <w:instrText xml:space="preserve"> PAGEREF _Toc218596947 \h </w:instrText>
            </w:r>
            <w:r w:rsidRPr="00046301">
              <w:rPr>
                <w:rFonts w:ascii="Times New Roman" w:hAnsi="Times New Roman" w:cs="Times New Roman"/>
                <w:noProof/>
                <w:webHidden/>
              </w:rPr>
            </w:r>
            <w:r w:rsidRPr="00046301">
              <w:rPr>
                <w:rFonts w:ascii="Times New Roman" w:hAnsi="Times New Roman" w:cs="Times New Roman"/>
                <w:noProof/>
                <w:webHidden/>
              </w:rPr>
              <w:fldChar w:fldCharType="separate"/>
            </w:r>
            <w:r>
              <w:rPr>
                <w:rFonts w:ascii="Times New Roman" w:hAnsi="Times New Roman" w:cs="Times New Roman"/>
                <w:noProof/>
                <w:webHidden/>
              </w:rPr>
              <w:t>11</w:t>
            </w:r>
            <w:r w:rsidRPr="00046301">
              <w:rPr>
                <w:rFonts w:ascii="Times New Roman" w:hAnsi="Times New Roman" w:cs="Times New Roman"/>
                <w:noProof/>
                <w:webHidden/>
              </w:rPr>
              <w:fldChar w:fldCharType="end"/>
            </w:r>
          </w:hyperlink>
        </w:p>
        <w:p w14:paraId="38519019" w14:textId="0659D447" w:rsidR="00046301" w:rsidRPr="00046301" w:rsidRDefault="00046301">
          <w:pPr>
            <w:pStyle w:val="TOC1"/>
            <w:tabs>
              <w:tab w:val="right" w:leader="dot" w:pos="9350"/>
            </w:tabs>
            <w:rPr>
              <w:rFonts w:ascii="Times New Roman" w:eastAsiaTheme="minorEastAsia" w:hAnsi="Times New Roman" w:cs="Times New Roman"/>
              <w:noProof/>
              <w:lang w:val="en-US"/>
            </w:rPr>
          </w:pPr>
          <w:hyperlink w:anchor="_Toc218596948" w:history="1">
            <w:r w:rsidRPr="00046301">
              <w:rPr>
                <w:rStyle w:val="Hyperlink"/>
                <w:rFonts w:ascii="Times New Roman" w:eastAsia="Times New Roman" w:hAnsi="Times New Roman" w:cs="Times New Roman"/>
                <w:noProof/>
              </w:rPr>
              <w:t>Evaluation of Marketing Strategy</w:t>
            </w:r>
            <w:r w:rsidRPr="00046301">
              <w:rPr>
                <w:rFonts w:ascii="Times New Roman" w:hAnsi="Times New Roman" w:cs="Times New Roman"/>
                <w:noProof/>
                <w:webHidden/>
              </w:rPr>
              <w:tab/>
            </w:r>
            <w:r w:rsidRPr="00046301">
              <w:rPr>
                <w:rFonts w:ascii="Times New Roman" w:hAnsi="Times New Roman" w:cs="Times New Roman"/>
                <w:noProof/>
                <w:webHidden/>
              </w:rPr>
              <w:fldChar w:fldCharType="begin"/>
            </w:r>
            <w:r w:rsidRPr="00046301">
              <w:rPr>
                <w:rFonts w:ascii="Times New Roman" w:hAnsi="Times New Roman" w:cs="Times New Roman"/>
                <w:noProof/>
                <w:webHidden/>
              </w:rPr>
              <w:instrText xml:space="preserve"> PAGEREF _Toc218596948 \h </w:instrText>
            </w:r>
            <w:r w:rsidRPr="00046301">
              <w:rPr>
                <w:rFonts w:ascii="Times New Roman" w:hAnsi="Times New Roman" w:cs="Times New Roman"/>
                <w:noProof/>
                <w:webHidden/>
              </w:rPr>
            </w:r>
            <w:r w:rsidRPr="00046301">
              <w:rPr>
                <w:rFonts w:ascii="Times New Roman" w:hAnsi="Times New Roman" w:cs="Times New Roman"/>
                <w:noProof/>
                <w:webHidden/>
              </w:rPr>
              <w:fldChar w:fldCharType="separate"/>
            </w:r>
            <w:r>
              <w:rPr>
                <w:rFonts w:ascii="Times New Roman" w:hAnsi="Times New Roman" w:cs="Times New Roman"/>
                <w:noProof/>
                <w:webHidden/>
              </w:rPr>
              <w:t>11</w:t>
            </w:r>
            <w:r w:rsidRPr="00046301">
              <w:rPr>
                <w:rFonts w:ascii="Times New Roman" w:hAnsi="Times New Roman" w:cs="Times New Roman"/>
                <w:noProof/>
                <w:webHidden/>
              </w:rPr>
              <w:fldChar w:fldCharType="end"/>
            </w:r>
          </w:hyperlink>
        </w:p>
        <w:p w14:paraId="2C11E04E" w14:textId="642DF03C" w:rsidR="00046301" w:rsidRPr="00046301" w:rsidRDefault="00046301">
          <w:pPr>
            <w:pStyle w:val="TOC2"/>
            <w:tabs>
              <w:tab w:val="right" w:leader="dot" w:pos="9350"/>
            </w:tabs>
            <w:rPr>
              <w:rFonts w:ascii="Times New Roman" w:eastAsiaTheme="minorEastAsia" w:hAnsi="Times New Roman" w:cs="Times New Roman"/>
              <w:noProof/>
              <w:lang w:val="en-US"/>
            </w:rPr>
          </w:pPr>
          <w:hyperlink w:anchor="_Toc218596949" w:history="1">
            <w:r w:rsidRPr="00046301">
              <w:rPr>
                <w:rStyle w:val="Hyperlink"/>
                <w:rFonts w:ascii="Times New Roman" w:eastAsia="Times New Roman" w:hAnsi="Times New Roman" w:cs="Times New Roman"/>
                <w:noProof/>
              </w:rPr>
              <w:t>Segmentation, Targeting, and Positioning (STP)</w:t>
            </w:r>
            <w:r w:rsidRPr="00046301">
              <w:rPr>
                <w:rFonts w:ascii="Times New Roman" w:hAnsi="Times New Roman" w:cs="Times New Roman"/>
                <w:noProof/>
                <w:webHidden/>
              </w:rPr>
              <w:tab/>
            </w:r>
            <w:r w:rsidRPr="00046301">
              <w:rPr>
                <w:rFonts w:ascii="Times New Roman" w:hAnsi="Times New Roman" w:cs="Times New Roman"/>
                <w:noProof/>
                <w:webHidden/>
              </w:rPr>
              <w:fldChar w:fldCharType="begin"/>
            </w:r>
            <w:r w:rsidRPr="00046301">
              <w:rPr>
                <w:rFonts w:ascii="Times New Roman" w:hAnsi="Times New Roman" w:cs="Times New Roman"/>
                <w:noProof/>
                <w:webHidden/>
              </w:rPr>
              <w:instrText xml:space="preserve"> PAGEREF _Toc218596949 \h </w:instrText>
            </w:r>
            <w:r w:rsidRPr="00046301">
              <w:rPr>
                <w:rFonts w:ascii="Times New Roman" w:hAnsi="Times New Roman" w:cs="Times New Roman"/>
                <w:noProof/>
                <w:webHidden/>
              </w:rPr>
            </w:r>
            <w:r w:rsidRPr="00046301">
              <w:rPr>
                <w:rFonts w:ascii="Times New Roman" w:hAnsi="Times New Roman" w:cs="Times New Roman"/>
                <w:noProof/>
                <w:webHidden/>
              </w:rPr>
              <w:fldChar w:fldCharType="separate"/>
            </w:r>
            <w:r>
              <w:rPr>
                <w:rFonts w:ascii="Times New Roman" w:hAnsi="Times New Roman" w:cs="Times New Roman"/>
                <w:noProof/>
                <w:webHidden/>
              </w:rPr>
              <w:t>11</w:t>
            </w:r>
            <w:r w:rsidRPr="00046301">
              <w:rPr>
                <w:rFonts w:ascii="Times New Roman" w:hAnsi="Times New Roman" w:cs="Times New Roman"/>
                <w:noProof/>
                <w:webHidden/>
              </w:rPr>
              <w:fldChar w:fldCharType="end"/>
            </w:r>
          </w:hyperlink>
        </w:p>
        <w:p w14:paraId="44D6E647" w14:textId="569B17B5" w:rsidR="00046301" w:rsidRPr="00046301" w:rsidRDefault="00046301">
          <w:pPr>
            <w:pStyle w:val="TOC2"/>
            <w:tabs>
              <w:tab w:val="right" w:leader="dot" w:pos="9350"/>
            </w:tabs>
            <w:rPr>
              <w:rFonts w:ascii="Times New Roman" w:eastAsiaTheme="minorEastAsia" w:hAnsi="Times New Roman" w:cs="Times New Roman"/>
              <w:noProof/>
              <w:lang w:val="en-US"/>
            </w:rPr>
          </w:pPr>
          <w:hyperlink w:anchor="_Toc218596950" w:history="1">
            <w:r w:rsidRPr="00046301">
              <w:rPr>
                <w:rStyle w:val="Hyperlink"/>
                <w:rFonts w:ascii="Times New Roman" w:eastAsia="Times New Roman" w:hAnsi="Times New Roman" w:cs="Times New Roman"/>
                <w:noProof/>
              </w:rPr>
              <w:t>The 7Ps Marketing Mix Evaluation</w:t>
            </w:r>
            <w:r w:rsidRPr="00046301">
              <w:rPr>
                <w:rFonts w:ascii="Times New Roman" w:hAnsi="Times New Roman" w:cs="Times New Roman"/>
                <w:noProof/>
                <w:webHidden/>
              </w:rPr>
              <w:tab/>
            </w:r>
            <w:r w:rsidRPr="00046301">
              <w:rPr>
                <w:rFonts w:ascii="Times New Roman" w:hAnsi="Times New Roman" w:cs="Times New Roman"/>
                <w:noProof/>
                <w:webHidden/>
              </w:rPr>
              <w:fldChar w:fldCharType="begin"/>
            </w:r>
            <w:r w:rsidRPr="00046301">
              <w:rPr>
                <w:rFonts w:ascii="Times New Roman" w:hAnsi="Times New Roman" w:cs="Times New Roman"/>
                <w:noProof/>
                <w:webHidden/>
              </w:rPr>
              <w:instrText xml:space="preserve"> PAGEREF _Toc218596950 \h </w:instrText>
            </w:r>
            <w:r w:rsidRPr="00046301">
              <w:rPr>
                <w:rFonts w:ascii="Times New Roman" w:hAnsi="Times New Roman" w:cs="Times New Roman"/>
                <w:noProof/>
                <w:webHidden/>
              </w:rPr>
            </w:r>
            <w:r w:rsidRPr="00046301">
              <w:rPr>
                <w:rFonts w:ascii="Times New Roman" w:hAnsi="Times New Roman" w:cs="Times New Roman"/>
                <w:noProof/>
                <w:webHidden/>
              </w:rPr>
              <w:fldChar w:fldCharType="separate"/>
            </w:r>
            <w:r>
              <w:rPr>
                <w:rFonts w:ascii="Times New Roman" w:hAnsi="Times New Roman" w:cs="Times New Roman"/>
                <w:noProof/>
                <w:webHidden/>
              </w:rPr>
              <w:t>13</w:t>
            </w:r>
            <w:r w:rsidRPr="00046301">
              <w:rPr>
                <w:rFonts w:ascii="Times New Roman" w:hAnsi="Times New Roman" w:cs="Times New Roman"/>
                <w:noProof/>
                <w:webHidden/>
              </w:rPr>
              <w:fldChar w:fldCharType="end"/>
            </w:r>
          </w:hyperlink>
        </w:p>
        <w:p w14:paraId="034D18C0" w14:textId="12254876" w:rsidR="00046301" w:rsidRPr="00046301" w:rsidRDefault="00046301">
          <w:pPr>
            <w:pStyle w:val="TOC1"/>
            <w:tabs>
              <w:tab w:val="right" w:leader="dot" w:pos="9350"/>
            </w:tabs>
            <w:rPr>
              <w:rFonts w:ascii="Times New Roman" w:eastAsiaTheme="minorEastAsia" w:hAnsi="Times New Roman" w:cs="Times New Roman"/>
              <w:noProof/>
              <w:lang w:val="en-US"/>
            </w:rPr>
          </w:pPr>
          <w:hyperlink w:anchor="_Toc218596951" w:history="1">
            <w:r w:rsidRPr="00046301">
              <w:rPr>
                <w:rStyle w:val="Hyperlink"/>
                <w:rFonts w:ascii="Times New Roman" w:eastAsia="Times New Roman" w:hAnsi="Times New Roman" w:cs="Times New Roman"/>
                <w:noProof/>
              </w:rPr>
              <w:t>Conclusion and Strategic Shortcomings</w:t>
            </w:r>
            <w:r w:rsidRPr="00046301">
              <w:rPr>
                <w:rFonts w:ascii="Times New Roman" w:hAnsi="Times New Roman" w:cs="Times New Roman"/>
                <w:noProof/>
                <w:webHidden/>
              </w:rPr>
              <w:tab/>
            </w:r>
            <w:r w:rsidRPr="00046301">
              <w:rPr>
                <w:rFonts w:ascii="Times New Roman" w:hAnsi="Times New Roman" w:cs="Times New Roman"/>
                <w:noProof/>
                <w:webHidden/>
              </w:rPr>
              <w:fldChar w:fldCharType="begin"/>
            </w:r>
            <w:r w:rsidRPr="00046301">
              <w:rPr>
                <w:rFonts w:ascii="Times New Roman" w:hAnsi="Times New Roman" w:cs="Times New Roman"/>
                <w:noProof/>
                <w:webHidden/>
              </w:rPr>
              <w:instrText xml:space="preserve"> PAGEREF _Toc218596951 \h </w:instrText>
            </w:r>
            <w:r w:rsidRPr="00046301">
              <w:rPr>
                <w:rFonts w:ascii="Times New Roman" w:hAnsi="Times New Roman" w:cs="Times New Roman"/>
                <w:noProof/>
                <w:webHidden/>
              </w:rPr>
            </w:r>
            <w:r w:rsidRPr="00046301">
              <w:rPr>
                <w:rFonts w:ascii="Times New Roman" w:hAnsi="Times New Roman" w:cs="Times New Roman"/>
                <w:noProof/>
                <w:webHidden/>
              </w:rPr>
              <w:fldChar w:fldCharType="separate"/>
            </w:r>
            <w:r>
              <w:rPr>
                <w:rFonts w:ascii="Times New Roman" w:hAnsi="Times New Roman" w:cs="Times New Roman"/>
                <w:noProof/>
                <w:webHidden/>
              </w:rPr>
              <w:t>17</w:t>
            </w:r>
            <w:r w:rsidRPr="00046301">
              <w:rPr>
                <w:rFonts w:ascii="Times New Roman" w:hAnsi="Times New Roman" w:cs="Times New Roman"/>
                <w:noProof/>
                <w:webHidden/>
              </w:rPr>
              <w:fldChar w:fldCharType="end"/>
            </w:r>
          </w:hyperlink>
        </w:p>
        <w:p w14:paraId="3FBB20E4" w14:textId="7534229A" w:rsidR="00046301" w:rsidRPr="00046301" w:rsidRDefault="00046301">
          <w:pPr>
            <w:pStyle w:val="TOC1"/>
            <w:tabs>
              <w:tab w:val="right" w:leader="dot" w:pos="9350"/>
            </w:tabs>
            <w:rPr>
              <w:rFonts w:ascii="Times New Roman" w:eastAsiaTheme="minorEastAsia" w:hAnsi="Times New Roman" w:cs="Times New Roman"/>
              <w:noProof/>
              <w:lang w:val="en-US"/>
            </w:rPr>
          </w:pPr>
          <w:hyperlink w:anchor="_Toc218596952" w:history="1">
            <w:r w:rsidRPr="00046301">
              <w:rPr>
                <w:rStyle w:val="Hyperlink"/>
                <w:rFonts w:ascii="Times New Roman" w:eastAsia="Times New Roman" w:hAnsi="Times New Roman" w:cs="Times New Roman"/>
                <w:noProof/>
              </w:rPr>
              <w:t>Recommendations</w:t>
            </w:r>
            <w:r w:rsidRPr="00046301">
              <w:rPr>
                <w:rFonts w:ascii="Times New Roman" w:hAnsi="Times New Roman" w:cs="Times New Roman"/>
                <w:noProof/>
                <w:webHidden/>
              </w:rPr>
              <w:tab/>
            </w:r>
            <w:r w:rsidRPr="00046301">
              <w:rPr>
                <w:rFonts w:ascii="Times New Roman" w:hAnsi="Times New Roman" w:cs="Times New Roman"/>
                <w:noProof/>
                <w:webHidden/>
              </w:rPr>
              <w:fldChar w:fldCharType="begin"/>
            </w:r>
            <w:r w:rsidRPr="00046301">
              <w:rPr>
                <w:rFonts w:ascii="Times New Roman" w:hAnsi="Times New Roman" w:cs="Times New Roman"/>
                <w:noProof/>
                <w:webHidden/>
              </w:rPr>
              <w:instrText xml:space="preserve"> PAGEREF _Toc218596952 \h </w:instrText>
            </w:r>
            <w:r w:rsidRPr="00046301">
              <w:rPr>
                <w:rFonts w:ascii="Times New Roman" w:hAnsi="Times New Roman" w:cs="Times New Roman"/>
                <w:noProof/>
                <w:webHidden/>
              </w:rPr>
            </w:r>
            <w:r w:rsidRPr="00046301">
              <w:rPr>
                <w:rFonts w:ascii="Times New Roman" w:hAnsi="Times New Roman" w:cs="Times New Roman"/>
                <w:noProof/>
                <w:webHidden/>
              </w:rPr>
              <w:fldChar w:fldCharType="separate"/>
            </w:r>
            <w:r>
              <w:rPr>
                <w:rFonts w:ascii="Times New Roman" w:hAnsi="Times New Roman" w:cs="Times New Roman"/>
                <w:noProof/>
                <w:webHidden/>
              </w:rPr>
              <w:t>17</w:t>
            </w:r>
            <w:r w:rsidRPr="00046301">
              <w:rPr>
                <w:rFonts w:ascii="Times New Roman" w:hAnsi="Times New Roman" w:cs="Times New Roman"/>
                <w:noProof/>
                <w:webHidden/>
              </w:rPr>
              <w:fldChar w:fldCharType="end"/>
            </w:r>
          </w:hyperlink>
        </w:p>
        <w:p w14:paraId="08E9ABF1" w14:textId="33EC3104" w:rsidR="00046301" w:rsidRPr="00046301" w:rsidRDefault="00046301">
          <w:pPr>
            <w:pStyle w:val="TOC1"/>
            <w:tabs>
              <w:tab w:val="right" w:leader="dot" w:pos="9350"/>
            </w:tabs>
            <w:rPr>
              <w:rFonts w:ascii="Times New Roman" w:eastAsiaTheme="minorEastAsia" w:hAnsi="Times New Roman" w:cs="Times New Roman"/>
              <w:noProof/>
              <w:lang w:val="en-US"/>
            </w:rPr>
          </w:pPr>
          <w:hyperlink w:anchor="_Toc218596953" w:history="1">
            <w:r w:rsidRPr="00046301">
              <w:rPr>
                <w:rStyle w:val="Hyperlink"/>
                <w:rFonts w:ascii="Times New Roman" w:eastAsia="Times New Roman" w:hAnsi="Times New Roman" w:cs="Times New Roman"/>
                <w:noProof/>
                <w:lang w:val="en-US"/>
              </w:rPr>
              <w:t>Reference list</w:t>
            </w:r>
            <w:r w:rsidRPr="00046301">
              <w:rPr>
                <w:rFonts w:ascii="Times New Roman" w:hAnsi="Times New Roman" w:cs="Times New Roman"/>
                <w:noProof/>
                <w:webHidden/>
              </w:rPr>
              <w:tab/>
            </w:r>
            <w:r w:rsidRPr="00046301">
              <w:rPr>
                <w:rFonts w:ascii="Times New Roman" w:hAnsi="Times New Roman" w:cs="Times New Roman"/>
                <w:noProof/>
                <w:webHidden/>
              </w:rPr>
              <w:fldChar w:fldCharType="begin"/>
            </w:r>
            <w:r w:rsidRPr="00046301">
              <w:rPr>
                <w:rFonts w:ascii="Times New Roman" w:hAnsi="Times New Roman" w:cs="Times New Roman"/>
                <w:noProof/>
                <w:webHidden/>
              </w:rPr>
              <w:instrText xml:space="preserve"> PAGEREF _Toc218596953 \h </w:instrText>
            </w:r>
            <w:r w:rsidRPr="00046301">
              <w:rPr>
                <w:rFonts w:ascii="Times New Roman" w:hAnsi="Times New Roman" w:cs="Times New Roman"/>
                <w:noProof/>
                <w:webHidden/>
              </w:rPr>
            </w:r>
            <w:r w:rsidRPr="00046301">
              <w:rPr>
                <w:rFonts w:ascii="Times New Roman" w:hAnsi="Times New Roman" w:cs="Times New Roman"/>
                <w:noProof/>
                <w:webHidden/>
              </w:rPr>
              <w:fldChar w:fldCharType="separate"/>
            </w:r>
            <w:r>
              <w:rPr>
                <w:rFonts w:ascii="Times New Roman" w:hAnsi="Times New Roman" w:cs="Times New Roman"/>
                <w:noProof/>
                <w:webHidden/>
              </w:rPr>
              <w:t>19</w:t>
            </w:r>
            <w:r w:rsidRPr="00046301">
              <w:rPr>
                <w:rFonts w:ascii="Times New Roman" w:hAnsi="Times New Roman" w:cs="Times New Roman"/>
                <w:noProof/>
                <w:webHidden/>
              </w:rPr>
              <w:fldChar w:fldCharType="end"/>
            </w:r>
          </w:hyperlink>
        </w:p>
        <w:p w14:paraId="722372B1" w14:textId="0775F041" w:rsidR="00046301" w:rsidRDefault="00046301">
          <w:r w:rsidRPr="00046301">
            <w:rPr>
              <w:rFonts w:ascii="Times New Roman" w:hAnsi="Times New Roman" w:cs="Times New Roman"/>
              <w:b/>
              <w:bCs/>
              <w:noProof/>
            </w:rPr>
            <w:fldChar w:fldCharType="end"/>
          </w:r>
        </w:p>
      </w:sdtContent>
    </w:sdt>
    <w:p w14:paraId="1989BF83"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029635DA"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2E951BF0"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0367510B"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73A4B40C"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51538967"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66FCD3FB" w14:textId="77777777" w:rsidR="00ED5400" w:rsidRPr="00630566" w:rsidRDefault="00ED5400" w:rsidP="006B2DDE">
      <w:pPr>
        <w:tabs>
          <w:tab w:val="left" w:pos="3381"/>
        </w:tabs>
        <w:spacing w:after="120" w:line="360" w:lineRule="auto"/>
        <w:jc w:val="both"/>
        <w:outlineLvl w:val="2"/>
        <w:rPr>
          <w:rFonts w:ascii="Times New Roman" w:eastAsia="Times New Roman" w:hAnsi="Times New Roman" w:cs="Times New Roman"/>
          <w:color w:val="1F1F1F"/>
          <w:kern w:val="0"/>
          <w14:ligatures w14:val="none"/>
        </w:rPr>
      </w:pPr>
    </w:p>
    <w:p w14:paraId="4216EFBE" w14:textId="77777777" w:rsidR="00630566" w:rsidRPr="00630566" w:rsidRDefault="00630566" w:rsidP="00630566">
      <w:pPr>
        <w:spacing w:after="120" w:line="360" w:lineRule="auto"/>
        <w:outlineLvl w:val="2"/>
        <w:rPr>
          <w:rFonts w:ascii="Arial" w:eastAsia="Times New Roman" w:hAnsi="Arial" w:cs="Arial"/>
          <w:color w:val="1F1F1F"/>
          <w:kern w:val="0"/>
          <w14:ligatures w14:val="none"/>
        </w:rPr>
      </w:pPr>
    </w:p>
    <w:p w14:paraId="7DB3DCCF" w14:textId="746AD915" w:rsidR="00630566" w:rsidRPr="00630566" w:rsidRDefault="00630566" w:rsidP="00630566">
      <w:pPr>
        <w:pStyle w:val="Heading1"/>
        <w:rPr>
          <w:rFonts w:eastAsia="Times New Roman"/>
        </w:rPr>
      </w:pPr>
      <w:bookmarkStart w:id="0" w:name="_Toc218596940"/>
      <w:r w:rsidRPr="00630566">
        <w:rPr>
          <w:rFonts w:eastAsia="Times New Roman"/>
        </w:rPr>
        <w:lastRenderedPageBreak/>
        <w:t>Introduction</w:t>
      </w:r>
      <w:bookmarkEnd w:id="0"/>
    </w:p>
    <w:p w14:paraId="782AEAF4" w14:textId="77777777" w:rsidR="00630566" w:rsidRPr="00630566" w:rsidRDefault="00630566" w:rsidP="00630566">
      <w:pPr>
        <w:spacing w:after="24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color w:val="1F1F1F"/>
          <w:kern w:val="0"/>
          <w14:ligatures w14:val="none"/>
        </w:rPr>
        <w:t xml:space="preserve">AstraZeneca is a </w:t>
      </w:r>
      <w:proofErr w:type="gramStart"/>
      <w:r w:rsidRPr="00630566">
        <w:rPr>
          <w:rFonts w:ascii="Times New Roman" w:eastAsia="Times New Roman" w:hAnsi="Times New Roman" w:cs="Times New Roman"/>
          <w:color w:val="1F1F1F"/>
          <w:kern w:val="0"/>
          <w14:ligatures w14:val="none"/>
        </w:rPr>
        <w:t>British-Swedish</w:t>
      </w:r>
      <w:proofErr w:type="gramEnd"/>
      <w:r w:rsidRPr="00630566">
        <w:rPr>
          <w:rFonts w:ascii="Times New Roman" w:eastAsia="Times New Roman" w:hAnsi="Times New Roman" w:cs="Times New Roman"/>
          <w:color w:val="1F1F1F"/>
          <w:kern w:val="0"/>
          <w14:ligatures w14:val="none"/>
        </w:rPr>
        <w:t xml:space="preserve"> multinational pharmaceutical and biotechnology company (AstraZeneca, 2022). It is currently one of the most prominent innovators in the pharmaceuticals sector, with focus on Oncology, Cardiovascular, Renal, Metabolism, and Rare Diseases (AstraZeneca, 2024). It is also one of the biggest, fastest growing, and most profitable companies in its industry (Johannesson, 2021). In the year 2025, the company reported an increase of 11% to its total revenue, increasing it to $43.2 billion (American Pharmaceutical Review, 2025). The key reason for its business success is mainly its digital, patient-oriented healthcare model (AstraZeneca US, 2025). The pharmaceutical and biotechnology industry is going through massive shifts right now, and AstraZeneca through its innovative approach to healthcare is in a leading position for these changes (Camillus, 2021).</w:t>
      </w:r>
    </w:p>
    <w:p w14:paraId="2184994A" w14:textId="77777777" w:rsidR="00630566" w:rsidRPr="00630566" w:rsidRDefault="00630566" w:rsidP="00630566">
      <w:pPr>
        <w:spacing w:after="24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color w:val="1F1F1F"/>
          <w:kern w:val="0"/>
          <w14:ligatures w14:val="none"/>
        </w:rPr>
        <w:t xml:space="preserve">This report analyses and explores AstraZeneca’s marketing department in managing the transitions that the company must go through to stay at the top of its industry. Using the PESTEL framework, it analyses the macro-environmental drivers of change (Surridge, 2022). It also uses Porter’s Five Forces model to analyse the micro-environment (Barney and Hesterly, 2019). It explores the company’s current marketing strategy </w:t>
      </w:r>
      <w:proofErr w:type="gramStart"/>
      <w:r w:rsidRPr="00630566">
        <w:rPr>
          <w:rFonts w:ascii="Times New Roman" w:eastAsia="Times New Roman" w:hAnsi="Times New Roman" w:cs="Times New Roman"/>
          <w:color w:val="1F1F1F"/>
          <w:kern w:val="0"/>
          <w14:ligatures w14:val="none"/>
        </w:rPr>
        <w:t>through the use of</w:t>
      </w:r>
      <w:proofErr w:type="gramEnd"/>
      <w:r w:rsidRPr="00630566">
        <w:rPr>
          <w:rFonts w:ascii="Times New Roman" w:eastAsia="Times New Roman" w:hAnsi="Times New Roman" w:cs="Times New Roman"/>
          <w:color w:val="1F1F1F"/>
          <w:kern w:val="0"/>
          <w14:ligatures w14:val="none"/>
        </w:rPr>
        <w:t xml:space="preserve"> the STP framework and the 7Ps of Marketing Mix framework (Kotler and Armstrong, 2018). By finding out the company’s current weaknesses, the report concludes with recommendations for AstraZeneca to improve its business performance further and realize its goal of having $80 billion of revenue by 2030 (AstraZeneca, 2024).</w:t>
      </w:r>
    </w:p>
    <w:p w14:paraId="76F96F17" w14:textId="589C590D" w:rsidR="00630566" w:rsidRPr="00630566" w:rsidRDefault="00630566" w:rsidP="00630566">
      <w:pPr>
        <w:pStyle w:val="Heading1"/>
        <w:rPr>
          <w:rFonts w:eastAsia="Times New Roman"/>
        </w:rPr>
      </w:pPr>
      <w:bookmarkStart w:id="1" w:name="_Toc218596941"/>
      <w:r w:rsidRPr="00630566">
        <w:rPr>
          <w:rFonts w:eastAsia="Times New Roman"/>
        </w:rPr>
        <w:t>Macro Environment (PESTL</w:t>
      </w:r>
      <w:r>
        <w:rPr>
          <w:rFonts w:eastAsia="Times New Roman"/>
        </w:rPr>
        <w:t>E</w:t>
      </w:r>
      <w:r w:rsidRPr="00630566">
        <w:rPr>
          <w:rFonts w:eastAsia="Times New Roman"/>
        </w:rPr>
        <w:t>) Analysis</w:t>
      </w:r>
      <w:bookmarkEnd w:id="1"/>
    </w:p>
    <w:p w14:paraId="5A27C2EF" w14:textId="084BC316" w:rsidR="00630566" w:rsidRDefault="00630566" w:rsidP="00630566">
      <w:pPr>
        <w:spacing w:after="24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color w:val="1F1F1F"/>
          <w:kern w:val="0"/>
          <w14:ligatures w14:val="none"/>
        </w:rPr>
        <w:t>The macro-environment for pharmaceutical and biochemical industry has always been characterized by a balancing act between massive investments in innovation and increasing impediments from governing bodies (Mennen, 2010). The macro-environment analysis for AstraZeneca is done through PESTL</w:t>
      </w:r>
      <w:r>
        <w:rPr>
          <w:rFonts w:ascii="Times New Roman" w:eastAsia="Times New Roman" w:hAnsi="Times New Roman" w:cs="Times New Roman"/>
          <w:color w:val="1F1F1F"/>
          <w:kern w:val="0"/>
          <w14:ligatures w14:val="none"/>
        </w:rPr>
        <w:t>E</w:t>
      </w:r>
      <w:r w:rsidRPr="00630566">
        <w:rPr>
          <w:rFonts w:ascii="Times New Roman" w:eastAsia="Times New Roman" w:hAnsi="Times New Roman" w:cs="Times New Roman"/>
          <w:color w:val="1F1F1F"/>
          <w:kern w:val="0"/>
          <w14:ligatures w14:val="none"/>
        </w:rPr>
        <w:t xml:space="preserve"> analysis, which stands for Political, Economic, Social, Technological, Legal, and Environmental. The analysis is as follows.</w:t>
      </w:r>
    </w:p>
    <w:p w14:paraId="2E2798BD" w14:textId="389D428E" w:rsidR="00630566" w:rsidRDefault="00630566" w:rsidP="00630566">
      <w:pPr>
        <w:spacing w:after="240" w:line="360" w:lineRule="auto"/>
        <w:jc w:val="both"/>
        <w:rPr>
          <w:rFonts w:ascii="Times New Roman" w:eastAsia="Times New Roman" w:hAnsi="Times New Roman" w:cs="Times New Roman"/>
          <w:color w:val="1F1F1F"/>
          <w:kern w:val="0"/>
          <w14:ligatures w14:val="none"/>
        </w:rPr>
      </w:pPr>
      <w:r>
        <w:rPr>
          <w:rFonts w:ascii="Times New Roman" w:eastAsia="Times New Roman" w:hAnsi="Times New Roman" w:cs="Times New Roman"/>
          <w:noProof/>
          <w:color w:val="1F1F1F"/>
          <w:kern w:val="0"/>
          <w14:ligatures w14:val="none"/>
        </w:rPr>
        <w:lastRenderedPageBreak/>
        <w:drawing>
          <wp:inline distT="0" distB="0" distL="0" distR="0" wp14:anchorId="34BC18A8" wp14:editId="790E62D2">
            <wp:extent cx="6236898" cy="2158969"/>
            <wp:effectExtent l="0" t="0" r="0" b="0"/>
            <wp:docPr id="224117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b="4775"/>
                    <a:stretch>
                      <a:fillRect/>
                    </a:stretch>
                  </pic:blipFill>
                  <pic:spPr bwMode="auto">
                    <a:xfrm>
                      <a:off x="0" y="0"/>
                      <a:ext cx="6267508" cy="2169565"/>
                    </a:xfrm>
                    <a:prstGeom prst="rect">
                      <a:avLst/>
                    </a:prstGeom>
                    <a:noFill/>
                    <a:ln>
                      <a:noFill/>
                    </a:ln>
                    <a:extLst>
                      <a:ext uri="{53640926-AAD7-44D8-BBD7-CCE9431645EC}">
                        <a14:shadowObscured xmlns:a14="http://schemas.microsoft.com/office/drawing/2010/main"/>
                      </a:ext>
                    </a:extLst>
                  </pic:spPr>
                </pic:pic>
              </a:graphicData>
            </a:graphic>
          </wp:inline>
        </w:drawing>
      </w:r>
    </w:p>
    <w:p w14:paraId="5B776C35" w14:textId="01107043" w:rsidR="00630566" w:rsidRPr="00630566" w:rsidRDefault="00630566" w:rsidP="00630566">
      <w:pPr>
        <w:spacing w:after="24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14:ligatures w14:val="none"/>
        </w:rPr>
        <w:t>Figure</w:t>
      </w:r>
      <w:r>
        <w:rPr>
          <w:rFonts w:ascii="Times New Roman" w:eastAsia="Times New Roman" w:hAnsi="Times New Roman" w:cs="Times New Roman"/>
          <w:color w:val="1F1F1F"/>
          <w:kern w:val="0"/>
          <w14:ligatures w14:val="none"/>
        </w:rPr>
        <w:t>: PESTEL Analysis</w:t>
      </w:r>
    </w:p>
    <w:p w14:paraId="426E3526" w14:textId="77777777" w:rsidR="00630566" w:rsidRPr="00630566" w:rsidRDefault="00630566" w:rsidP="00630566">
      <w:pPr>
        <w:pStyle w:val="ListParagraph"/>
        <w:numPr>
          <w:ilvl w:val="0"/>
          <w:numId w:val="13"/>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Political Factors:</w:t>
      </w:r>
      <w:r w:rsidRPr="00630566">
        <w:rPr>
          <w:rFonts w:ascii="Times New Roman" w:eastAsia="Times New Roman" w:hAnsi="Times New Roman" w:cs="Times New Roman"/>
          <w:color w:val="1F1F1F"/>
          <w:kern w:val="0"/>
          <w14:ligatures w14:val="none"/>
        </w:rPr>
        <w:t xml:space="preserve"> Due to the push by the major economies, namely the US, to protect their own market from outside forces, the global economy has </w:t>
      </w:r>
      <w:proofErr w:type="gramStart"/>
      <w:r w:rsidRPr="00630566">
        <w:rPr>
          <w:rFonts w:ascii="Times New Roman" w:eastAsia="Times New Roman" w:hAnsi="Times New Roman" w:cs="Times New Roman"/>
          <w:color w:val="1F1F1F"/>
          <w:kern w:val="0"/>
          <w14:ligatures w14:val="none"/>
        </w:rPr>
        <w:t>underwent</w:t>
      </w:r>
      <w:proofErr w:type="gramEnd"/>
      <w:r w:rsidRPr="00630566">
        <w:rPr>
          <w:rFonts w:ascii="Times New Roman" w:eastAsia="Times New Roman" w:hAnsi="Times New Roman" w:cs="Times New Roman"/>
          <w:color w:val="1F1F1F"/>
          <w:kern w:val="0"/>
          <w14:ligatures w14:val="none"/>
        </w:rPr>
        <w:t xml:space="preserve"> significant bouts of temporary isolationism (Coşar et al., 2021). This is especially true in the context of the geopolitical tension between the US and China (Johannesson, 2021). For a multinational company such as AstraZeneca, it means its supply chains have come under significant risk of disruption (Javaid and Siddiqui, 2018). Although the company has taken major steps to remedy this, notably with its new $4.5bn facility in Virginia, US, it cannot fully protect itself against such unpredictability (Chopra, 2021).</w:t>
      </w:r>
    </w:p>
    <w:p w14:paraId="18F9C2FB" w14:textId="77777777" w:rsidR="00630566" w:rsidRPr="00630566" w:rsidRDefault="00630566" w:rsidP="00630566">
      <w:pPr>
        <w:pStyle w:val="ListParagraph"/>
        <w:numPr>
          <w:ilvl w:val="0"/>
          <w:numId w:val="13"/>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Economic Factors:</w:t>
      </w:r>
      <w:r w:rsidRPr="00630566">
        <w:rPr>
          <w:rFonts w:ascii="Times New Roman" w:eastAsia="Times New Roman" w:hAnsi="Times New Roman" w:cs="Times New Roman"/>
          <w:color w:val="1F1F1F"/>
          <w:kern w:val="0"/>
          <w14:ligatures w14:val="none"/>
        </w:rPr>
        <w:t xml:space="preserve"> The entire healthcare industry is under immense pressure due to slowing GDPs and rising inflation (Johannesson, 2021). The cost of raw materials is rising steadily, as are labour costs (Chopra, 2021). However, the fact that the company has been growing both its revenue and profits in such a situation is a testament to its internal efficiency and operational capability (American Pharmaceutical Review, 2025).</w:t>
      </w:r>
    </w:p>
    <w:p w14:paraId="40B9D84C" w14:textId="77777777" w:rsidR="00630566" w:rsidRPr="00630566" w:rsidRDefault="00630566" w:rsidP="00630566">
      <w:pPr>
        <w:pStyle w:val="ListParagraph"/>
        <w:numPr>
          <w:ilvl w:val="0"/>
          <w:numId w:val="13"/>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Social Factors:</w:t>
      </w:r>
      <w:r w:rsidRPr="00630566">
        <w:rPr>
          <w:rFonts w:ascii="Times New Roman" w:eastAsia="Times New Roman" w:hAnsi="Times New Roman" w:cs="Times New Roman"/>
          <w:color w:val="1F1F1F"/>
          <w:kern w:val="0"/>
          <w14:ligatures w14:val="none"/>
        </w:rPr>
        <w:t xml:space="preserve"> With the adoption of digital technology every single industry has been going fundamental shifts, and healthcare is no different (Corallo, </w:t>
      </w:r>
      <w:proofErr w:type="spellStart"/>
      <w:r w:rsidRPr="00630566">
        <w:rPr>
          <w:rFonts w:ascii="Times New Roman" w:eastAsia="Times New Roman" w:hAnsi="Times New Roman" w:cs="Times New Roman"/>
          <w:color w:val="1F1F1F"/>
          <w:kern w:val="0"/>
          <w14:ligatures w14:val="none"/>
        </w:rPr>
        <w:t>Passiante</w:t>
      </w:r>
      <w:proofErr w:type="spellEnd"/>
      <w:r w:rsidRPr="00630566">
        <w:rPr>
          <w:rFonts w:ascii="Times New Roman" w:eastAsia="Times New Roman" w:hAnsi="Times New Roman" w:cs="Times New Roman"/>
          <w:color w:val="1F1F1F"/>
          <w:kern w:val="0"/>
          <w14:ligatures w14:val="none"/>
        </w:rPr>
        <w:t xml:space="preserve"> and </w:t>
      </w:r>
      <w:proofErr w:type="spellStart"/>
      <w:r w:rsidRPr="00630566">
        <w:rPr>
          <w:rFonts w:ascii="Times New Roman" w:eastAsia="Times New Roman" w:hAnsi="Times New Roman" w:cs="Times New Roman"/>
          <w:color w:val="1F1F1F"/>
          <w:kern w:val="0"/>
          <w14:ligatures w14:val="none"/>
        </w:rPr>
        <w:t>Prencipe</w:t>
      </w:r>
      <w:proofErr w:type="spellEnd"/>
      <w:r w:rsidRPr="00630566">
        <w:rPr>
          <w:rFonts w:ascii="Times New Roman" w:eastAsia="Times New Roman" w:hAnsi="Times New Roman" w:cs="Times New Roman"/>
          <w:color w:val="1F1F1F"/>
          <w:kern w:val="0"/>
          <w14:ligatures w14:val="none"/>
        </w:rPr>
        <w:t>, 2017). The current trend in the healthcare industry among the patients is Personalized medicine, as they are no longer comfortable with being passive recipient (AstraZeneca US, 2025). The easier access to healthcare information also means that the customers are today more informed about their own needs than before (</w:t>
      </w:r>
      <w:proofErr w:type="spellStart"/>
      <w:r w:rsidRPr="00630566">
        <w:rPr>
          <w:rFonts w:ascii="Times New Roman" w:eastAsia="Times New Roman" w:hAnsi="Times New Roman" w:cs="Times New Roman"/>
          <w:color w:val="1F1F1F"/>
          <w:kern w:val="0"/>
          <w14:ligatures w14:val="none"/>
        </w:rPr>
        <w:t>Bueschken</w:t>
      </w:r>
      <w:proofErr w:type="spellEnd"/>
      <w:r w:rsidRPr="00630566">
        <w:rPr>
          <w:rFonts w:ascii="Times New Roman" w:eastAsia="Times New Roman" w:hAnsi="Times New Roman" w:cs="Times New Roman"/>
          <w:color w:val="1F1F1F"/>
          <w:kern w:val="0"/>
          <w14:ligatures w14:val="none"/>
        </w:rPr>
        <w:t xml:space="preserve">, 2019). To address such developments, pharmaceutical companies must provide their customers with services that </w:t>
      </w:r>
      <w:r w:rsidRPr="00630566">
        <w:rPr>
          <w:rFonts w:ascii="Times New Roman" w:eastAsia="Times New Roman" w:hAnsi="Times New Roman" w:cs="Times New Roman"/>
          <w:color w:val="1F1F1F"/>
          <w:kern w:val="0"/>
          <w14:ligatures w14:val="none"/>
        </w:rPr>
        <w:lastRenderedPageBreak/>
        <w:t>go beyond simple medicine (Goldman, 2018). AstraZeneca is one of the earliest adopters of these new business models, with its AstraZeneca Direct platform offering healthcare support for customers with serious health issues (AstraZeneca US, 2025).</w:t>
      </w:r>
    </w:p>
    <w:p w14:paraId="34ABAF88" w14:textId="77777777" w:rsidR="00630566" w:rsidRPr="00630566" w:rsidRDefault="00630566" w:rsidP="00630566">
      <w:pPr>
        <w:pStyle w:val="ListParagraph"/>
        <w:numPr>
          <w:ilvl w:val="0"/>
          <w:numId w:val="13"/>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Technological Factors:</w:t>
      </w:r>
      <w:r w:rsidRPr="00630566">
        <w:rPr>
          <w:rFonts w:ascii="Times New Roman" w:eastAsia="Times New Roman" w:hAnsi="Times New Roman" w:cs="Times New Roman"/>
          <w:color w:val="1F1F1F"/>
          <w:kern w:val="0"/>
          <w14:ligatures w14:val="none"/>
        </w:rPr>
        <w:t xml:space="preserve"> As stated previously, the current trend in the healthcare industry is personalized healthcare service (AstraZeneca US, 2025). However, for such a large organization like AstraZeneca, it would be quite impossible to offer its millions of customers with personalized services without data analytics and AI (David Brian Szabla, 2023). AstraZeneca is at the forefront of AI and data analytics revolution (Koch and Windsperger, 2017). With AstraZeneca Direct, the company can store, manage, and utilize user data to provide the best experience (AstraZeneca US, 2025). AI is also effective at diagnosis and drug discovery, although those applications remain in their infancy (AstraZeneca, 2022). The company’s marketing divisions has made the most of new technologies, with the company making personalized content for millions of stakeholders across different regions (Srivastava, 2021).</w:t>
      </w:r>
    </w:p>
    <w:p w14:paraId="0DAE3DCF" w14:textId="77777777" w:rsidR="00630566" w:rsidRDefault="00630566" w:rsidP="00630566">
      <w:pPr>
        <w:pStyle w:val="ListParagraph"/>
        <w:numPr>
          <w:ilvl w:val="0"/>
          <w:numId w:val="13"/>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Legal Factors:</w:t>
      </w:r>
      <w:r w:rsidRPr="00630566">
        <w:rPr>
          <w:rFonts w:ascii="Times New Roman" w:eastAsia="Times New Roman" w:hAnsi="Times New Roman" w:cs="Times New Roman"/>
          <w:color w:val="1F1F1F"/>
          <w:kern w:val="0"/>
          <w14:ligatures w14:val="none"/>
        </w:rPr>
        <w:t xml:space="preserve"> The legislation regulating trade and business operations have significant impact on AstraZeneca’s business (Alexis, 2021). In 2025-2026, the US Inflation Reduction Act (IRA) has posed a significant barrier for the company (Mennen, 2010). According to this legislature, Medicare can now negotiate the prices for top-selling drugs, challenging AstraZeneca’s traditional high profit margin business model (Mennen, 2010). Many of AstraZeneca’s premium selections have been subjected to negotiation, resulting in the company having to move away from a premium only model to a value-based model where the company must justify the prices of its drugs through its benefits (Campbell, 2021).</w:t>
      </w:r>
    </w:p>
    <w:p w14:paraId="2A533F02" w14:textId="563C4B9E" w:rsidR="00630566" w:rsidRPr="00630566" w:rsidRDefault="00630566" w:rsidP="00630566">
      <w:pPr>
        <w:pStyle w:val="ListParagraph"/>
        <w:numPr>
          <w:ilvl w:val="0"/>
          <w:numId w:val="13"/>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Environmental Factors:</w:t>
      </w:r>
      <w:r w:rsidRPr="00630566">
        <w:rPr>
          <w:rFonts w:ascii="Times New Roman" w:eastAsia="Times New Roman" w:hAnsi="Times New Roman" w:cs="Times New Roman"/>
          <w:color w:val="1F1F1F"/>
          <w:kern w:val="0"/>
          <w14:ligatures w14:val="none"/>
        </w:rPr>
        <w:t xml:space="preserve"> Sustainable practices are now a key metric of competition among organizations, and stakeholders are more likely to lend their support to </w:t>
      </w:r>
      <w:proofErr w:type="spellStart"/>
      <w:r w:rsidRPr="00630566">
        <w:rPr>
          <w:rFonts w:ascii="Times New Roman" w:eastAsia="Times New Roman" w:hAnsi="Times New Roman" w:cs="Times New Roman"/>
          <w:color w:val="1F1F1F"/>
          <w:kern w:val="0"/>
          <w14:ligatures w14:val="none"/>
        </w:rPr>
        <w:t>company’s</w:t>
      </w:r>
      <w:proofErr w:type="spellEnd"/>
      <w:r w:rsidRPr="00630566">
        <w:rPr>
          <w:rFonts w:ascii="Times New Roman" w:eastAsia="Times New Roman" w:hAnsi="Times New Roman" w:cs="Times New Roman"/>
          <w:color w:val="1F1F1F"/>
          <w:kern w:val="0"/>
          <w14:ligatures w14:val="none"/>
        </w:rPr>
        <w:t xml:space="preserve"> that have strong environmental concerns (Farmer and Hogue, 2020). This is true for AstraZeneca as well, and the company is investing $1 billion to reach net zero in carbon emission by 2025 (AstraZeneca, 2024). Marketing a drug as decarbonized, or with little to no global warming potential is now an added value that customers look for when purchasing (Ngek Neneh, 2020).</w:t>
      </w:r>
    </w:p>
    <w:p w14:paraId="7085DED3" w14:textId="77777777" w:rsidR="00630566" w:rsidRPr="00630566" w:rsidRDefault="00630566" w:rsidP="00630566">
      <w:pPr>
        <w:pStyle w:val="Heading1"/>
        <w:rPr>
          <w:rFonts w:eastAsia="Times New Roman"/>
        </w:rPr>
      </w:pPr>
      <w:bookmarkStart w:id="2" w:name="_Toc218596942"/>
      <w:proofErr w:type="gramStart"/>
      <w:r w:rsidRPr="00630566">
        <w:rPr>
          <w:rFonts w:eastAsia="Times New Roman"/>
        </w:rPr>
        <w:lastRenderedPageBreak/>
        <w:t>Micro Environment</w:t>
      </w:r>
      <w:proofErr w:type="gramEnd"/>
      <w:r w:rsidRPr="00630566">
        <w:rPr>
          <w:rFonts w:eastAsia="Times New Roman"/>
        </w:rPr>
        <w:t xml:space="preserve"> Analysis</w:t>
      </w:r>
      <w:bookmarkEnd w:id="2"/>
    </w:p>
    <w:p w14:paraId="5AC2406F" w14:textId="77777777" w:rsidR="00630566" w:rsidRPr="00630566" w:rsidRDefault="00630566" w:rsidP="00630566">
      <w:pPr>
        <w:spacing w:after="24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color w:val="1F1F1F"/>
          <w:kern w:val="0"/>
          <w14:ligatures w14:val="none"/>
        </w:rPr>
        <w:t>The micro-environment for AstraZeneca includes the immediate forces that characterize its industry, notably competition, customer sway over the company, and supply chain dependencies (Mennen, 2010). Its micro-environment is analysed using Porter’s Five Forces model.</w:t>
      </w:r>
    </w:p>
    <w:p w14:paraId="692EBEDC" w14:textId="77777777" w:rsidR="00630566" w:rsidRPr="00630566" w:rsidRDefault="00630566" w:rsidP="00630566">
      <w:pPr>
        <w:pStyle w:val="Heading2"/>
        <w:rPr>
          <w:rFonts w:eastAsia="Times New Roman"/>
        </w:rPr>
      </w:pPr>
      <w:bookmarkStart w:id="3" w:name="_Toc218596943"/>
      <w:r w:rsidRPr="00630566">
        <w:rPr>
          <w:rFonts w:eastAsia="Times New Roman"/>
        </w:rPr>
        <w:t>Porter’s Five Forces Analysis</w:t>
      </w:r>
      <w:bookmarkEnd w:id="3"/>
    </w:p>
    <w:p w14:paraId="415CE446" w14:textId="59C63E59" w:rsidR="00630566" w:rsidRDefault="00630566" w:rsidP="00630566">
      <w:pPr>
        <w:spacing w:after="100" w:afterAutospacing="1"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color w:val="1F1F1F"/>
          <w:kern w:val="0"/>
          <w14:ligatures w14:val="none"/>
        </w:rPr>
        <w:t>Developed by Michael E. Porter, the Five Forces model defines five key dimensions to analyse a company’s competitive landscape in its market.</w:t>
      </w:r>
      <w:r>
        <w:rPr>
          <w:rFonts w:ascii="Times New Roman" w:eastAsia="Times New Roman" w:hAnsi="Times New Roman" w:cs="Times New Roman"/>
          <w:color w:val="1F1F1F"/>
          <w:kern w:val="0"/>
          <w14:ligatures w14:val="none"/>
        </w:rPr>
        <w:t xml:space="preserve"> </w:t>
      </w:r>
    </w:p>
    <w:p w14:paraId="67B0D2DA" w14:textId="530D6E1D" w:rsidR="00046301" w:rsidRDefault="00046301" w:rsidP="00630566">
      <w:pPr>
        <w:spacing w:after="100" w:afterAutospacing="1" w:line="360" w:lineRule="auto"/>
        <w:jc w:val="both"/>
        <w:rPr>
          <w:rFonts w:ascii="Times New Roman" w:eastAsia="Times New Roman" w:hAnsi="Times New Roman" w:cs="Times New Roman"/>
          <w:color w:val="1F1F1F"/>
          <w:kern w:val="0"/>
          <w14:ligatures w14:val="none"/>
        </w:rPr>
      </w:pPr>
      <w:r>
        <w:rPr>
          <w:rFonts w:ascii="Times New Roman" w:eastAsia="Times New Roman" w:hAnsi="Times New Roman" w:cs="Times New Roman"/>
          <w:noProof/>
          <w:color w:val="1F1F1F"/>
          <w:kern w:val="0"/>
          <w14:ligatures w14:val="none"/>
        </w:rPr>
        <w:drawing>
          <wp:inline distT="0" distB="0" distL="0" distR="0" wp14:anchorId="60B58C9C" wp14:editId="69C4241D">
            <wp:extent cx="5891842" cy="4418881"/>
            <wp:effectExtent l="0" t="0" r="0" b="1270"/>
            <wp:docPr id="3665575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2403" cy="4449302"/>
                    </a:xfrm>
                    <a:prstGeom prst="rect">
                      <a:avLst/>
                    </a:prstGeom>
                    <a:noFill/>
                  </pic:spPr>
                </pic:pic>
              </a:graphicData>
            </a:graphic>
          </wp:inline>
        </w:drawing>
      </w:r>
    </w:p>
    <w:p w14:paraId="38990627" w14:textId="13BBD080" w:rsidR="00046301" w:rsidRPr="00630566" w:rsidRDefault="00046301" w:rsidP="00046301">
      <w:pPr>
        <w:spacing w:after="100" w:afterAutospacing="1" w:line="360" w:lineRule="auto"/>
        <w:jc w:val="center"/>
        <w:rPr>
          <w:rFonts w:ascii="Times New Roman" w:eastAsia="Times New Roman" w:hAnsi="Times New Roman" w:cs="Times New Roman"/>
          <w:color w:val="1F1F1F"/>
          <w:kern w:val="0"/>
          <w14:ligatures w14:val="none"/>
        </w:rPr>
      </w:pPr>
      <w:r w:rsidRPr="00046301">
        <w:rPr>
          <w:rFonts w:ascii="Times New Roman" w:eastAsia="Times New Roman" w:hAnsi="Times New Roman" w:cs="Times New Roman"/>
          <w:b/>
          <w:bCs/>
          <w:color w:val="1F1F1F"/>
          <w:kern w:val="0"/>
          <w14:ligatures w14:val="none"/>
        </w:rPr>
        <w:t>Figure</w:t>
      </w:r>
      <w:r>
        <w:rPr>
          <w:rFonts w:ascii="Times New Roman" w:eastAsia="Times New Roman" w:hAnsi="Times New Roman" w:cs="Times New Roman"/>
          <w:color w:val="1F1F1F"/>
          <w:kern w:val="0"/>
          <w14:ligatures w14:val="none"/>
        </w:rPr>
        <w:t>: Porter’s Five Forces Model</w:t>
      </w:r>
    </w:p>
    <w:p w14:paraId="23AE2FEB" w14:textId="77777777" w:rsidR="00630566" w:rsidRPr="00630566" w:rsidRDefault="00630566" w:rsidP="00630566">
      <w:pPr>
        <w:pStyle w:val="ListParagraph"/>
        <w:numPr>
          <w:ilvl w:val="0"/>
          <w:numId w:val="12"/>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Competitive Rivalry (High):</w:t>
      </w:r>
      <w:r w:rsidRPr="00630566">
        <w:rPr>
          <w:rFonts w:ascii="Times New Roman" w:eastAsia="Times New Roman" w:hAnsi="Times New Roman" w:cs="Times New Roman"/>
          <w:color w:val="1F1F1F"/>
          <w:kern w:val="0"/>
          <w14:ligatures w14:val="none"/>
        </w:rPr>
        <w:t xml:space="preserve"> AstraZeneca operates in a highly saturated market (Johannesson, 2021). In its main source of revenue, its Oncology segment, it is in intense competition with pharmaceutical giants such as Pfizer, Roche, and Merck (AstraZeneca, </w:t>
      </w:r>
      <w:r w:rsidRPr="00630566">
        <w:rPr>
          <w:rFonts w:ascii="Times New Roman" w:eastAsia="Times New Roman" w:hAnsi="Times New Roman" w:cs="Times New Roman"/>
          <w:color w:val="1F1F1F"/>
          <w:kern w:val="0"/>
          <w14:ligatures w14:val="none"/>
        </w:rPr>
        <w:lastRenderedPageBreak/>
        <w:t>2024). As such, it must constantly innovate, find new solutions, differentiate itself from its rivals, and provide better value for the customers (Ferdinand, 2019). AstraZeneca proves to be highly successful in retaining its market share and even growing, despite such intense competition (American Pharmaceutical Review, 2025). This could mostly be attributed to its relentless innovation, and its marketing department that translates these successes into market success (Hoeffler and Keller, 2023).</w:t>
      </w:r>
    </w:p>
    <w:p w14:paraId="6C70FFB8" w14:textId="77777777" w:rsidR="00630566" w:rsidRPr="00630566" w:rsidRDefault="00630566" w:rsidP="00630566">
      <w:pPr>
        <w:pStyle w:val="ListParagraph"/>
        <w:numPr>
          <w:ilvl w:val="0"/>
          <w:numId w:val="12"/>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Threat of New Entrants (Very Low):</w:t>
      </w:r>
      <w:r w:rsidRPr="00630566">
        <w:rPr>
          <w:rFonts w:ascii="Times New Roman" w:eastAsia="Times New Roman" w:hAnsi="Times New Roman" w:cs="Times New Roman"/>
          <w:color w:val="1F1F1F"/>
          <w:kern w:val="0"/>
          <w14:ligatures w14:val="none"/>
        </w:rPr>
        <w:t xml:space="preserve"> AstraZeneca is strongly established in its market (Barney and Hesterly, 2019). It is a large corporation, with significant capital and a reputation for excellence and quality (Hoeffler and Keller, 2023). It is one of the most innovative pharmaceutical companies in the world (AstraZeneca, 2022). Any new entrant into its industry will have to achieve all that to be able to effectively compete against AstraZeneca (Johannesson, 2021). However, it will require significant capital investment to be able to achieve the same qualities of AstraZeneca (Burrow and Becraft, 2020). Even still, it would take a lot of time to build a brand image and reputation of excellence, good customer service, and innovativeness that AstraZeneca has (Goldman, 2018). For these reasons, the threat from new entrants coming into the industry and disrupting AstraZeneca’s business success is very low.</w:t>
      </w:r>
    </w:p>
    <w:p w14:paraId="460F1C45" w14:textId="77777777" w:rsidR="00630566" w:rsidRPr="00630566" w:rsidRDefault="00630566" w:rsidP="00630566">
      <w:pPr>
        <w:pStyle w:val="ListParagraph"/>
        <w:numPr>
          <w:ilvl w:val="0"/>
          <w:numId w:val="12"/>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Bargaining Power of Buyers (Very High):</w:t>
      </w:r>
      <w:r w:rsidRPr="00630566">
        <w:rPr>
          <w:rFonts w:ascii="Times New Roman" w:eastAsia="Times New Roman" w:hAnsi="Times New Roman" w:cs="Times New Roman"/>
          <w:color w:val="1F1F1F"/>
          <w:kern w:val="0"/>
          <w14:ligatures w14:val="none"/>
        </w:rPr>
        <w:t xml:space="preserve"> AstraZeneca gets most of its sales from governmental bodies or other institutions, such as health insurance providers, instead of individual patients (Mennen, 2010). As these buyers are incredibly price-sensitive, and buy large volumes of medicines, they can easily get the medicines from one of AstraZeneca’s competitors (Campbell, 2021). Moreover, these governmental bodies often have legislative regulations on their side, giving them significant advantage over AstraZeneca (Alexis, 2021). Moreover, the pharmaceutical market is highly saturated, and buyers have a lot of choices (Barney and Hesterly, 2019). This gives them significant bargaining power, resulting in lower profit margins for AstraZeneca (Mennen, 2010).</w:t>
      </w:r>
    </w:p>
    <w:p w14:paraId="4CBC6898" w14:textId="77777777" w:rsidR="00630566" w:rsidRPr="00630566" w:rsidRDefault="00630566" w:rsidP="00630566">
      <w:pPr>
        <w:pStyle w:val="ListParagraph"/>
        <w:numPr>
          <w:ilvl w:val="0"/>
          <w:numId w:val="12"/>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Bargaining Power of Suppliers (Medium to High):</w:t>
      </w:r>
      <w:r w:rsidRPr="00630566">
        <w:rPr>
          <w:rFonts w:ascii="Times New Roman" w:eastAsia="Times New Roman" w:hAnsi="Times New Roman" w:cs="Times New Roman"/>
          <w:color w:val="1F1F1F"/>
          <w:kern w:val="0"/>
          <w14:ligatures w14:val="none"/>
        </w:rPr>
        <w:t xml:space="preserve"> AstraZeneca only sources its materials from a limited number of suppliers (Chopra, 2021). Moreover, with the massive volume of APIs that it needs, not many suppliers could provide it with raw materials either (Javaid </w:t>
      </w:r>
      <w:proofErr w:type="gramStart"/>
      <w:r w:rsidRPr="00630566">
        <w:rPr>
          <w:rFonts w:ascii="Times New Roman" w:eastAsia="Times New Roman" w:hAnsi="Times New Roman" w:cs="Times New Roman"/>
          <w:color w:val="1F1F1F"/>
          <w:kern w:val="0"/>
          <w14:ligatures w14:val="none"/>
        </w:rPr>
        <w:t>and</w:t>
      </w:r>
      <w:proofErr w:type="gramEnd"/>
      <w:r w:rsidRPr="00630566">
        <w:rPr>
          <w:rFonts w:ascii="Times New Roman" w:eastAsia="Times New Roman" w:hAnsi="Times New Roman" w:cs="Times New Roman"/>
          <w:color w:val="1F1F1F"/>
          <w:kern w:val="0"/>
          <w14:ligatures w14:val="none"/>
        </w:rPr>
        <w:t xml:space="preserve"> Siddiqui, 2018). The company sources most of its raw materials from Asia (Coşar et al., 2021). Any switch in the suppliers also comes with its own complications, </w:t>
      </w:r>
      <w:r w:rsidRPr="00630566">
        <w:rPr>
          <w:rFonts w:ascii="Times New Roman" w:eastAsia="Times New Roman" w:hAnsi="Times New Roman" w:cs="Times New Roman"/>
          <w:color w:val="1F1F1F"/>
          <w:kern w:val="0"/>
          <w14:ligatures w14:val="none"/>
        </w:rPr>
        <w:lastRenderedPageBreak/>
        <w:t>and it takes time for AstraZeneca to properly qualify a new supplier (Chopra, 2021). Switching costs are also high (Javaid and Siddiqui, 2018). For this reason, suppliers have a lot of bargaining power on AstraZeneca. The company somewhat counters this by creating long-term mutually beneficial partnerships with its suppliers (Farmer and Hogue, 2020).</w:t>
      </w:r>
    </w:p>
    <w:p w14:paraId="73056DC7" w14:textId="77777777" w:rsidR="00630566" w:rsidRPr="00630566" w:rsidRDefault="00630566" w:rsidP="00630566">
      <w:pPr>
        <w:pStyle w:val="ListParagraph"/>
        <w:numPr>
          <w:ilvl w:val="0"/>
          <w:numId w:val="12"/>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Threat of Substitutes (High):</w:t>
      </w:r>
      <w:r w:rsidRPr="00630566">
        <w:rPr>
          <w:rFonts w:ascii="Times New Roman" w:eastAsia="Times New Roman" w:hAnsi="Times New Roman" w:cs="Times New Roman"/>
          <w:color w:val="1F1F1F"/>
          <w:kern w:val="0"/>
          <w14:ligatures w14:val="none"/>
        </w:rPr>
        <w:t xml:space="preserve"> Once the patent for a medicine that AstraZeneca developed expires, traditional medicine manufacturers can offer the same medicine for much less the cost than AstraZeneca (Johannesson, 2021). This is one of the biggest threats to AstraZeneca’s business model (Burrow and Becraft, 2020). Moreover, its competitors can also manufacture medicines that are good alternatives for its medicines (Barney and Hesterly, 2019). This makes the threat of substitution incredibly high for the company (Mennen, 2010). In this area, AstraZeneca’s marketing strategy proves to be highly effective, as it convinces the patients and doctors to trust in its brand value rather than other options (Hoeffler and Keller, 2023).</w:t>
      </w:r>
    </w:p>
    <w:p w14:paraId="32514DFA" w14:textId="77777777" w:rsidR="00630566" w:rsidRPr="00630566" w:rsidRDefault="00630566" w:rsidP="00630566">
      <w:pPr>
        <w:pStyle w:val="Heading2"/>
        <w:rPr>
          <w:rFonts w:eastAsia="Times New Roman"/>
        </w:rPr>
      </w:pPr>
      <w:bookmarkStart w:id="4" w:name="_Toc218596944"/>
      <w:r w:rsidRPr="00630566">
        <w:rPr>
          <w:rFonts w:eastAsia="Times New Roman"/>
        </w:rPr>
        <w:t>Customer Analysis</w:t>
      </w:r>
      <w:bookmarkEnd w:id="4"/>
    </w:p>
    <w:p w14:paraId="74292BD6" w14:textId="77777777" w:rsidR="00630566" w:rsidRPr="00630566" w:rsidRDefault="00630566" w:rsidP="00630566">
      <w:pPr>
        <w:spacing w:after="24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color w:val="1F1F1F"/>
          <w:kern w:val="0"/>
          <w14:ligatures w14:val="none"/>
        </w:rPr>
        <w:t xml:space="preserve">AstraZeneca is one of the biggest pharmaceutical giants in the world, and its branches are across every major region, in the markets of every major economy (AstraZeneca, 2024). It has one of the most diverse customer </w:t>
      </w:r>
      <w:proofErr w:type="gramStart"/>
      <w:r w:rsidRPr="00630566">
        <w:rPr>
          <w:rFonts w:ascii="Times New Roman" w:eastAsia="Times New Roman" w:hAnsi="Times New Roman" w:cs="Times New Roman"/>
          <w:color w:val="1F1F1F"/>
          <w:kern w:val="0"/>
          <w14:ligatures w14:val="none"/>
        </w:rPr>
        <w:t>base</w:t>
      </w:r>
      <w:proofErr w:type="gramEnd"/>
      <w:r w:rsidRPr="00630566">
        <w:rPr>
          <w:rFonts w:ascii="Times New Roman" w:eastAsia="Times New Roman" w:hAnsi="Times New Roman" w:cs="Times New Roman"/>
          <w:color w:val="1F1F1F"/>
          <w:kern w:val="0"/>
          <w14:ligatures w14:val="none"/>
        </w:rPr>
        <w:t xml:space="preserve"> that a company can ever have, and their needs and demands are constantly changing (Camillus, 2022a). It is impossible for the company to follow and catch up to these changing needs and demands (Camillus, 2022b). So, AstraZeneca instead aims to lead the customers in these changes (Camillus, 2021). </w:t>
      </w:r>
      <w:proofErr w:type="gramStart"/>
      <w:r w:rsidRPr="00630566">
        <w:rPr>
          <w:rFonts w:ascii="Times New Roman" w:eastAsia="Times New Roman" w:hAnsi="Times New Roman" w:cs="Times New Roman"/>
          <w:color w:val="1F1F1F"/>
          <w:kern w:val="0"/>
          <w14:ligatures w14:val="none"/>
        </w:rPr>
        <w:t>In order to</w:t>
      </w:r>
      <w:proofErr w:type="gramEnd"/>
      <w:r w:rsidRPr="00630566">
        <w:rPr>
          <w:rFonts w:ascii="Times New Roman" w:eastAsia="Times New Roman" w:hAnsi="Times New Roman" w:cs="Times New Roman"/>
          <w:color w:val="1F1F1F"/>
          <w:kern w:val="0"/>
          <w14:ligatures w14:val="none"/>
        </w:rPr>
        <w:t xml:space="preserve"> do this, however, the company needs to understand its customers well (</w:t>
      </w:r>
      <w:proofErr w:type="spellStart"/>
      <w:r w:rsidRPr="00630566">
        <w:rPr>
          <w:rFonts w:ascii="Times New Roman" w:eastAsia="Times New Roman" w:hAnsi="Times New Roman" w:cs="Times New Roman"/>
          <w:color w:val="1F1F1F"/>
          <w:kern w:val="0"/>
          <w14:ligatures w14:val="none"/>
        </w:rPr>
        <w:t>Lerza</w:t>
      </w:r>
      <w:proofErr w:type="spellEnd"/>
      <w:r w:rsidRPr="00630566">
        <w:rPr>
          <w:rFonts w:ascii="Times New Roman" w:eastAsia="Times New Roman" w:hAnsi="Times New Roman" w:cs="Times New Roman"/>
          <w:color w:val="1F1F1F"/>
          <w:kern w:val="0"/>
          <w14:ligatures w14:val="none"/>
        </w:rPr>
        <w:t>, 2021). This is easier said than done, as the customer for AstraZeneca is no single entity, but millions of individuals scattered all around the world (Hoeffler and Keller, 2023). This becomes an incredibly complex change management operation for the company (Camillus, 2022a). At the heart of all of AstraZeneca’s processes, procedures, and practices, is the brand image of a customer-oriented company (</w:t>
      </w:r>
      <w:proofErr w:type="spellStart"/>
      <w:r w:rsidRPr="00630566">
        <w:rPr>
          <w:rFonts w:ascii="Times New Roman" w:eastAsia="Times New Roman" w:hAnsi="Times New Roman" w:cs="Times New Roman"/>
          <w:color w:val="1F1F1F"/>
          <w:kern w:val="0"/>
          <w14:ligatures w14:val="none"/>
        </w:rPr>
        <w:t>Bueschken</w:t>
      </w:r>
      <w:proofErr w:type="spellEnd"/>
      <w:r w:rsidRPr="00630566">
        <w:rPr>
          <w:rFonts w:ascii="Times New Roman" w:eastAsia="Times New Roman" w:hAnsi="Times New Roman" w:cs="Times New Roman"/>
          <w:color w:val="1F1F1F"/>
          <w:kern w:val="0"/>
          <w14:ligatures w14:val="none"/>
        </w:rPr>
        <w:t>, 2019).</w:t>
      </w:r>
    </w:p>
    <w:p w14:paraId="6A839D89" w14:textId="77777777" w:rsidR="00630566" w:rsidRPr="00630566" w:rsidRDefault="00630566" w:rsidP="00630566">
      <w:pPr>
        <w:pStyle w:val="Heading3"/>
        <w:rPr>
          <w:rFonts w:eastAsia="Times New Roman"/>
        </w:rPr>
      </w:pPr>
      <w:bookmarkStart w:id="5" w:name="_Toc218596945"/>
      <w:r w:rsidRPr="00630566">
        <w:rPr>
          <w:rFonts w:eastAsia="Times New Roman"/>
        </w:rPr>
        <w:t>Segmentation of the Customer Ecosystem</w:t>
      </w:r>
      <w:bookmarkEnd w:id="5"/>
    </w:p>
    <w:p w14:paraId="563F8715" w14:textId="77777777" w:rsidR="00630566" w:rsidRPr="00630566" w:rsidRDefault="00630566" w:rsidP="00630566">
      <w:pPr>
        <w:spacing w:after="100" w:afterAutospacing="1"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color w:val="1F1F1F"/>
          <w:kern w:val="0"/>
          <w14:ligatures w14:val="none"/>
        </w:rPr>
        <w:t>To understand and manage the changing needs of the customers, it is imperative that AstraZeneca divide the customer ecosystem into different segments (Kotler and Armstrong, 2018).</w:t>
      </w:r>
    </w:p>
    <w:p w14:paraId="5E2E0333" w14:textId="77777777" w:rsidR="00630566" w:rsidRPr="00630566" w:rsidRDefault="00630566" w:rsidP="00630566">
      <w:pPr>
        <w:numPr>
          <w:ilvl w:val="0"/>
          <w:numId w:val="8"/>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lastRenderedPageBreak/>
        <w:t>Healthcare Providers (HCPs):</w:t>
      </w:r>
      <w:r w:rsidRPr="00630566">
        <w:rPr>
          <w:rFonts w:ascii="Times New Roman" w:eastAsia="Times New Roman" w:hAnsi="Times New Roman" w:cs="Times New Roman"/>
          <w:color w:val="1F1F1F"/>
          <w:kern w:val="0"/>
          <w14:ligatures w14:val="none"/>
        </w:rPr>
        <w:t xml:space="preserve"> In this segment of AstraZeneca’s customers, there are medical professionals who work closely with patient in either diagnostic or consultancy roles (Goldman, 2018). These are professionals at the top of their fields who rely on tried and tested medicine and real-world evidence to suggest </w:t>
      </w:r>
      <w:proofErr w:type="gramStart"/>
      <w:r w:rsidRPr="00630566">
        <w:rPr>
          <w:rFonts w:ascii="Times New Roman" w:eastAsia="Times New Roman" w:hAnsi="Times New Roman" w:cs="Times New Roman"/>
          <w:color w:val="1F1F1F"/>
          <w:kern w:val="0"/>
          <w14:ligatures w14:val="none"/>
        </w:rPr>
        <w:t>patients</w:t>
      </w:r>
      <w:proofErr w:type="gramEnd"/>
      <w:r w:rsidRPr="00630566">
        <w:rPr>
          <w:rFonts w:ascii="Times New Roman" w:eastAsia="Times New Roman" w:hAnsi="Times New Roman" w:cs="Times New Roman"/>
          <w:color w:val="1F1F1F"/>
          <w:kern w:val="0"/>
          <w14:ligatures w14:val="none"/>
        </w:rPr>
        <w:t xml:space="preserve"> medicines according to their needs (Hoeffler and Keller, 2023). </w:t>
      </w:r>
      <w:proofErr w:type="gramStart"/>
      <w:r w:rsidRPr="00630566">
        <w:rPr>
          <w:rFonts w:ascii="Times New Roman" w:eastAsia="Times New Roman" w:hAnsi="Times New Roman" w:cs="Times New Roman"/>
          <w:color w:val="1F1F1F"/>
          <w:kern w:val="0"/>
          <w14:ligatures w14:val="none"/>
        </w:rPr>
        <w:t>In order to</w:t>
      </w:r>
      <w:proofErr w:type="gramEnd"/>
      <w:r w:rsidRPr="00630566">
        <w:rPr>
          <w:rFonts w:ascii="Times New Roman" w:eastAsia="Times New Roman" w:hAnsi="Times New Roman" w:cs="Times New Roman"/>
          <w:color w:val="1F1F1F"/>
          <w:kern w:val="0"/>
          <w14:ligatures w14:val="none"/>
        </w:rPr>
        <w:t xml:space="preserve"> be convincing to the customers regarding the quality of its medicines, AstraZeneca approach them through these professionals (Goldman, 2018). Patients are more likely to trust them over any other professional salespeople, and these professionals are more likely to be able to ascertain the quality advantage AstraZeneca has over others (</w:t>
      </w:r>
      <w:proofErr w:type="spellStart"/>
      <w:r w:rsidRPr="00630566">
        <w:rPr>
          <w:rFonts w:ascii="Times New Roman" w:eastAsia="Times New Roman" w:hAnsi="Times New Roman" w:cs="Times New Roman"/>
          <w:color w:val="1F1F1F"/>
          <w:kern w:val="0"/>
          <w14:ligatures w14:val="none"/>
        </w:rPr>
        <w:t>Lerza</w:t>
      </w:r>
      <w:proofErr w:type="spellEnd"/>
      <w:r w:rsidRPr="00630566">
        <w:rPr>
          <w:rFonts w:ascii="Times New Roman" w:eastAsia="Times New Roman" w:hAnsi="Times New Roman" w:cs="Times New Roman"/>
          <w:color w:val="1F1F1F"/>
          <w:kern w:val="0"/>
          <w14:ligatures w14:val="none"/>
        </w:rPr>
        <w:t>, 2021).</w:t>
      </w:r>
    </w:p>
    <w:p w14:paraId="263D9BD0" w14:textId="77777777" w:rsidR="00630566" w:rsidRPr="00630566" w:rsidRDefault="00630566" w:rsidP="00630566">
      <w:pPr>
        <w:numPr>
          <w:ilvl w:val="0"/>
          <w:numId w:val="8"/>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Institutional Payers:</w:t>
      </w:r>
      <w:r w:rsidRPr="00630566">
        <w:rPr>
          <w:rFonts w:ascii="Times New Roman" w:eastAsia="Times New Roman" w:hAnsi="Times New Roman" w:cs="Times New Roman"/>
          <w:color w:val="1F1F1F"/>
          <w:kern w:val="0"/>
          <w14:ligatures w14:val="none"/>
        </w:rPr>
        <w:t xml:space="preserve"> In this group of AstraZeneca’s customers, governmental healthcare agencies such as the NHS and insurance providers can be found (Mennen, 2010). The main concerns of these organizations or agencies are the cost-effectiveness and budget-friendliness of the medicines that they buy (Campbell, 2021). AstraZeneca approaches them through a value-based business model, where the organization justifies the high prices of its medicines by highlighting the long-term cut in the costs of treatment (Barney and Hesterly, 2019).</w:t>
      </w:r>
    </w:p>
    <w:p w14:paraId="248F3DB3" w14:textId="77777777" w:rsidR="00630566" w:rsidRPr="00630566" w:rsidRDefault="00630566" w:rsidP="00630566">
      <w:pPr>
        <w:numPr>
          <w:ilvl w:val="0"/>
          <w:numId w:val="8"/>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Patients:</w:t>
      </w:r>
      <w:r w:rsidRPr="00630566">
        <w:rPr>
          <w:rFonts w:ascii="Times New Roman" w:eastAsia="Times New Roman" w:hAnsi="Times New Roman" w:cs="Times New Roman"/>
          <w:color w:val="1F1F1F"/>
          <w:kern w:val="0"/>
          <w14:ligatures w14:val="none"/>
        </w:rPr>
        <w:t xml:space="preserve"> Patients are the primary recipient and consumer of the health benefits of AstraZeneca’s medicines (AstraZeneca US, 2025). As such, </w:t>
      </w:r>
      <w:proofErr w:type="gramStart"/>
      <w:r w:rsidRPr="00630566">
        <w:rPr>
          <w:rFonts w:ascii="Times New Roman" w:eastAsia="Times New Roman" w:hAnsi="Times New Roman" w:cs="Times New Roman"/>
          <w:color w:val="1F1F1F"/>
          <w:kern w:val="0"/>
          <w14:ligatures w14:val="none"/>
        </w:rPr>
        <w:t>any and all</w:t>
      </w:r>
      <w:proofErr w:type="gramEnd"/>
      <w:r w:rsidRPr="00630566">
        <w:rPr>
          <w:rFonts w:ascii="Times New Roman" w:eastAsia="Times New Roman" w:hAnsi="Times New Roman" w:cs="Times New Roman"/>
          <w:color w:val="1F1F1F"/>
          <w:kern w:val="0"/>
          <w14:ligatures w14:val="none"/>
        </w:rPr>
        <w:t xml:space="preserve"> business practices that AstraZeneca takes must ultimately be taken up to provide them with value (</w:t>
      </w:r>
      <w:proofErr w:type="spellStart"/>
      <w:r w:rsidRPr="00630566">
        <w:rPr>
          <w:rFonts w:ascii="Times New Roman" w:eastAsia="Times New Roman" w:hAnsi="Times New Roman" w:cs="Times New Roman"/>
          <w:color w:val="1F1F1F"/>
          <w:kern w:val="0"/>
          <w14:ligatures w14:val="none"/>
        </w:rPr>
        <w:t>Lerza</w:t>
      </w:r>
      <w:proofErr w:type="spellEnd"/>
      <w:r w:rsidRPr="00630566">
        <w:rPr>
          <w:rFonts w:ascii="Times New Roman" w:eastAsia="Times New Roman" w:hAnsi="Times New Roman" w:cs="Times New Roman"/>
          <w:color w:val="1F1F1F"/>
          <w:kern w:val="0"/>
          <w14:ligatures w14:val="none"/>
        </w:rPr>
        <w:t>, 2021). Nowadays, patients demand not only effective healthcare, but also a satisfying experience at the same time (</w:t>
      </w:r>
      <w:proofErr w:type="spellStart"/>
      <w:r w:rsidRPr="00630566">
        <w:rPr>
          <w:rFonts w:ascii="Times New Roman" w:eastAsia="Times New Roman" w:hAnsi="Times New Roman" w:cs="Times New Roman"/>
          <w:color w:val="1F1F1F"/>
          <w:kern w:val="0"/>
          <w14:ligatures w14:val="none"/>
        </w:rPr>
        <w:t>Bueschken</w:t>
      </w:r>
      <w:proofErr w:type="spellEnd"/>
      <w:r w:rsidRPr="00630566">
        <w:rPr>
          <w:rFonts w:ascii="Times New Roman" w:eastAsia="Times New Roman" w:hAnsi="Times New Roman" w:cs="Times New Roman"/>
          <w:color w:val="1F1F1F"/>
          <w:kern w:val="0"/>
          <w14:ligatures w14:val="none"/>
        </w:rPr>
        <w:t>, 2019). It is their demands that AstraZeneca must remain the most vigilant about (</w:t>
      </w:r>
      <w:proofErr w:type="spellStart"/>
      <w:r w:rsidRPr="00630566">
        <w:rPr>
          <w:rFonts w:ascii="Times New Roman" w:eastAsia="Times New Roman" w:hAnsi="Times New Roman" w:cs="Times New Roman"/>
          <w:color w:val="1F1F1F"/>
          <w:kern w:val="0"/>
          <w14:ligatures w14:val="none"/>
        </w:rPr>
        <w:t>Lerza</w:t>
      </w:r>
      <w:proofErr w:type="spellEnd"/>
      <w:r w:rsidRPr="00630566">
        <w:rPr>
          <w:rFonts w:ascii="Times New Roman" w:eastAsia="Times New Roman" w:hAnsi="Times New Roman" w:cs="Times New Roman"/>
          <w:color w:val="1F1F1F"/>
          <w:kern w:val="0"/>
          <w14:ligatures w14:val="none"/>
        </w:rPr>
        <w:t>, 2021).</w:t>
      </w:r>
    </w:p>
    <w:p w14:paraId="263ECC47" w14:textId="77777777" w:rsidR="00630566" w:rsidRPr="00630566" w:rsidRDefault="00630566" w:rsidP="00630566">
      <w:pPr>
        <w:pStyle w:val="Heading3"/>
        <w:rPr>
          <w:rFonts w:eastAsia="Times New Roman"/>
        </w:rPr>
      </w:pPr>
      <w:bookmarkStart w:id="6" w:name="_Toc218596946"/>
      <w:r w:rsidRPr="00630566">
        <w:rPr>
          <w:rFonts w:eastAsia="Times New Roman"/>
        </w:rPr>
        <w:t>Personalization and Digital Engagement</w:t>
      </w:r>
      <w:bookmarkEnd w:id="6"/>
    </w:p>
    <w:p w14:paraId="522F87E0" w14:textId="77777777" w:rsidR="00630566" w:rsidRPr="00630566" w:rsidRDefault="00630566" w:rsidP="00630566">
      <w:pPr>
        <w:spacing w:after="100" w:afterAutospacing="1"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color w:val="1F1F1F"/>
          <w:kern w:val="0"/>
          <w14:ligatures w14:val="none"/>
        </w:rPr>
        <w:t>Based on the segmentation of customer ecosystem, AstraZeneca designs engagement approaches to ensure that its customers get value beyond mere medicines for their support (AstraZeneca US, 2025).</w:t>
      </w:r>
    </w:p>
    <w:p w14:paraId="047C6C2D" w14:textId="77777777" w:rsidR="00630566" w:rsidRPr="00630566" w:rsidRDefault="00630566" w:rsidP="00630566">
      <w:pPr>
        <w:numPr>
          <w:ilvl w:val="0"/>
          <w:numId w:val="9"/>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Omnichannel Orchestration:</w:t>
      </w:r>
      <w:r w:rsidRPr="00630566">
        <w:rPr>
          <w:rFonts w:ascii="Times New Roman" w:eastAsia="Times New Roman" w:hAnsi="Times New Roman" w:cs="Times New Roman"/>
          <w:color w:val="1F1F1F"/>
          <w:kern w:val="0"/>
          <w14:ligatures w14:val="none"/>
        </w:rPr>
        <w:t xml:space="preserve"> Without relying on traditional salespeople, AstraZeneca ensures the promotion of its brand image and products through omnichannel marketing (Corallo, </w:t>
      </w:r>
      <w:proofErr w:type="spellStart"/>
      <w:r w:rsidRPr="00630566">
        <w:rPr>
          <w:rFonts w:ascii="Times New Roman" w:eastAsia="Times New Roman" w:hAnsi="Times New Roman" w:cs="Times New Roman"/>
          <w:color w:val="1F1F1F"/>
          <w:kern w:val="0"/>
          <w14:ligatures w14:val="none"/>
        </w:rPr>
        <w:t>Passiante</w:t>
      </w:r>
      <w:proofErr w:type="spellEnd"/>
      <w:r w:rsidRPr="00630566">
        <w:rPr>
          <w:rFonts w:ascii="Times New Roman" w:eastAsia="Times New Roman" w:hAnsi="Times New Roman" w:cs="Times New Roman"/>
          <w:color w:val="1F1F1F"/>
          <w:kern w:val="0"/>
          <w14:ligatures w14:val="none"/>
        </w:rPr>
        <w:t xml:space="preserve"> and </w:t>
      </w:r>
      <w:proofErr w:type="spellStart"/>
      <w:r w:rsidRPr="00630566">
        <w:rPr>
          <w:rFonts w:ascii="Times New Roman" w:eastAsia="Times New Roman" w:hAnsi="Times New Roman" w:cs="Times New Roman"/>
          <w:color w:val="1F1F1F"/>
          <w:kern w:val="0"/>
          <w14:ligatures w14:val="none"/>
        </w:rPr>
        <w:t>Prencipe</w:t>
      </w:r>
      <w:proofErr w:type="spellEnd"/>
      <w:r w:rsidRPr="00630566">
        <w:rPr>
          <w:rFonts w:ascii="Times New Roman" w:eastAsia="Times New Roman" w:hAnsi="Times New Roman" w:cs="Times New Roman"/>
          <w:color w:val="1F1F1F"/>
          <w:kern w:val="0"/>
          <w14:ligatures w14:val="none"/>
        </w:rPr>
        <w:t xml:space="preserve">, 2017). In this way, AstraZeneca integrates every channel that it aims to use in its promotional campaigns and launches unified campaigns across all </w:t>
      </w:r>
      <w:r w:rsidRPr="00630566">
        <w:rPr>
          <w:rFonts w:ascii="Times New Roman" w:eastAsia="Times New Roman" w:hAnsi="Times New Roman" w:cs="Times New Roman"/>
          <w:color w:val="1F1F1F"/>
          <w:kern w:val="0"/>
          <w14:ligatures w14:val="none"/>
        </w:rPr>
        <w:lastRenderedPageBreak/>
        <w:t>those platforms (Srivastava, 2021). This process has been improved significantly with the adoption of AI practice (David Brian Szabla, 2023). AstraZeneca can, for example, tailor emails to medical professionals exactly according to their expectations (Goldman, 2018).</w:t>
      </w:r>
    </w:p>
    <w:p w14:paraId="344EBEFC" w14:textId="77777777" w:rsidR="00630566" w:rsidRPr="00630566" w:rsidRDefault="00630566" w:rsidP="00630566">
      <w:pPr>
        <w:numPr>
          <w:ilvl w:val="0"/>
          <w:numId w:val="9"/>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Digital Health Solutions:</w:t>
      </w:r>
      <w:r w:rsidRPr="00630566">
        <w:rPr>
          <w:rFonts w:ascii="Times New Roman" w:eastAsia="Times New Roman" w:hAnsi="Times New Roman" w:cs="Times New Roman"/>
          <w:color w:val="1F1F1F"/>
          <w:kern w:val="0"/>
          <w14:ligatures w14:val="none"/>
        </w:rPr>
        <w:t xml:space="preserve"> Instead of just being a just a pharmaceutical company, AstraZeneca offers solutions to the issues that its customers are facing that go beyond simple medicine (AstraZeneca US, 2025). Through its digital platforms, the company offers its customers medicine reminders, makes it easy for them to transfer health information, offers virtual consultations etc (AstraZeneca, 2022). </w:t>
      </w:r>
      <w:proofErr w:type="gramStart"/>
      <w:r w:rsidRPr="00630566">
        <w:rPr>
          <w:rFonts w:ascii="Times New Roman" w:eastAsia="Times New Roman" w:hAnsi="Times New Roman" w:cs="Times New Roman"/>
          <w:color w:val="1F1F1F"/>
          <w:kern w:val="0"/>
          <w14:ligatures w14:val="none"/>
        </w:rPr>
        <w:t>These foster long-term loyalty</w:t>
      </w:r>
      <w:proofErr w:type="gramEnd"/>
      <w:r w:rsidRPr="00630566">
        <w:rPr>
          <w:rFonts w:ascii="Times New Roman" w:eastAsia="Times New Roman" w:hAnsi="Times New Roman" w:cs="Times New Roman"/>
          <w:color w:val="1F1F1F"/>
          <w:kern w:val="0"/>
          <w14:ligatures w14:val="none"/>
        </w:rPr>
        <w:t xml:space="preserve"> and help the patients manage chronic diseases (</w:t>
      </w:r>
      <w:proofErr w:type="spellStart"/>
      <w:r w:rsidRPr="00630566">
        <w:rPr>
          <w:rFonts w:ascii="Times New Roman" w:eastAsia="Times New Roman" w:hAnsi="Times New Roman" w:cs="Times New Roman"/>
          <w:color w:val="1F1F1F"/>
          <w:kern w:val="0"/>
          <w14:ligatures w14:val="none"/>
        </w:rPr>
        <w:t>Bueschken</w:t>
      </w:r>
      <w:proofErr w:type="spellEnd"/>
      <w:r w:rsidRPr="00630566">
        <w:rPr>
          <w:rFonts w:ascii="Times New Roman" w:eastAsia="Times New Roman" w:hAnsi="Times New Roman" w:cs="Times New Roman"/>
          <w:color w:val="1F1F1F"/>
          <w:kern w:val="0"/>
          <w14:ligatures w14:val="none"/>
        </w:rPr>
        <w:t>, 2019).</w:t>
      </w:r>
    </w:p>
    <w:p w14:paraId="4C018BB5" w14:textId="77777777" w:rsidR="00630566" w:rsidRPr="00630566" w:rsidRDefault="00630566" w:rsidP="00630566">
      <w:pPr>
        <w:numPr>
          <w:ilvl w:val="0"/>
          <w:numId w:val="9"/>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AstraZeneca Direct:</w:t>
      </w:r>
      <w:r w:rsidRPr="00630566">
        <w:rPr>
          <w:rFonts w:ascii="Times New Roman" w:eastAsia="Times New Roman" w:hAnsi="Times New Roman" w:cs="Times New Roman"/>
          <w:color w:val="1F1F1F"/>
          <w:kern w:val="0"/>
          <w14:ligatures w14:val="none"/>
        </w:rPr>
        <w:t xml:space="preserve"> With the adoption of AstraZeneca Direct, a direct-to-consumer platform, AstraZeneca has made it much easier for customers to have access to medicines (AstraZeneca US, 2025). They can now just order it from the comfort of their homes, and have the necessary medicines delivered to them (AstraZeneca US, 2025). This allows AstraZeneca to cut across the middlemen straight to the customers, which saves it a lot, gains which the company then transfers to the customers, offering them medicines at much lower prices (AstraZeneca US, 2025).</w:t>
      </w:r>
    </w:p>
    <w:p w14:paraId="72598780" w14:textId="77777777" w:rsidR="00630566" w:rsidRPr="00630566" w:rsidRDefault="00630566" w:rsidP="00630566">
      <w:pPr>
        <w:pStyle w:val="Heading3"/>
        <w:rPr>
          <w:rFonts w:eastAsia="Times New Roman"/>
        </w:rPr>
      </w:pPr>
      <w:bookmarkStart w:id="7" w:name="_Toc218596947"/>
      <w:r w:rsidRPr="00630566">
        <w:rPr>
          <w:rFonts w:eastAsia="Times New Roman"/>
        </w:rPr>
        <w:t>Trust and Sustainability as a Competitive Advantage</w:t>
      </w:r>
      <w:bookmarkEnd w:id="7"/>
    </w:p>
    <w:p w14:paraId="6FB03727" w14:textId="77777777" w:rsidR="00630566" w:rsidRPr="00630566" w:rsidRDefault="00630566" w:rsidP="00630566">
      <w:pPr>
        <w:spacing w:after="100" w:afterAutospacing="1"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color w:val="1F1F1F"/>
          <w:kern w:val="0"/>
          <w14:ligatures w14:val="none"/>
        </w:rPr>
        <w:t>Above all, what truly allows AstraZeneca to retain its loyal customer base and attract new ones is its priority for the wellbeing of the customer above all (Hoeffler and Keller, 2023). It has built through many years of partnership with its customers a reputation and brand image of trust, quality, and customer-friendliness (</w:t>
      </w:r>
      <w:proofErr w:type="spellStart"/>
      <w:r w:rsidRPr="00630566">
        <w:rPr>
          <w:rFonts w:ascii="Times New Roman" w:eastAsia="Times New Roman" w:hAnsi="Times New Roman" w:cs="Times New Roman"/>
          <w:color w:val="1F1F1F"/>
          <w:kern w:val="0"/>
          <w14:ligatures w14:val="none"/>
        </w:rPr>
        <w:t>Bueschken</w:t>
      </w:r>
      <w:proofErr w:type="spellEnd"/>
      <w:r w:rsidRPr="00630566">
        <w:rPr>
          <w:rFonts w:ascii="Times New Roman" w:eastAsia="Times New Roman" w:hAnsi="Times New Roman" w:cs="Times New Roman"/>
          <w:color w:val="1F1F1F"/>
          <w:kern w:val="0"/>
          <w14:ligatures w14:val="none"/>
        </w:rPr>
        <w:t>, 2019). These strengths allow the company to weather any temporary changes or disruptions in the market, which not many other companies can boast of doing (Ferdinand, 2019).</w:t>
      </w:r>
    </w:p>
    <w:p w14:paraId="5640C489" w14:textId="77777777" w:rsidR="00630566" w:rsidRPr="00630566" w:rsidRDefault="00630566" w:rsidP="00630566">
      <w:pPr>
        <w:pStyle w:val="Heading1"/>
        <w:rPr>
          <w:rFonts w:eastAsia="Times New Roman"/>
        </w:rPr>
      </w:pPr>
      <w:bookmarkStart w:id="8" w:name="_Toc218596948"/>
      <w:r w:rsidRPr="00630566">
        <w:rPr>
          <w:rFonts w:eastAsia="Times New Roman"/>
        </w:rPr>
        <w:t>Evaluation of Marketing Strategy</w:t>
      </w:r>
      <w:bookmarkEnd w:id="8"/>
    </w:p>
    <w:p w14:paraId="0DC08EDE" w14:textId="77777777" w:rsidR="00630566" w:rsidRPr="00630566" w:rsidRDefault="00630566" w:rsidP="00630566">
      <w:pPr>
        <w:spacing w:after="24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color w:val="1F1F1F"/>
          <w:kern w:val="0"/>
          <w14:ligatures w14:val="none"/>
        </w:rPr>
        <w:t xml:space="preserve">AstraZeneca’s marketing strategy is key to its success (Kotler and Armstrong, 2018). Its marketing strategy is </w:t>
      </w:r>
      <w:proofErr w:type="spellStart"/>
      <w:r w:rsidRPr="00630566">
        <w:rPr>
          <w:rFonts w:ascii="Times New Roman" w:eastAsia="Times New Roman" w:hAnsi="Times New Roman" w:cs="Times New Roman"/>
          <w:color w:val="1F1F1F"/>
          <w:kern w:val="0"/>
          <w14:ligatures w14:val="none"/>
        </w:rPr>
        <w:t>analyzed</w:t>
      </w:r>
      <w:proofErr w:type="spellEnd"/>
      <w:r w:rsidRPr="00630566">
        <w:rPr>
          <w:rFonts w:ascii="Times New Roman" w:eastAsia="Times New Roman" w:hAnsi="Times New Roman" w:cs="Times New Roman"/>
          <w:color w:val="1F1F1F"/>
          <w:kern w:val="0"/>
          <w14:ligatures w14:val="none"/>
        </w:rPr>
        <w:t xml:space="preserve"> below through STP and 7Ps of marketing mix framework.</w:t>
      </w:r>
    </w:p>
    <w:p w14:paraId="2F359EFC" w14:textId="77777777" w:rsidR="00630566" w:rsidRPr="00630566" w:rsidRDefault="00630566" w:rsidP="00630566">
      <w:pPr>
        <w:pStyle w:val="Heading2"/>
        <w:rPr>
          <w:rFonts w:eastAsia="Times New Roman"/>
        </w:rPr>
      </w:pPr>
      <w:bookmarkStart w:id="9" w:name="_Toc218596949"/>
      <w:r w:rsidRPr="00630566">
        <w:rPr>
          <w:rFonts w:eastAsia="Times New Roman"/>
        </w:rPr>
        <w:t>Segmentation, Targeting, and Positioning (STP)</w:t>
      </w:r>
      <w:bookmarkEnd w:id="9"/>
    </w:p>
    <w:p w14:paraId="3720F633" w14:textId="77777777" w:rsidR="00630566" w:rsidRPr="00630566" w:rsidRDefault="00630566" w:rsidP="00630566">
      <w:pPr>
        <w:spacing w:after="100" w:afterAutospacing="1"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color w:val="1F1F1F"/>
          <w:kern w:val="0"/>
          <w14:ligatures w14:val="none"/>
        </w:rPr>
        <w:t>STP stands for Segmentation, Targeting, and Positioning. It is a marketing analysis framework that shifts the focus from products to customers. The STP analysis for AstraZeneca is given below.</w:t>
      </w:r>
    </w:p>
    <w:p w14:paraId="0691D567" w14:textId="77777777" w:rsidR="00630566" w:rsidRPr="00630566" w:rsidRDefault="00630566" w:rsidP="00630566">
      <w:pPr>
        <w:pStyle w:val="ListParagraph"/>
        <w:numPr>
          <w:ilvl w:val="0"/>
          <w:numId w:val="11"/>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lastRenderedPageBreak/>
        <w:t>Segmentation:</w:t>
      </w:r>
      <w:r w:rsidRPr="00630566">
        <w:rPr>
          <w:rFonts w:ascii="Times New Roman" w:eastAsia="Times New Roman" w:hAnsi="Times New Roman" w:cs="Times New Roman"/>
          <w:color w:val="1F1F1F"/>
          <w:kern w:val="0"/>
          <w14:ligatures w14:val="none"/>
        </w:rPr>
        <w:t xml:space="preserve"> AstraZeneca divides the global healthcare market into various manageable segments (Kotler and Armstrong, 2018). When dividing these areas, the company focuses on functional areas (AstraZeneca, 2024). It also has marketing segments based on geography, and developed and developing markets (Coşar et al., 2021). Each of these market segments have different needs, respond to different business and marketing approaches, and different pricings (Burrow and Becraft, 2020). By dividing the market into these segments, AstraZeneca can better understand and consider how to appeal to customers in a specific market region, retain its market share and ensure market growth (Hoeffler and Keller, 2023).</w:t>
      </w:r>
    </w:p>
    <w:p w14:paraId="23B47FDA" w14:textId="77777777" w:rsidR="00630566" w:rsidRPr="00630566" w:rsidRDefault="00630566" w:rsidP="00630566">
      <w:pPr>
        <w:pStyle w:val="ListParagraph"/>
        <w:numPr>
          <w:ilvl w:val="0"/>
          <w:numId w:val="11"/>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Targeting:</w:t>
      </w:r>
      <w:r w:rsidRPr="00630566">
        <w:rPr>
          <w:rFonts w:ascii="Times New Roman" w:eastAsia="Times New Roman" w:hAnsi="Times New Roman" w:cs="Times New Roman"/>
          <w:color w:val="1F1F1F"/>
          <w:kern w:val="0"/>
          <w14:ligatures w14:val="none"/>
        </w:rPr>
        <w:t xml:space="preserve"> Instead of targeting an entire market through broad and mass market targeting strategies, AstraZeneca has developed and continuously improves on precision and specific targeting practices (Kotler and Armstrong, 2018). Within the market segments that it has chosen, AstraZeneca specifically targets medical specialists (Goldman, 2018). These people would require up-to-date research data to make informed decisions, and AstraZeneca creates a long-term relationship with them by offering its own research data (AstraZeneca, 2022). For the governmental and health insurance buyers, it has its specific outreach programs (Mennen, 2010). For individual patients, it markets its products to them directly through AstraZeneca Direct (AstraZeneca US, 2025). For emerging markets, the organization offers tiered pricing, and discounts (Ngek Neneh, 2020). For developed markets, it offers its premium and value-based selections (Barney and Hesterly, 2019). Through these targeting practices, the company makes sure that it achieves a significant market penetration (American Pharmaceutical Review, 2025).</w:t>
      </w:r>
    </w:p>
    <w:p w14:paraId="5E9980D8" w14:textId="77777777" w:rsidR="00630566" w:rsidRPr="00630566" w:rsidRDefault="00630566" w:rsidP="00630566">
      <w:pPr>
        <w:pStyle w:val="ListParagraph"/>
        <w:numPr>
          <w:ilvl w:val="0"/>
          <w:numId w:val="11"/>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Positioning:</w:t>
      </w:r>
      <w:r w:rsidRPr="00630566">
        <w:rPr>
          <w:rFonts w:ascii="Times New Roman" w:eastAsia="Times New Roman" w:hAnsi="Times New Roman" w:cs="Times New Roman"/>
          <w:color w:val="1F1F1F"/>
          <w:kern w:val="0"/>
          <w14:ligatures w14:val="none"/>
        </w:rPr>
        <w:t xml:space="preserve"> After the market segmentation and targeting comes the positioning, where the organization positions itself to appeal to those that it targeted for sale (Kotler and Armstrong, 2018). In its brand positioning approach, AstraZeneca uses its innovation and research and development to position itself as a pioneer that constantly pushes the boundaries of medical science for its customers (AstraZeneca, 2022). This positioning would not be possible if the company did not invest significant amount of capital in its innovation and managing customer expectations (AstraZeneca, 2024). The company also presents itself to the market as a customer-oriented company, providing its customers with added value that goes beyond simple medicine (</w:t>
      </w:r>
      <w:proofErr w:type="spellStart"/>
      <w:r w:rsidRPr="00630566">
        <w:rPr>
          <w:rFonts w:ascii="Times New Roman" w:eastAsia="Times New Roman" w:hAnsi="Times New Roman" w:cs="Times New Roman"/>
          <w:color w:val="1F1F1F"/>
          <w:kern w:val="0"/>
          <w14:ligatures w14:val="none"/>
        </w:rPr>
        <w:t>Bueschken</w:t>
      </w:r>
      <w:proofErr w:type="spellEnd"/>
      <w:r w:rsidRPr="00630566">
        <w:rPr>
          <w:rFonts w:ascii="Times New Roman" w:eastAsia="Times New Roman" w:hAnsi="Times New Roman" w:cs="Times New Roman"/>
          <w:color w:val="1F1F1F"/>
          <w:kern w:val="0"/>
          <w14:ligatures w14:val="none"/>
        </w:rPr>
        <w:t xml:space="preserve">, 2019). It creates long-term </w:t>
      </w:r>
      <w:r w:rsidRPr="00630566">
        <w:rPr>
          <w:rFonts w:ascii="Times New Roman" w:eastAsia="Times New Roman" w:hAnsi="Times New Roman" w:cs="Times New Roman"/>
          <w:color w:val="1F1F1F"/>
          <w:kern w:val="0"/>
          <w14:ligatures w14:val="none"/>
        </w:rPr>
        <w:lastRenderedPageBreak/>
        <w:t>partnerships through its digital channels (Koch and Windsperger, 2017). Thus, it is not just another pharmaceutical business, it is a healthcare service provider (Hoeffler and Keller, 2023). Another position that the company takes is that of a sustainable partner to many environmental and CSR programs (Farmer and Hogue, 2020). Through these positions in the market, AstraZeneca appeals to its potential customers (Hoeffler and Keller, 2023).</w:t>
      </w:r>
    </w:p>
    <w:p w14:paraId="41F0D694" w14:textId="77777777" w:rsidR="00630566" w:rsidRPr="00630566" w:rsidRDefault="00630566" w:rsidP="00630566">
      <w:pPr>
        <w:pStyle w:val="Heading2"/>
        <w:rPr>
          <w:rFonts w:eastAsia="Times New Roman"/>
        </w:rPr>
      </w:pPr>
      <w:bookmarkStart w:id="10" w:name="_Toc218596950"/>
      <w:r w:rsidRPr="00630566">
        <w:rPr>
          <w:rFonts w:eastAsia="Times New Roman"/>
        </w:rPr>
        <w:t>The 7Ps Marketing Mix Evaluation</w:t>
      </w:r>
      <w:bookmarkEnd w:id="10"/>
    </w:p>
    <w:p w14:paraId="4F64CC1F" w14:textId="77777777" w:rsidR="00630566" w:rsidRDefault="00630566" w:rsidP="00630566">
      <w:pPr>
        <w:spacing w:after="100" w:afterAutospacing="1"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color w:val="1F1F1F"/>
          <w:kern w:val="0"/>
          <w14:ligatures w14:val="none"/>
        </w:rPr>
        <w:t xml:space="preserve">The 7Ps of the marketing mix refers to the framework that is used to create a comprehensive marketing strategy. It can also be used to analyse the marketing strategy of an organization. The 7Ps in the marketing mix stand for Product, Price, Promotion, Place, People, Process, and Physical Evidence. An analysis of AstraZeneca’s marketing strategy </w:t>
      </w:r>
      <w:proofErr w:type="gramStart"/>
      <w:r w:rsidRPr="00630566">
        <w:rPr>
          <w:rFonts w:ascii="Times New Roman" w:eastAsia="Times New Roman" w:hAnsi="Times New Roman" w:cs="Times New Roman"/>
          <w:color w:val="1F1F1F"/>
          <w:kern w:val="0"/>
          <w14:ligatures w14:val="none"/>
        </w:rPr>
        <w:t>through the use of</w:t>
      </w:r>
      <w:proofErr w:type="gramEnd"/>
      <w:r w:rsidRPr="00630566">
        <w:rPr>
          <w:rFonts w:ascii="Times New Roman" w:eastAsia="Times New Roman" w:hAnsi="Times New Roman" w:cs="Times New Roman"/>
          <w:color w:val="1F1F1F"/>
          <w:kern w:val="0"/>
          <w14:ligatures w14:val="none"/>
        </w:rPr>
        <w:t xml:space="preserve"> the 7Ps of marketing is given below.</w:t>
      </w:r>
    </w:p>
    <w:p w14:paraId="0B2FF318" w14:textId="49195F8C" w:rsidR="00046301" w:rsidRDefault="00046301" w:rsidP="00630566">
      <w:pPr>
        <w:spacing w:after="100" w:afterAutospacing="1" w:line="360" w:lineRule="auto"/>
        <w:jc w:val="both"/>
        <w:rPr>
          <w:rFonts w:ascii="Times New Roman" w:eastAsia="Times New Roman" w:hAnsi="Times New Roman" w:cs="Times New Roman"/>
          <w:color w:val="1F1F1F"/>
          <w:kern w:val="0"/>
          <w14:ligatures w14:val="none"/>
        </w:rPr>
      </w:pPr>
      <w:r>
        <w:rPr>
          <w:rFonts w:ascii="Times New Roman" w:eastAsia="Times New Roman" w:hAnsi="Times New Roman" w:cs="Times New Roman"/>
          <w:noProof/>
          <w:color w:val="1F1F1F"/>
          <w:kern w:val="0"/>
          <w14:ligatures w14:val="none"/>
        </w:rPr>
        <w:lastRenderedPageBreak/>
        <w:drawing>
          <wp:inline distT="0" distB="0" distL="0" distR="0" wp14:anchorId="392480F3" wp14:editId="71ABD72E">
            <wp:extent cx="6046612" cy="6012611"/>
            <wp:effectExtent l="0" t="0" r="0" b="7620"/>
            <wp:docPr id="20453223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a:extLst>
                        <a:ext uri="{28A0092B-C50C-407E-A947-70E740481C1C}">
                          <a14:useLocalDpi xmlns:a14="http://schemas.microsoft.com/office/drawing/2010/main" val="0"/>
                        </a:ext>
                      </a:extLst>
                    </a:blip>
                    <a:srcRect b="7928"/>
                    <a:stretch>
                      <a:fillRect/>
                    </a:stretch>
                  </pic:blipFill>
                  <pic:spPr bwMode="auto">
                    <a:xfrm>
                      <a:off x="0" y="0"/>
                      <a:ext cx="6070157" cy="6036024"/>
                    </a:xfrm>
                    <a:prstGeom prst="rect">
                      <a:avLst/>
                    </a:prstGeom>
                    <a:noFill/>
                    <a:ln>
                      <a:noFill/>
                    </a:ln>
                    <a:extLst>
                      <a:ext uri="{53640926-AAD7-44D8-BBD7-CCE9431645EC}">
                        <a14:shadowObscured xmlns:a14="http://schemas.microsoft.com/office/drawing/2010/main"/>
                      </a:ext>
                    </a:extLst>
                  </pic:spPr>
                </pic:pic>
              </a:graphicData>
            </a:graphic>
          </wp:inline>
        </w:drawing>
      </w:r>
    </w:p>
    <w:p w14:paraId="6C4D214D" w14:textId="4047A876" w:rsidR="00046301" w:rsidRPr="00630566" w:rsidRDefault="00046301" w:rsidP="00046301">
      <w:pPr>
        <w:spacing w:after="100" w:afterAutospacing="1" w:line="360" w:lineRule="auto"/>
        <w:jc w:val="center"/>
        <w:rPr>
          <w:rFonts w:ascii="Times New Roman" w:eastAsia="Times New Roman" w:hAnsi="Times New Roman" w:cs="Times New Roman"/>
          <w:color w:val="1F1F1F"/>
          <w:kern w:val="0"/>
          <w14:ligatures w14:val="none"/>
        </w:rPr>
      </w:pPr>
      <w:r w:rsidRPr="00046301">
        <w:rPr>
          <w:rFonts w:ascii="Times New Roman" w:eastAsia="Times New Roman" w:hAnsi="Times New Roman" w:cs="Times New Roman"/>
          <w:b/>
          <w:bCs/>
          <w:color w:val="1F1F1F"/>
          <w:kern w:val="0"/>
          <w14:ligatures w14:val="none"/>
        </w:rPr>
        <w:t>Figure</w:t>
      </w:r>
      <w:r>
        <w:rPr>
          <w:rFonts w:ascii="Times New Roman" w:eastAsia="Times New Roman" w:hAnsi="Times New Roman" w:cs="Times New Roman"/>
          <w:color w:val="1F1F1F"/>
          <w:kern w:val="0"/>
          <w14:ligatures w14:val="none"/>
        </w:rPr>
        <w:t>: 7Ps of Marketing Mix</w:t>
      </w:r>
    </w:p>
    <w:p w14:paraId="68F7B1BA" w14:textId="77777777" w:rsidR="00630566" w:rsidRPr="00630566" w:rsidRDefault="00630566" w:rsidP="00630566">
      <w:pPr>
        <w:pStyle w:val="ListParagraph"/>
        <w:numPr>
          <w:ilvl w:val="0"/>
          <w:numId w:val="10"/>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Product:</w:t>
      </w:r>
      <w:r w:rsidRPr="00630566">
        <w:rPr>
          <w:rFonts w:ascii="Times New Roman" w:eastAsia="Times New Roman" w:hAnsi="Times New Roman" w:cs="Times New Roman"/>
          <w:color w:val="1F1F1F"/>
          <w:kern w:val="0"/>
          <w14:ligatures w14:val="none"/>
        </w:rPr>
        <w:t xml:space="preserve"> The marketing mix works especially well for services, and AstraZeneca’s medicines are no longer mere products, but a package of high-quality healthcare service (Polo, 2021). Its medicines are enhanced through its service (Hoeffler and Keller, 2023). Along with its medicines, AstraZeneca offers its customers consultation, personalized attention and healthcare service, and accompanying benefits such as diagnostics (Goldman, 2018). They also come with digital support tools (AstraZeneca US, 2025). </w:t>
      </w:r>
      <w:proofErr w:type="gramStart"/>
      <w:r w:rsidRPr="00630566">
        <w:rPr>
          <w:rFonts w:ascii="Times New Roman" w:eastAsia="Times New Roman" w:hAnsi="Times New Roman" w:cs="Times New Roman"/>
          <w:color w:val="1F1F1F"/>
          <w:kern w:val="0"/>
          <w14:ligatures w14:val="none"/>
        </w:rPr>
        <w:t xml:space="preserve">The vast </w:t>
      </w:r>
      <w:r w:rsidRPr="00630566">
        <w:rPr>
          <w:rFonts w:ascii="Times New Roman" w:eastAsia="Times New Roman" w:hAnsi="Times New Roman" w:cs="Times New Roman"/>
          <w:color w:val="1F1F1F"/>
          <w:kern w:val="0"/>
          <w14:ligatures w14:val="none"/>
        </w:rPr>
        <w:lastRenderedPageBreak/>
        <w:t>majority of</w:t>
      </w:r>
      <w:proofErr w:type="gramEnd"/>
      <w:r w:rsidRPr="00630566">
        <w:rPr>
          <w:rFonts w:ascii="Times New Roman" w:eastAsia="Times New Roman" w:hAnsi="Times New Roman" w:cs="Times New Roman"/>
          <w:color w:val="1F1F1F"/>
          <w:kern w:val="0"/>
          <w14:ligatures w14:val="none"/>
        </w:rPr>
        <w:t xml:space="preserve"> AstraZeneca’s medicine sales are now through its personalized healthcare channels, which address the specific needs of each patient to ensure high-quality healthcare (</w:t>
      </w:r>
      <w:proofErr w:type="spellStart"/>
      <w:r w:rsidRPr="00630566">
        <w:rPr>
          <w:rFonts w:ascii="Times New Roman" w:eastAsia="Times New Roman" w:hAnsi="Times New Roman" w:cs="Times New Roman"/>
          <w:color w:val="1F1F1F"/>
          <w:kern w:val="0"/>
          <w14:ligatures w14:val="none"/>
        </w:rPr>
        <w:t>Bueschken</w:t>
      </w:r>
      <w:proofErr w:type="spellEnd"/>
      <w:r w:rsidRPr="00630566">
        <w:rPr>
          <w:rFonts w:ascii="Times New Roman" w:eastAsia="Times New Roman" w:hAnsi="Times New Roman" w:cs="Times New Roman"/>
          <w:color w:val="1F1F1F"/>
          <w:kern w:val="0"/>
          <w14:ligatures w14:val="none"/>
        </w:rPr>
        <w:t>, 2019).</w:t>
      </w:r>
    </w:p>
    <w:p w14:paraId="016A1F11" w14:textId="77777777" w:rsidR="00630566" w:rsidRPr="00630566" w:rsidRDefault="00630566" w:rsidP="00630566">
      <w:pPr>
        <w:pStyle w:val="ListParagraph"/>
        <w:numPr>
          <w:ilvl w:val="0"/>
          <w:numId w:val="10"/>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Price:</w:t>
      </w:r>
      <w:r w:rsidRPr="00630566">
        <w:rPr>
          <w:rFonts w:ascii="Times New Roman" w:eastAsia="Times New Roman" w:hAnsi="Times New Roman" w:cs="Times New Roman"/>
          <w:color w:val="1F1F1F"/>
          <w:kern w:val="0"/>
          <w14:ligatures w14:val="none"/>
        </w:rPr>
        <w:t xml:space="preserve"> With its significant operational costs, and significant investments in R &amp; D, AstraZeneca cannot compete on prices with organizations (Burrow and Becraft, 2020). As such, it operates on a value-based pricing, where it offers high value for higher prices of its treatments (Campbell, 2021). With a large inventory of innovative drugs and patents, the company can offer its patients fair value for their money (Hoeffler and Keller, 2023). However, this generally causes issues with governmental and insurance organizations, as they are averse to spending more money on drugs (Mennen, 2010). However, for many of the products that AstraZeneca sells, there are no alternatives, forcing the organizations to buy from it (Barney and Hesterly, 2019).</w:t>
      </w:r>
    </w:p>
    <w:p w14:paraId="5F367144" w14:textId="77777777" w:rsidR="00630566" w:rsidRPr="00630566" w:rsidRDefault="00630566" w:rsidP="00630566">
      <w:pPr>
        <w:pStyle w:val="ListParagraph"/>
        <w:numPr>
          <w:ilvl w:val="0"/>
          <w:numId w:val="10"/>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Place:</w:t>
      </w:r>
      <w:r w:rsidRPr="00630566">
        <w:rPr>
          <w:rFonts w:ascii="Times New Roman" w:eastAsia="Times New Roman" w:hAnsi="Times New Roman" w:cs="Times New Roman"/>
          <w:color w:val="1F1F1F"/>
          <w:kern w:val="0"/>
          <w14:ligatures w14:val="none"/>
        </w:rPr>
        <w:t xml:space="preserve"> AstraZeneca has achieved significant penetration across almost every major market, with the country operating in over 125 countries (AstraZeneca, 2024). However, relying on traditional physical locations often come with significant issues, mainly high overhead costs, overreliance on supply chain, and lack of effective quality control (Chopra, 2021). As a landmark move in 2025, the company moved away from physical locations in favour of online platform (AstraZeneca US, 2025). Known as AstraZeneca Direct, it is a direct-to-consumer digital platform operating in the US (AstraZeneca US, 2025). This has bypassed many of the issues with traditional supply chains in favour of delivering medicines directly to the customers (Chopra, 2021). This approach is beneficial not only for the company, but for its customers as well (</w:t>
      </w:r>
      <w:proofErr w:type="spellStart"/>
      <w:r w:rsidRPr="00630566">
        <w:rPr>
          <w:rFonts w:ascii="Times New Roman" w:eastAsia="Times New Roman" w:hAnsi="Times New Roman" w:cs="Times New Roman"/>
          <w:color w:val="1F1F1F"/>
          <w:kern w:val="0"/>
          <w14:ligatures w14:val="none"/>
        </w:rPr>
        <w:t>Bueschken</w:t>
      </w:r>
      <w:proofErr w:type="spellEnd"/>
      <w:r w:rsidRPr="00630566">
        <w:rPr>
          <w:rFonts w:ascii="Times New Roman" w:eastAsia="Times New Roman" w:hAnsi="Times New Roman" w:cs="Times New Roman"/>
          <w:color w:val="1F1F1F"/>
          <w:kern w:val="0"/>
          <w14:ligatures w14:val="none"/>
        </w:rPr>
        <w:t>, 2019).</w:t>
      </w:r>
    </w:p>
    <w:p w14:paraId="46A43058" w14:textId="77777777" w:rsidR="00630566" w:rsidRPr="00630566" w:rsidRDefault="00630566" w:rsidP="00630566">
      <w:pPr>
        <w:pStyle w:val="ListParagraph"/>
        <w:numPr>
          <w:ilvl w:val="0"/>
          <w:numId w:val="10"/>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Promotion:</w:t>
      </w:r>
      <w:r w:rsidRPr="00630566">
        <w:rPr>
          <w:rFonts w:ascii="Times New Roman" w:eastAsia="Times New Roman" w:hAnsi="Times New Roman" w:cs="Times New Roman"/>
          <w:color w:val="1F1F1F"/>
          <w:kern w:val="0"/>
          <w14:ligatures w14:val="none"/>
        </w:rPr>
        <w:t xml:space="preserve"> Promotion of the brand is one of the most important marketing practices (Srivastava, 2021). However, the process of promotion has changed significantly (Polo, 2021). Before, companies used to rely mainly on sales rep volume (Kotler and Armstrong, 2018). However, in recent years the industry has moved away from that practice to focus on data analytics and AI (David Brian Szabla, 2023). Through the collection of user data through its digital platform, AstraZeneca offers its individual customers products and services based on their own needs (AstraZeneca US, 2025). Moreover, the company is constantly improving its approach through data analytics (Koch and Windsperger, 2017). It also organizes conferences for any new research finds to make medicine specialists </w:t>
      </w:r>
      <w:r w:rsidRPr="00630566">
        <w:rPr>
          <w:rFonts w:ascii="Times New Roman" w:eastAsia="Times New Roman" w:hAnsi="Times New Roman" w:cs="Times New Roman"/>
          <w:color w:val="1F1F1F"/>
          <w:kern w:val="0"/>
          <w14:ligatures w14:val="none"/>
        </w:rPr>
        <w:lastRenderedPageBreak/>
        <w:t xml:space="preserve">interested in them (AstraZeneca, 2022). This is much more successful rather than depending on physical sales practices (Corallo, </w:t>
      </w:r>
      <w:proofErr w:type="spellStart"/>
      <w:r w:rsidRPr="00630566">
        <w:rPr>
          <w:rFonts w:ascii="Times New Roman" w:eastAsia="Times New Roman" w:hAnsi="Times New Roman" w:cs="Times New Roman"/>
          <w:color w:val="1F1F1F"/>
          <w:kern w:val="0"/>
          <w14:ligatures w14:val="none"/>
        </w:rPr>
        <w:t>Passiante</w:t>
      </w:r>
      <w:proofErr w:type="spellEnd"/>
      <w:r w:rsidRPr="00630566">
        <w:rPr>
          <w:rFonts w:ascii="Times New Roman" w:eastAsia="Times New Roman" w:hAnsi="Times New Roman" w:cs="Times New Roman"/>
          <w:color w:val="1F1F1F"/>
          <w:kern w:val="0"/>
          <w14:ligatures w14:val="none"/>
        </w:rPr>
        <w:t xml:space="preserve"> and </w:t>
      </w:r>
      <w:proofErr w:type="spellStart"/>
      <w:r w:rsidRPr="00630566">
        <w:rPr>
          <w:rFonts w:ascii="Times New Roman" w:eastAsia="Times New Roman" w:hAnsi="Times New Roman" w:cs="Times New Roman"/>
          <w:color w:val="1F1F1F"/>
          <w:kern w:val="0"/>
          <w14:ligatures w14:val="none"/>
        </w:rPr>
        <w:t>Prencipe</w:t>
      </w:r>
      <w:proofErr w:type="spellEnd"/>
      <w:r w:rsidRPr="00630566">
        <w:rPr>
          <w:rFonts w:ascii="Times New Roman" w:eastAsia="Times New Roman" w:hAnsi="Times New Roman" w:cs="Times New Roman"/>
          <w:color w:val="1F1F1F"/>
          <w:kern w:val="0"/>
          <w14:ligatures w14:val="none"/>
        </w:rPr>
        <w:t>, 2017).</w:t>
      </w:r>
    </w:p>
    <w:p w14:paraId="23DF81D4" w14:textId="77777777" w:rsidR="00630566" w:rsidRPr="00630566" w:rsidRDefault="00630566" w:rsidP="00630566">
      <w:pPr>
        <w:pStyle w:val="ListParagraph"/>
        <w:numPr>
          <w:ilvl w:val="0"/>
          <w:numId w:val="10"/>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People:</w:t>
      </w:r>
      <w:r w:rsidRPr="00630566">
        <w:rPr>
          <w:rFonts w:ascii="Times New Roman" w:eastAsia="Times New Roman" w:hAnsi="Times New Roman" w:cs="Times New Roman"/>
          <w:color w:val="1F1F1F"/>
          <w:kern w:val="0"/>
          <w14:ligatures w14:val="none"/>
        </w:rPr>
        <w:t xml:space="preserve"> AstraZeneca employs over 94,000 employees across all its locations (AstraZeneca, 2024). Its staff is highly skilled and differentiate the company significantly from its rivals (Johannesson, 2021). One of the key staff for AstraZeneca’s success is Medical Science Liaisons (MSLs) (Hoeffler and Keller, 2023). These people are highly trained experts who work brand educators rather than traditional salespeople (Goldman, 2018). In other words, AstraZeneca employs trained experts </w:t>
      </w:r>
      <w:proofErr w:type="gramStart"/>
      <w:r w:rsidRPr="00630566">
        <w:rPr>
          <w:rFonts w:ascii="Times New Roman" w:eastAsia="Times New Roman" w:hAnsi="Times New Roman" w:cs="Times New Roman"/>
          <w:color w:val="1F1F1F"/>
          <w:kern w:val="0"/>
          <w14:ligatures w14:val="none"/>
        </w:rPr>
        <w:t>so as to</w:t>
      </w:r>
      <w:proofErr w:type="gramEnd"/>
      <w:r w:rsidRPr="00630566">
        <w:rPr>
          <w:rFonts w:ascii="Times New Roman" w:eastAsia="Times New Roman" w:hAnsi="Times New Roman" w:cs="Times New Roman"/>
          <w:color w:val="1F1F1F"/>
          <w:kern w:val="0"/>
          <w14:ligatures w14:val="none"/>
        </w:rPr>
        <w:t xml:space="preserve"> influence the decisions of the medical practitioners (</w:t>
      </w:r>
      <w:proofErr w:type="spellStart"/>
      <w:r w:rsidRPr="00630566">
        <w:rPr>
          <w:rFonts w:ascii="Times New Roman" w:eastAsia="Times New Roman" w:hAnsi="Times New Roman" w:cs="Times New Roman"/>
          <w:color w:val="1F1F1F"/>
          <w:kern w:val="0"/>
          <w14:ligatures w14:val="none"/>
        </w:rPr>
        <w:t>Lerza</w:t>
      </w:r>
      <w:proofErr w:type="spellEnd"/>
      <w:r w:rsidRPr="00630566">
        <w:rPr>
          <w:rFonts w:ascii="Times New Roman" w:eastAsia="Times New Roman" w:hAnsi="Times New Roman" w:cs="Times New Roman"/>
          <w:color w:val="1F1F1F"/>
          <w:kern w:val="0"/>
          <w14:ligatures w14:val="none"/>
        </w:rPr>
        <w:t>, 2021). They build long-term partnerships with the relevant practitioners (Hoeffler and Keller, 2023).</w:t>
      </w:r>
    </w:p>
    <w:p w14:paraId="50845E08" w14:textId="77777777" w:rsidR="00630566" w:rsidRPr="00630566" w:rsidRDefault="00630566" w:rsidP="00630566">
      <w:pPr>
        <w:pStyle w:val="ListParagraph"/>
        <w:numPr>
          <w:ilvl w:val="0"/>
          <w:numId w:val="10"/>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Process:</w:t>
      </w:r>
      <w:r w:rsidRPr="00630566">
        <w:rPr>
          <w:rFonts w:ascii="Times New Roman" w:eastAsia="Times New Roman" w:hAnsi="Times New Roman" w:cs="Times New Roman"/>
          <w:color w:val="1F1F1F"/>
          <w:kern w:val="0"/>
          <w14:ligatures w14:val="none"/>
        </w:rPr>
        <w:t xml:space="preserve"> The two most important processes for AstraZeneca are marketing and R&amp;D (AstraZeneca, 2022). Much of the procedures of these two processes have become automated with the advent of AI (David Brian Szabla, 2023). AI offers the company a significant advantage (AstraZeneca, 2022). It no longer needs to conduct costly experiments to find the effectiveness of its medicines before moving on to serious trials (AstraZeneca, 2022). AI can significantly narrow the scope and scale of the experiment needed and make them much more effective and efficient (AstraZeneca, 2022). Business analytics also help the company to find suitable clients for clinical trials, or patient cases to study for unlocking potential solutions for other cases (Corallo, </w:t>
      </w:r>
      <w:proofErr w:type="spellStart"/>
      <w:r w:rsidRPr="00630566">
        <w:rPr>
          <w:rFonts w:ascii="Times New Roman" w:eastAsia="Times New Roman" w:hAnsi="Times New Roman" w:cs="Times New Roman"/>
          <w:color w:val="1F1F1F"/>
          <w:kern w:val="0"/>
          <w14:ligatures w14:val="none"/>
        </w:rPr>
        <w:t>Passiante</w:t>
      </w:r>
      <w:proofErr w:type="spellEnd"/>
      <w:r w:rsidRPr="00630566">
        <w:rPr>
          <w:rFonts w:ascii="Times New Roman" w:eastAsia="Times New Roman" w:hAnsi="Times New Roman" w:cs="Times New Roman"/>
          <w:color w:val="1F1F1F"/>
          <w:kern w:val="0"/>
          <w14:ligatures w14:val="none"/>
        </w:rPr>
        <w:t xml:space="preserve"> and </w:t>
      </w:r>
      <w:proofErr w:type="spellStart"/>
      <w:r w:rsidRPr="00630566">
        <w:rPr>
          <w:rFonts w:ascii="Times New Roman" w:eastAsia="Times New Roman" w:hAnsi="Times New Roman" w:cs="Times New Roman"/>
          <w:color w:val="1F1F1F"/>
          <w:kern w:val="0"/>
          <w14:ligatures w14:val="none"/>
        </w:rPr>
        <w:t>Prencipe</w:t>
      </w:r>
      <w:proofErr w:type="spellEnd"/>
      <w:r w:rsidRPr="00630566">
        <w:rPr>
          <w:rFonts w:ascii="Times New Roman" w:eastAsia="Times New Roman" w:hAnsi="Times New Roman" w:cs="Times New Roman"/>
          <w:color w:val="1F1F1F"/>
          <w:kern w:val="0"/>
          <w14:ligatures w14:val="none"/>
        </w:rPr>
        <w:t xml:space="preserve">, 2017). AI and data analytics </w:t>
      </w:r>
      <w:proofErr w:type="gramStart"/>
      <w:r w:rsidRPr="00630566">
        <w:rPr>
          <w:rFonts w:ascii="Times New Roman" w:eastAsia="Times New Roman" w:hAnsi="Times New Roman" w:cs="Times New Roman"/>
          <w:color w:val="1F1F1F"/>
          <w:kern w:val="0"/>
          <w14:ligatures w14:val="none"/>
        </w:rPr>
        <w:t>has</w:t>
      </w:r>
      <w:proofErr w:type="gramEnd"/>
      <w:r w:rsidRPr="00630566">
        <w:rPr>
          <w:rFonts w:ascii="Times New Roman" w:eastAsia="Times New Roman" w:hAnsi="Times New Roman" w:cs="Times New Roman"/>
          <w:color w:val="1F1F1F"/>
          <w:kern w:val="0"/>
          <w14:ligatures w14:val="none"/>
        </w:rPr>
        <w:t xml:space="preserve"> revolutionized AstraZeneca’s business practices (David Brian Szabla, 2023). From accounting to market analysis, business performance to regulation compliance, everything can be conducted more efficiently and effectively </w:t>
      </w:r>
      <w:proofErr w:type="gramStart"/>
      <w:r w:rsidRPr="00630566">
        <w:rPr>
          <w:rFonts w:ascii="Times New Roman" w:eastAsia="Times New Roman" w:hAnsi="Times New Roman" w:cs="Times New Roman"/>
          <w:color w:val="1F1F1F"/>
          <w:kern w:val="0"/>
          <w14:ligatures w14:val="none"/>
        </w:rPr>
        <w:t>through the use of</w:t>
      </w:r>
      <w:proofErr w:type="gramEnd"/>
      <w:r w:rsidRPr="00630566">
        <w:rPr>
          <w:rFonts w:ascii="Times New Roman" w:eastAsia="Times New Roman" w:hAnsi="Times New Roman" w:cs="Times New Roman"/>
          <w:color w:val="1F1F1F"/>
          <w:kern w:val="0"/>
          <w14:ligatures w14:val="none"/>
        </w:rPr>
        <w:t xml:space="preserve"> AI (Srivastava, 2021).</w:t>
      </w:r>
    </w:p>
    <w:p w14:paraId="011845B5" w14:textId="77777777" w:rsidR="00630566" w:rsidRPr="00630566" w:rsidRDefault="00630566" w:rsidP="00630566">
      <w:pPr>
        <w:pStyle w:val="ListParagraph"/>
        <w:numPr>
          <w:ilvl w:val="0"/>
          <w:numId w:val="10"/>
        </w:numPr>
        <w:spacing w:after="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b/>
          <w:bCs/>
          <w:color w:val="1F1F1F"/>
          <w:kern w:val="0"/>
          <w:bdr w:val="none" w:sz="0" w:space="0" w:color="auto" w:frame="1"/>
          <w14:ligatures w14:val="none"/>
        </w:rPr>
        <w:t>Physical Evidence:</w:t>
      </w:r>
      <w:r w:rsidRPr="00630566">
        <w:rPr>
          <w:rFonts w:ascii="Times New Roman" w:eastAsia="Times New Roman" w:hAnsi="Times New Roman" w:cs="Times New Roman"/>
          <w:color w:val="1F1F1F"/>
          <w:kern w:val="0"/>
          <w14:ligatures w14:val="none"/>
        </w:rPr>
        <w:t xml:space="preserve"> In a company operating in the pharmaceutical sector, physical evidence is generally trial data and evidence (Polo, 2021). AstraZeneca is very strict about its standards of quality and </w:t>
      </w:r>
      <w:proofErr w:type="gramStart"/>
      <w:r w:rsidRPr="00630566">
        <w:rPr>
          <w:rFonts w:ascii="Times New Roman" w:eastAsia="Times New Roman" w:hAnsi="Times New Roman" w:cs="Times New Roman"/>
          <w:color w:val="1F1F1F"/>
          <w:kern w:val="0"/>
          <w14:ligatures w14:val="none"/>
        </w:rPr>
        <w:t>excellence, and</w:t>
      </w:r>
      <w:proofErr w:type="gramEnd"/>
      <w:r w:rsidRPr="00630566">
        <w:rPr>
          <w:rFonts w:ascii="Times New Roman" w:eastAsia="Times New Roman" w:hAnsi="Times New Roman" w:cs="Times New Roman"/>
          <w:color w:val="1F1F1F"/>
          <w:kern w:val="0"/>
          <w14:ligatures w14:val="none"/>
        </w:rPr>
        <w:t xml:space="preserve"> goes through rigorous trials after trials to ensure that a drug works the way it should, without having any side-effects (Hoeffler and Keller, 2023). Moreover, it has close relationships with medical practitioners and researchers who can corroborate its findings (Goldman, 2018). It funds and holds open discussions for any new medicines developed (AstraZeneca, 2024). All of these serve to provide the customer with physical proof that the company’s promise of healthcare is true (</w:t>
      </w:r>
      <w:proofErr w:type="spellStart"/>
      <w:r w:rsidRPr="00630566">
        <w:rPr>
          <w:rFonts w:ascii="Times New Roman" w:eastAsia="Times New Roman" w:hAnsi="Times New Roman" w:cs="Times New Roman"/>
          <w:color w:val="1F1F1F"/>
          <w:kern w:val="0"/>
          <w14:ligatures w14:val="none"/>
        </w:rPr>
        <w:t>Bueschken</w:t>
      </w:r>
      <w:proofErr w:type="spellEnd"/>
      <w:r w:rsidRPr="00630566">
        <w:rPr>
          <w:rFonts w:ascii="Times New Roman" w:eastAsia="Times New Roman" w:hAnsi="Times New Roman" w:cs="Times New Roman"/>
          <w:color w:val="1F1F1F"/>
          <w:kern w:val="0"/>
          <w14:ligatures w14:val="none"/>
        </w:rPr>
        <w:t>, 2019).</w:t>
      </w:r>
    </w:p>
    <w:p w14:paraId="1149F5C3" w14:textId="75C044E3" w:rsidR="006234AC" w:rsidRPr="006234AC" w:rsidRDefault="006234AC" w:rsidP="00630566">
      <w:pPr>
        <w:pStyle w:val="Heading1"/>
        <w:rPr>
          <w:rFonts w:eastAsia="Times New Roman"/>
          <w:bdr w:val="none" w:sz="0" w:space="0" w:color="auto" w:frame="1"/>
        </w:rPr>
      </w:pPr>
      <w:bookmarkStart w:id="11" w:name="_Toc218596951"/>
      <w:r w:rsidRPr="006234AC">
        <w:rPr>
          <w:rFonts w:eastAsia="Times New Roman"/>
        </w:rPr>
        <w:lastRenderedPageBreak/>
        <w:t>Conclusion</w:t>
      </w:r>
      <w:r w:rsidR="00600254" w:rsidRPr="00630566">
        <w:rPr>
          <w:rFonts w:eastAsia="Times New Roman"/>
        </w:rPr>
        <w:t xml:space="preserve"> and </w:t>
      </w:r>
      <w:r w:rsidRPr="006234AC">
        <w:rPr>
          <w:rFonts w:eastAsia="Times New Roman"/>
        </w:rPr>
        <w:t>Strategic Shortcomings</w:t>
      </w:r>
      <w:bookmarkEnd w:id="11"/>
    </w:p>
    <w:p w14:paraId="5DD00ACB" w14:textId="77777777" w:rsidR="009D628C" w:rsidRPr="00630566" w:rsidRDefault="009D628C" w:rsidP="006234AC">
      <w:pPr>
        <w:spacing w:after="12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color w:val="1F1F1F"/>
          <w:kern w:val="0"/>
          <w14:ligatures w14:val="none"/>
        </w:rPr>
        <w:t xml:space="preserve">One of the main </w:t>
      </w:r>
      <w:proofErr w:type="gramStart"/>
      <w:r w:rsidRPr="00630566">
        <w:rPr>
          <w:rFonts w:ascii="Times New Roman" w:eastAsia="Times New Roman" w:hAnsi="Times New Roman" w:cs="Times New Roman"/>
          <w:color w:val="1F1F1F"/>
          <w:kern w:val="0"/>
          <w14:ligatures w14:val="none"/>
        </w:rPr>
        <w:t>reason</w:t>
      </w:r>
      <w:proofErr w:type="gramEnd"/>
      <w:r w:rsidRPr="00630566">
        <w:rPr>
          <w:rFonts w:ascii="Times New Roman" w:eastAsia="Times New Roman" w:hAnsi="Times New Roman" w:cs="Times New Roman"/>
          <w:color w:val="1F1F1F"/>
          <w:kern w:val="0"/>
          <w14:ligatures w14:val="none"/>
        </w:rPr>
        <w:t xml:space="preserve"> behind </w:t>
      </w:r>
      <w:r w:rsidRPr="00630566">
        <w:rPr>
          <w:rFonts w:ascii="Times New Roman" w:eastAsia="Times New Roman" w:hAnsi="Times New Roman" w:cs="Times New Roman"/>
          <w:color w:val="1F1F1F"/>
          <w:kern w:val="0"/>
          <w14:ligatures w14:val="none"/>
        </w:rPr>
        <w:t>AstraZeneca</w:t>
      </w:r>
      <w:r w:rsidRPr="00630566">
        <w:rPr>
          <w:rFonts w:ascii="Times New Roman" w:eastAsia="Times New Roman" w:hAnsi="Times New Roman" w:cs="Times New Roman"/>
          <w:color w:val="1F1F1F"/>
          <w:kern w:val="0"/>
          <w14:ligatures w14:val="none"/>
        </w:rPr>
        <w:t xml:space="preserve">’s success is its flexible and innovative business approach. The company is in a relentless drive towards innovation, not only in its products but also in its business structure, performance, and processes. Thus, it swiftly responds to any challenges or complexities that may arise in its markets, often before any other companies has had the chance to do so. This can be seen in its response to the current geopolitical tension and the bargaining power of suppliers. Its marketing strategy also employs intelligent approach by dividing the market into functional </w:t>
      </w:r>
      <w:proofErr w:type="gramStart"/>
      <w:r w:rsidRPr="00630566">
        <w:rPr>
          <w:rFonts w:ascii="Times New Roman" w:eastAsia="Times New Roman" w:hAnsi="Times New Roman" w:cs="Times New Roman"/>
          <w:color w:val="1F1F1F"/>
          <w:kern w:val="0"/>
          <w14:ligatures w14:val="none"/>
        </w:rPr>
        <w:t>segments, and</w:t>
      </w:r>
      <w:proofErr w:type="gramEnd"/>
      <w:r w:rsidRPr="00630566">
        <w:rPr>
          <w:rFonts w:ascii="Times New Roman" w:eastAsia="Times New Roman" w:hAnsi="Times New Roman" w:cs="Times New Roman"/>
          <w:color w:val="1F1F1F"/>
          <w:kern w:val="0"/>
          <w14:ligatures w14:val="none"/>
        </w:rPr>
        <w:t xml:space="preserve"> then targeting and positioning itself in an advantageous way. In its marketing approach, it has always kept the customer-first, leading to its near-impeccable brand image.</w:t>
      </w:r>
    </w:p>
    <w:p w14:paraId="1F644528" w14:textId="77777777" w:rsidR="003648BC" w:rsidRPr="00630566" w:rsidRDefault="009D628C" w:rsidP="003648BC">
      <w:pPr>
        <w:spacing w:after="120" w:line="360" w:lineRule="auto"/>
        <w:jc w:val="both"/>
        <w:rPr>
          <w:rFonts w:ascii="Times New Roman" w:eastAsia="Times New Roman" w:hAnsi="Times New Roman" w:cs="Times New Roman"/>
          <w:color w:val="1F1F1F"/>
          <w:kern w:val="0"/>
          <w14:ligatures w14:val="none"/>
        </w:rPr>
      </w:pPr>
      <w:r w:rsidRPr="00630566">
        <w:rPr>
          <w:rFonts w:ascii="Times New Roman" w:eastAsia="Times New Roman" w:hAnsi="Times New Roman" w:cs="Times New Roman"/>
          <w:color w:val="1F1F1F"/>
          <w:kern w:val="0"/>
          <w14:ligatures w14:val="none"/>
        </w:rPr>
        <w:t xml:space="preserve">Although </w:t>
      </w:r>
      <w:r w:rsidRPr="00630566">
        <w:rPr>
          <w:rFonts w:ascii="Times New Roman" w:eastAsia="Times New Roman" w:hAnsi="Times New Roman" w:cs="Times New Roman"/>
          <w:color w:val="1F1F1F"/>
          <w:kern w:val="0"/>
          <w14:ligatures w14:val="none"/>
        </w:rPr>
        <w:t>AstraZeneca</w:t>
      </w:r>
      <w:r w:rsidRPr="00630566">
        <w:rPr>
          <w:rFonts w:ascii="Times New Roman" w:eastAsia="Times New Roman" w:hAnsi="Times New Roman" w:cs="Times New Roman"/>
          <w:color w:val="1F1F1F"/>
          <w:kern w:val="0"/>
          <w14:ligatures w14:val="none"/>
        </w:rPr>
        <w:t xml:space="preserve"> has witnessed unprecedented business growth and digital success, it still has some key shortcomings that it must address to make itself safe. </w:t>
      </w:r>
      <w:r w:rsidR="00600254" w:rsidRPr="00630566">
        <w:rPr>
          <w:rFonts w:ascii="Times New Roman" w:eastAsia="Times New Roman" w:hAnsi="Times New Roman" w:cs="Times New Roman"/>
          <w:color w:val="1F1F1F"/>
          <w:kern w:val="0"/>
          <w14:ligatures w14:val="none"/>
        </w:rPr>
        <w:t xml:space="preserve">A large portion of its revenue comes from Oncology division. While this reflects its market success, overreliance on one specific product selection has its downsides. Any market disruption, legislative issues, or breakthrough that might impede the profitability of this segment may result in loss of significant market share for the company. AI diagnosis and healthcare support is still in its infancy, and there have been reports that these platforms have given false or conflicting reports to the customers. Finally, its net-zero commitment is </w:t>
      </w:r>
      <w:proofErr w:type="gramStart"/>
      <w:r w:rsidR="00600254" w:rsidRPr="00630566">
        <w:rPr>
          <w:rFonts w:ascii="Times New Roman" w:eastAsia="Times New Roman" w:hAnsi="Times New Roman" w:cs="Times New Roman"/>
          <w:color w:val="1F1F1F"/>
          <w:kern w:val="0"/>
          <w14:ligatures w14:val="none"/>
        </w:rPr>
        <w:t>still kept</w:t>
      </w:r>
      <w:proofErr w:type="gramEnd"/>
      <w:r w:rsidR="00600254" w:rsidRPr="00630566">
        <w:rPr>
          <w:rFonts w:ascii="Times New Roman" w:eastAsia="Times New Roman" w:hAnsi="Times New Roman" w:cs="Times New Roman"/>
          <w:color w:val="1F1F1F"/>
          <w:kern w:val="0"/>
          <w14:ligatures w14:val="none"/>
        </w:rPr>
        <w:t xml:space="preserve"> as a CSR initiative, rather than a marketing pillar to appeal to potential customers who are environmentally conscious. </w:t>
      </w:r>
    </w:p>
    <w:p w14:paraId="2AEACA49" w14:textId="21D5CBA3" w:rsidR="006234AC" w:rsidRPr="006234AC" w:rsidRDefault="006234AC" w:rsidP="00630566">
      <w:pPr>
        <w:pStyle w:val="Heading1"/>
        <w:rPr>
          <w:rFonts w:eastAsia="Times New Roman"/>
        </w:rPr>
      </w:pPr>
      <w:bookmarkStart w:id="12" w:name="_Toc218596952"/>
      <w:r w:rsidRPr="006234AC">
        <w:rPr>
          <w:rFonts w:eastAsia="Times New Roman"/>
        </w:rPr>
        <w:t>Recommendations</w:t>
      </w:r>
      <w:bookmarkEnd w:id="12"/>
    </w:p>
    <w:p w14:paraId="1D69B5BD" w14:textId="2B12C688" w:rsidR="00600254" w:rsidRPr="006234AC" w:rsidRDefault="006234AC" w:rsidP="00600254">
      <w:pPr>
        <w:numPr>
          <w:ilvl w:val="0"/>
          <w:numId w:val="4"/>
        </w:numPr>
        <w:spacing w:after="0" w:line="360" w:lineRule="auto"/>
        <w:jc w:val="both"/>
        <w:rPr>
          <w:rFonts w:ascii="Times New Roman" w:eastAsia="Times New Roman" w:hAnsi="Times New Roman" w:cs="Times New Roman"/>
          <w:color w:val="1F1F1F"/>
          <w:kern w:val="0"/>
          <w14:ligatures w14:val="none"/>
        </w:rPr>
      </w:pPr>
      <w:r w:rsidRPr="006234AC">
        <w:rPr>
          <w:rFonts w:ascii="Times New Roman" w:eastAsia="Times New Roman" w:hAnsi="Times New Roman" w:cs="Times New Roman"/>
          <w:b/>
          <w:bCs/>
          <w:color w:val="1F1F1F"/>
          <w:kern w:val="0"/>
          <w:bdr w:val="none" w:sz="0" w:space="0" w:color="auto" w:frame="1"/>
          <w14:ligatures w14:val="none"/>
        </w:rPr>
        <w:t>Unified Platform:</w:t>
      </w:r>
      <w:r w:rsidR="00600254" w:rsidRPr="00630566">
        <w:rPr>
          <w:rFonts w:ascii="Times New Roman" w:eastAsia="Times New Roman" w:hAnsi="Times New Roman" w:cs="Times New Roman"/>
          <w:color w:val="1F1F1F"/>
          <w:kern w:val="0"/>
          <w14:ligatures w14:val="none"/>
        </w:rPr>
        <w:t xml:space="preserve"> </w:t>
      </w:r>
      <w:r w:rsidR="00600254" w:rsidRPr="00630566">
        <w:rPr>
          <w:rFonts w:ascii="Times New Roman" w:eastAsia="Times New Roman" w:hAnsi="Times New Roman" w:cs="Times New Roman"/>
          <w:color w:val="1F1F1F"/>
          <w:kern w:val="0"/>
          <w:bdr w:val="none" w:sz="0" w:space="0" w:color="auto" w:frame="1"/>
          <w14:ligatures w14:val="none"/>
        </w:rPr>
        <w:t xml:space="preserve">Instead of separating its online and physical locations, and </w:t>
      </w:r>
      <w:r w:rsidR="00600254" w:rsidRPr="00630566">
        <w:rPr>
          <w:rFonts w:ascii="Times New Roman" w:eastAsia="Times New Roman" w:hAnsi="Times New Roman" w:cs="Times New Roman"/>
          <w:color w:val="1F1F1F"/>
          <w:kern w:val="0"/>
          <w:bdr w:val="none" w:sz="0" w:space="0" w:color="auto" w:frame="1"/>
          <w14:ligatures w14:val="none"/>
        </w:rPr>
        <w:t>AstraZeneca</w:t>
      </w:r>
      <w:r w:rsidR="00600254" w:rsidRPr="00630566">
        <w:rPr>
          <w:rFonts w:ascii="Times New Roman" w:eastAsia="Times New Roman" w:hAnsi="Times New Roman" w:cs="Times New Roman"/>
          <w:color w:val="1F1F1F"/>
          <w:kern w:val="0"/>
          <w:bdr w:val="none" w:sz="0" w:space="0" w:color="auto" w:frame="1"/>
          <w14:ligatures w14:val="none"/>
        </w:rPr>
        <w:t xml:space="preserve"> should go forward with an integrated platform where both online and physical locations work together. This could come in the form of self-checkout, online payments, localized delivery systems etc. This not only makes it possible for the company to completely rely on either type of business </w:t>
      </w:r>
      <w:proofErr w:type="gramStart"/>
      <w:r w:rsidR="00600254" w:rsidRPr="00630566">
        <w:rPr>
          <w:rFonts w:ascii="Times New Roman" w:eastAsia="Times New Roman" w:hAnsi="Times New Roman" w:cs="Times New Roman"/>
          <w:color w:val="1F1F1F"/>
          <w:kern w:val="0"/>
          <w:bdr w:val="none" w:sz="0" w:space="0" w:color="auto" w:frame="1"/>
          <w14:ligatures w14:val="none"/>
        </w:rPr>
        <w:t>model, and</w:t>
      </w:r>
      <w:proofErr w:type="gramEnd"/>
      <w:r w:rsidR="00600254" w:rsidRPr="00630566">
        <w:rPr>
          <w:rFonts w:ascii="Times New Roman" w:eastAsia="Times New Roman" w:hAnsi="Times New Roman" w:cs="Times New Roman"/>
          <w:color w:val="1F1F1F"/>
          <w:kern w:val="0"/>
          <w:bdr w:val="none" w:sz="0" w:space="0" w:color="auto" w:frame="1"/>
          <w14:ligatures w14:val="none"/>
        </w:rPr>
        <w:t xml:space="preserve"> make the experience much better and easier for the customers. </w:t>
      </w:r>
    </w:p>
    <w:p w14:paraId="626BB8C3" w14:textId="32FB37E8" w:rsidR="003648BC" w:rsidRPr="006234AC" w:rsidRDefault="006234AC" w:rsidP="003648BC">
      <w:pPr>
        <w:numPr>
          <w:ilvl w:val="0"/>
          <w:numId w:val="4"/>
        </w:numPr>
        <w:spacing w:after="0" w:line="360" w:lineRule="auto"/>
        <w:jc w:val="both"/>
        <w:rPr>
          <w:rFonts w:ascii="Times New Roman" w:eastAsia="Times New Roman" w:hAnsi="Times New Roman" w:cs="Times New Roman"/>
          <w:color w:val="1F1F1F"/>
          <w:kern w:val="0"/>
          <w14:ligatures w14:val="none"/>
        </w:rPr>
      </w:pPr>
      <w:r w:rsidRPr="006234AC">
        <w:rPr>
          <w:rFonts w:ascii="Times New Roman" w:eastAsia="Times New Roman" w:hAnsi="Times New Roman" w:cs="Times New Roman"/>
          <w:b/>
          <w:bCs/>
          <w:color w:val="1F1F1F"/>
          <w:kern w:val="0"/>
          <w:bdr w:val="none" w:sz="0" w:space="0" w:color="auto" w:frame="1"/>
          <w14:ligatures w14:val="none"/>
        </w:rPr>
        <w:t>"Green Procurement" Strategy:</w:t>
      </w:r>
      <w:r w:rsidRPr="006234AC">
        <w:rPr>
          <w:rFonts w:ascii="Times New Roman" w:eastAsia="Times New Roman" w:hAnsi="Times New Roman" w:cs="Times New Roman"/>
          <w:color w:val="1F1F1F"/>
          <w:kern w:val="0"/>
          <w14:ligatures w14:val="none"/>
        </w:rPr>
        <w:t xml:space="preserve"> </w:t>
      </w:r>
      <w:r w:rsidR="003648BC" w:rsidRPr="00630566">
        <w:rPr>
          <w:rFonts w:ascii="Times New Roman" w:eastAsia="Times New Roman" w:hAnsi="Times New Roman" w:cs="Times New Roman"/>
          <w:color w:val="1F1F1F"/>
          <w:kern w:val="0"/>
          <w14:ligatures w14:val="none"/>
        </w:rPr>
        <w:t>AstraZeneca</w:t>
      </w:r>
      <w:r w:rsidR="003648BC" w:rsidRPr="00630566">
        <w:rPr>
          <w:rFonts w:ascii="Times New Roman" w:eastAsia="Times New Roman" w:hAnsi="Times New Roman" w:cs="Times New Roman"/>
          <w:color w:val="1F1F1F"/>
          <w:kern w:val="0"/>
          <w14:ligatures w14:val="none"/>
        </w:rPr>
        <w:t xml:space="preserve"> should put its net zero carbon emission goal as a core marketing USP instead of a mere CSR initiative. The younger generation is significantly more environmentally conscious than the previous ones, and this rate is only </w:t>
      </w:r>
      <w:r w:rsidR="003648BC" w:rsidRPr="00630566">
        <w:rPr>
          <w:rFonts w:ascii="Times New Roman" w:eastAsia="Times New Roman" w:hAnsi="Times New Roman" w:cs="Times New Roman"/>
          <w:color w:val="1F1F1F"/>
          <w:kern w:val="0"/>
          <w14:ligatures w14:val="none"/>
        </w:rPr>
        <w:lastRenderedPageBreak/>
        <w:t xml:space="preserve">projected to increase. In this way it is likely that </w:t>
      </w:r>
      <w:r w:rsidR="003648BC" w:rsidRPr="00630566">
        <w:rPr>
          <w:rFonts w:ascii="Times New Roman" w:eastAsia="Times New Roman" w:hAnsi="Times New Roman" w:cs="Times New Roman"/>
          <w:color w:val="1F1F1F"/>
          <w:kern w:val="0"/>
          <w14:ligatures w14:val="none"/>
        </w:rPr>
        <w:t>AstraZeneca</w:t>
      </w:r>
      <w:r w:rsidR="003648BC" w:rsidRPr="00630566">
        <w:rPr>
          <w:rFonts w:ascii="Times New Roman" w:eastAsia="Times New Roman" w:hAnsi="Times New Roman" w:cs="Times New Roman"/>
          <w:color w:val="1F1F1F"/>
          <w:kern w:val="0"/>
          <w14:ligatures w14:val="none"/>
        </w:rPr>
        <w:t xml:space="preserve"> would be able to secure another batch of loyal customers from the newer generations. </w:t>
      </w:r>
    </w:p>
    <w:p w14:paraId="46ABE338" w14:textId="1EF556EE" w:rsidR="006234AC" w:rsidRPr="006234AC" w:rsidRDefault="006234AC" w:rsidP="006234AC">
      <w:pPr>
        <w:numPr>
          <w:ilvl w:val="0"/>
          <w:numId w:val="4"/>
        </w:numPr>
        <w:spacing w:after="0" w:line="360" w:lineRule="auto"/>
        <w:jc w:val="both"/>
        <w:rPr>
          <w:rFonts w:ascii="Times New Roman" w:eastAsia="Times New Roman" w:hAnsi="Times New Roman" w:cs="Times New Roman"/>
          <w:color w:val="1F1F1F"/>
          <w:kern w:val="0"/>
          <w14:ligatures w14:val="none"/>
        </w:rPr>
      </w:pPr>
      <w:r w:rsidRPr="006234AC">
        <w:rPr>
          <w:rFonts w:ascii="Times New Roman" w:eastAsia="Times New Roman" w:hAnsi="Times New Roman" w:cs="Times New Roman"/>
          <w:b/>
          <w:bCs/>
          <w:color w:val="1F1F1F"/>
          <w:kern w:val="0"/>
          <w:bdr w:val="none" w:sz="0" w:space="0" w:color="auto" w:frame="1"/>
          <w14:ligatures w14:val="none"/>
        </w:rPr>
        <w:t>Agile Value-Based Pricing (AVBP):</w:t>
      </w:r>
      <w:r w:rsidRPr="006234AC">
        <w:rPr>
          <w:rFonts w:ascii="Times New Roman" w:eastAsia="Times New Roman" w:hAnsi="Times New Roman" w:cs="Times New Roman"/>
          <w:color w:val="1F1F1F"/>
          <w:kern w:val="0"/>
          <w14:ligatures w14:val="none"/>
        </w:rPr>
        <w:t xml:space="preserve"> </w:t>
      </w:r>
      <w:r w:rsidR="003648BC" w:rsidRPr="00630566">
        <w:rPr>
          <w:rFonts w:ascii="Times New Roman" w:eastAsia="Times New Roman" w:hAnsi="Times New Roman" w:cs="Times New Roman"/>
          <w:color w:val="1F1F1F"/>
          <w:kern w:val="0"/>
          <w14:ligatures w14:val="none"/>
        </w:rPr>
        <w:t xml:space="preserve">High pricing has always been one of the main weaknesses of </w:t>
      </w:r>
      <w:r w:rsidR="003648BC" w:rsidRPr="00630566">
        <w:rPr>
          <w:rFonts w:ascii="Times New Roman" w:eastAsia="Times New Roman" w:hAnsi="Times New Roman" w:cs="Times New Roman"/>
          <w:color w:val="1F1F1F"/>
          <w:kern w:val="0"/>
          <w14:ligatures w14:val="none"/>
        </w:rPr>
        <w:t>AstraZeneca</w:t>
      </w:r>
      <w:r w:rsidR="003648BC" w:rsidRPr="00630566">
        <w:rPr>
          <w:rFonts w:ascii="Times New Roman" w:eastAsia="Times New Roman" w:hAnsi="Times New Roman" w:cs="Times New Roman"/>
          <w:color w:val="1F1F1F"/>
          <w:kern w:val="0"/>
          <w14:ligatures w14:val="none"/>
        </w:rPr>
        <w:t xml:space="preserve">. Individual customers and organizations are hesitant to buy </w:t>
      </w:r>
      <w:r w:rsidR="003648BC" w:rsidRPr="00630566">
        <w:rPr>
          <w:rFonts w:ascii="Times New Roman" w:eastAsia="Times New Roman" w:hAnsi="Times New Roman" w:cs="Times New Roman"/>
          <w:color w:val="1F1F1F"/>
          <w:kern w:val="0"/>
          <w14:ligatures w14:val="none"/>
        </w:rPr>
        <w:t>AstraZeneca</w:t>
      </w:r>
      <w:r w:rsidR="003648BC" w:rsidRPr="00630566">
        <w:rPr>
          <w:rFonts w:ascii="Times New Roman" w:eastAsia="Times New Roman" w:hAnsi="Times New Roman" w:cs="Times New Roman"/>
          <w:color w:val="1F1F1F"/>
          <w:kern w:val="0"/>
          <w14:ligatures w14:val="none"/>
        </w:rPr>
        <w:t xml:space="preserve">’s medicines due to their perceived high cost. However, if the company could offer some discount schemes, or money-back guarantees to its customers, it might put their minds at ease regarding the high prices of the medicines. </w:t>
      </w:r>
    </w:p>
    <w:p w14:paraId="45E4E4C4" w14:textId="77777777" w:rsidR="005C5CD7" w:rsidRDefault="005C5CD7" w:rsidP="006234AC">
      <w:pPr>
        <w:spacing w:line="360" w:lineRule="auto"/>
        <w:jc w:val="both"/>
        <w:rPr>
          <w:rFonts w:ascii="Times New Roman" w:hAnsi="Times New Roman" w:cs="Times New Roman"/>
        </w:rPr>
      </w:pPr>
    </w:p>
    <w:p w14:paraId="35A5F6D2" w14:textId="77777777" w:rsidR="00046301" w:rsidRDefault="00046301" w:rsidP="006234AC">
      <w:pPr>
        <w:spacing w:line="360" w:lineRule="auto"/>
        <w:jc w:val="both"/>
        <w:rPr>
          <w:rFonts w:ascii="Times New Roman" w:hAnsi="Times New Roman" w:cs="Times New Roman"/>
        </w:rPr>
      </w:pPr>
    </w:p>
    <w:p w14:paraId="3F4C27C3" w14:textId="77777777" w:rsidR="00046301" w:rsidRDefault="00046301" w:rsidP="006234AC">
      <w:pPr>
        <w:spacing w:line="360" w:lineRule="auto"/>
        <w:jc w:val="both"/>
        <w:rPr>
          <w:rFonts w:ascii="Times New Roman" w:hAnsi="Times New Roman" w:cs="Times New Roman"/>
        </w:rPr>
      </w:pPr>
    </w:p>
    <w:p w14:paraId="3D4C46E6" w14:textId="77777777" w:rsidR="00046301" w:rsidRDefault="00046301" w:rsidP="006234AC">
      <w:pPr>
        <w:spacing w:line="360" w:lineRule="auto"/>
        <w:jc w:val="both"/>
        <w:rPr>
          <w:rFonts w:ascii="Times New Roman" w:hAnsi="Times New Roman" w:cs="Times New Roman"/>
        </w:rPr>
      </w:pPr>
    </w:p>
    <w:p w14:paraId="2CF74AF3" w14:textId="77777777" w:rsidR="00046301" w:rsidRDefault="00046301" w:rsidP="006234AC">
      <w:pPr>
        <w:spacing w:line="360" w:lineRule="auto"/>
        <w:jc w:val="both"/>
        <w:rPr>
          <w:rFonts w:ascii="Times New Roman" w:hAnsi="Times New Roman" w:cs="Times New Roman"/>
        </w:rPr>
      </w:pPr>
    </w:p>
    <w:p w14:paraId="5FFCF409" w14:textId="77777777" w:rsidR="00046301" w:rsidRDefault="00046301" w:rsidP="006234AC">
      <w:pPr>
        <w:spacing w:line="360" w:lineRule="auto"/>
        <w:jc w:val="both"/>
        <w:rPr>
          <w:rFonts w:ascii="Times New Roman" w:hAnsi="Times New Roman" w:cs="Times New Roman"/>
        </w:rPr>
      </w:pPr>
    </w:p>
    <w:p w14:paraId="39426887" w14:textId="77777777" w:rsidR="00046301" w:rsidRDefault="00046301" w:rsidP="006234AC">
      <w:pPr>
        <w:spacing w:line="360" w:lineRule="auto"/>
        <w:jc w:val="both"/>
        <w:rPr>
          <w:rFonts w:ascii="Times New Roman" w:hAnsi="Times New Roman" w:cs="Times New Roman"/>
        </w:rPr>
      </w:pPr>
    </w:p>
    <w:p w14:paraId="7258E44E" w14:textId="77777777" w:rsidR="00046301" w:rsidRDefault="00046301" w:rsidP="006234AC">
      <w:pPr>
        <w:spacing w:line="360" w:lineRule="auto"/>
        <w:jc w:val="both"/>
        <w:rPr>
          <w:rFonts w:ascii="Times New Roman" w:hAnsi="Times New Roman" w:cs="Times New Roman"/>
        </w:rPr>
      </w:pPr>
    </w:p>
    <w:p w14:paraId="21CB6EB5" w14:textId="77777777" w:rsidR="00046301" w:rsidRDefault="00046301" w:rsidP="006234AC">
      <w:pPr>
        <w:spacing w:line="360" w:lineRule="auto"/>
        <w:jc w:val="both"/>
        <w:rPr>
          <w:rFonts w:ascii="Times New Roman" w:hAnsi="Times New Roman" w:cs="Times New Roman"/>
        </w:rPr>
      </w:pPr>
    </w:p>
    <w:p w14:paraId="31D3944C" w14:textId="77777777" w:rsidR="00046301" w:rsidRDefault="00046301" w:rsidP="006234AC">
      <w:pPr>
        <w:spacing w:line="360" w:lineRule="auto"/>
        <w:jc w:val="both"/>
        <w:rPr>
          <w:rFonts w:ascii="Times New Roman" w:hAnsi="Times New Roman" w:cs="Times New Roman"/>
        </w:rPr>
      </w:pPr>
    </w:p>
    <w:p w14:paraId="4B324C64" w14:textId="77777777" w:rsidR="00046301" w:rsidRDefault="00046301" w:rsidP="006234AC">
      <w:pPr>
        <w:spacing w:line="360" w:lineRule="auto"/>
        <w:jc w:val="both"/>
        <w:rPr>
          <w:rFonts w:ascii="Times New Roman" w:hAnsi="Times New Roman" w:cs="Times New Roman"/>
        </w:rPr>
      </w:pPr>
    </w:p>
    <w:p w14:paraId="744067CD" w14:textId="77777777" w:rsidR="00046301" w:rsidRDefault="00046301" w:rsidP="006234AC">
      <w:pPr>
        <w:spacing w:line="360" w:lineRule="auto"/>
        <w:jc w:val="both"/>
        <w:rPr>
          <w:rFonts w:ascii="Times New Roman" w:hAnsi="Times New Roman" w:cs="Times New Roman"/>
        </w:rPr>
      </w:pPr>
    </w:p>
    <w:p w14:paraId="2302D4E0" w14:textId="77777777" w:rsidR="00046301" w:rsidRDefault="00046301" w:rsidP="006234AC">
      <w:pPr>
        <w:spacing w:line="360" w:lineRule="auto"/>
        <w:jc w:val="both"/>
        <w:rPr>
          <w:rFonts w:ascii="Times New Roman" w:hAnsi="Times New Roman" w:cs="Times New Roman"/>
        </w:rPr>
      </w:pPr>
    </w:p>
    <w:p w14:paraId="1B68A6FF" w14:textId="77777777" w:rsidR="00046301" w:rsidRDefault="00046301" w:rsidP="006234AC">
      <w:pPr>
        <w:spacing w:line="360" w:lineRule="auto"/>
        <w:jc w:val="both"/>
        <w:rPr>
          <w:rFonts w:ascii="Times New Roman" w:hAnsi="Times New Roman" w:cs="Times New Roman"/>
        </w:rPr>
      </w:pPr>
    </w:p>
    <w:p w14:paraId="2E0456B3" w14:textId="77777777" w:rsidR="00046301" w:rsidRDefault="00046301" w:rsidP="006234AC">
      <w:pPr>
        <w:spacing w:line="360" w:lineRule="auto"/>
        <w:jc w:val="both"/>
        <w:rPr>
          <w:rFonts w:ascii="Times New Roman" w:hAnsi="Times New Roman" w:cs="Times New Roman"/>
        </w:rPr>
      </w:pPr>
    </w:p>
    <w:p w14:paraId="57BADE36" w14:textId="77777777" w:rsidR="00046301" w:rsidRDefault="00046301" w:rsidP="006234AC">
      <w:pPr>
        <w:spacing w:line="360" w:lineRule="auto"/>
        <w:jc w:val="both"/>
        <w:rPr>
          <w:rFonts w:ascii="Times New Roman" w:hAnsi="Times New Roman" w:cs="Times New Roman"/>
        </w:rPr>
      </w:pPr>
    </w:p>
    <w:p w14:paraId="09CA5666" w14:textId="77777777" w:rsidR="00046301" w:rsidRDefault="00046301" w:rsidP="006234AC">
      <w:pPr>
        <w:spacing w:line="360" w:lineRule="auto"/>
        <w:jc w:val="both"/>
        <w:rPr>
          <w:rFonts w:ascii="Times New Roman" w:hAnsi="Times New Roman" w:cs="Times New Roman"/>
        </w:rPr>
      </w:pPr>
    </w:p>
    <w:p w14:paraId="597C2924" w14:textId="77777777" w:rsidR="00046301" w:rsidRDefault="00046301" w:rsidP="006234AC">
      <w:pPr>
        <w:spacing w:line="360" w:lineRule="auto"/>
        <w:jc w:val="both"/>
        <w:rPr>
          <w:rFonts w:ascii="Times New Roman" w:hAnsi="Times New Roman" w:cs="Times New Roman"/>
        </w:rPr>
      </w:pPr>
    </w:p>
    <w:p w14:paraId="796F57D5" w14:textId="77777777" w:rsidR="00046301" w:rsidRPr="00046301" w:rsidRDefault="00046301" w:rsidP="00046301">
      <w:pPr>
        <w:pStyle w:val="Heading1"/>
        <w:rPr>
          <w:rFonts w:eastAsia="Times New Roman"/>
          <w:lang w:val="en-US"/>
        </w:rPr>
      </w:pPr>
      <w:bookmarkStart w:id="13" w:name="_Toc218596953"/>
      <w:r w:rsidRPr="00046301">
        <w:rPr>
          <w:rFonts w:eastAsia="Times New Roman"/>
          <w:lang w:val="en-US"/>
        </w:rPr>
        <w:lastRenderedPageBreak/>
        <w:t>Reference list</w:t>
      </w:r>
      <w:bookmarkEnd w:id="13"/>
    </w:p>
    <w:p w14:paraId="3F89865B"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Alexis, M. (2021). Marketing Laws and Marketing Strategy. </w:t>
      </w:r>
      <w:r w:rsidRPr="00046301">
        <w:rPr>
          <w:rFonts w:ascii="Times New Roman" w:eastAsia="Times New Roman" w:hAnsi="Times New Roman" w:cs="Times New Roman"/>
          <w:i/>
          <w:iCs/>
          <w:kern w:val="0"/>
          <w:lang w:val="en-US"/>
          <w14:ligatures w14:val="none"/>
        </w:rPr>
        <w:t>Journal of Marketing</w:t>
      </w:r>
      <w:r w:rsidRPr="00046301">
        <w:rPr>
          <w:rFonts w:ascii="Times New Roman" w:eastAsia="Times New Roman" w:hAnsi="Times New Roman" w:cs="Times New Roman"/>
          <w:kern w:val="0"/>
          <w:lang w:val="en-US"/>
          <w14:ligatures w14:val="none"/>
        </w:rPr>
        <w:t>, 26(4), p.67.</w:t>
      </w:r>
    </w:p>
    <w:p w14:paraId="19F43431"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American Pharmaceutical Review (2025). </w:t>
      </w:r>
      <w:r w:rsidRPr="00046301">
        <w:rPr>
          <w:rFonts w:ascii="Times New Roman" w:eastAsia="Times New Roman" w:hAnsi="Times New Roman" w:cs="Times New Roman"/>
          <w:i/>
          <w:iCs/>
          <w:kern w:val="0"/>
          <w:lang w:val="en-US"/>
          <w14:ligatures w14:val="none"/>
        </w:rPr>
        <w:t>AstraZeneca Delivers 11% Revenue Growth and Pipeline Progress in First Nine Months of 2025</w:t>
      </w:r>
      <w:r w:rsidRPr="00046301">
        <w:rPr>
          <w:rFonts w:ascii="Times New Roman" w:eastAsia="Times New Roman" w:hAnsi="Times New Roman" w:cs="Times New Roman"/>
          <w:kern w:val="0"/>
          <w:lang w:val="en-US"/>
          <w14:ligatures w14:val="none"/>
        </w:rPr>
        <w:t>. [online] Americanpharmaceuticalreview.com. Available at: https://www.americanpharmaceuticalreview.com/1315-News/622628-AstraZeneca-Delivers-11-Revenue-Growth-and-Pipeline-Progress-in-First-Nine-Months-of-2025/.</w:t>
      </w:r>
    </w:p>
    <w:p w14:paraId="4882FB31"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AstraZeneca (2022). </w:t>
      </w:r>
      <w:r w:rsidRPr="00046301">
        <w:rPr>
          <w:rFonts w:ascii="Times New Roman" w:eastAsia="Times New Roman" w:hAnsi="Times New Roman" w:cs="Times New Roman"/>
          <w:i/>
          <w:iCs/>
          <w:kern w:val="0"/>
          <w:lang w:val="en-US"/>
          <w14:ligatures w14:val="none"/>
        </w:rPr>
        <w:t>Our technologies</w:t>
      </w:r>
      <w:r w:rsidRPr="00046301">
        <w:rPr>
          <w:rFonts w:ascii="Times New Roman" w:eastAsia="Times New Roman" w:hAnsi="Times New Roman" w:cs="Times New Roman"/>
          <w:kern w:val="0"/>
          <w:lang w:val="en-US"/>
          <w14:ligatures w14:val="none"/>
        </w:rPr>
        <w:t>. [online] www.astrazeneca.com. Available at: https://www.astrazeneca.com/r-d/our-technologies.html.</w:t>
      </w:r>
    </w:p>
    <w:p w14:paraId="63EB53E6"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AstraZeneca (2024). </w:t>
      </w:r>
      <w:r w:rsidRPr="00046301">
        <w:rPr>
          <w:rFonts w:ascii="Times New Roman" w:eastAsia="Times New Roman" w:hAnsi="Times New Roman" w:cs="Times New Roman"/>
          <w:i/>
          <w:iCs/>
          <w:kern w:val="0"/>
          <w:lang w:val="en-US"/>
          <w14:ligatures w14:val="none"/>
        </w:rPr>
        <w:t>AstraZeneca sets ambition to deliver $80 billion Total Revenue by 2030 and sustained growth post 2030</w:t>
      </w:r>
      <w:r w:rsidRPr="00046301">
        <w:rPr>
          <w:rFonts w:ascii="Times New Roman" w:eastAsia="Times New Roman" w:hAnsi="Times New Roman" w:cs="Times New Roman"/>
          <w:kern w:val="0"/>
          <w:lang w:val="en-US"/>
          <w14:ligatures w14:val="none"/>
        </w:rPr>
        <w:t>. [online] Astrazeneca.com. Available at: https://www.astrazeneca.com/content/astraz/media-centre/press-releases/2024/astrazeneca-to-deliver-80bn-revenue-by-2030.html.</w:t>
      </w:r>
    </w:p>
    <w:p w14:paraId="55FE9B3C"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AstraZeneca US (2025). </w:t>
      </w:r>
      <w:r w:rsidRPr="00046301">
        <w:rPr>
          <w:rFonts w:ascii="Times New Roman" w:eastAsia="Times New Roman" w:hAnsi="Times New Roman" w:cs="Times New Roman"/>
          <w:i/>
          <w:iCs/>
          <w:kern w:val="0"/>
          <w:lang w:val="en-US"/>
          <w14:ligatures w14:val="none"/>
        </w:rPr>
        <w:t>AstraZeneca launches direct-to-consumer platform to expand access to medications for US patients, including those living with chronic conditions</w:t>
      </w:r>
      <w:r w:rsidRPr="00046301">
        <w:rPr>
          <w:rFonts w:ascii="Times New Roman" w:eastAsia="Times New Roman" w:hAnsi="Times New Roman" w:cs="Times New Roman"/>
          <w:kern w:val="0"/>
          <w:lang w:val="en-US"/>
          <w14:ligatures w14:val="none"/>
        </w:rPr>
        <w:t>. [online] Astrazeneca.com. Available at: https://www.astrazeneca.com/content/az-us/media/press-releases/2025/AstraZeneca-launches-direct-to-consumer-platform-to-expand-access-to-medications-for-US-patients-including-those-living-with-chronic-conditions.html.</w:t>
      </w:r>
    </w:p>
    <w:p w14:paraId="2396303B"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Barney, J.B. and Hesterly, W.S. (2019). </w:t>
      </w:r>
      <w:r w:rsidRPr="00046301">
        <w:rPr>
          <w:rFonts w:ascii="Times New Roman" w:eastAsia="Times New Roman" w:hAnsi="Times New Roman" w:cs="Times New Roman"/>
          <w:i/>
          <w:iCs/>
          <w:kern w:val="0"/>
          <w:lang w:val="en-US"/>
          <w14:ligatures w14:val="none"/>
        </w:rPr>
        <w:t>Strategic Management and Competitive Advantage: Concepts and Cases</w:t>
      </w:r>
      <w:r w:rsidRPr="00046301">
        <w:rPr>
          <w:rFonts w:ascii="Times New Roman" w:eastAsia="Times New Roman" w:hAnsi="Times New Roman" w:cs="Times New Roman"/>
          <w:kern w:val="0"/>
          <w:lang w:val="en-US"/>
          <w14:ligatures w14:val="none"/>
        </w:rPr>
        <w:t>. 6th ed. Harlow, England: Pearson.</w:t>
      </w:r>
    </w:p>
    <w:p w14:paraId="53C4FC55"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proofErr w:type="spellStart"/>
      <w:r w:rsidRPr="00046301">
        <w:rPr>
          <w:rFonts w:ascii="Times New Roman" w:eastAsia="Times New Roman" w:hAnsi="Times New Roman" w:cs="Times New Roman"/>
          <w:kern w:val="0"/>
          <w:lang w:val="en-US"/>
          <w14:ligatures w14:val="none"/>
        </w:rPr>
        <w:t>Bueschken</w:t>
      </w:r>
      <w:proofErr w:type="spellEnd"/>
      <w:r w:rsidRPr="00046301">
        <w:rPr>
          <w:rFonts w:ascii="Times New Roman" w:eastAsia="Times New Roman" w:hAnsi="Times New Roman" w:cs="Times New Roman"/>
          <w:kern w:val="0"/>
          <w:lang w:val="en-US"/>
          <w14:ligatures w14:val="none"/>
        </w:rPr>
        <w:t xml:space="preserve">, J. (2019). Does Improving Customer Satisfaction Really Increase the Market Value of Equity? - Revisiting the ACSI Customer Satisfaction Data. </w:t>
      </w:r>
      <w:r w:rsidRPr="00046301">
        <w:rPr>
          <w:rFonts w:ascii="Times New Roman" w:eastAsia="Times New Roman" w:hAnsi="Times New Roman" w:cs="Times New Roman"/>
          <w:i/>
          <w:iCs/>
          <w:kern w:val="0"/>
          <w:lang w:val="en-US"/>
          <w14:ligatures w14:val="none"/>
        </w:rPr>
        <w:t>SSRN Electronic Journal</w:t>
      </w:r>
      <w:r w:rsidRPr="00046301">
        <w:rPr>
          <w:rFonts w:ascii="Times New Roman" w:eastAsia="Times New Roman" w:hAnsi="Times New Roman" w:cs="Times New Roman"/>
          <w:kern w:val="0"/>
          <w:lang w:val="en-US"/>
          <w14:ligatures w14:val="none"/>
        </w:rPr>
        <w:t>, 1(1).</w:t>
      </w:r>
    </w:p>
    <w:p w14:paraId="47112BDC"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Burrow, J. and Becraft, M.B. (2020). </w:t>
      </w:r>
      <w:r w:rsidRPr="00046301">
        <w:rPr>
          <w:rFonts w:ascii="Times New Roman" w:eastAsia="Times New Roman" w:hAnsi="Times New Roman" w:cs="Times New Roman"/>
          <w:i/>
          <w:iCs/>
          <w:kern w:val="0"/>
          <w:lang w:val="en-US"/>
          <w14:ligatures w14:val="none"/>
        </w:rPr>
        <w:t>Business management</w:t>
      </w:r>
      <w:r w:rsidRPr="00046301">
        <w:rPr>
          <w:rFonts w:ascii="Times New Roman" w:eastAsia="Times New Roman" w:hAnsi="Times New Roman" w:cs="Times New Roman"/>
          <w:kern w:val="0"/>
          <w:lang w:val="en-US"/>
          <w14:ligatures w14:val="none"/>
        </w:rPr>
        <w:t>. Boston, Ma: South-Western Cengage Learning.</w:t>
      </w:r>
    </w:p>
    <w:p w14:paraId="78CC6EBC"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Camillus, J.C. (2021). The wicked challenge of the business environment. </w:t>
      </w:r>
      <w:r w:rsidRPr="00046301">
        <w:rPr>
          <w:rFonts w:ascii="Times New Roman" w:eastAsia="Times New Roman" w:hAnsi="Times New Roman" w:cs="Times New Roman"/>
          <w:i/>
          <w:iCs/>
          <w:kern w:val="0"/>
          <w:lang w:val="en-US"/>
          <w14:ligatures w14:val="none"/>
        </w:rPr>
        <w:t>International Journal of Business Environment</w:t>
      </w:r>
      <w:r w:rsidRPr="00046301">
        <w:rPr>
          <w:rFonts w:ascii="Times New Roman" w:eastAsia="Times New Roman" w:hAnsi="Times New Roman" w:cs="Times New Roman"/>
          <w:kern w:val="0"/>
          <w:lang w:val="en-US"/>
          <w14:ligatures w14:val="none"/>
        </w:rPr>
        <w:t>, 8(1), p.19.</w:t>
      </w:r>
    </w:p>
    <w:p w14:paraId="55C11E01"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lastRenderedPageBreak/>
        <w:t xml:space="preserve">Camillus, J.C. (2022a). </w:t>
      </w:r>
      <w:proofErr w:type="spellStart"/>
      <w:r w:rsidRPr="00046301">
        <w:rPr>
          <w:rFonts w:ascii="Times New Roman" w:eastAsia="Times New Roman" w:hAnsi="Times New Roman" w:cs="Times New Roman"/>
          <w:kern w:val="0"/>
          <w:lang w:val="en-US"/>
          <w14:ligatures w14:val="none"/>
        </w:rPr>
        <w:t>Organisational</w:t>
      </w:r>
      <w:proofErr w:type="spellEnd"/>
      <w:r w:rsidRPr="00046301">
        <w:rPr>
          <w:rFonts w:ascii="Times New Roman" w:eastAsia="Times New Roman" w:hAnsi="Times New Roman" w:cs="Times New Roman"/>
          <w:kern w:val="0"/>
          <w:lang w:val="en-US"/>
          <w14:ligatures w14:val="none"/>
        </w:rPr>
        <w:t xml:space="preserve"> Identity and the Business </w:t>
      </w:r>
      <w:proofErr w:type="gramStart"/>
      <w:r w:rsidRPr="00046301">
        <w:rPr>
          <w:rFonts w:ascii="Times New Roman" w:eastAsia="Times New Roman" w:hAnsi="Times New Roman" w:cs="Times New Roman"/>
          <w:kern w:val="0"/>
          <w:lang w:val="en-US"/>
          <w14:ligatures w14:val="none"/>
        </w:rPr>
        <w:t>environment</w:t>
      </w:r>
      <w:proofErr w:type="gramEnd"/>
      <w:r w:rsidRPr="00046301">
        <w:rPr>
          <w:rFonts w:ascii="Times New Roman" w:eastAsia="Times New Roman" w:hAnsi="Times New Roman" w:cs="Times New Roman"/>
          <w:kern w:val="0"/>
          <w:lang w:val="en-US"/>
          <w14:ligatures w14:val="none"/>
        </w:rPr>
        <w:t xml:space="preserve">: the Strategic Connection. </w:t>
      </w:r>
      <w:r w:rsidRPr="00046301">
        <w:rPr>
          <w:rFonts w:ascii="Times New Roman" w:eastAsia="Times New Roman" w:hAnsi="Times New Roman" w:cs="Times New Roman"/>
          <w:i/>
          <w:iCs/>
          <w:kern w:val="0"/>
          <w:lang w:val="en-US"/>
          <w14:ligatures w14:val="none"/>
        </w:rPr>
        <w:t>International Journal of Business Environment</w:t>
      </w:r>
      <w:r w:rsidRPr="00046301">
        <w:rPr>
          <w:rFonts w:ascii="Times New Roman" w:eastAsia="Times New Roman" w:hAnsi="Times New Roman" w:cs="Times New Roman"/>
          <w:kern w:val="0"/>
          <w:lang w:val="en-US"/>
          <w14:ligatures w14:val="none"/>
        </w:rPr>
        <w:t>, 4(4), p.306.</w:t>
      </w:r>
    </w:p>
    <w:p w14:paraId="6CA8E201"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Camillus, J.C. (2022b). </w:t>
      </w:r>
      <w:proofErr w:type="spellStart"/>
      <w:r w:rsidRPr="00046301">
        <w:rPr>
          <w:rFonts w:ascii="Times New Roman" w:eastAsia="Times New Roman" w:hAnsi="Times New Roman" w:cs="Times New Roman"/>
          <w:kern w:val="0"/>
          <w:lang w:val="en-US"/>
          <w14:ligatures w14:val="none"/>
        </w:rPr>
        <w:t>Organisational</w:t>
      </w:r>
      <w:proofErr w:type="spellEnd"/>
      <w:r w:rsidRPr="00046301">
        <w:rPr>
          <w:rFonts w:ascii="Times New Roman" w:eastAsia="Times New Roman" w:hAnsi="Times New Roman" w:cs="Times New Roman"/>
          <w:kern w:val="0"/>
          <w:lang w:val="en-US"/>
          <w14:ligatures w14:val="none"/>
        </w:rPr>
        <w:t xml:space="preserve"> Identity and the Business </w:t>
      </w:r>
      <w:proofErr w:type="gramStart"/>
      <w:r w:rsidRPr="00046301">
        <w:rPr>
          <w:rFonts w:ascii="Times New Roman" w:eastAsia="Times New Roman" w:hAnsi="Times New Roman" w:cs="Times New Roman"/>
          <w:kern w:val="0"/>
          <w:lang w:val="en-US"/>
          <w14:ligatures w14:val="none"/>
        </w:rPr>
        <w:t>environment</w:t>
      </w:r>
      <w:proofErr w:type="gramEnd"/>
      <w:r w:rsidRPr="00046301">
        <w:rPr>
          <w:rFonts w:ascii="Times New Roman" w:eastAsia="Times New Roman" w:hAnsi="Times New Roman" w:cs="Times New Roman"/>
          <w:kern w:val="0"/>
          <w:lang w:val="en-US"/>
          <w14:ligatures w14:val="none"/>
        </w:rPr>
        <w:t xml:space="preserve">: the Strategic Connection. </w:t>
      </w:r>
      <w:r w:rsidRPr="00046301">
        <w:rPr>
          <w:rFonts w:ascii="Times New Roman" w:eastAsia="Times New Roman" w:hAnsi="Times New Roman" w:cs="Times New Roman"/>
          <w:i/>
          <w:iCs/>
          <w:kern w:val="0"/>
          <w:lang w:val="en-US"/>
          <w14:ligatures w14:val="none"/>
        </w:rPr>
        <w:t>International Journal of Business Environment</w:t>
      </w:r>
      <w:r w:rsidRPr="00046301">
        <w:rPr>
          <w:rFonts w:ascii="Times New Roman" w:eastAsia="Times New Roman" w:hAnsi="Times New Roman" w:cs="Times New Roman"/>
          <w:kern w:val="0"/>
          <w:lang w:val="en-US"/>
          <w14:ligatures w14:val="none"/>
        </w:rPr>
        <w:t>, 4(4), p.306.</w:t>
      </w:r>
    </w:p>
    <w:p w14:paraId="25F331CF"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Campbell, D. (2021). </w:t>
      </w:r>
      <w:r w:rsidRPr="00046301">
        <w:rPr>
          <w:rFonts w:ascii="Times New Roman" w:eastAsia="Times New Roman" w:hAnsi="Times New Roman" w:cs="Times New Roman"/>
          <w:i/>
          <w:iCs/>
          <w:kern w:val="0"/>
          <w:lang w:val="en-US"/>
          <w14:ligatures w14:val="none"/>
        </w:rPr>
        <w:t>Business Strategy</w:t>
      </w:r>
      <w:r w:rsidRPr="00046301">
        <w:rPr>
          <w:rFonts w:ascii="Times New Roman" w:eastAsia="Times New Roman" w:hAnsi="Times New Roman" w:cs="Times New Roman"/>
          <w:kern w:val="0"/>
          <w:lang w:val="en-US"/>
          <w14:ligatures w14:val="none"/>
        </w:rPr>
        <w:t>. 5th ed. London: Pearson.</w:t>
      </w:r>
    </w:p>
    <w:p w14:paraId="7DCA85F9"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Chopra, S. (2021). </w:t>
      </w:r>
      <w:r w:rsidRPr="00046301">
        <w:rPr>
          <w:rFonts w:ascii="Times New Roman" w:eastAsia="Times New Roman" w:hAnsi="Times New Roman" w:cs="Times New Roman"/>
          <w:i/>
          <w:iCs/>
          <w:kern w:val="0"/>
          <w:lang w:val="en-US"/>
          <w14:ligatures w14:val="none"/>
        </w:rPr>
        <w:t xml:space="preserve">Supply Chain </w:t>
      </w:r>
      <w:proofErr w:type="gramStart"/>
      <w:r w:rsidRPr="00046301">
        <w:rPr>
          <w:rFonts w:ascii="Times New Roman" w:eastAsia="Times New Roman" w:hAnsi="Times New Roman" w:cs="Times New Roman"/>
          <w:i/>
          <w:iCs/>
          <w:kern w:val="0"/>
          <w:lang w:val="en-US"/>
          <w14:ligatures w14:val="none"/>
        </w:rPr>
        <w:t>Management :</w:t>
      </w:r>
      <w:proofErr w:type="gramEnd"/>
      <w:r w:rsidRPr="00046301">
        <w:rPr>
          <w:rFonts w:ascii="Times New Roman" w:eastAsia="Times New Roman" w:hAnsi="Times New Roman" w:cs="Times New Roman"/>
          <w:i/>
          <w:iCs/>
          <w:kern w:val="0"/>
          <w:lang w:val="en-US"/>
          <w14:ligatures w14:val="none"/>
        </w:rPr>
        <w:t xml:space="preserve"> Strategy, Planning and Operation</w:t>
      </w:r>
      <w:r w:rsidRPr="00046301">
        <w:rPr>
          <w:rFonts w:ascii="Times New Roman" w:eastAsia="Times New Roman" w:hAnsi="Times New Roman" w:cs="Times New Roman"/>
          <w:kern w:val="0"/>
          <w:lang w:val="en-US"/>
          <w14:ligatures w14:val="none"/>
        </w:rPr>
        <w:t>. 7th ed. New York, NY: Pearson Education.</w:t>
      </w:r>
    </w:p>
    <w:p w14:paraId="5D828F00"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Corallo, A., </w:t>
      </w:r>
      <w:proofErr w:type="spellStart"/>
      <w:r w:rsidRPr="00046301">
        <w:rPr>
          <w:rFonts w:ascii="Times New Roman" w:eastAsia="Times New Roman" w:hAnsi="Times New Roman" w:cs="Times New Roman"/>
          <w:kern w:val="0"/>
          <w:lang w:val="en-US"/>
          <w14:ligatures w14:val="none"/>
        </w:rPr>
        <w:t>Passiante</w:t>
      </w:r>
      <w:proofErr w:type="spellEnd"/>
      <w:r w:rsidRPr="00046301">
        <w:rPr>
          <w:rFonts w:ascii="Times New Roman" w:eastAsia="Times New Roman" w:hAnsi="Times New Roman" w:cs="Times New Roman"/>
          <w:kern w:val="0"/>
          <w:lang w:val="en-US"/>
          <w14:ligatures w14:val="none"/>
        </w:rPr>
        <w:t xml:space="preserve">, G. and </w:t>
      </w:r>
      <w:proofErr w:type="spellStart"/>
      <w:r w:rsidRPr="00046301">
        <w:rPr>
          <w:rFonts w:ascii="Times New Roman" w:eastAsia="Times New Roman" w:hAnsi="Times New Roman" w:cs="Times New Roman"/>
          <w:kern w:val="0"/>
          <w:lang w:val="en-US"/>
          <w14:ligatures w14:val="none"/>
        </w:rPr>
        <w:t>Prencipe</w:t>
      </w:r>
      <w:proofErr w:type="spellEnd"/>
      <w:r w:rsidRPr="00046301">
        <w:rPr>
          <w:rFonts w:ascii="Times New Roman" w:eastAsia="Times New Roman" w:hAnsi="Times New Roman" w:cs="Times New Roman"/>
          <w:kern w:val="0"/>
          <w:lang w:val="en-US"/>
          <w14:ligatures w14:val="none"/>
        </w:rPr>
        <w:t xml:space="preserve">, A. (2017). </w:t>
      </w:r>
      <w:r w:rsidRPr="00046301">
        <w:rPr>
          <w:rFonts w:ascii="Times New Roman" w:eastAsia="Times New Roman" w:hAnsi="Times New Roman" w:cs="Times New Roman"/>
          <w:i/>
          <w:iCs/>
          <w:kern w:val="0"/>
          <w:lang w:val="en-US"/>
          <w14:ligatures w14:val="none"/>
        </w:rPr>
        <w:t>The digital business ecosystem</w:t>
      </w:r>
      <w:r w:rsidRPr="00046301">
        <w:rPr>
          <w:rFonts w:ascii="Times New Roman" w:eastAsia="Times New Roman" w:hAnsi="Times New Roman" w:cs="Times New Roman"/>
          <w:kern w:val="0"/>
          <w:lang w:val="en-US"/>
          <w14:ligatures w14:val="none"/>
        </w:rPr>
        <w:t xml:space="preserve">. Cheltenham, </w:t>
      </w:r>
      <w:proofErr w:type="gramStart"/>
      <w:r w:rsidRPr="00046301">
        <w:rPr>
          <w:rFonts w:ascii="Times New Roman" w:eastAsia="Times New Roman" w:hAnsi="Times New Roman" w:cs="Times New Roman"/>
          <w:kern w:val="0"/>
          <w:lang w:val="en-US"/>
          <w14:ligatures w14:val="none"/>
        </w:rPr>
        <w:t>Uk ;</w:t>
      </w:r>
      <w:proofErr w:type="gramEnd"/>
      <w:r w:rsidRPr="00046301">
        <w:rPr>
          <w:rFonts w:ascii="Times New Roman" w:eastAsia="Times New Roman" w:hAnsi="Times New Roman" w:cs="Times New Roman"/>
          <w:kern w:val="0"/>
          <w:lang w:val="en-US"/>
          <w14:ligatures w14:val="none"/>
        </w:rPr>
        <w:t xml:space="preserve"> Northampton, Ma: Edward Elgar Pub.</w:t>
      </w:r>
    </w:p>
    <w:p w14:paraId="74B4E26A"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Coşar, A.K., Grieco, P.L.E., Li, S. and </w:t>
      </w:r>
      <w:proofErr w:type="spellStart"/>
      <w:r w:rsidRPr="00046301">
        <w:rPr>
          <w:rFonts w:ascii="Times New Roman" w:eastAsia="Times New Roman" w:hAnsi="Times New Roman" w:cs="Times New Roman"/>
          <w:kern w:val="0"/>
          <w:lang w:val="en-US"/>
          <w14:ligatures w14:val="none"/>
        </w:rPr>
        <w:t>Tintelnot</w:t>
      </w:r>
      <w:proofErr w:type="spellEnd"/>
      <w:r w:rsidRPr="00046301">
        <w:rPr>
          <w:rFonts w:ascii="Times New Roman" w:eastAsia="Times New Roman" w:hAnsi="Times New Roman" w:cs="Times New Roman"/>
          <w:kern w:val="0"/>
          <w:lang w:val="en-US"/>
          <w14:ligatures w14:val="none"/>
        </w:rPr>
        <w:t xml:space="preserve">, F. (2021). What drives home market advantage? </w:t>
      </w:r>
      <w:r w:rsidRPr="00046301">
        <w:rPr>
          <w:rFonts w:ascii="Times New Roman" w:eastAsia="Times New Roman" w:hAnsi="Times New Roman" w:cs="Times New Roman"/>
          <w:i/>
          <w:iCs/>
          <w:kern w:val="0"/>
          <w:lang w:val="en-US"/>
          <w14:ligatures w14:val="none"/>
        </w:rPr>
        <w:t>Journal of International Economics</w:t>
      </w:r>
      <w:r w:rsidRPr="00046301">
        <w:rPr>
          <w:rFonts w:ascii="Times New Roman" w:eastAsia="Times New Roman" w:hAnsi="Times New Roman" w:cs="Times New Roman"/>
          <w:kern w:val="0"/>
          <w:lang w:val="en-US"/>
          <w14:ligatures w14:val="none"/>
        </w:rPr>
        <w:t>, 110(1), pp.135–150.</w:t>
      </w:r>
    </w:p>
    <w:p w14:paraId="5A5F0088"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David Brian Szabla (2023). </w:t>
      </w:r>
      <w:r w:rsidRPr="00046301">
        <w:rPr>
          <w:rFonts w:ascii="Times New Roman" w:eastAsia="Times New Roman" w:hAnsi="Times New Roman" w:cs="Times New Roman"/>
          <w:i/>
          <w:iCs/>
          <w:kern w:val="0"/>
          <w:lang w:val="en-US"/>
          <w14:ligatures w14:val="none"/>
        </w:rPr>
        <w:t>Management Consulting in the Era of the Digital Organization</w:t>
      </w:r>
      <w:r w:rsidRPr="00046301">
        <w:rPr>
          <w:rFonts w:ascii="Times New Roman" w:eastAsia="Times New Roman" w:hAnsi="Times New Roman" w:cs="Times New Roman"/>
          <w:kern w:val="0"/>
          <w:lang w:val="en-US"/>
          <w14:ligatures w14:val="none"/>
        </w:rPr>
        <w:t>. IAP.</w:t>
      </w:r>
    </w:p>
    <w:p w14:paraId="09A43D59"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Farmer, R.N. and Hogue, W.D. (2020). </w:t>
      </w:r>
      <w:r w:rsidRPr="00046301">
        <w:rPr>
          <w:rFonts w:ascii="Times New Roman" w:eastAsia="Times New Roman" w:hAnsi="Times New Roman" w:cs="Times New Roman"/>
          <w:i/>
          <w:iCs/>
          <w:kern w:val="0"/>
          <w:lang w:val="en-US"/>
          <w14:ligatures w14:val="none"/>
        </w:rPr>
        <w:t>Corporate social responsibility</w:t>
      </w:r>
      <w:r w:rsidRPr="00046301">
        <w:rPr>
          <w:rFonts w:ascii="Times New Roman" w:eastAsia="Times New Roman" w:hAnsi="Times New Roman" w:cs="Times New Roman"/>
          <w:kern w:val="0"/>
          <w:lang w:val="en-US"/>
          <w14:ligatures w14:val="none"/>
        </w:rPr>
        <w:t>. Lexington, Mass.: Lexington Books.</w:t>
      </w:r>
    </w:p>
    <w:p w14:paraId="7CD22DEF"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Ferdinand, A.T. (2019). Company Specific Advantage and Sustainable Competitive Advantage. </w:t>
      </w:r>
      <w:r w:rsidRPr="00046301">
        <w:rPr>
          <w:rFonts w:ascii="Times New Roman" w:eastAsia="Times New Roman" w:hAnsi="Times New Roman" w:cs="Times New Roman"/>
          <w:i/>
          <w:iCs/>
          <w:kern w:val="0"/>
          <w:lang w:val="en-US"/>
          <w14:ligatures w14:val="none"/>
        </w:rPr>
        <w:t>SSRN Electronic Journal</w:t>
      </w:r>
      <w:r w:rsidRPr="00046301">
        <w:rPr>
          <w:rFonts w:ascii="Times New Roman" w:eastAsia="Times New Roman" w:hAnsi="Times New Roman" w:cs="Times New Roman"/>
          <w:kern w:val="0"/>
          <w:lang w:val="en-US"/>
          <w14:ligatures w14:val="none"/>
        </w:rPr>
        <w:t>, 1(1).</w:t>
      </w:r>
    </w:p>
    <w:p w14:paraId="26392947"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Goldman, R.L. (2018). Customer Service. </w:t>
      </w:r>
      <w:r w:rsidRPr="00046301">
        <w:rPr>
          <w:rFonts w:ascii="Times New Roman" w:eastAsia="Times New Roman" w:hAnsi="Times New Roman" w:cs="Times New Roman"/>
          <w:i/>
          <w:iCs/>
          <w:kern w:val="0"/>
          <w:lang w:val="en-US"/>
          <w14:ligatures w14:val="none"/>
        </w:rPr>
        <w:t>Journal of Customer Service in Marketing &amp; Management</w:t>
      </w:r>
      <w:r w:rsidRPr="00046301">
        <w:rPr>
          <w:rFonts w:ascii="Times New Roman" w:eastAsia="Times New Roman" w:hAnsi="Times New Roman" w:cs="Times New Roman"/>
          <w:kern w:val="0"/>
          <w:lang w:val="en-US"/>
          <w14:ligatures w14:val="none"/>
        </w:rPr>
        <w:t>, 2(1), pp.65–77.</w:t>
      </w:r>
    </w:p>
    <w:p w14:paraId="79F16194"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Hoeffler, S. and Keller, K.L. (2023). The marketing advantages of strong brands. </w:t>
      </w:r>
      <w:r w:rsidRPr="00046301">
        <w:rPr>
          <w:rFonts w:ascii="Times New Roman" w:eastAsia="Times New Roman" w:hAnsi="Times New Roman" w:cs="Times New Roman"/>
          <w:i/>
          <w:iCs/>
          <w:kern w:val="0"/>
          <w:lang w:val="en-US"/>
          <w14:ligatures w14:val="none"/>
        </w:rPr>
        <w:t>Journal of Brand Management</w:t>
      </w:r>
      <w:r w:rsidRPr="00046301">
        <w:rPr>
          <w:rFonts w:ascii="Times New Roman" w:eastAsia="Times New Roman" w:hAnsi="Times New Roman" w:cs="Times New Roman"/>
          <w:kern w:val="0"/>
          <w:lang w:val="en-US"/>
          <w14:ligatures w14:val="none"/>
        </w:rPr>
        <w:t>, 10(6), pp.421–445.</w:t>
      </w:r>
    </w:p>
    <w:p w14:paraId="3C397456"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Javaid, T. and Siddiqui, D.A. (2018). Supply Chain Responsiveness and Supply Chain Performance: The Role of Supply Chain Risk Management. </w:t>
      </w:r>
      <w:r w:rsidRPr="00046301">
        <w:rPr>
          <w:rFonts w:ascii="Times New Roman" w:eastAsia="Times New Roman" w:hAnsi="Times New Roman" w:cs="Times New Roman"/>
          <w:i/>
          <w:iCs/>
          <w:kern w:val="0"/>
          <w:lang w:val="en-US"/>
          <w14:ligatures w14:val="none"/>
        </w:rPr>
        <w:t>SSRN Electronic Journal</w:t>
      </w:r>
      <w:r w:rsidRPr="00046301">
        <w:rPr>
          <w:rFonts w:ascii="Times New Roman" w:eastAsia="Times New Roman" w:hAnsi="Times New Roman" w:cs="Times New Roman"/>
          <w:kern w:val="0"/>
          <w:lang w:val="en-US"/>
          <w14:ligatures w14:val="none"/>
        </w:rPr>
        <w:t>, 1(1).</w:t>
      </w:r>
    </w:p>
    <w:p w14:paraId="0330CD9B"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Johannesson, J. (2021). Business growth in a tough economy. </w:t>
      </w:r>
      <w:r w:rsidRPr="00046301">
        <w:rPr>
          <w:rFonts w:ascii="Times New Roman" w:eastAsia="Times New Roman" w:hAnsi="Times New Roman" w:cs="Times New Roman"/>
          <w:i/>
          <w:iCs/>
          <w:kern w:val="0"/>
          <w:lang w:val="en-US"/>
          <w14:ligatures w14:val="none"/>
        </w:rPr>
        <w:t>International Journal of Business Competition and Growth</w:t>
      </w:r>
      <w:r w:rsidRPr="00046301">
        <w:rPr>
          <w:rFonts w:ascii="Times New Roman" w:eastAsia="Times New Roman" w:hAnsi="Times New Roman" w:cs="Times New Roman"/>
          <w:kern w:val="0"/>
          <w:lang w:val="en-US"/>
          <w14:ligatures w14:val="none"/>
        </w:rPr>
        <w:t>, 1(3), p.231.</w:t>
      </w:r>
    </w:p>
    <w:p w14:paraId="024C55EE"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lastRenderedPageBreak/>
        <w:t xml:space="preserve">Koch, T. and Windsperger, J. (2017). Seeing through the network: Competitive advantage in the digital economy. </w:t>
      </w:r>
      <w:r w:rsidRPr="00046301">
        <w:rPr>
          <w:rFonts w:ascii="Times New Roman" w:eastAsia="Times New Roman" w:hAnsi="Times New Roman" w:cs="Times New Roman"/>
          <w:i/>
          <w:iCs/>
          <w:kern w:val="0"/>
          <w:lang w:val="en-US"/>
          <w14:ligatures w14:val="none"/>
        </w:rPr>
        <w:t>Journal of Organization Design</w:t>
      </w:r>
      <w:r w:rsidRPr="00046301">
        <w:rPr>
          <w:rFonts w:ascii="Times New Roman" w:eastAsia="Times New Roman" w:hAnsi="Times New Roman" w:cs="Times New Roman"/>
          <w:kern w:val="0"/>
          <w:lang w:val="en-US"/>
          <w14:ligatures w14:val="none"/>
        </w:rPr>
        <w:t>, 6(1).</w:t>
      </w:r>
    </w:p>
    <w:p w14:paraId="45893BCB"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Kotler, P. and Armstrong, G. (2018). </w:t>
      </w:r>
      <w:r w:rsidRPr="00046301">
        <w:rPr>
          <w:rFonts w:ascii="Times New Roman" w:eastAsia="Times New Roman" w:hAnsi="Times New Roman" w:cs="Times New Roman"/>
          <w:i/>
          <w:iCs/>
          <w:kern w:val="0"/>
          <w:lang w:val="en-US"/>
          <w14:ligatures w14:val="none"/>
        </w:rPr>
        <w:t>Principles of marketing</w:t>
      </w:r>
      <w:r w:rsidRPr="00046301">
        <w:rPr>
          <w:rFonts w:ascii="Times New Roman" w:eastAsia="Times New Roman" w:hAnsi="Times New Roman" w:cs="Times New Roman"/>
          <w:kern w:val="0"/>
          <w:lang w:val="en-US"/>
          <w14:ligatures w14:val="none"/>
        </w:rPr>
        <w:t>. 17th ed. Hoboken: Pearson Higher Education.</w:t>
      </w:r>
    </w:p>
    <w:p w14:paraId="3CC7AB4A"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proofErr w:type="spellStart"/>
      <w:r w:rsidRPr="00046301">
        <w:rPr>
          <w:rFonts w:ascii="Times New Roman" w:eastAsia="Times New Roman" w:hAnsi="Times New Roman" w:cs="Times New Roman"/>
          <w:kern w:val="0"/>
          <w:lang w:val="en-US"/>
          <w14:ligatures w14:val="none"/>
        </w:rPr>
        <w:t>Lerza</w:t>
      </w:r>
      <w:proofErr w:type="spellEnd"/>
      <w:r w:rsidRPr="00046301">
        <w:rPr>
          <w:rFonts w:ascii="Times New Roman" w:eastAsia="Times New Roman" w:hAnsi="Times New Roman" w:cs="Times New Roman"/>
          <w:kern w:val="0"/>
          <w:lang w:val="en-US"/>
          <w14:ligatures w14:val="none"/>
        </w:rPr>
        <w:t xml:space="preserve">, R. (2021). Customer satisfaction: what can we save? </w:t>
      </w:r>
      <w:r w:rsidRPr="00046301">
        <w:rPr>
          <w:rFonts w:ascii="Times New Roman" w:eastAsia="Times New Roman" w:hAnsi="Times New Roman" w:cs="Times New Roman"/>
          <w:i/>
          <w:iCs/>
          <w:kern w:val="0"/>
          <w:lang w:val="en-US"/>
          <w14:ligatures w14:val="none"/>
        </w:rPr>
        <w:t>Emergency Care Journal</w:t>
      </w:r>
      <w:r w:rsidRPr="00046301">
        <w:rPr>
          <w:rFonts w:ascii="Times New Roman" w:eastAsia="Times New Roman" w:hAnsi="Times New Roman" w:cs="Times New Roman"/>
          <w:kern w:val="0"/>
          <w:lang w:val="en-US"/>
          <w14:ligatures w14:val="none"/>
        </w:rPr>
        <w:t>, 7(1), p.3.</w:t>
      </w:r>
    </w:p>
    <w:p w14:paraId="53031232"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Mennen, M. (2010). </w:t>
      </w:r>
      <w:r w:rsidRPr="00046301">
        <w:rPr>
          <w:rFonts w:ascii="Times New Roman" w:eastAsia="Times New Roman" w:hAnsi="Times New Roman" w:cs="Times New Roman"/>
          <w:i/>
          <w:iCs/>
          <w:kern w:val="0"/>
          <w:lang w:val="en-US"/>
          <w14:ligatures w14:val="none"/>
        </w:rPr>
        <w:t>Micro and Macro Environmental Analysis of the Health Care Sector in the US and France - Potential Opportunities and Threats</w:t>
      </w:r>
      <w:r w:rsidRPr="00046301">
        <w:rPr>
          <w:rFonts w:ascii="Times New Roman" w:eastAsia="Times New Roman" w:hAnsi="Times New Roman" w:cs="Times New Roman"/>
          <w:kern w:val="0"/>
          <w:lang w:val="en-US"/>
          <w14:ligatures w14:val="none"/>
        </w:rPr>
        <w:t>. GRIN Verlag.</w:t>
      </w:r>
    </w:p>
    <w:p w14:paraId="37DDD99D"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Ngek Neneh, B. (2020). Market orientation and performance: the contingency role of external environment. </w:t>
      </w:r>
      <w:r w:rsidRPr="00046301">
        <w:rPr>
          <w:rFonts w:ascii="Times New Roman" w:eastAsia="Times New Roman" w:hAnsi="Times New Roman" w:cs="Times New Roman"/>
          <w:i/>
          <w:iCs/>
          <w:kern w:val="0"/>
          <w:lang w:val="en-US"/>
          <w14:ligatures w14:val="none"/>
        </w:rPr>
        <w:t>Environmental Economics</w:t>
      </w:r>
      <w:r w:rsidRPr="00046301">
        <w:rPr>
          <w:rFonts w:ascii="Times New Roman" w:eastAsia="Times New Roman" w:hAnsi="Times New Roman" w:cs="Times New Roman"/>
          <w:kern w:val="0"/>
          <w:lang w:val="en-US"/>
          <w14:ligatures w14:val="none"/>
        </w:rPr>
        <w:t>, 7(2), pp.130–137.</w:t>
      </w:r>
    </w:p>
    <w:p w14:paraId="54F22085"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Polo, M.P. (2021). Acts or events? A perspective from the marketing mix. </w:t>
      </w:r>
      <w:r w:rsidRPr="00046301">
        <w:rPr>
          <w:rFonts w:ascii="Times New Roman" w:eastAsia="Times New Roman" w:hAnsi="Times New Roman" w:cs="Times New Roman"/>
          <w:i/>
          <w:iCs/>
          <w:kern w:val="0"/>
          <w:lang w:val="en-US"/>
          <w14:ligatures w14:val="none"/>
        </w:rPr>
        <w:t xml:space="preserve">IROCAMM-International Review </w:t>
      </w:r>
      <w:proofErr w:type="gramStart"/>
      <w:r w:rsidRPr="00046301">
        <w:rPr>
          <w:rFonts w:ascii="Times New Roman" w:eastAsia="Times New Roman" w:hAnsi="Times New Roman" w:cs="Times New Roman"/>
          <w:i/>
          <w:iCs/>
          <w:kern w:val="0"/>
          <w:lang w:val="en-US"/>
          <w14:ligatures w14:val="none"/>
        </w:rPr>
        <w:t>Of</w:t>
      </w:r>
      <w:proofErr w:type="gramEnd"/>
      <w:r w:rsidRPr="00046301">
        <w:rPr>
          <w:rFonts w:ascii="Times New Roman" w:eastAsia="Times New Roman" w:hAnsi="Times New Roman" w:cs="Times New Roman"/>
          <w:i/>
          <w:iCs/>
          <w:kern w:val="0"/>
          <w:lang w:val="en-US"/>
          <w14:ligatures w14:val="none"/>
        </w:rPr>
        <w:t xml:space="preserve"> Communication </w:t>
      </w:r>
      <w:proofErr w:type="gramStart"/>
      <w:r w:rsidRPr="00046301">
        <w:rPr>
          <w:rFonts w:ascii="Times New Roman" w:eastAsia="Times New Roman" w:hAnsi="Times New Roman" w:cs="Times New Roman"/>
          <w:i/>
          <w:iCs/>
          <w:kern w:val="0"/>
          <w:lang w:val="en-US"/>
          <w14:ligatures w14:val="none"/>
        </w:rPr>
        <w:t>And</w:t>
      </w:r>
      <w:proofErr w:type="gramEnd"/>
      <w:r w:rsidRPr="00046301">
        <w:rPr>
          <w:rFonts w:ascii="Times New Roman" w:eastAsia="Times New Roman" w:hAnsi="Times New Roman" w:cs="Times New Roman"/>
          <w:i/>
          <w:iCs/>
          <w:kern w:val="0"/>
          <w:lang w:val="en-US"/>
          <w14:ligatures w14:val="none"/>
        </w:rPr>
        <w:t xml:space="preserve"> Marketing Mix</w:t>
      </w:r>
      <w:r w:rsidRPr="00046301">
        <w:rPr>
          <w:rFonts w:ascii="Times New Roman" w:eastAsia="Times New Roman" w:hAnsi="Times New Roman" w:cs="Times New Roman"/>
          <w:kern w:val="0"/>
          <w:lang w:val="en-US"/>
          <w14:ligatures w14:val="none"/>
        </w:rPr>
        <w:t>, 1(1), pp.56–66.</w:t>
      </w:r>
    </w:p>
    <w:p w14:paraId="67D668E7"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Srivastava, R. (2021). Shift of Marketing Mix to E-Marketing Mix: The Birth to New Era. </w:t>
      </w:r>
      <w:r w:rsidRPr="00046301">
        <w:rPr>
          <w:rFonts w:ascii="Times New Roman" w:eastAsia="Times New Roman" w:hAnsi="Times New Roman" w:cs="Times New Roman"/>
          <w:i/>
          <w:iCs/>
          <w:kern w:val="0"/>
          <w:lang w:val="en-US"/>
          <w14:ligatures w14:val="none"/>
        </w:rPr>
        <w:t>SSRN Electronic Journal</w:t>
      </w:r>
      <w:r w:rsidRPr="00046301">
        <w:rPr>
          <w:rFonts w:ascii="Times New Roman" w:eastAsia="Times New Roman" w:hAnsi="Times New Roman" w:cs="Times New Roman"/>
          <w:kern w:val="0"/>
          <w:lang w:val="en-US"/>
          <w14:ligatures w14:val="none"/>
        </w:rPr>
        <w:t>, 1(1).</w:t>
      </w:r>
    </w:p>
    <w:p w14:paraId="278356E9" w14:textId="77777777" w:rsidR="00046301" w:rsidRPr="00046301" w:rsidRDefault="00046301" w:rsidP="00046301">
      <w:pPr>
        <w:spacing w:after="240" w:line="360" w:lineRule="auto"/>
        <w:rPr>
          <w:rFonts w:ascii="Times New Roman" w:eastAsia="Times New Roman" w:hAnsi="Times New Roman" w:cs="Times New Roman"/>
          <w:kern w:val="0"/>
          <w:lang w:val="en-US"/>
          <w14:ligatures w14:val="none"/>
        </w:rPr>
      </w:pPr>
      <w:r w:rsidRPr="00046301">
        <w:rPr>
          <w:rFonts w:ascii="Times New Roman" w:eastAsia="Times New Roman" w:hAnsi="Times New Roman" w:cs="Times New Roman"/>
          <w:kern w:val="0"/>
          <w:lang w:val="en-US"/>
          <w14:ligatures w14:val="none"/>
        </w:rPr>
        <w:t xml:space="preserve">Surridge, M. (2022). </w:t>
      </w:r>
      <w:r w:rsidRPr="00046301">
        <w:rPr>
          <w:rFonts w:ascii="Times New Roman" w:eastAsia="Times New Roman" w:hAnsi="Times New Roman" w:cs="Times New Roman"/>
          <w:i/>
          <w:iCs/>
          <w:kern w:val="0"/>
          <w:lang w:val="en-US"/>
          <w14:ligatures w14:val="none"/>
        </w:rPr>
        <w:t>The business environment</w:t>
      </w:r>
      <w:r w:rsidRPr="00046301">
        <w:rPr>
          <w:rFonts w:ascii="Times New Roman" w:eastAsia="Times New Roman" w:hAnsi="Times New Roman" w:cs="Times New Roman"/>
          <w:kern w:val="0"/>
          <w:lang w:val="en-US"/>
          <w14:ligatures w14:val="none"/>
        </w:rPr>
        <w:t xml:space="preserve">. 4th ed. London: </w:t>
      </w:r>
      <w:proofErr w:type="spellStart"/>
      <w:r w:rsidRPr="00046301">
        <w:rPr>
          <w:rFonts w:ascii="Times New Roman" w:eastAsia="Times New Roman" w:hAnsi="Times New Roman" w:cs="Times New Roman"/>
          <w:kern w:val="0"/>
          <w:lang w:val="en-US"/>
          <w14:ligatures w14:val="none"/>
        </w:rPr>
        <w:t>Collinseducational</w:t>
      </w:r>
      <w:proofErr w:type="spellEnd"/>
      <w:r w:rsidRPr="00046301">
        <w:rPr>
          <w:rFonts w:ascii="Times New Roman" w:eastAsia="Times New Roman" w:hAnsi="Times New Roman" w:cs="Times New Roman"/>
          <w:kern w:val="0"/>
          <w:lang w:val="en-US"/>
          <w14:ligatures w14:val="none"/>
        </w:rPr>
        <w:t>.</w:t>
      </w:r>
    </w:p>
    <w:p w14:paraId="4F1378B4" w14:textId="77777777" w:rsidR="00046301" w:rsidRPr="006234AC" w:rsidRDefault="00046301" w:rsidP="006234AC">
      <w:pPr>
        <w:spacing w:line="360" w:lineRule="auto"/>
        <w:jc w:val="both"/>
        <w:rPr>
          <w:rFonts w:ascii="Times New Roman" w:hAnsi="Times New Roman" w:cs="Times New Roman"/>
        </w:rPr>
      </w:pPr>
    </w:p>
    <w:sectPr w:rsidR="00046301" w:rsidRPr="006234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51E3E"/>
    <w:multiLevelType w:val="multilevel"/>
    <w:tmpl w:val="E99A7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FF3398"/>
    <w:multiLevelType w:val="hybridMultilevel"/>
    <w:tmpl w:val="2F2CF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BA6557"/>
    <w:multiLevelType w:val="multilevel"/>
    <w:tmpl w:val="0A9A2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707BE0"/>
    <w:multiLevelType w:val="hybridMultilevel"/>
    <w:tmpl w:val="26B45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3A05DC"/>
    <w:multiLevelType w:val="multilevel"/>
    <w:tmpl w:val="05CEF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8B0C61"/>
    <w:multiLevelType w:val="hybridMultilevel"/>
    <w:tmpl w:val="307A1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1C4663"/>
    <w:multiLevelType w:val="multilevel"/>
    <w:tmpl w:val="E8B89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88601A"/>
    <w:multiLevelType w:val="hybridMultilevel"/>
    <w:tmpl w:val="FE98A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C815B2"/>
    <w:multiLevelType w:val="multilevel"/>
    <w:tmpl w:val="2280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A30601"/>
    <w:multiLevelType w:val="multilevel"/>
    <w:tmpl w:val="FD868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925F70"/>
    <w:multiLevelType w:val="multilevel"/>
    <w:tmpl w:val="4A8A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6748ED"/>
    <w:multiLevelType w:val="multilevel"/>
    <w:tmpl w:val="D5E8C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5F2AF8"/>
    <w:multiLevelType w:val="multilevel"/>
    <w:tmpl w:val="2A6E0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0512435">
    <w:abstractNumId w:val="8"/>
  </w:num>
  <w:num w:numId="2" w16cid:durableId="1876655987">
    <w:abstractNumId w:val="6"/>
  </w:num>
  <w:num w:numId="3" w16cid:durableId="1559633607">
    <w:abstractNumId w:val="2"/>
  </w:num>
  <w:num w:numId="4" w16cid:durableId="1382441705">
    <w:abstractNumId w:val="12"/>
  </w:num>
  <w:num w:numId="5" w16cid:durableId="1195272800">
    <w:abstractNumId w:val="10"/>
  </w:num>
  <w:num w:numId="6" w16cid:durableId="971399268">
    <w:abstractNumId w:val="11"/>
  </w:num>
  <w:num w:numId="7" w16cid:durableId="2139451738">
    <w:abstractNumId w:val="0"/>
  </w:num>
  <w:num w:numId="8" w16cid:durableId="544221458">
    <w:abstractNumId w:val="9"/>
  </w:num>
  <w:num w:numId="9" w16cid:durableId="75979483">
    <w:abstractNumId w:val="4"/>
  </w:num>
  <w:num w:numId="10" w16cid:durableId="1347707691">
    <w:abstractNumId w:val="1"/>
  </w:num>
  <w:num w:numId="11" w16cid:durableId="1322925305">
    <w:abstractNumId w:val="7"/>
  </w:num>
  <w:num w:numId="12" w16cid:durableId="1148978927">
    <w:abstractNumId w:val="3"/>
  </w:num>
  <w:num w:numId="13" w16cid:durableId="8883057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46D"/>
    <w:rsid w:val="00046301"/>
    <w:rsid w:val="000E329A"/>
    <w:rsid w:val="00136948"/>
    <w:rsid w:val="00195235"/>
    <w:rsid w:val="001D663D"/>
    <w:rsid w:val="00235A15"/>
    <w:rsid w:val="0028346D"/>
    <w:rsid w:val="003648BC"/>
    <w:rsid w:val="00424D93"/>
    <w:rsid w:val="004C79ED"/>
    <w:rsid w:val="005015B9"/>
    <w:rsid w:val="005C5CD7"/>
    <w:rsid w:val="00600254"/>
    <w:rsid w:val="006234AC"/>
    <w:rsid w:val="00630566"/>
    <w:rsid w:val="006466CC"/>
    <w:rsid w:val="006B2DDE"/>
    <w:rsid w:val="006B4F17"/>
    <w:rsid w:val="00800509"/>
    <w:rsid w:val="00803EE7"/>
    <w:rsid w:val="0086405F"/>
    <w:rsid w:val="00881DB0"/>
    <w:rsid w:val="008B4833"/>
    <w:rsid w:val="008C65DD"/>
    <w:rsid w:val="00913631"/>
    <w:rsid w:val="00994A9A"/>
    <w:rsid w:val="009D628C"/>
    <w:rsid w:val="009E6B0C"/>
    <w:rsid w:val="00B66B75"/>
    <w:rsid w:val="00B72756"/>
    <w:rsid w:val="00BA003C"/>
    <w:rsid w:val="00C77530"/>
    <w:rsid w:val="00CC5A19"/>
    <w:rsid w:val="00CF02D6"/>
    <w:rsid w:val="00DA185D"/>
    <w:rsid w:val="00DF1900"/>
    <w:rsid w:val="00E17B90"/>
    <w:rsid w:val="00E17DC8"/>
    <w:rsid w:val="00E6171A"/>
    <w:rsid w:val="00E87786"/>
    <w:rsid w:val="00ED5400"/>
    <w:rsid w:val="00ED6522"/>
    <w:rsid w:val="00F62B3D"/>
    <w:rsid w:val="00FE50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04696"/>
  <w15:chartTrackingRefBased/>
  <w15:docId w15:val="{DE204B6A-23B1-44CC-B893-0E3F2A9BF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30566"/>
    <w:pPr>
      <w:keepNext/>
      <w:keepLines/>
      <w:spacing w:before="360" w:after="80"/>
      <w:outlineLvl w:val="0"/>
    </w:pPr>
    <w:rPr>
      <w:rFonts w:ascii="Times New Roman" w:eastAsiaTheme="majorEastAsia" w:hAnsi="Times New Roman"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30566"/>
    <w:pPr>
      <w:keepNext/>
      <w:keepLines/>
      <w:spacing w:before="160" w:after="80"/>
      <w:outlineLvl w:val="1"/>
    </w:pPr>
    <w:rPr>
      <w:rFonts w:ascii="Times New Roman" w:eastAsiaTheme="majorEastAsia" w:hAnsi="Times New Roman"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30566"/>
    <w:pPr>
      <w:keepNext/>
      <w:keepLines/>
      <w:spacing w:before="160" w:after="80"/>
      <w:outlineLvl w:val="2"/>
    </w:pPr>
    <w:rPr>
      <w:rFonts w:ascii="Times New Roman" w:eastAsiaTheme="majorEastAsia" w:hAnsi="Times New Roman"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34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34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34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34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34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34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566"/>
    <w:rPr>
      <w:rFonts w:ascii="Times New Roman" w:eastAsiaTheme="majorEastAsia" w:hAnsi="Times New Roman"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630566"/>
    <w:rPr>
      <w:rFonts w:ascii="Times New Roman" w:eastAsiaTheme="majorEastAsia" w:hAnsi="Times New Roman"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630566"/>
    <w:rPr>
      <w:rFonts w:ascii="Times New Roman" w:eastAsiaTheme="majorEastAsia" w:hAnsi="Times New Roman"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2834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34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34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34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34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346D"/>
    <w:rPr>
      <w:rFonts w:eastAsiaTheme="majorEastAsia" w:cstheme="majorBidi"/>
      <w:color w:val="272727" w:themeColor="text1" w:themeTint="D8"/>
    </w:rPr>
  </w:style>
  <w:style w:type="paragraph" w:styleId="Title">
    <w:name w:val="Title"/>
    <w:basedOn w:val="Normal"/>
    <w:next w:val="Normal"/>
    <w:link w:val="TitleChar"/>
    <w:uiPriority w:val="10"/>
    <w:qFormat/>
    <w:rsid w:val="002834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4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34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4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346D"/>
    <w:pPr>
      <w:spacing w:before="160"/>
      <w:jc w:val="center"/>
    </w:pPr>
    <w:rPr>
      <w:i/>
      <w:iCs/>
      <w:color w:val="404040" w:themeColor="text1" w:themeTint="BF"/>
    </w:rPr>
  </w:style>
  <w:style w:type="character" w:customStyle="1" w:styleId="QuoteChar">
    <w:name w:val="Quote Char"/>
    <w:basedOn w:val="DefaultParagraphFont"/>
    <w:link w:val="Quote"/>
    <w:uiPriority w:val="29"/>
    <w:rsid w:val="0028346D"/>
    <w:rPr>
      <w:i/>
      <w:iCs/>
      <w:color w:val="404040" w:themeColor="text1" w:themeTint="BF"/>
    </w:rPr>
  </w:style>
  <w:style w:type="paragraph" w:styleId="ListParagraph">
    <w:name w:val="List Paragraph"/>
    <w:basedOn w:val="Normal"/>
    <w:uiPriority w:val="34"/>
    <w:qFormat/>
    <w:rsid w:val="0028346D"/>
    <w:pPr>
      <w:ind w:left="720"/>
      <w:contextualSpacing/>
    </w:pPr>
  </w:style>
  <w:style w:type="character" w:styleId="IntenseEmphasis">
    <w:name w:val="Intense Emphasis"/>
    <w:basedOn w:val="DefaultParagraphFont"/>
    <w:uiPriority w:val="21"/>
    <w:qFormat/>
    <w:rsid w:val="0028346D"/>
    <w:rPr>
      <w:i/>
      <w:iCs/>
      <w:color w:val="0F4761" w:themeColor="accent1" w:themeShade="BF"/>
    </w:rPr>
  </w:style>
  <w:style w:type="paragraph" w:styleId="IntenseQuote">
    <w:name w:val="Intense Quote"/>
    <w:basedOn w:val="Normal"/>
    <w:next w:val="Normal"/>
    <w:link w:val="IntenseQuoteChar"/>
    <w:uiPriority w:val="30"/>
    <w:qFormat/>
    <w:rsid w:val="002834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346D"/>
    <w:rPr>
      <w:i/>
      <w:iCs/>
      <w:color w:val="0F4761" w:themeColor="accent1" w:themeShade="BF"/>
    </w:rPr>
  </w:style>
  <w:style w:type="character" w:styleId="IntenseReference">
    <w:name w:val="Intense Reference"/>
    <w:basedOn w:val="DefaultParagraphFont"/>
    <w:uiPriority w:val="32"/>
    <w:qFormat/>
    <w:rsid w:val="0028346D"/>
    <w:rPr>
      <w:b/>
      <w:bCs/>
      <w:smallCaps/>
      <w:color w:val="0F4761" w:themeColor="accent1" w:themeShade="BF"/>
      <w:spacing w:val="5"/>
    </w:rPr>
  </w:style>
  <w:style w:type="paragraph" w:styleId="TOCHeading">
    <w:name w:val="TOC Heading"/>
    <w:basedOn w:val="Heading1"/>
    <w:next w:val="Normal"/>
    <w:uiPriority w:val="39"/>
    <w:unhideWhenUsed/>
    <w:qFormat/>
    <w:rsid w:val="00046301"/>
    <w:pPr>
      <w:spacing w:before="240" w:after="0" w:line="259" w:lineRule="auto"/>
      <w:outlineLvl w:val="9"/>
    </w:pPr>
    <w:rPr>
      <w:rFonts w:asciiTheme="majorHAnsi" w:hAnsiTheme="majorHAnsi"/>
      <w:kern w:val="0"/>
      <w:sz w:val="32"/>
      <w:szCs w:val="32"/>
      <w:lang w:val="en-US"/>
      <w14:ligatures w14:val="none"/>
    </w:rPr>
  </w:style>
  <w:style w:type="paragraph" w:styleId="TOC3">
    <w:name w:val="toc 3"/>
    <w:basedOn w:val="Normal"/>
    <w:next w:val="Normal"/>
    <w:autoRedefine/>
    <w:uiPriority w:val="39"/>
    <w:unhideWhenUsed/>
    <w:rsid w:val="00046301"/>
    <w:pPr>
      <w:spacing w:after="100"/>
      <w:ind w:left="480"/>
    </w:pPr>
  </w:style>
  <w:style w:type="paragraph" w:styleId="TOC1">
    <w:name w:val="toc 1"/>
    <w:basedOn w:val="Normal"/>
    <w:next w:val="Normal"/>
    <w:autoRedefine/>
    <w:uiPriority w:val="39"/>
    <w:unhideWhenUsed/>
    <w:rsid w:val="00046301"/>
    <w:pPr>
      <w:spacing w:after="100"/>
    </w:pPr>
  </w:style>
  <w:style w:type="paragraph" w:styleId="TOC2">
    <w:name w:val="toc 2"/>
    <w:basedOn w:val="Normal"/>
    <w:next w:val="Normal"/>
    <w:autoRedefine/>
    <w:uiPriority w:val="39"/>
    <w:unhideWhenUsed/>
    <w:rsid w:val="00046301"/>
    <w:pPr>
      <w:spacing w:after="100"/>
      <w:ind w:left="240"/>
    </w:pPr>
  </w:style>
  <w:style w:type="character" w:styleId="Hyperlink">
    <w:name w:val="Hyperlink"/>
    <w:basedOn w:val="DefaultParagraphFont"/>
    <w:uiPriority w:val="99"/>
    <w:unhideWhenUsed/>
    <w:rsid w:val="0004630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B355CC-06DB-4C23-8C35-053C2199F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571</TotalTime>
  <Pages>21</Pages>
  <Words>5386</Words>
  <Characters>30703</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Lutfor Rahman</dc:creator>
  <cp:keywords/>
  <dc:description/>
  <cp:lastModifiedBy>Lutfor Rahman</cp:lastModifiedBy>
  <cp:revision>2</cp:revision>
  <dcterms:created xsi:type="dcterms:W3CDTF">2026-01-06T11:35:00Z</dcterms:created>
  <dcterms:modified xsi:type="dcterms:W3CDTF">2026-01-06T21:06:00Z</dcterms:modified>
</cp:coreProperties>
</file>