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16ED0" w14:textId="77777777" w:rsidR="00B67E4C" w:rsidRDefault="00B67E4C"/>
    <w:p w14:paraId="1275054C" w14:textId="77777777" w:rsidR="00B67E4C" w:rsidRDefault="00B67E4C"/>
    <w:p w14:paraId="6B340ED3" w14:textId="1CF3CBF0" w:rsidR="00BA77F4" w:rsidRDefault="00BA77F4">
      <w:pPr>
        <w:rPr>
          <w:b/>
          <w:sz w:val="36"/>
          <w:szCs w:val="36"/>
        </w:rPr>
      </w:pPr>
    </w:p>
    <w:p w14:paraId="4FE37966" w14:textId="64B51545" w:rsidR="00196867" w:rsidRDefault="00196867">
      <w:pPr>
        <w:rPr>
          <w:b/>
          <w:sz w:val="36"/>
          <w:szCs w:val="36"/>
        </w:rPr>
      </w:pPr>
    </w:p>
    <w:p w14:paraId="11FDE265" w14:textId="53E2E680" w:rsidR="00196867" w:rsidRDefault="00196867">
      <w:pPr>
        <w:rPr>
          <w:b/>
          <w:sz w:val="36"/>
          <w:szCs w:val="36"/>
        </w:rPr>
      </w:pPr>
    </w:p>
    <w:p w14:paraId="42B1A3FA" w14:textId="33EC81BE" w:rsidR="00196867" w:rsidRDefault="00196867">
      <w:pPr>
        <w:rPr>
          <w:b/>
          <w:sz w:val="36"/>
          <w:szCs w:val="36"/>
        </w:rPr>
      </w:pPr>
    </w:p>
    <w:p w14:paraId="133A1A49" w14:textId="370F2834" w:rsidR="00196867" w:rsidRDefault="00196867">
      <w:pPr>
        <w:rPr>
          <w:b/>
          <w:sz w:val="36"/>
          <w:szCs w:val="36"/>
        </w:rPr>
      </w:pPr>
    </w:p>
    <w:p w14:paraId="5B8629E2" w14:textId="77777777" w:rsidR="00196867" w:rsidRDefault="00196867">
      <w:pPr>
        <w:rPr>
          <w:b/>
          <w:sz w:val="32"/>
          <w:szCs w:val="32"/>
        </w:rPr>
      </w:pPr>
    </w:p>
    <w:tbl>
      <w:tblPr>
        <w:tblStyle w:val="TableGrid"/>
        <w:tblW w:w="9350" w:type="dxa"/>
        <w:tblInd w:w="-5" w:type="dxa"/>
        <w:tblLook w:val="04A0" w:firstRow="1" w:lastRow="0" w:firstColumn="1" w:lastColumn="0" w:noHBand="0" w:noVBand="1"/>
      </w:tblPr>
      <w:tblGrid>
        <w:gridCol w:w="3256"/>
        <w:gridCol w:w="6094"/>
      </w:tblGrid>
      <w:tr w:rsidR="00BA77F4" w14:paraId="0B725F39" w14:textId="77777777" w:rsidTr="00196867">
        <w:tc>
          <w:tcPr>
            <w:tcW w:w="3256" w:type="dxa"/>
          </w:tcPr>
          <w:p w14:paraId="4729AA37" w14:textId="77777777" w:rsidR="00BA77F4" w:rsidRPr="00BA77F4" w:rsidRDefault="00BA77F4" w:rsidP="00EF7C6B">
            <w:pPr>
              <w:jc w:val="center"/>
              <w:rPr>
                <w:rFonts w:ascii="Times New Roman" w:hAnsi="Times New Roman" w:cs="Times New Roman"/>
                <w:b/>
                <w:bCs/>
                <w:sz w:val="32"/>
                <w:szCs w:val="28"/>
              </w:rPr>
            </w:pPr>
            <w:r w:rsidRPr="00BA77F4">
              <w:rPr>
                <w:rFonts w:ascii="Times New Roman" w:hAnsi="Times New Roman" w:cs="Times New Roman"/>
                <w:b/>
                <w:bCs/>
                <w:sz w:val="32"/>
                <w:szCs w:val="28"/>
              </w:rPr>
              <w:t>MODULE NAME</w:t>
            </w:r>
          </w:p>
        </w:tc>
        <w:tc>
          <w:tcPr>
            <w:tcW w:w="6094" w:type="dxa"/>
          </w:tcPr>
          <w:p w14:paraId="2473D9AC" w14:textId="33D10819" w:rsidR="00BA77F4" w:rsidRPr="00BA77F4" w:rsidRDefault="00BA77F4" w:rsidP="00EF7C6B">
            <w:pPr>
              <w:jc w:val="center"/>
              <w:rPr>
                <w:rFonts w:ascii="Times New Roman" w:hAnsi="Times New Roman" w:cs="Times New Roman"/>
                <w:b/>
                <w:bCs/>
                <w:sz w:val="32"/>
                <w:szCs w:val="28"/>
              </w:rPr>
            </w:pPr>
            <w:r w:rsidRPr="00BA77F4">
              <w:rPr>
                <w:rFonts w:ascii="Times New Roman" w:hAnsi="Times New Roman" w:cs="Times New Roman"/>
                <w:b/>
                <w:bCs/>
                <w:sz w:val="32"/>
                <w:szCs w:val="28"/>
              </w:rPr>
              <w:t xml:space="preserve">THE GLOBAL BUSINESS ENVIRONMENT </w:t>
            </w:r>
          </w:p>
        </w:tc>
      </w:tr>
      <w:tr w:rsidR="00BA77F4" w14:paraId="458AF268" w14:textId="77777777" w:rsidTr="00196867">
        <w:tc>
          <w:tcPr>
            <w:tcW w:w="3256" w:type="dxa"/>
          </w:tcPr>
          <w:p w14:paraId="3DBBC8FA" w14:textId="77777777" w:rsidR="00BA77F4" w:rsidRPr="00BA77F4" w:rsidRDefault="00BA77F4" w:rsidP="00EF7C6B">
            <w:pPr>
              <w:jc w:val="center"/>
              <w:rPr>
                <w:rFonts w:ascii="Times New Roman" w:hAnsi="Times New Roman" w:cs="Times New Roman"/>
                <w:b/>
                <w:bCs/>
                <w:sz w:val="32"/>
                <w:szCs w:val="28"/>
              </w:rPr>
            </w:pPr>
            <w:r w:rsidRPr="00BA77F4">
              <w:rPr>
                <w:rFonts w:ascii="Times New Roman" w:hAnsi="Times New Roman" w:cs="Times New Roman"/>
                <w:b/>
                <w:bCs/>
                <w:sz w:val="32"/>
                <w:szCs w:val="28"/>
              </w:rPr>
              <w:t>MODULE CODE</w:t>
            </w:r>
          </w:p>
        </w:tc>
        <w:tc>
          <w:tcPr>
            <w:tcW w:w="6094" w:type="dxa"/>
          </w:tcPr>
          <w:p w14:paraId="6819EC4B" w14:textId="767157A8" w:rsidR="00BA77F4" w:rsidRPr="00BA77F4" w:rsidRDefault="00BA77F4" w:rsidP="00EF7C6B">
            <w:pPr>
              <w:jc w:val="center"/>
              <w:rPr>
                <w:rFonts w:ascii="Times New Roman" w:hAnsi="Times New Roman" w:cs="Times New Roman"/>
                <w:b/>
                <w:bCs/>
                <w:sz w:val="32"/>
                <w:szCs w:val="28"/>
              </w:rPr>
            </w:pPr>
            <w:r w:rsidRPr="00BA77F4">
              <w:rPr>
                <w:rFonts w:ascii="Times New Roman" w:hAnsi="Times New Roman" w:cs="Times New Roman"/>
                <w:b/>
                <w:bCs/>
                <w:sz w:val="32"/>
                <w:szCs w:val="28"/>
              </w:rPr>
              <w:t>LCBB4005</w:t>
            </w:r>
          </w:p>
        </w:tc>
      </w:tr>
      <w:tr w:rsidR="00BA77F4" w14:paraId="0C897FDD" w14:textId="77777777" w:rsidTr="00196867">
        <w:tc>
          <w:tcPr>
            <w:tcW w:w="3256" w:type="dxa"/>
          </w:tcPr>
          <w:p w14:paraId="7E824E9A" w14:textId="77777777" w:rsidR="00BA77F4" w:rsidRPr="00BA77F4" w:rsidRDefault="00BA77F4" w:rsidP="00EF7C6B">
            <w:pPr>
              <w:jc w:val="center"/>
              <w:rPr>
                <w:rFonts w:ascii="Times New Roman" w:hAnsi="Times New Roman" w:cs="Times New Roman"/>
                <w:b/>
                <w:bCs/>
                <w:sz w:val="32"/>
                <w:szCs w:val="28"/>
              </w:rPr>
            </w:pPr>
            <w:r w:rsidRPr="00BA77F4">
              <w:rPr>
                <w:rFonts w:ascii="Times New Roman" w:hAnsi="Times New Roman" w:cs="Times New Roman"/>
                <w:b/>
                <w:bCs/>
                <w:sz w:val="32"/>
                <w:szCs w:val="28"/>
              </w:rPr>
              <w:t xml:space="preserve">STUDENT NAME </w:t>
            </w:r>
          </w:p>
        </w:tc>
        <w:tc>
          <w:tcPr>
            <w:tcW w:w="6094" w:type="dxa"/>
          </w:tcPr>
          <w:p w14:paraId="680E6D71" w14:textId="77777777" w:rsidR="00BA77F4" w:rsidRPr="00BA77F4" w:rsidRDefault="00BA77F4" w:rsidP="00EF7C6B">
            <w:pPr>
              <w:jc w:val="center"/>
              <w:rPr>
                <w:rFonts w:ascii="Times New Roman" w:hAnsi="Times New Roman" w:cs="Times New Roman"/>
                <w:b/>
                <w:bCs/>
                <w:sz w:val="32"/>
                <w:szCs w:val="28"/>
              </w:rPr>
            </w:pPr>
            <w:r w:rsidRPr="00BA77F4">
              <w:rPr>
                <w:rFonts w:ascii="Times New Roman" w:hAnsi="Times New Roman" w:cs="Times New Roman"/>
                <w:b/>
                <w:bCs/>
                <w:sz w:val="32"/>
                <w:szCs w:val="28"/>
              </w:rPr>
              <w:t>ALEXANDRA-ELENA CIURARIU</w:t>
            </w:r>
          </w:p>
        </w:tc>
      </w:tr>
      <w:tr w:rsidR="00BA77F4" w14:paraId="6F7F9628" w14:textId="77777777" w:rsidTr="00196867">
        <w:tc>
          <w:tcPr>
            <w:tcW w:w="3256" w:type="dxa"/>
          </w:tcPr>
          <w:p w14:paraId="11FB05C6" w14:textId="77777777" w:rsidR="00BA77F4" w:rsidRPr="00BA77F4" w:rsidRDefault="00BA77F4" w:rsidP="00EF7C6B">
            <w:pPr>
              <w:jc w:val="center"/>
              <w:rPr>
                <w:rFonts w:ascii="Times New Roman" w:hAnsi="Times New Roman" w:cs="Times New Roman"/>
                <w:b/>
                <w:bCs/>
                <w:sz w:val="32"/>
                <w:szCs w:val="28"/>
              </w:rPr>
            </w:pPr>
            <w:r w:rsidRPr="00BA77F4">
              <w:rPr>
                <w:rFonts w:ascii="Times New Roman" w:hAnsi="Times New Roman" w:cs="Times New Roman"/>
                <w:b/>
                <w:bCs/>
                <w:sz w:val="32"/>
                <w:szCs w:val="28"/>
              </w:rPr>
              <w:t xml:space="preserve">STUDENT ID </w:t>
            </w:r>
          </w:p>
        </w:tc>
        <w:tc>
          <w:tcPr>
            <w:tcW w:w="6094" w:type="dxa"/>
          </w:tcPr>
          <w:p w14:paraId="66193127" w14:textId="32BEC1F3" w:rsidR="00BA77F4" w:rsidRPr="00BA77F4" w:rsidRDefault="00BA77F4" w:rsidP="00EF7C6B">
            <w:pPr>
              <w:jc w:val="center"/>
              <w:rPr>
                <w:rFonts w:ascii="Times New Roman" w:hAnsi="Times New Roman" w:cs="Times New Roman"/>
                <w:b/>
                <w:bCs/>
                <w:sz w:val="32"/>
                <w:szCs w:val="28"/>
              </w:rPr>
            </w:pPr>
            <w:r w:rsidRPr="00BA77F4">
              <w:rPr>
                <w:rFonts w:ascii="Times New Roman" w:hAnsi="Times New Roman" w:cs="Times New Roman"/>
                <w:b/>
                <w:bCs/>
                <w:sz w:val="32"/>
                <w:szCs w:val="28"/>
              </w:rPr>
              <w:t>2122648</w:t>
            </w:r>
            <w:r w:rsidRPr="00BA77F4">
              <w:rPr>
                <w:rFonts w:ascii="Times New Roman" w:hAnsi="Times New Roman" w:cs="Times New Roman"/>
                <w:b/>
                <w:bCs/>
                <w:sz w:val="32"/>
                <w:szCs w:val="28"/>
              </w:rPr>
              <w:t xml:space="preserve"> </w:t>
            </w:r>
          </w:p>
        </w:tc>
      </w:tr>
      <w:tr w:rsidR="00BA77F4" w14:paraId="60A9F52A" w14:textId="77777777" w:rsidTr="00196867">
        <w:tc>
          <w:tcPr>
            <w:tcW w:w="3256" w:type="dxa"/>
          </w:tcPr>
          <w:p w14:paraId="0CB07971" w14:textId="77777777" w:rsidR="00BA77F4" w:rsidRPr="00BA77F4" w:rsidRDefault="00BA77F4" w:rsidP="00EF7C6B">
            <w:pPr>
              <w:jc w:val="center"/>
              <w:rPr>
                <w:rFonts w:ascii="Times New Roman" w:hAnsi="Times New Roman" w:cs="Times New Roman"/>
                <w:b/>
                <w:bCs/>
                <w:sz w:val="32"/>
                <w:szCs w:val="28"/>
              </w:rPr>
            </w:pPr>
            <w:r w:rsidRPr="00BA77F4">
              <w:rPr>
                <w:rFonts w:ascii="Times New Roman" w:hAnsi="Times New Roman" w:cs="Times New Roman"/>
                <w:b/>
                <w:bCs/>
                <w:sz w:val="32"/>
                <w:szCs w:val="28"/>
              </w:rPr>
              <w:t>LECTURER</w:t>
            </w:r>
          </w:p>
        </w:tc>
        <w:tc>
          <w:tcPr>
            <w:tcW w:w="6094" w:type="dxa"/>
          </w:tcPr>
          <w:p w14:paraId="692F8FBB" w14:textId="04545E2F" w:rsidR="00BA77F4" w:rsidRPr="00BA77F4" w:rsidRDefault="00BA77F4" w:rsidP="00EF7C6B">
            <w:pPr>
              <w:jc w:val="center"/>
              <w:rPr>
                <w:rFonts w:ascii="Times New Roman" w:hAnsi="Times New Roman" w:cs="Times New Roman"/>
                <w:b/>
                <w:bCs/>
                <w:sz w:val="32"/>
                <w:szCs w:val="28"/>
              </w:rPr>
            </w:pPr>
            <w:r w:rsidRPr="00BA77F4">
              <w:rPr>
                <w:rFonts w:ascii="Times New Roman" w:hAnsi="Times New Roman" w:cs="Times New Roman"/>
                <w:b/>
                <w:bCs/>
                <w:sz w:val="32"/>
                <w:szCs w:val="28"/>
              </w:rPr>
              <w:t>DR REXON NTING</w:t>
            </w:r>
          </w:p>
        </w:tc>
      </w:tr>
    </w:tbl>
    <w:p w14:paraId="3804D703" w14:textId="7C0F1F63" w:rsidR="00B67E4C" w:rsidRDefault="00196867">
      <w:r>
        <w:br w:type="page"/>
      </w:r>
    </w:p>
    <w:p w14:paraId="2CB959D8" w14:textId="32D56D23" w:rsidR="00B67E4C" w:rsidRDefault="00196867">
      <w:pPr>
        <w:keepNext/>
        <w:keepLines/>
        <w:pBdr>
          <w:top w:val="nil"/>
          <w:left w:val="nil"/>
          <w:bottom w:val="nil"/>
          <w:right w:val="nil"/>
          <w:between w:val="nil"/>
        </w:pBdr>
        <w:spacing w:before="240" w:after="0" w:line="259" w:lineRule="auto"/>
        <w:jc w:val="center"/>
        <w:rPr>
          <w:b/>
          <w:i/>
          <w:color w:val="2F5496"/>
          <w:sz w:val="32"/>
          <w:szCs w:val="32"/>
          <w:u w:val="single"/>
        </w:rPr>
      </w:pPr>
      <w:r>
        <w:rPr>
          <w:b/>
          <w:i/>
          <w:color w:val="2F5496"/>
          <w:sz w:val="32"/>
          <w:szCs w:val="32"/>
          <w:u w:val="single"/>
        </w:rPr>
        <w:lastRenderedPageBreak/>
        <w:t>Table of Contents</w:t>
      </w:r>
    </w:p>
    <w:p w14:paraId="40C8ACFC" w14:textId="77777777" w:rsidR="0097678F" w:rsidRDefault="0097678F">
      <w:pPr>
        <w:keepNext/>
        <w:keepLines/>
        <w:pBdr>
          <w:top w:val="nil"/>
          <w:left w:val="nil"/>
          <w:bottom w:val="nil"/>
          <w:right w:val="nil"/>
          <w:between w:val="nil"/>
        </w:pBdr>
        <w:spacing w:before="240" w:after="0" w:line="259" w:lineRule="auto"/>
        <w:jc w:val="center"/>
        <w:rPr>
          <w:b/>
          <w:i/>
          <w:color w:val="2F5496"/>
          <w:sz w:val="32"/>
          <w:szCs w:val="32"/>
          <w:u w:val="single"/>
        </w:rPr>
      </w:pPr>
    </w:p>
    <w:sdt>
      <w:sdtPr>
        <w:id w:val="244767753"/>
        <w:docPartObj>
          <w:docPartGallery w:val="Table of Contents"/>
          <w:docPartUnique/>
        </w:docPartObj>
      </w:sdtPr>
      <w:sdtEndPr/>
      <w:sdtContent>
        <w:p w14:paraId="0B902CCD" w14:textId="2C42A973" w:rsidR="00BA77F4" w:rsidRDefault="00196867">
          <w:pPr>
            <w:pStyle w:val="TOC1"/>
            <w:tabs>
              <w:tab w:val="right" w:pos="9350"/>
            </w:tabs>
            <w:rPr>
              <w:noProof/>
            </w:rPr>
          </w:pPr>
          <w:r>
            <w:fldChar w:fldCharType="begin"/>
          </w:r>
          <w:r>
            <w:instrText xml:space="preserve"> TOC \h \u \z </w:instrText>
          </w:r>
          <w:r>
            <w:fldChar w:fldCharType="separate"/>
          </w:r>
          <w:hyperlink w:anchor="_Toc102512657" w:history="1">
            <w:r w:rsidR="00BA77F4" w:rsidRPr="00125B78">
              <w:rPr>
                <w:rStyle w:val="Hyperlink"/>
                <w:noProof/>
              </w:rPr>
              <w:t>Introduction</w:t>
            </w:r>
            <w:r w:rsidR="00BA77F4">
              <w:rPr>
                <w:noProof/>
                <w:webHidden/>
              </w:rPr>
              <w:tab/>
            </w:r>
            <w:r w:rsidR="00BA77F4">
              <w:rPr>
                <w:noProof/>
                <w:webHidden/>
              </w:rPr>
              <w:fldChar w:fldCharType="begin"/>
            </w:r>
            <w:r w:rsidR="00BA77F4">
              <w:rPr>
                <w:noProof/>
                <w:webHidden/>
              </w:rPr>
              <w:instrText xml:space="preserve"> PAGEREF _Toc102512657 \h </w:instrText>
            </w:r>
            <w:r w:rsidR="00BA77F4">
              <w:rPr>
                <w:noProof/>
                <w:webHidden/>
              </w:rPr>
            </w:r>
            <w:r w:rsidR="00BA77F4">
              <w:rPr>
                <w:noProof/>
                <w:webHidden/>
              </w:rPr>
              <w:fldChar w:fldCharType="separate"/>
            </w:r>
            <w:r w:rsidR="00BA77F4">
              <w:rPr>
                <w:noProof/>
                <w:webHidden/>
              </w:rPr>
              <w:t>3</w:t>
            </w:r>
            <w:r w:rsidR="00BA77F4">
              <w:rPr>
                <w:noProof/>
                <w:webHidden/>
              </w:rPr>
              <w:fldChar w:fldCharType="end"/>
            </w:r>
          </w:hyperlink>
        </w:p>
        <w:p w14:paraId="35135E22" w14:textId="01BCAEF2" w:rsidR="00BA77F4" w:rsidRDefault="00BA77F4">
          <w:pPr>
            <w:pStyle w:val="TOC1"/>
            <w:tabs>
              <w:tab w:val="right" w:pos="9350"/>
            </w:tabs>
            <w:rPr>
              <w:noProof/>
            </w:rPr>
          </w:pPr>
          <w:hyperlink w:anchor="_Toc102512658" w:history="1">
            <w:r w:rsidRPr="00125B78">
              <w:rPr>
                <w:rStyle w:val="Hyperlink"/>
                <w:noProof/>
              </w:rPr>
              <w:t>External Business Environmental Analysis</w:t>
            </w:r>
            <w:r>
              <w:rPr>
                <w:noProof/>
                <w:webHidden/>
              </w:rPr>
              <w:tab/>
            </w:r>
            <w:r>
              <w:rPr>
                <w:noProof/>
                <w:webHidden/>
              </w:rPr>
              <w:fldChar w:fldCharType="begin"/>
            </w:r>
            <w:r>
              <w:rPr>
                <w:noProof/>
                <w:webHidden/>
              </w:rPr>
              <w:instrText xml:space="preserve"> PAGEREF _Toc102512658 \h </w:instrText>
            </w:r>
            <w:r>
              <w:rPr>
                <w:noProof/>
                <w:webHidden/>
              </w:rPr>
            </w:r>
            <w:r>
              <w:rPr>
                <w:noProof/>
                <w:webHidden/>
              </w:rPr>
              <w:fldChar w:fldCharType="separate"/>
            </w:r>
            <w:r>
              <w:rPr>
                <w:noProof/>
                <w:webHidden/>
              </w:rPr>
              <w:t>4</w:t>
            </w:r>
            <w:r>
              <w:rPr>
                <w:noProof/>
                <w:webHidden/>
              </w:rPr>
              <w:fldChar w:fldCharType="end"/>
            </w:r>
          </w:hyperlink>
        </w:p>
        <w:p w14:paraId="430F17E4" w14:textId="6762B9EB" w:rsidR="00BA77F4" w:rsidRDefault="00BA77F4">
          <w:pPr>
            <w:pStyle w:val="TOC1"/>
            <w:tabs>
              <w:tab w:val="right" w:pos="9350"/>
            </w:tabs>
            <w:rPr>
              <w:noProof/>
            </w:rPr>
          </w:pPr>
          <w:hyperlink w:anchor="_Toc102512659" w:history="1">
            <w:r w:rsidRPr="00125B78">
              <w:rPr>
                <w:rStyle w:val="Hyperlink"/>
                <w:noProof/>
              </w:rPr>
              <w:t>Internal Business Environmental Analysis</w:t>
            </w:r>
            <w:r>
              <w:rPr>
                <w:noProof/>
                <w:webHidden/>
              </w:rPr>
              <w:tab/>
            </w:r>
            <w:r>
              <w:rPr>
                <w:noProof/>
                <w:webHidden/>
              </w:rPr>
              <w:fldChar w:fldCharType="begin"/>
            </w:r>
            <w:r>
              <w:rPr>
                <w:noProof/>
                <w:webHidden/>
              </w:rPr>
              <w:instrText xml:space="preserve"> PAGEREF _Toc102512659 \h </w:instrText>
            </w:r>
            <w:r>
              <w:rPr>
                <w:noProof/>
                <w:webHidden/>
              </w:rPr>
            </w:r>
            <w:r>
              <w:rPr>
                <w:noProof/>
                <w:webHidden/>
              </w:rPr>
              <w:fldChar w:fldCharType="separate"/>
            </w:r>
            <w:r>
              <w:rPr>
                <w:noProof/>
                <w:webHidden/>
              </w:rPr>
              <w:t>5</w:t>
            </w:r>
            <w:r>
              <w:rPr>
                <w:noProof/>
                <w:webHidden/>
              </w:rPr>
              <w:fldChar w:fldCharType="end"/>
            </w:r>
          </w:hyperlink>
        </w:p>
        <w:p w14:paraId="351461FE" w14:textId="0817A94B" w:rsidR="00BA77F4" w:rsidRDefault="00BA77F4">
          <w:pPr>
            <w:pStyle w:val="TOC2"/>
            <w:tabs>
              <w:tab w:val="right" w:pos="9350"/>
            </w:tabs>
            <w:rPr>
              <w:noProof/>
            </w:rPr>
          </w:pPr>
          <w:hyperlink w:anchor="_Toc102512660" w:history="1">
            <w:r w:rsidRPr="00125B78">
              <w:rPr>
                <w:rStyle w:val="Hyperlink"/>
                <w:noProof/>
              </w:rPr>
              <w:t>SWOT Analysis of Aston Martin</w:t>
            </w:r>
            <w:r>
              <w:rPr>
                <w:noProof/>
                <w:webHidden/>
              </w:rPr>
              <w:tab/>
            </w:r>
            <w:r>
              <w:rPr>
                <w:noProof/>
                <w:webHidden/>
              </w:rPr>
              <w:fldChar w:fldCharType="begin"/>
            </w:r>
            <w:r>
              <w:rPr>
                <w:noProof/>
                <w:webHidden/>
              </w:rPr>
              <w:instrText xml:space="preserve"> PAGEREF _Toc102512660 \h </w:instrText>
            </w:r>
            <w:r>
              <w:rPr>
                <w:noProof/>
                <w:webHidden/>
              </w:rPr>
            </w:r>
            <w:r>
              <w:rPr>
                <w:noProof/>
                <w:webHidden/>
              </w:rPr>
              <w:fldChar w:fldCharType="separate"/>
            </w:r>
            <w:r>
              <w:rPr>
                <w:noProof/>
                <w:webHidden/>
              </w:rPr>
              <w:t>5</w:t>
            </w:r>
            <w:r>
              <w:rPr>
                <w:noProof/>
                <w:webHidden/>
              </w:rPr>
              <w:fldChar w:fldCharType="end"/>
            </w:r>
          </w:hyperlink>
        </w:p>
        <w:p w14:paraId="6A0010C8" w14:textId="20C6DAE2" w:rsidR="00BA77F4" w:rsidRDefault="00BA77F4">
          <w:pPr>
            <w:pStyle w:val="TOC2"/>
            <w:tabs>
              <w:tab w:val="right" w:pos="9350"/>
            </w:tabs>
            <w:rPr>
              <w:noProof/>
            </w:rPr>
          </w:pPr>
          <w:hyperlink w:anchor="_Toc102512661" w:history="1">
            <w:r w:rsidRPr="00125B78">
              <w:rPr>
                <w:rStyle w:val="Hyperlink"/>
                <w:noProof/>
              </w:rPr>
              <w:t>Porter’s Five Forces Analysis</w:t>
            </w:r>
            <w:r>
              <w:rPr>
                <w:noProof/>
                <w:webHidden/>
              </w:rPr>
              <w:tab/>
            </w:r>
            <w:r>
              <w:rPr>
                <w:noProof/>
                <w:webHidden/>
              </w:rPr>
              <w:fldChar w:fldCharType="begin"/>
            </w:r>
            <w:r>
              <w:rPr>
                <w:noProof/>
                <w:webHidden/>
              </w:rPr>
              <w:instrText xml:space="preserve"> PAGEREF _Toc102512661 \h </w:instrText>
            </w:r>
            <w:r>
              <w:rPr>
                <w:noProof/>
                <w:webHidden/>
              </w:rPr>
            </w:r>
            <w:r>
              <w:rPr>
                <w:noProof/>
                <w:webHidden/>
              </w:rPr>
              <w:fldChar w:fldCharType="separate"/>
            </w:r>
            <w:r>
              <w:rPr>
                <w:noProof/>
                <w:webHidden/>
              </w:rPr>
              <w:t>7</w:t>
            </w:r>
            <w:r>
              <w:rPr>
                <w:noProof/>
                <w:webHidden/>
              </w:rPr>
              <w:fldChar w:fldCharType="end"/>
            </w:r>
          </w:hyperlink>
        </w:p>
        <w:p w14:paraId="1F90BBC0" w14:textId="7FC33E66" w:rsidR="00BA77F4" w:rsidRDefault="00BA77F4">
          <w:pPr>
            <w:pStyle w:val="TOC2"/>
            <w:tabs>
              <w:tab w:val="right" w:pos="9350"/>
            </w:tabs>
            <w:rPr>
              <w:noProof/>
            </w:rPr>
          </w:pPr>
          <w:hyperlink w:anchor="_Toc102512662" w:history="1">
            <w:r w:rsidRPr="00125B78">
              <w:rPr>
                <w:rStyle w:val="Hyperlink"/>
                <w:noProof/>
              </w:rPr>
              <w:t>Porter’s Value Chain Analysis</w:t>
            </w:r>
            <w:r>
              <w:rPr>
                <w:noProof/>
                <w:webHidden/>
              </w:rPr>
              <w:tab/>
            </w:r>
            <w:r>
              <w:rPr>
                <w:noProof/>
                <w:webHidden/>
              </w:rPr>
              <w:fldChar w:fldCharType="begin"/>
            </w:r>
            <w:r>
              <w:rPr>
                <w:noProof/>
                <w:webHidden/>
              </w:rPr>
              <w:instrText xml:space="preserve"> PAGEREF _Toc102512662 \h </w:instrText>
            </w:r>
            <w:r>
              <w:rPr>
                <w:noProof/>
                <w:webHidden/>
              </w:rPr>
            </w:r>
            <w:r>
              <w:rPr>
                <w:noProof/>
                <w:webHidden/>
              </w:rPr>
              <w:fldChar w:fldCharType="separate"/>
            </w:r>
            <w:r>
              <w:rPr>
                <w:noProof/>
                <w:webHidden/>
              </w:rPr>
              <w:t>9</w:t>
            </w:r>
            <w:r>
              <w:rPr>
                <w:noProof/>
                <w:webHidden/>
              </w:rPr>
              <w:fldChar w:fldCharType="end"/>
            </w:r>
          </w:hyperlink>
        </w:p>
        <w:p w14:paraId="0E7F683B" w14:textId="6D6F5896" w:rsidR="00BA77F4" w:rsidRDefault="00BA77F4">
          <w:pPr>
            <w:pStyle w:val="TOC1"/>
            <w:tabs>
              <w:tab w:val="right" w:pos="9350"/>
            </w:tabs>
            <w:rPr>
              <w:noProof/>
            </w:rPr>
          </w:pPr>
          <w:hyperlink w:anchor="_Toc102512663" w:history="1">
            <w:r w:rsidRPr="00125B78">
              <w:rPr>
                <w:rStyle w:val="Hyperlink"/>
                <w:noProof/>
              </w:rPr>
              <w:t>Reasons for Engaging in International Trade</w:t>
            </w:r>
            <w:r>
              <w:rPr>
                <w:noProof/>
                <w:webHidden/>
              </w:rPr>
              <w:tab/>
            </w:r>
            <w:r>
              <w:rPr>
                <w:noProof/>
                <w:webHidden/>
              </w:rPr>
              <w:fldChar w:fldCharType="begin"/>
            </w:r>
            <w:r>
              <w:rPr>
                <w:noProof/>
                <w:webHidden/>
              </w:rPr>
              <w:instrText xml:space="preserve"> PAGEREF _Toc102512663 \h </w:instrText>
            </w:r>
            <w:r>
              <w:rPr>
                <w:noProof/>
                <w:webHidden/>
              </w:rPr>
            </w:r>
            <w:r>
              <w:rPr>
                <w:noProof/>
                <w:webHidden/>
              </w:rPr>
              <w:fldChar w:fldCharType="separate"/>
            </w:r>
            <w:r>
              <w:rPr>
                <w:noProof/>
                <w:webHidden/>
              </w:rPr>
              <w:t>10</w:t>
            </w:r>
            <w:r>
              <w:rPr>
                <w:noProof/>
                <w:webHidden/>
              </w:rPr>
              <w:fldChar w:fldCharType="end"/>
            </w:r>
          </w:hyperlink>
        </w:p>
        <w:p w14:paraId="48CE4ABE" w14:textId="2A04CC08" w:rsidR="00BA77F4" w:rsidRDefault="00BA77F4">
          <w:pPr>
            <w:pStyle w:val="TOC1"/>
            <w:tabs>
              <w:tab w:val="right" w:pos="9350"/>
            </w:tabs>
            <w:rPr>
              <w:noProof/>
            </w:rPr>
          </w:pPr>
          <w:hyperlink w:anchor="_Toc102512664" w:history="1">
            <w:r w:rsidRPr="00125B78">
              <w:rPr>
                <w:rStyle w:val="Hyperlink"/>
                <w:noProof/>
              </w:rPr>
              <w:t>Market Assessment</w:t>
            </w:r>
            <w:r>
              <w:rPr>
                <w:noProof/>
                <w:webHidden/>
              </w:rPr>
              <w:tab/>
            </w:r>
            <w:r>
              <w:rPr>
                <w:noProof/>
                <w:webHidden/>
              </w:rPr>
              <w:fldChar w:fldCharType="begin"/>
            </w:r>
            <w:r>
              <w:rPr>
                <w:noProof/>
                <w:webHidden/>
              </w:rPr>
              <w:instrText xml:space="preserve"> PAGEREF _Toc102512664 \h </w:instrText>
            </w:r>
            <w:r>
              <w:rPr>
                <w:noProof/>
                <w:webHidden/>
              </w:rPr>
            </w:r>
            <w:r>
              <w:rPr>
                <w:noProof/>
                <w:webHidden/>
              </w:rPr>
              <w:fldChar w:fldCharType="separate"/>
            </w:r>
            <w:r>
              <w:rPr>
                <w:noProof/>
                <w:webHidden/>
              </w:rPr>
              <w:t>11</w:t>
            </w:r>
            <w:r>
              <w:rPr>
                <w:noProof/>
                <w:webHidden/>
              </w:rPr>
              <w:fldChar w:fldCharType="end"/>
            </w:r>
          </w:hyperlink>
        </w:p>
        <w:p w14:paraId="2D16346A" w14:textId="537A7A9A" w:rsidR="00BA77F4" w:rsidRDefault="00BA77F4">
          <w:pPr>
            <w:pStyle w:val="TOC2"/>
            <w:tabs>
              <w:tab w:val="right" w:pos="9350"/>
            </w:tabs>
            <w:rPr>
              <w:noProof/>
            </w:rPr>
          </w:pPr>
          <w:hyperlink w:anchor="_Toc102512665" w:history="1">
            <w:r w:rsidRPr="00125B78">
              <w:rPr>
                <w:rStyle w:val="Hyperlink"/>
                <w:noProof/>
              </w:rPr>
              <w:t>Micro and Macro-economic Foundation</w:t>
            </w:r>
            <w:r>
              <w:rPr>
                <w:noProof/>
                <w:webHidden/>
              </w:rPr>
              <w:tab/>
            </w:r>
            <w:r>
              <w:rPr>
                <w:noProof/>
                <w:webHidden/>
              </w:rPr>
              <w:fldChar w:fldCharType="begin"/>
            </w:r>
            <w:r>
              <w:rPr>
                <w:noProof/>
                <w:webHidden/>
              </w:rPr>
              <w:instrText xml:space="preserve"> PAGEREF _Toc102512665 \h </w:instrText>
            </w:r>
            <w:r>
              <w:rPr>
                <w:noProof/>
                <w:webHidden/>
              </w:rPr>
            </w:r>
            <w:r>
              <w:rPr>
                <w:noProof/>
                <w:webHidden/>
              </w:rPr>
              <w:fldChar w:fldCharType="separate"/>
            </w:r>
            <w:r>
              <w:rPr>
                <w:noProof/>
                <w:webHidden/>
              </w:rPr>
              <w:t>11</w:t>
            </w:r>
            <w:r>
              <w:rPr>
                <w:noProof/>
                <w:webHidden/>
              </w:rPr>
              <w:fldChar w:fldCharType="end"/>
            </w:r>
          </w:hyperlink>
        </w:p>
        <w:p w14:paraId="47E594BC" w14:textId="55FEA600" w:rsidR="00BA77F4" w:rsidRDefault="00BA77F4">
          <w:pPr>
            <w:pStyle w:val="TOC2"/>
            <w:tabs>
              <w:tab w:val="right" w:pos="9350"/>
            </w:tabs>
            <w:rPr>
              <w:noProof/>
            </w:rPr>
          </w:pPr>
          <w:hyperlink w:anchor="_Toc102512666" w:history="1">
            <w:r w:rsidRPr="00125B78">
              <w:rPr>
                <w:rStyle w:val="Hyperlink"/>
                <w:noProof/>
              </w:rPr>
              <w:t>Market Structure and Its Influence on Aston Martin</w:t>
            </w:r>
            <w:r>
              <w:rPr>
                <w:noProof/>
                <w:webHidden/>
              </w:rPr>
              <w:tab/>
            </w:r>
            <w:r>
              <w:rPr>
                <w:noProof/>
                <w:webHidden/>
              </w:rPr>
              <w:fldChar w:fldCharType="begin"/>
            </w:r>
            <w:r>
              <w:rPr>
                <w:noProof/>
                <w:webHidden/>
              </w:rPr>
              <w:instrText xml:space="preserve"> PAGEREF _Toc102512666 \h </w:instrText>
            </w:r>
            <w:r>
              <w:rPr>
                <w:noProof/>
                <w:webHidden/>
              </w:rPr>
            </w:r>
            <w:r>
              <w:rPr>
                <w:noProof/>
                <w:webHidden/>
              </w:rPr>
              <w:fldChar w:fldCharType="separate"/>
            </w:r>
            <w:r>
              <w:rPr>
                <w:noProof/>
                <w:webHidden/>
              </w:rPr>
              <w:t>12</w:t>
            </w:r>
            <w:r>
              <w:rPr>
                <w:noProof/>
                <w:webHidden/>
              </w:rPr>
              <w:fldChar w:fldCharType="end"/>
            </w:r>
          </w:hyperlink>
        </w:p>
        <w:p w14:paraId="4D87BC0D" w14:textId="6BFD57B4" w:rsidR="00BA77F4" w:rsidRDefault="00BA77F4">
          <w:pPr>
            <w:pStyle w:val="TOC1"/>
            <w:tabs>
              <w:tab w:val="right" w:pos="9350"/>
            </w:tabs>
            <w:rPr>
              <w:noProof/>
            </w:rPr>
          </w:pPr>
          <w:hyperlink w:anchor="_Toc102512667" w:history="1">
            <w:r w:rsidRPr="00125B78">
              <w:rPr>
                <w:rStyle w:val="Hyperlink"/>
                <w:noProof/>
              </w:rPr>
              <w:t>Conclusion</w:t>
            </w:r>
            <w:r>
              <w:rPr>
                <w:noProof/>
                <w:webHidden/>
              </w:rPr>
              <w:tab/>
            </w:r>
            <w:r>
              <w:rPr>
                <w:noProof/>
                <w:webHidden/>
              </w:rPr>
              <w:fldChar w:fldCharType="begin"/>
            </w:r>
            <w:r>
              <w:rPr>
                <w:noProof/>
                <w:webHidden/>
              </w:rPr>
              <w:instrText xml:space="preserve"> PAGEREF _Toc102512667 \h </w:instrText>
            </w:r>
            <w:r>
              <w:rPr>
                <w:noProof/>
                <w:webHidden/>
              </w:rPr>
            </w:r>
            <w:r>
              <w:rPr>
                <w:noProof/>
                <w:webHidden/>
              </w:rPr>
              <w:fldChar w:fldCharType="separate"/>
            </w:r>
            <w:r>
              <w:rPr>
                <w:noProof/>
                <w:webHidden/>
              </w:rPr>
              <w:t>12</w:t>
            </w:r>
            <w:r>
              <w:rPr>
                <w:noProof/>
                <w:webHidden/>
              </w:rPr>
              <w:fldChar w:fldCharType="end"/>
            </w:r>
          </w:hyperlink>
        </w:p>
        <w:p w14:paraId="6B460AB3" w14:textId="0F0FC641" w:rsidR="00BA77F4" w:rsidRDefault="00BA77F4">
          <w:pPr>
            <w:pStyle w:val="TOC1"/>
            <w:tabs>
              <w:tab w:val="right" w:pos="9350"/>
            </w:tabs>
            <w:rPr>
              <w:noProof/>
            </w:rPr>
          </w:pPr>
          <w:hyperlink w:anchor="_Toc102512668" w:history="1">
            <w:r w:rsidRPr="00125B78">
              <w:rPr>
                <w:rStyle w:val="Hyperlink"/>
                <w:noProof/>
              </w:rPr>
              <w:t>References</w:t>
            </w:r>
            <w:r>
              <w:rPr>
                <w:noProof/>
                <w:webHidden/>
              </w:rPr>
              <w:tab/>
            </w:r>
            <w:r>
              <w:rPr>
                <w:noProof/>
                <w:webHidden/>
              </w:rPr>
              <w:fldChar w:fldCharType="begin"/>
            </w:r>
            <w:r>
              <w:rPr>
                <w:noProof/>
                <w:webHidden/>
              </w:rPr>
              <w:instrText xml:space="preserve"> PAGEREF _Toc102512668 \h </w:instrText>
            </w:r>
            <w:r>
              <w:rPr>
                <w:noProof/>
                <w:webHidden/>
              </w:rPr>
            </w:r>
            <w:r>
              <w:rPr>
                <w:noProof/>
                <w:webHidden/>
              </w:rPr>
              <w:fldChar w:fldCharType="separate"/>
            </w:r>
            <w:r>
              <w:rPr>
                <w:noProof/>
                <w:webHidden/>
              </w:rPr>
              <w:t>13</w:t>
            </w:r>
            <w:r>
              <w:rPr>
                <w:noProof/>
                <w:webHidden/>
              </w:rPr>
              <w:fldChar w:fldCharType="end"/>
            </w:r>
          </w:hyperlink>
        </w:p>
        <w:p w14:paraId="254FAD85" w14:textId="791555E8" w:rsidR="00B67E4C" w:rsidRDefault="00196867">
          <w:pPr>
            <w:tabs>
              <w:tab w:val="right" w:pos="9360"/>
            </w:tabs>
            <w:spacing w:before="200" w:after="80" w:line="240" w:lineRule="auto"/>
            <w:rPr>
              <w:color w:val="000000"/>
            </w:rPr>
          </w:pPr>
          <w:r>
            <w:fldChar w:fldCharType="end"/>
          </w:r>
        </w:p>
      </w:sdtContent>
    </w:sdt>
    <w:p w14:paraId="7CC07E03" w14:textId="77777777" w:rsidR="00B67E4C" w:rsidRDefault="00196867">
      <w:pPr>
        <w:rPr>
          <w:b/>
          <w:sz w:val="36"/>
          <w:szCs w:val="36"/>
        </w:rPr>
      </w:pPr>
      <w:r>
        <w:br w:type="page"/>
      </w:r>
    </w:p>
    <w:p w14:paraId="7FAF29DA" w14:textId="77777777" w:rsidR="00B67E4C" w:rsidRDefault="00196867">
      <w:pPr>
        <w:pStyle w:val="Heading1"/>
      </w:pPr>
      <w:bookmarkStart w:id="0" w:name="_Toc102512657"/>
      <w:r>
        <w:lastRenderedPageBreak/>
        <w:t>Introduction</w:t>
      </w:r>
      <w:bookmarkEnd w:id="0"/>
    </w:p>
    <w:p w14:paraId="7DE59EA1" w14:textId="2C3C92D6" w:rsidR="00B67E4C" w:rsidRDefault="00196867">
      <w:r>
        <w:t>The global automotive industry is the leading manufacturing industry by the market size. the automotive manufacturers are performing their business activities in a dynamic business environment. Aston Martin is a British sports car manufacturer founded in 1</w:t>
      </w:r>
      <w:r>
        <w:t xml:space="preserve">913. The company is a global car brand having over 160 dealerships across the world. As of 2021, it generated £1,095.3 million from global trade. The company is further accelerating its business in the global market. It </w:t>
      </w:r>
      <w:r w:rsidR="00B91F33">
        <w:t>must</w:t>
      </w:r>
      <w:r>
        <w:t xml:space="preserve"> consider the major forces whi</w:t>
      </w:r>
      <w:r>
        <w:t xml:space="preserve">le conducting its business in a different business environment. </w:t>
      </w:r>
    </w:p>
    <w:p w14:paraId="6D03923A" w14:textId="040E8511" w:rsidR="00B67E4C" w:rsidRDefault="00196867">
      <w:r>
        <w:t>The main purpose of this report is to evaluate the challenges of the automotive company’s internal and external business environment. It will assess PESTEL analysis to evaluate the external f</w:t>
      </w:r>
      <w:r>
        <w:t xml:space="preserve">orces </w:t>
      </w:r>
      <w:r w:rsidR="00B91F33">
        <w:t>and</w:t>
      </w:r>
      <w:r>
        <w:t xml:space="preserve"> will use SWOT analysis, Porter’s five forces model and value chain framework to evaluate the internal factors in the business environment. It will furthermore assess the micro-economic and macro-economic foundations of the automotive industr</w:t>
      </w:r>
      <w:r>
        <w:t xml:space="preserve">y. </w:t>
      </w:r>
    </w:p>
    <w:p w14:paraId="3D0DB222" w14:textId="77777777" w:rsidR="00B67E4C" w:rsidRDefault="00196867">
      <w:r>
        <w:br w:type="page"/>
      </w:r>
    </w:p>
    <w:p w14:paraId="51778DF4" w14:textId="77777777" w:rsidR="00B67E4C" w:rsidRDefault="00196867">
      <w:pPr>
        <w:pStyle w:val="Heading1"/>
      </w:pPr>
      <w:bookmarkStart w:id="1" w:name="_Toc102512658"/>
      <w:r>
        <w:lastRenderedPageBreak/>
        <w:t>External Business Environmental Analysis</w:t>
      </w:r>
      <w:bookmarkEnd w:id="1"/>
    </w:p>
    <w:p w14:paraId="728DAE0B" w14:textId="77777777" w:rsidR="00B67E4C" w:rsidRDefault="00196867">
      <w:r>
        <w:t xml:space="preserve">The external environmental factors in the business environment have influence in the operations and decision makings of Aston Martin. The company should follow factors and their changes while constructing its </w:t>
      </w:r>
      <w:r>
        <w:t xml:space="preserve">plans. </w:t>
      </w:r>
    </w:p>
    <w:p w14:paraId="405AC51F" w14:textId="77777777" w:rsidR="00B67E4C" w:rsidRDefault="00196867">
      <w:pPr>
        <w:rPr>
          <w:b/>
          <w:i/>
        </w:rPr>
      </w:pPr>
      <w:r>
        <w:rPr>
          <w:b/>
          <w:i/>
        </w:rPr>
        <w:t>Political Factors</w:t>
      </w:r>
    </w:p>
    <w:p w14:paraId="75490A1B" w14:textId="3E8304DE" w:rsidR="00B67E4C" w:rsidRDefault="00196867">
      <w:r>
        <w:t xml:space="preserve">The political stability of the UK has been stable for a long time which attracts investors like Aston Martin. </w:t>
      </w:r>
      <w:proofErr w:type="gramStart"/>
      <w:r>
        <w:t>After analysing the current trends in the UK governmental system, there</w:t>
      </w:r>
      <w:proofErr w:type="gramEnd"/>
      <w:r>
        <w:t xml:space="preserve"> is a possibility of a transition of government w</w:t>
      </w:r>
      <w:r>
        <w:t xml:space="preserve">hich can lead changes in governmental policies </w:t>
      </w:r>
      <w:r w:rsidR="00B91F33">
        <w:t>and</w:t>
      </w:r>
      <w:r>
        <w:t xml:space="preserve"> </w:t>
      </w:r>
      <w:r w:rsidR="00B91F33">
        <w:t xml:space="preserve">as well </w:t>
      </w:r>
      <w:r>
        <w:t>can lead to political instability (Lingenfelder, 2019).</w:t>
      </w:r>
      <w:r w:rsidR="00B91F33">
        <w:t xml:space="preserve"> </w:t>
      </w:r>
      <w:r>
        <w:t xml:space="preserve">Moreover, the Brexit referendum and the army invasion puts concern for Austin Martin. </w:t>
      </w:r>
    </w:p>
    <w:p w14:paraId="0E159177" w14:textId="77777777" w:rsidR="00B67E4C" w:rsidRDefault="00196867">
      <w:pPr>
        <w:rPr>
          <w:b/>
          <w:i/>
        </w:rPr>
      </w:pPr>
      <w:r>
        <w:rPr>
          <w:b/>
          <w:i/>
        </w:rPr>
        <w:t>Economic Factors</w:t>
      </w:r>
    </w:p>
    <w:p w14:paraId="6C7A4C2F" w14:textId="77777777" w:rsidR="00B67E4C" w:rsidRDefault="00196867">
      <w:r>
        <w:t>The economic condition in the UK is quit</w:t>
      </w:r>
      <w:r>
        <w:t xml:space="preserve">e favourable for Aston Martin although the country had experienced an economic downturn due to the pandemic. </w:t>
      </w:r>
    </w:p>
    <w:p w14:paraId="2AC98BA1" w14:textId="77777777" w:rsidR="00B67E4C" w:rsidRDefault="00196867">
      <w:pPr>
        <w:jc w:val="center"/>
      </w:pPr>
      <w:r>
        <w:rPr>
          <w:noProof/>
        </w:rPr>
        <w:drawing>
          <wp:inline distT="0" distB="0" distL="0" distR="0" wp14:anchorId="1E736C48" wp14:editId="4D0DD97A">
            <wp:extent cx="5724525" cy="316924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24525" cy="3169248"/>
                    </a:xfrm>
                    <a:prstGeom prst="rect">
                      <a:avLst/>
                    </a:prstGeom>
                    <a:ln/>
                  </pic:spPr>
                </pic:pic>
              </a:graphicData>
            </a:graphic>
          </wp:inline>
        </w:drawing>
      </w:r>
    </w:p>
    <w:p w14:paraId="10FE7057" w14:textId="77777777" w:rsidR="00B67E4C" w:rsidRDefault="00196867">
      <w:pPr>
        <w:jc w:val="center"/>
        <w:rPr>
          <w:b/>
          <w:i/>
          <w:u w:val="single"/>
        </w:rPr>
      </w:pPr>
      <w:r>
        <w:rPr>
          <w:b/>
          <w:i/>
          <w:u w:val="single"/>
        </w:rPr>
        <w:t>Figure: GDP Growth Rate of the UK. (Source: statistaa.com)</w:t>
      </w:r>
    </w:p>
    <w:p w14:paraId="0C286CB6" w14:textId="77777777" w:rsidR="00B67E4C" w:rsidRDefault="00196867">
      <w:r>
        <w:lastRenderedPageBreak/>
        <w:t>The country is expected to reach 3,200 USD billion at 5.1 % growth rate by the end of</w:t>
      </w:r>
      <w:r>
        <w:t xml:space="preserve"> 2022. As Aston Martin sells luxury cars it should consider the per capita income of the target market. According to a recent report the GDP per capita in the UK is expected to reach 41,900 USD by 2022 which is very positive for the car manufacturer (Carey</w:t>
      </w:r>
      <w:r>
        <w:t xml:space="preserve">, 2022). </w:t>
      </w:r>
    </w:p>
    <w:p w14:paraId="05DF30F4" w14:textId="77777777" w:rsidR="00B67E4C" w:rsidRDefault="00196867">
      <w:pPr>
        <w:rPr>
          <w:b/>
          <w:i/>
        </w:rPr>
      </w:pPr>
      <w:r>
        <w:rPr>
          <w:b/>
          <w:i/>
        </w:rPr>
        <w:t>Social Factors</w:t>
      </w:r>
    </w:p>
    <w:p w14:paraId="5E65A1E8" w14:textId="77777777" w:rsidR="00B67E4C" w:rsidRDefault="00196867">
      <w:r>
        <w:t>Aston Martin mainly manufactures luxury sports cars. As a result, its main target customers are the young demographics. Among the young generation, there is a trend of increasing sports motors. The company can leverage the trend by</w:t>
      </w:r>
      <w:r>
        <w:t xml:space="preserve"> offering new features and designs into the cars.  </w:t>
      </w:r>
    </w:p>
    <w:p w14:paraId="7C0133FE" w14:textId="77777777" w:rsidR="00B67E4C" w:rsidRDefault="00196867">
      <w:pPr>
        <w:rPr>
          <w:b/>
          <w:i/>
        </w:rPr>
      </w:pPr>
      <w:r>
        <w:rPr>
          <w:b/>
          <w:i/>
        </w:rPr>
        <w:t>Technological Factors</w:t>
      </w:r>
    </w:p>
    <w:p w14:paraId="55349AFF" w14:textId="77777777" w:rsidR="00B67E4C" w:rsidRDefault="00196867">
      <w:r>
        <w:t>The UK is a technologically advanced country that encourages technology companies to drive innovations. The country has higher safeguards for intellectual property rights and IPR whi</w:t>
      </w:r>
      <w:r>
        <w:t>ch attract car manufacturers to invest more in research and development (</w:t>
      </w:r>
      <w:proofErr w:type="spellStart"/>
      <w:r>
        <w:t>Capuder</w:t>
      </w:r>
      <w:proofErr w:type="spellEnd"/>
      <w:r>
        <w:t xml:space="preserve"> et al., 2020). </w:t>
      </w:r>
    </w:p>
    <w:p w14:paraId="5E2B0F10" w14:textId="77777777" w:rsidR="00B67E4C" w:rsidRDefault="00196867">
      <w:pPr>
        <w:rPr>
          <w:b/>
          <w:i/>
        </w:rPr>
      </w:pPr>
      <w:r>
        <w:rPr>
          <w:b/>
          <w:i/>
        </w:rPr>
        <w:t>Environmental Factors</w:t>
      </w:r>
    </w:p>
    <w:p w14:paraId="34EDBE44" w14:textId="77777777" w:rsidR="00B67E4C" w:rsidRDefault="00196867">
      <w:r>
        <w:t>The ecological changes are the major concern for the UK government and the public which resulted in increased restrictions in the automot</w:t>
      </w:r>
      <w:r>
        <w:t xml:space="preserve">ive industry. However, Aston Martin is securing its journey to a sustainable ultra-luxury company by reducing 44% in carbon emissions in its UK operations (Naicker and Olanrewaju, 2021). </w:t>
      </w:r>
    </w:p>
    <w:p w14:paraId="1FA90E4C" w14:textId="77777777" w:rsidR="00B67E4C" w:rsidRDefault="00196867">
      <w:pPr>
        <w:rPr>
          <w:b/>
          <w:i/>
        </w:rPr>
      </w:pPr>
      <w:r>
        <w:rPr>
          <w:b/>
          <w:i/>
        </w:rPr>
        <w:t>Legal Factors</w:t>
      </w:r>
    </w:p>
    <w:p w14:paraId="33963A0C" w14:textId="2B052945" w:rsidR="00B67E4C" w:rsidRDefault="00196867">
      <w:r>
        <w:t xml:space="preserve">The UK business laws follow the European Union, World Trade Organisation and more to impose legalities in manufacturing processes. The country also promotes legal protection for intellectual property, copyrights, </w:t>
      </w:r>
      <w:r w:rsidR="00EB419F">
        <w:t>patents,</w:t>
      </w:r>
      <w:r>
        <w:t xml:space="preserve"> and other rights which are to be fo</w:t>
      </w:r>
      <w:r>
        <w:t xml:space="preserve">llowed by Aston Martin.  </w:t>
      </w:r>
    </w:p>
    <w:p w14:paraId="253DC04B" w14:textId="77777777" w:rsidR="00B67E4C" w:rsidRDefault="00B67E4C"/>
    <w:p w14:paraId="4D06C03B" w14:textId="77777777" w:rsidR="00B67E4C" w:rsidRDefault="00196867">
      <w:pPr>
        <w:pStyle w:val="Heading1"/>
      </w:pPr>
      <w:bookmarkStart w:id="2" w:name="_Toc102512659"/>
      <w:r>
        <w:t>Internal Business Environmental Analysis</w:t>
      </w:r>
      <w:bookmarkEnd w:id="2"/>
    </w:p>
    <w:p w14:paraId="1709801C" w14:textId="77777777" w:rsidR="00B67E4C" w:rsidRDefault="00196867">
      <w:pPr>
        <w:pStyle w:val="Heading2"/>
      </w:pPr>
      <w:bookmarkStart w:id="3" w:name="_Toc102512660"/>
      <w:r>
        <w:t>SWOT Analysis of Aston Martin</w:t>
      </w:r>
      <w:bookmarkEnd w:id="3"/>
    </w:p>
    <w:p w14:paraId="6284827E" w14:textId="77777777" w:rsidR="00B67E4C" w:rsidRDefault="00196867">
      <w:pPr>
        <w:pBdr>
          <w:top w:val="nil"/>
          <w:left w:val="nil"/>
          <w:bottom w:val="nil"/>
          <w:right w:val="nil"/>
          <w:between w:val="nil"/>
        </w:pBdr>
        <w:rPr>
          <w:color w:val="000000"/>
        </w:rPr>
      </w:pPr>
      <w:r>
        <w:rPr>
          <w:color w:val="000000"/>
        </w:rPr>
        <w:t>SWOT analysis of Aston Martin is the evaluation of the company’s strengths, weaknesses, opportunities &amp; threats. The analysis for the company is provided in b</w:t>
      </w:r>
      <w:r>
        <w:rPr>
          <w:color w:val="000000"/>
        </w:rPr>
        <w:t>elow:</w:t>
      </w:r>
    </w:p>
    <w:p w14:paraId="108F1130" w14:textId="77777777" w:rsidR="00B67E4C" w:rsidRDefault="00196867">
      <w:pPr>
        <w:pBdr>
          <w:top w:val="nil"/>
          <w:left w:val="nil"/>
          <w:bottom w:val="nil"/>
          <w:right w:val="nil"/>
          <w:between w:val="nil"/>
        </w:pBdr>
        <w:jc w:val="center"/>
        <w:rPr>
          <w:color w:val="000000"/>
          <w:sz w:val="28"/>
          <w:szCs w:val="28"/>
        </w:rPr>
      </w:pPr>
      <w:r>
        <w:rPr>
          <w:noProof/>
        </w:rPr>
        <w:lastRenderedPageBreak/>
        <w:drawing>
          <wp:inline distT="0" distB="0" distL="0" distR="0" wp14:anchorId="275CF690" wp14:editId="346BB29A">
            <wp:extent cx="5330065" cy="3276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330065" cy="3276600"/>
                    </a:xfrm>
                    <a:prstGeom prst="rect">
                      <a:avLst/>
                    </a:prstGeom>
                    <a:ln/>
                  </pic:spPr>
                </pic:pic>
              </a:graphicData>
            </a:graphic>
          </wp:inline>
        </w:drawing>
      </w:r>
    </w:p>
    <w:p w14:paraId="5B932A1D" w14:textId="77777777" w:rsidR="00B67E4C" w:rsidRDefault="00196867">
      <w:pPr>
        <w:jc w:val="center"/>
        <w:rPr>
          <w:b/>
          <w:i/>
          <w:u w:val="single"/>
        </w:rPr>
      </w:pPr>
      <w:r>
        <w:rPr>
          <w:b/>
          <w:i/>
          <w:u w:val="single"/>
        </w:rPr>
        <w:t>Figure: SWOT Analysis of Aston Martin</w:t>
      </w:r>
    </w:p>
    <w:p w14:paraId="37C385E9" w14:textId="77777777" w:rsidR="00B67E4C" w:rsidRDefault="00196867">
      <w:pPr>
        <w:pBdr>
          <w:top w:val="nil"/>
          <w:left w:val="nil"/>
          <w:bottom w:val="nil"/>
          <w:right w:val="nil"/>
          <w:between w:val="nil"/>
        </w:pBdr>
        <w:rPr>
          <w:i/>
          <w:color w:val="000000"/>
          <w:sz w:val="28"/>
          <w:szCs w:val="28"/>
        </w:rPr>
      </w:pPr>
      <w:r>
        <w:rPr>
          <w:b/>
          <w:i/>
          <w:color w:val="000000"/>
        </w:rPr>
        <w:t>Strengths</w:t>
      </w:r>
    </w:p>
    <w:p w14:paraId="62F4FA48" w14:textId="77777777" w:rsidR="00B67E4C" w:rsidRDefault="00196867">
      <w:pPr>
        <w:pBdr>
          <w:top w:val="nil"/>
          <w:left w:val="nil"/>
          <w:bottom w:val="nil"/>
          <w:right w:val="nil"/>
          <w:between w:val="nil"/>
        </w:pBdr>
        <w:rPr>
          <w:color w:val="000000"/>
          <w:sz w:val="28"/>
          <w:szCs w:val="28"/>
        </w:rPr>
      </w:pPr>
      <w:r>
        <w:rPr>
          <w:color w:val="000000"/>
        </w:rPr>
        <w:t>Aston Martin has a rich historical heritage and a high brand equity that leads to a strong customer connection. The company has a strong engineering and designing team that ensures a powerful and stylish range of cars (Parker, 2018). They targeted affluent</w:t>
      </w:r>
      <w:r>
        <w:rPr>
          <w:color w:val="000000"/>
        </w:rPr>
        <w:t xml:space="preserve"> customers in a way that brings the best profits for the company. It has expanded to over 53 countries all over the world. Globally it has built a strong presence for its good quality and performance. </w:t>
      </w:r>
    </w:p>
    <w:p w14:paraId="6B3296A9" w14:textId="77777777" w:rsidR="00B67E4C" w:rsidRDefault="00196867">
      <w:pPr>
        <w:pBdr>
          <w:top w:val="nil"/>
          <w:left w:val="nil"/>
          <w:bottom w:val="nil"/>
          <w:right w:val="nil"/>
          <w:between w:val="nil"/>
        </w:pBdr>
        <w:rPr>
          <w:i/>
          <w:color w:val="000000"/>
          <w:sz w:val="28"/>
          <w:szCs w:val="28"/>
        </w:rPr>
      </w:pPr>
      <w:r>
        <w:rPr>
          <w:b/>
          <w:i/>
          <w:color w:val="000000"/>
        </w:rPr>
        <w:t>Weaknesses</w:t>
      </w:r>
    </w:p>
    <w:p w14:paraId="0ECAD0ED" w14:textId="77777777" w:rsidR="00B67E4C" w:rsidRDefault="00196867">
      <w:pPr>
        <w:pBdr>
          <w:top w:val="nil"/>
          <w:left w:val="nil"/>
          <w:bottom w:val="nil"/>
          <w:right w:val="nil"/>
          <w:between w:val="nil"/>
        </w:pBdr>
      </w:pPr>
      <w:r>
        <w:rPr>
          <w:color w:val="000000"/>
        </w:rPr>
        <w:t xml:space="preserve">The major weakness of Aston Martin is that </w:t>
      </w:r>
      <w:r>
        <w:rPr>
          <w:color w:val="000000"/>
        </w:rPr>
        <w:t>the brand has established itself as a luxury product market (Mello et al., 2022). So, the company needs to focus on the customer’s affordability and spending power. Market penetration of the company is comparatively lesser. Its product portfolio is also li</w:t>
      </w:r>
      <w:r>
        <w:rPr>
          <w:color w:val="000000"/>
        </w:rPr>
        <w:t>mited and has a very few models of new products available. This works like a weakness point for the company to capture the global market.</w:t>
      </w:r>
    </w:p>
    <w:p w14:paraId="15BDCD92" w14:textId="77777777" w:rsidR="00B67E4C" w:rsidRDefault="00196867">
      <w:pPr>
        <w:pBdr>
          <w:top w:val="nil"/>
          <w:left w:val="nil"/>
          <w:bottom w:val="nil"/>
          <w:right w:val="nil"/>
          <w:between w:val="nil"/>
        </w:pBdr>
        <w:rPr>
          <w:i/>
          <w:color w:val="000000"/>
          <w:sz w:val="28"/>
          <w:szCs w:val="28"/>
        </w:rPr>
      </w:pPr>
      <w:r>
        <w:rPr>
          <w:b/>
          <w:i/>
          <w:color w:val="000000"/>
        </w:rPr>
        <w:t>Opportunities </w:t>
      </w:r>
    </w:p>
    <w:p w14:paraId="2D8419BB" w14:textId="77777777" w:rsidR="00B67E4C" w:rsidRDefault="00196867">
      <w:pPr>
        <w:pBdr>
          <w:top w:val="nil"/>
          <w:left w:val="nil"/>
          <w:bottom w:val="nil"/>
          <w:right w:val="nil"/>
          <w:between w:val="nil"/>
        </w:pBdr>
        <w:rPr>
          <w:color w:val="000000"/>
          <w:sz w:val="28"/>
          <w:szCs w:val="28"/>
        </w:rPr>
      </w:pPr>
      <w:r>
        <w:rPr>
          <w:color w:val="000000"/>
        </w:rPr>
        <w:t xml:space="preserve">The company can increase market penetration by expanding themselves into the Asian market. The company </w:t>
      </w:r>
      <w:r>
        <w:rPr>
          <w:color w:val="000000"/>
        </w:rPr>
        <w:t>can use their technical knowledge to make it possible to have the availability of mid-</w:t>
      </w:r>
      <w:r>
        <w:rPr>
          <w:color w:val="000000"/>
        </w:rPr>
        <w:lastRenderedPageBreak/>
        <w:t xml:space="preserve">ranged products for the </w:t>
      </w:r>
      <w:proofErr w:type="gramStart"/>
      <w:r>
        <w:rPr>
          <w:color w:val="000000"/>
        </w:rPr>
        <w:t>general public</w:t>
      </w:r>
      <w:proofErr w:type="gramEnd"/>
      <w:r>
        <w:rPr>
          <w:color w:val="000000"/>
        </w:rPr>
        <w:t>. So that the people who want to have a taste of their services and technology can easily afford it. The company can also increase a</w:t>
      </w:r>
      <w:r>
        <w:rPr>
          <w:color w:val="000000"/>
        </w:rPr>
        <w:t>dvertisement in local markets.</w:t>
      </w:r>
    </w:p>
    <w:p w14:paraId="3FDBDD8C" w14:textId="77777777" w:rsidR="00B67E4C" w:rsidRDefault="00196867">
      <w:pPr>
        <w:pBdr>
          <w:top w:val="nil"/>
          <w:left w:val="nil"/>
          <w:bottom w:val="nil"/>
          <w:right w:val="nil"/>
          <w:between w:val="nil"/>
        </w:pBdr>
        <w:rPr>
          <w:i/>
          <w:color w:val="000000"/>
          <w:sz w:val="28"/>
          <w:szCs w:val="28"/>
        </w:rPr>
      </w:pPr>
      <w:r>
        <w:rPr>
          <w:b/>
          <w:i/>
          <w:color w:val="000000"/>
        </w:rPr>
        <w:t>Threats</w:t>
      </w:r>
    </w:p>
    <w:p w14:paraId="70CF09B1" w14:textId="77777777" w:rsidR="00B67E4C" w:rsidRDefault="00196867">
      <w:pPr>
        <w:rPr>
          <w:color w:val="000000"/>
        </w:rPr>
      </w:pPr>
      <w:r>
        <w:rPr>
          <w:color w:val="000000"/>
        </w:rPr>
        <w:t>The strict government policies and increased level of fuel costs greatly affects the sales of Aston Martin (</w:t>
      </w:r>
      <w:r>
        <w:t>the Guardian. 2022)</w:t>
      </w:r>
      <w:r>
        <w:rPr>
          <w:color w:val="000000"/>
        </w:rPr>
        <w:t>. So, the company can focus on the cars that are electrically powered. Another threat is t</w:t>
      </w:r>
      <w:r>
        <w:rPr>
          <w:color w:val="000000"/>
        </w:rPr>
        <w:t xml:space="preserve">he increased competition from big automobile companies like Jaguar, </w:t>
      </w:r>
      <w:proofErr w:type="gramStart"/>
      <w:r>
        <w:rPr>
          <w:color w:val="000000"/>
        </w:rPr>
        <w:t>Bentley</w:t>
      </w:r>
      <w:proofErr w:type="gramEnd"/>
      <w:r>
        <w:rPr>
          <w:color w:val="000000"/>
        </w:rPr>
        <w:t xml:space="preserve"> and others. The changes in customer preferences, technological innovations by the competitors and the rising costs of maintaining the workforce of the company also emerged as a thr</w:t>
      </w:r>
      <w:r>
        <w:rPr>
          <w:color w:val="000000"/>
        </w:rPr>
        <w:t>eat for the company. </w:t>
      </w:r>
    </w:p>
    <w:p w14:paraId="51B3B03A" w14:textId="77777777" w:rsidR="00B67E4C" w:rsidRDefault="00B67E4C"/>
    <w:p w14:paraId="757C94AF" w14:textId="77777777" w:rsidR="00B67E4C" w:rsidRDefault="00B67E4C"/>
    <w:p w14:paraId="4760E1D4" w14:textId="77777777" w:rsidR="00B67E4C" w:rsidRDefault="00B67E4C"/>
    <w:p w14:paraId="6AC45D5A" w14:textId="77777777" w:rsidR="00B67E4C" w:rsidRDefault="00B67E4C"/>
    <w:p w14:paraId="0A3E2FA6" w14:textId="77777777" w:rsidR="00B67E4C" w:rsidRDefault="00B67E4C"/>
    <w:p w14:paraId="0EB6A0A4" w14:textId="77777777" w:rsidR="00B67E4C" w:rsidRDefault="00B67E4C"/>
    <w:p w14:paraId="0F3D62F0" w14:textId="77777777" w:rsidR="00B67E4C" w:rsidRDefault="00B67E4C"/>
    <w:p w14:paraId="41093CDF" w14:textId="77777777" w:rsidR="00B67E4C" w:rsidRDefault="00B67E4C"/>
    <w:p w14:paraId="1A710CE2" w14:textId="77777777" w:rsidR="00B67E4C" w:rsidRDefault="00B67E4C"/>
    <w:p w14:paraId="7E07F3B8" w14:textId="77777777" w:rsidR="00B67E4C" w:rsidRDefault="00196867">
      <w:pPr>
        <w:pStyle w:val="Heading2"/>
      </w:pPr>
      <w:bookmarkStart w:id="4" w:name="_Toc102512661"/>
      <w:r>
        <w:t>Porter’s Five Forces Analysis</w:t>
      </w:r>
      <w:bookmarkEnd w:id="4"/>
    </w:p>
    <w:p w14:paraId="121DCDD6" w14:textId="77777777" w:rsidR="00B67E4C" w:rsidRDefault="00196867">
      <w:r>
        <w:t>Porter’s five forces can be analysed to evaluate and assess the competitiveness in the automotive industry. The analysis is provided in below:</w:t>
      </w:r>
    </w:p>
    <w:p w14:paraId="1C6E451D" w14:textId="77777777" w:rsidR="00B67E4C" w:rsidRDefault="00196867">
      <w:pPr>
        <w:jc w:val="center"/>
      </w:pPr>
      <w:r>
        <w:rPr>
          <w:noProof/>
        </w:rPr>
        <w:lastRenderedPageBreak/>
        <w:drawing>
          <wp:inline distT="0" distB="0" distL="0" distR="0" wp14:anchorId="22AF91F1" wp14:editId="447E95C7">
            <wp:extent cx="4857750" cy="312972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57750" cy="3129727"/>
                    </a:xfrm>
                    <a:prstGeom prst="rect">
                      <a:avLst/>
                    </a:prstGeom>
                    <a:ln/>
                  </pic:spPr>
                </pic:pic>
              </a:graphicData>
            </a:graphic>
          </wp:inline>
        </w:drawing>
      </w:r>
    </w:p>
    <w:p w14:paraId="4D5E301E" w14:textId="77777777" w:rsidR="00B67E4C" w:rsidRDefault="00196867">
      <w:pPr>
        <w:jc w:val="center"/>
        <w:rPr>
          <w:b/>
          <w:i/>
          <w:u w:val="single"/>
        </w:rPr>
      </w:pPr>
      <w:r>
        <w:rPr>
          <w:b/>
          <w:i/>
          <w:u w:val="single"/>
        </w:rPr>
        <w:t xml:space="preserve">Figure: Porter’s Five Forces Model. </w:t>
      </w:r>
    </w:p>
    <w:p w14:paraId="3168CCC9" w14:textId="77777777" w:rsidR="00B67E4C" w:rsidRDefault="00196867">
      <w:pPr>
        <w:rPr>
          <w:b/>
          <w:i/>
        </w:rPr>
      </w:pPr>
      <w:r>
        <w:rPr>
          <w:b/>
          <w:i/>
        </w:rPr>
        <w:t>Threats of New Entrants: Low</w:t>
      </w:r>
    </w:p>
    <w:p w14:paraId="1C85055A" w14:textId="77777777" w:rsidR="00B67E4C" w:rsidRDefault="00196867">
      <w:r>
        <w:t>In the automotive industry substantial invest</w:t>
      </w:r>
      <w:r>
        <w:t xml:space="preserve">ment and resources are required. Moreover, new entrants face barriers in entering the industry </w:t>
      </w:r>
      <w:proofErr w:type="gramStart"/>
      <w:r>
        <w:t>and also</w:t>
      </w:r>
      <w:proofErr w:type="gramEnd"/>
      <w:r>
        <w:t xml:space="preserve">, they require large capital to gain economies of scale. Therefore, there is a low threat of new entrants for Aston Martin in the industry. </w:t>
      </w:r>
    </w:p>
    <w:p w14:paraId="362B085D" w14:textId="77777777" w:rsidR="00B67E4C" w:rsidRDefault="00196867">
      <w:pPr>
        <w:rPr>
          <w:b/>
          <w:i/>
        </w:rPr>
      </w:pPr>
      <w:r>
        <w:rPr>
          <w:b/>
          <w:i/>
        </w:rPr>
        <w:t>Suppliers’ P</w:t>
      </w:r>
      <w:r>
        <w:rPr>
          <w:b/>
          <w:i/>
        </w:rPr>
        <w:t>ower: Low</w:t>
      </w:r>
    </w:p>
    <w:p w14:paraId="2BECBA3E" w14:textId="77777777" w:rsidR="00B67E4C" w:rsidRDefault="00196867">
      <w:r>
        <w:t>There are numerous suppliers of motor parts and raw materials in the UK. Although Aston Martin imports maximum parts from EU countries and Japan, it has increased parts localisation more than 55% to reduce the dependency of foreign suppliers afte</w:t>
      </w:r>
      <w:r>
        <w:t xml:space="preserve">r the Brexit issue (Pelle, Sass and Tabajdi, 2020). Therefore, the suppliers have less power over the car manufactures.  </w:t>
      </w:r>
    </w:p>
    <w:p w14:paraId="33B1A9ED" w14:textId="77777777" w:rsidR="00B67E4C" w:rsidRDefault="00B67E4C"/>
    <w:p w14:paraId="41D0B4ED" w14:textId="77777777" w:rsidR="00B67E4C" w:rsidRDefault="00196867">
      <w:pPr>
        <w:rPr>
          <w:b/>
          <w:i/>
        </w:rPr>
      </w:pPr>
      <w:r>
        <w:rPr>
          <w:b/>
          <w:i/>
        </w:rPr>
        <w:t>Buyers’ Power: High</w:t>
      </w:r>
    </w:p>
    <w:p w14:paraId="7EB9BB0A" w14:textId="77777777" w:rsidR="00B67E4C" w:rsidRDefault="00196867">
      <w:r>
        <w:t>The buyers of luxury products like sports cars have greater power over the sellers as they have a wide variety of</w:t>
      </w:r>
      <w:r>
        <w:t xml:space="preserve"> options to buy. Especially during the pandemic era, the economic downturn has pledged less power for the luxury car manufacturer. </w:t>
      </w:r>
    </w:p>
    <w:p w14:paraId="364971C2" w14:textId="77777777" w:rsidR="00B67E4C" w:rsidRDefault="00196867">
      <w:pPr>
        <w:rPr>
          <w:b/>
          <w:i/>
        </w:rPr>
      </w:pPr>
      <w:r>
        <w:rPr>
          <w:b/>
          <w:i/>
        </w:rPr>
        <w:lastRenderedPageBreak/>
        <w:t>Threats of Substitutes: Moderate</w:t>
      </w:r>
    </w:p>
    <w:p w14:paraId="3A9DF485" w14:textId="77777777" w:rsidR="00B67E4C" w:rsidRDefault="00196867">
      <w:r>
        <w:t>As the luxury sport car is luxury but not necessity, customers are not satisfied with the p</w:t>
      </w:r>
      <w:r>
        <w:t xml:space="preserve">rices (Tan, </w:t>
      </w:r>
      <w:proofErr w:type="gramStart"/>
      <w:r>
        <w:t>Othman</w:t>
      </w:r>
      <w:proofErr w:type="gramEnd"/>
      <w:r>
        <w:t xml:space="preserve"> and Li, 2021). Moreover, luxury car manufacturers like Lamborghini, Jaguar Land Rover, Mercedes etc. are coming up with new vehicles to appeal to customers. However, Aston Martin’s cars are famous for well-designed and unique features th</w:t>
      </w:r>
      <w:r>
        <w:t xml:space="preserve">at luxury car wishers are looking for. </w:t>
      </w:r>
    </w:p>
    <w:p w14:paraId="58BA7260" w14:textId="77777777" w:rsidR="00B67E4C" w:rsidRDefault="00196867">
      <w:pPr>
        <w:rPr>
          <w:b/>
          <w:i/>
        </w:rPr>
      </w:pPr>
      <w:r>
        <w:rPr>
          <w:b/>
          <w:i/>
        </w:rPr>
        <w:t>Competitors’ Rivalry: High</w:t>
      </w:r>
    </w:p>
    <w:p w14:paraId="03C2A179" w14:textId="77777777" w:rsidR="00B67E4C" w:rsidRDefault="00196867">
      <w:r>
        <w:t xml:space="preserve">Aston Martin has strong competitors in the market like BMW, Audi, Mercedes, Ferrari, Jaguar etc. who are dominating the market. There is intense rivalry in the automotive industry which is </w:t>
      </w:r>
      <w:r>
        <w:t xml:space="preserve">squeezing their profits (Paolucci, Pessot and Ricci, 2021). Aston Martin has yet to establish itself to come amongst the top ten car brands. </w:t>
      </w:r>
    </w:p>
    <w:p w14:paraId="5CB95534" w14:textId="77777777" w:rsidR="00B67E4C" w:rsidRDefault="00196867">
      <w:pPr>
        <w:pStyle w:val="Heading2"/>
      </w:pPr>
      <w:bookmarkStart w:id="5" w:name="_Toc102512662"/>
      <w:r>
        <w:t>Porter’s Value Chain Analysis</w:t>
      </w:r>
      <w:bookmarkEnd w:id="5"/>
    </w:p>
    <w:p w14:paraId="4D069936" w14:textId="77777777" w:rsidR="00B67E4C" w:rsidRDefault="00196867">
      <w:r>
        <w:t>The value chain activities enable Aston Martin to add value propositions to its cust</w:t>
      </w:r>
      <w:r>
        <w:t xml:space="preserve">omers. the following are the primary and supporting activities of the company. </w:t>
      </w:r>
    </w:p>
    <w:p w14:paraId="113086FC" w14:textId="77777777" w:rsidR="00B67E4C" w:rsidRDefault="00196867">
      <w:pPr>
        <w:rPr>
          <w:b/>
          <w:sz w:val="28"/>
          <w:szCs w:val="28"/>
        </w:rPr>
      </w:pPr>
      <w:r>
        <w:rPr>
          <w:b/>
          <w:sz w:val="28"/>
          <w:szCs w:val="28"/>
        </w:rPr>
        <w:t>Primary Activities</w:t>
      </w:r>
    </w:p>
    <w:p w14:paraId="0DB72746" w14:textId="77777777" w:rsidR="00B67E4C" w:rsidRDefault="00196867">
      <w:r>
        <w:rPr>
          <w:b/>
          <w:i/>
        </w:rPr>
        <w:t>Inbound Logistics:</w:t>
      </w:r>
      <w:r>
        <w:t xml:space="preserve"> Aston Martin collects its parts and raw materials from different parts of the world. Majority of its parts are collected from local suppli</w:t>
      </w:r>
      <w:r>
        <w:t>ers which is 55% according to recent reports. It aims at cutting material costs after it had slashed huge losses in 2020.</w:t>
      </w:r>
    </w:p>
    <w:p w14:paraId="466A64F9" w14:textId="77777777" w:rsidR="00B67E4C" w:rsidRDefault="00196867">
      <w:r>
        <w:rPr>
          <w:b/>
          <w:i/>
        </w:rPr>
        <w:t>Operations:</w:t>
      </w:r>
      <w:r>
        <w:t xml:space="preserve"> Currently the company manufactures sports cars and grand tourers in the Gaydon village of Warwickshire where it also operates as its headquarters. It operates in more than 160 locations in 52 countries with its support network. </w:t>
      </w:r>
    </w:p>
    <w:p w14:paraId="7AB0754D" w14:textId="77777777" w:rsidR="00B67E4C" w:rsidRDefault="00196867">
      <w:r>
        <w:rPr>
          <w:b/>
          <w:i/>
        </w:rPr>
        <w:t>Outbound Logistics:</w:t>
      </w:r>
      <w:r>
        <w:t xml:space="preserve"> Aston </w:t>
      </w:r>
      <w:r>
        <w:t xml:space="preserve">Martin is spanning its operation in more than 160 locations. The distribution channels help it to grow sales and delivery service for </w:t>
      </w:r>
      <w:proofErr w:type="gramStart"/>
      <w:r>
        <w:t>pre-owned</w:t>
      </w:r>
      <w:proofErr w:type="gramEnd"/>
      <w:r>
        <w:t xml:space="preserve"> and new models. </w:t>
      </w:r>
    </w:p>
    <w:p w14:paraId="5E910ACC" w14:textId="299AB2A9" w:rsidR="00B67E4C" w:rsidRDefault="00196867">
      <w:r>
        <w:rPr>
          <w:b/>
          <w:i/>
        </w:rPr>
        <w:t>Marketing and Sales:</w:t>
      </w:r>
      <w:r>
        <w:t xml:space="preserve"> Aston Martin plans to reinvest and redesign more cars to appeal to younger audiences (</w:t>
      </w:r>
      <w:proofErr w:type="spellStart"/>
      <w:r>
        <w:t>Sakuramoto</w:t>
      </w:r>
      <w:proofErr w:type="spellEnd"/>
      <w:r>
        <w:t>, Di Serio and Bittar, 2019). It promotes its cars through magazines and billboards</w:t>
      </w:r>
      <w:r w:rsidR="00EB419F">
        <w:t>.</w:t>
      </w:r>
    </w:p>
    <w:p w14:paraId="7D582FD0" w14:textId="77777777" w:rsidR="00B67E4C" w:rsidRDefault="00196867">
      <w:r>
        <w:rPr>
          <w:b/>
          <w:i/>
        </w:rPr>
        <w:lastRenderedPageBreak/>
        <w:t>Services:</w:t>
      </w:r>
      <w:r>
        <w:t xml:space="preserve"> Aston Martin offers maintenance and after sales services such as</w:t>
      </w:r>
      <w:r>
        <w:t xml:space="preserve"> part supply, product forward, installation services etc. It schedules calls for an oil filter replacement once a year or in every 10,000 miles. </w:t>
      </w:r>
    </w:p>
    <w:p w14:paraId="3B2F3A7F" w14:textId="77777777" w:rsidR="00B67E4C" w:rsidRDefault="00196867">
      <w:pPr>
        <w:rPr>
          <w:b/>
          <w:sz w:val="28"/>
          <w:szCs w:val="28"/>
        </w:rPr>
      </w:pPr>
      <w:r>
        <w:rPr>
          <w:b/>
          <w:sz w:val="28"/>
          <w:szCs w:val="28"/>
        </w:rPr>
        <w:t>Supportive Activities</w:t>
      </w:r>
    </w:p>
    <w:p w14:paraId="1DE3DE66" w14:textId="77777777" w:rsidR="00B67E4C" w:rsidRDefault="00196867">
      <w:r>
        <w:rPr>
          <w:b/>
          <w:i/>
        </w:rPr>
        <w:t xml:space="preserve">Infrastructure: </w:t>
      </w:r>
      <w:r>
        <w:t>Aston’s network infrastructure takes luxury sports cars into a new level</w:t>
      </w:r>
      <w:r>
        <w:t>. It has a manufacturing plant in Warwickshire, England. Currently its infrastructure and support network are the largest in the company’s history. The company is maintaining and monitoring its infrastructure across 12 sites across the world (</w:t>
      </w:r>
      <w:proofErr w:type="spellStart"/>
      <w:r>
        <w:t>Hąbek</w:t>
      </w:r>
      <w:proofErr w:type="spellEnd"/>
      <w:r>
        <w:t xml:space="preserve"> and </w:t>
      </w:r>
      <w:proofErr w:type="spellStart"/>
      <w:r>
        <w:t>Lav</w:t>
      </w:r>
      <w:r>
        <w:t>ios</w:t>
      </w:r>
      <w:proofErr w:type="spellEnd"/>
      <w:r>
        <w:t xml:space="preserve"> </w:t>
      </w:r>
      <w:proofErr w:type="spellStart"/>
      <w:r>
        <w:t>Villahoz</w:t>
      </w:r>
      <w:proofErr w:type="spellEnd"/>
      <w:r>
        <w:t xml:space="preserve">, 2020). </w:t>
      </w:r>
    </w:p>
    <w:p w14:paraId="49D7B4BD" w14:textId="77777777" w:rsidR="00B67E4C" w:rsidRDefault="00196867">
      <w:r>
        <w:rPr>
          <w:b/>
          <w:i/>
        </w:rPr>
        <w:t>Human Resource Management:</w:t>
      </w:r>
      <w:r>
        <w:t xml:space="preserve"> As of 2021, the company has more than 3000 employees working in different plants and sites. The HR department of Aston Martin maintains and manages the workforce by performing recruiting, training, selection</w:t>
      </w:r>
      <w:r>
        <w:t xml:space="preserve">, compensating and driving them to increase productivity. </w:t>
      </w:r>
    </w:p>
    <w:p w14:paraId="733D8DA6" w14:textId="77777777" w:rsidR="00B67E4C" w:rsidRDefault="00196867">
      <w:r>
        <w:rPr>
          <w:b/>
          <w:i/>
        </w:rPr>
        <w:t>Technology Development:</w:t>
      </w:r>
      <w:r>
        <w:t xml:space="preserve"> The company believes that technological adoption is the main source of competitive advantage in the market. It added many techno packages in its designs like keyless entry, </w:t>
      </w:r>
      <w:r>
        <w:t xml:space="preserve">auto park assists, touchpad, electrically adjustable steering column, blind spot monitoring etc. </w:t>
      </w:r>
    </w:p>
    <w:p w14:paraId="1B701517" w14:textId="77777777" w:rsidR="00B67E4C" w:rsidRDefault="00196867">
      <w:pPr>
        <w:rPr>
          <w:highlight w:val="white"/>
        </w:rPr>
      </w:pPr>
      <w:r>
        <w:rPr>
          <w:b/>
          <w:i/>
          <w:highlight w:val="white"/>
        </w:rPr>
        <w:t xml:space="preserve">Procurement: </w:t>
      </w:r>
      <w:r>
        <w:rPr>
          <w:highlight w:val="white"/>
        </w:rPr>
        <w:t>The procurement activities of Aston Martin include purchased inputs like raw materials, supplies, laboratory equipment, building, office equipmen</w:t>
      </w:r>
      <w:r>
        <w:rPr>
          <w:highlight w:val="white"/>
        </w:rPr>
        <w:t>t, and machinery (</w:t>
      </w:r>
      <w:proofErr w:type="spellStart"/>
      <w:r>
        <w:t>Suwardi</w:t>
      </w:r>
      <w:proofErr w:type="spellEnd"/>
      <w:r>
        <w:t xml:space="preserve">, Kusuma and </w:t>
      </w:r>
      <w:proofErr w:type="spellStart"/>
      <w:r>
        <w:t>Kartiko</w:t>
      </w:r>
      <w:proofErr w:type="spellEnd"/>
      <w:r>
        <w:t>, 2021)</w:t>
      </w:r>
      <w:r>
        <w:rPr>
          <w:highlight w:val="white"/>
        </w:rPr>
        <w:t xml:space="preserve">. The company employs technology in procedures, information systems, supply chain, vendor management, performance evaluation etc. </w:t>
      </w:r>
    </w:p>
    <w:p w14:paraId="35E5C988" w14:textId="77777777" w:rsidR="00B67E4C" w:rsidRDefault="00B67E4C">
      <w:pPr>
        <w:rPr>
          <w:highlight w:val="white"/>
        </w:rPr>
      </w:pPr>
    </w:p>
    <w:p w14:paraId="4B712665" w14:textId="77777777" w:rsidR="00B67E4C" w:rsidRDefault="00B67E4C">
      <w:pPr>
        <w:rPr>
          <w:highlight w:val="white"/>
        </w:rPr>
      </w:pPr>
    </w:p>
    <w:p w14:paraId="4EDACF2D" w14:textId="77777777" w:rsidR="00B67E4C" w:rsidRDefault="00196867">
      <w:pPr>
        <w:pStyle w:val="Heading1"/>
      </w:pPr>
      <w:bookmarkStart w:id="6" w:name="_Toc102512663"/>
      <w:r>
        <w:t>Reasons for Engaging in International Trade</w:t>
      </w:r>
      <w:bookmarkEnd w:id="6"/>
    </w:p>
    <w:p w14:paraId="3B4ACD0F" w14:textId="77777777" w:rsidR="00B67E4C" w:rsidRDefault="00196867">
      <w:r>
        <w:t xml:space="preserve">Trade in the international </w:t>
      </w:r>
      <w:r>
        <w:t xml:space="preserve">market allows businesses to accelerate the scopes for increasing sales, </w:t>
      </w:r>
      <w:proofErr w:type="gramStart"/>
      <w:r>
        <w:t>profitability</w:t>
      </w:r>
      <w:proofErr w:type="gramEnd"/>
      <w:r>
        <w:t xml:space="preserve"> and market share. Aston Martin has a presence in more than 160 locations in 54 countries and territories. It is seeing benefits of trading in the global market as it deli</w:t>
      </w:r>
      <w:r>
        <w:t xml:space="preserve">vers prosperity and growth. Following are the major reasons behind its expansion in the international market. </w:t>
      </w:r>
    </w:p>
    <w:p w14:paraId="3FA99EE0" w14:textId="77777777" w:rsidR="00B67E4C" w:rsidRDefault="00196867">
      <w:pPr>
        <w:rPr>
          <w:b/>
          <w:i/>
        </w:rPr>
      </w:pPr>
      <w:r>
        <w:rPr>
          <w:b/>
          <w:i/>
        </w:rPr>
        <w:lastRenderedPageBreak/>
        <w:t>Accelerating Sales</w:t>
      </w:r>
    </w:p>
    <w:p w14:paraId="6940DCD3" w14:textId="77777777" w:rsidR="00B67E4C" w:rsidRDefault="00196867">
      <w:r>
        <w:t>Aston Martin is seeing growth in its sales as the demand in the American and Asian market is increasing. The company saw a gro</w:t>
      </w:r>
      <w:r>
        <w:t xml:space="preserve">wth of 89% in the China market for sports cars (Carey, 2022). Therefore, it plans to double its numbers of dealerships in China and other countries in Asia. </w:t>
      </w:r>
    </w:p>
    <w:p w14:paraId="7864889B" w14:textId="77777777" w:rsidR="00B67E4C" w:rsidRDefault="00196867">
      <w:pPr>
        <w:rPr>
          <w:b/>
          <w:i/>
        </w:rPr>
      </w:pPr>
      <w:r>
        <w:rPr>
          <w:b/>
          <w:i/>
        </w:rPr>
        <w:t>Accessing Technology</w:t>
      </w:r>
    </w:p>
    <w:p w14:paraId="43D9891C" w14:textId="77777777" w:rsidR="00B67E4C" w:rsidRDefault="00196867">
      <w:r>
        <w:t>Aston can gain easy access to the technological resources in the foreign mark</w:t>
      </w:r>
      <w:r>
        <w:t xml:space="preserve">ets by expanding in the global market. The company believes that technology is the key driver for gaining competitive edge (Wang et al., 2022). As a result, it adopts technologies from foreign markets to manufacture quality sports cars. </w:t>
      </w:r>
    </w:p>
    <w:p w14:paraId="0B6DD91B" w14:textId="77777777" w:rsidR="00B67E4C" w:rsidRDefault="00196867">
      <w:pPr>
        <w:rPr>
          <w:b/>
          <w:i/>
        </w:rPr>
      </w:pPr>
      <w:r>
        <w:rPr>
          <w:b/>
          <w:i/>
        </w:rPr>
        <w:t>Economic Advantage</w:t>
      </w:r>
    </w:p>
    <w:p w14:paraId="102EA3CC" w14:textId="77777777" w:rsidR="00B67E4C" w:rsidRDefault="00196867">
      <w:r>
        <w:t xml:space="preserve">Aston Martin gains economic advantage by building relationships with international suppliers. It enables the company to mitigate the fluctuation in exchange rates, interest rate, tax rates, raw material prices etc. </w:t>
      </w:r>
    </w:p>
    <w:p w14:paraId="684E8B6B" w14:textId="77777777" w:rsidR="00B67E4C" w:rsidRDefault="00196867">
      <w:pPr>
        <w:rPr>
          <w:b/>
          <w:i/>
        </w:rPr>
      </w:pPr>
      <w:r>
        <w:rPr>
          <w:b/>
          <w:i/>
        </w:rPr>
        <w:t>Increased Productivity</w:t>
      </w:r>
    </w:p>
    <w:p w14:paraId="28477E8F" w14:textId="77777777" w:rsidR="00B67E4C" w:rsidRDefault="00196867">
      <w:r>
        <w:t>Aston has its ma</w:t>
      </w:r>
      <w:r>
        <w:t>nufacturing plants in England which limits its capacity. It can manufacture only 5,000 units per year whereas its competitor Ferrari makes 9,000 units per year (Carey, 2022). However, the company mapped out £500 million in trade with China and Japan. It re</w:t>
      </w:r>
      <w:r>
        <w:t xml:space="preserve">ported that more than 80% of its cars are exported outside the UK (Alvarado et al., 2021). </w:t>
      </w:r>
    </w:p>
    <w:p w14:paraId="59CF02FF" w14:textId="77777777" w:rsidR="00B67E4C" w:rsidRDefault="00196867">
      <w:pPr>
        <w:pStyle w:val="Heading1"/>
      </w:pPr>
      <w:bookmarkStart w:id="7" w:name="_Toc102512664"/>
      <w:r>
        <w:t>Market Assessment</w:t>
      </w:r>
      <w:bookmarkEnd w:id="7"/>
    </w:p>
    <w:p w14:paraId="75B2E2AD" w14:textId="77777777" w:rsidR="00B67E4C" w:rsidRDefault="00196867">
      <w:pPr>
        <w:pStyle w:val="Heading2"/>
      </w:pPr>
      <w:bookmarkStart w:id="8" w:name="_Toc102512665"/>
      <w:r>
        <w:t>Micro and Macro-economic Foundation</w:t>
      </w:r>
      <w:bookmarkEnd w:id="8"/>
    </w:p>
    <w:p w14:paraId="6AAEF238" w14:textId="77777777" w:rsidR="00B67E4C" w:rsidRDefault="00196867">
      <w:r>
        <w:t xml:space="preserve">The microeconomic foundations include the GDP, GNP, per capita income, customer buying power, </w:t>
      </w:r>
      <w:proofErr w:type="gramStart"/>
      <w:r>
        <w:t>savings</w:t>
      </w:r>
      <w:proofErr w:type="gramEnd"/>
      <w:r>
        <w:t xml:space="preserve"> and inve</w:t>
      </w:r>
      <w:r>
        <w:t>stments. The elasticity of demand can be analysed to assess the market growth for Aston Martin. The market for luxury sports cars is expected to grow $600 billion by 2027 at a growth rate of 5% (Carey, 2022). The growth trend is fuelling the market for the</w:t>
      </w:r>
      <w:r>
        <w:t xml:space="preserve"> car manufacturer. </w:t>
      </w:r>
    </w:p>
    <w:p w14:paraId="548F336C" w14:textId="77777777" w:rsidR="00B67E4C" w:rsidRDefault="00196867">
      <w:r>
        <w:lastRenderedPageBreak/>
        <w:t>The main macroeconomic foundations are economic growth, inflation, government borrowing and unemployment. Although the demand for luxury sport cars is increasing worldwide, during the pandemic the demand had declined by 20-30% due to ec</w:t>
      </w:r>
      <w:r>
        <w:t>onomic downturn and decrease in growth rate (</w:t>
      </w:r>
      <w:proofErr w:type="spellStart"/>
      <w:r>
        <w:t>Papulová</w:t>
      </w:r>
      <w:proofErr w:type="spellEnd"/>
      <w:r>
        <w:t xml:space="preserve">, </w:t>
      </w:r>
      <w:proofErr w:type="spellStart"/>
      <w:r>
        <w:t>Gažová</w:t>
      </w:r>
      <w:proofErr w:type="spellEnd"/>
      <w:r>
        <w:t xml:space="preserve"> and </w:t>
      </w:r>
      <w:proofErr w:type="spellStart"/>
      <w:r>
        <w:t>Šufliarský</w:t>
      </w:r>
      <w:proofErr w:type="spellEnd"/>
      <w:r>
        <w:t>, 2022). However, the industry is seeing an increasing demand after the economy of countries becomes stable in 2021.</w:t>
      </w:r>
    </w:p>
    <w:p w14:paraId="14B4915A" w14:textId="77777777" w:rsidR="00B67E4C" w:rsidRDefault="00196867">
      <w:pPr>
        <w:pStyle w:val="Heading2"/>
      </w:pPr>
      <w:bookmarkStart w:id="9" w:name="_Toc102512666"/>
      <w:r>
        <w:t>Market Structure and Its Influence on Aston Martin</w:t>
      </w:r>
      <w:bookmarkEnd w:id="9"/>
    </w:p>
    <w:p w14:paraId="6E38D860" w14:textId="77777777" w:rsidR="00B67E4C" w:rsidRDefault="00196867">
      <w:r>
        <w:t>The market s</w:t>
      </w:r>
      <w:r>
        <w:t xml:space="preserve">tructure for the automotive industry can be categorised into four groups by which the competition and nature can be evaluated. Following are the categories where Aston Martin falls and defines the market structure.  </w:t>
      </w:r>
    </w:p>
    <w:tbl>
      <w:tblPr>
        <w:tblStyle w:val="a"/>
        <w:tblW w:w="95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43"/>
        <w:gridCol w:w="1850"/>
        <w:gridCol w:w="1667"/>
        <w:gridCol w:w="1814"/>
        <w:gridCol w:w="1836"/>
      </w:tblGrid>
      <w:tr w:rsidR="00B67E4C" w14:paraId="7249A039" w14:textId="77777777">
        <w:trPr>
          <w:trHeight w:val="443"/>
        </w:trPr>
        <w:tc>
          <w:tcPr>
            <w:tcW w:w="2342" w:type="dxa"/>
            <w:vMerge w:val="restart"/>
          </w:tcPr>
          <w:p w14:paraId="15D1BAF0" w14:textId="77777777" w:rsidR="00B67E4C" w:rsidRDefault="00B67E4C">
            <w:pPr>
              <w:spacing w:line="256" w:lineRule="auto"/>
              <w:jc w:val="left"/>
            </w:pPr>
          </w:p>
        </w:tc>
        <w:tc>
          <w:tcPr>
            <w:tcW w:w="7166" w:type="dxa"/>
            <w:gridSpan w:val="4"/>
          </w:tcPr>
          <w:p w14:paraId="29FD3792" w14:textId="77777777" w:rsidR="00B67E4C" w:rsidRDefault="00196867">
            <w:pPr>
              <w:spacing w:line="256" w:lineRule="auto"/>
              <w:jc w:val="center"/>
              <w:rPr>
                <w:b/>
              </w:rPr>
            </w:pPr>
            <w:r>
              <w:rPr>
                <w:b/>
                <w:sz w:val="28"/>
                <w:szCs w:val="28"/>
              </w:rPr>
              <w:t>Market structure</w:t>
            </w:r>
          </w:p>
        </w:tc>
      </w:tr>
      <w:tr w:rsidR="00B67E4C" w14:paraId="16E585F4" w14:textId="77777777">
        <w:trPr>
          <w:trHeight w:val="751"/>
        </w:trPr>
        <w:tc>
          <w:tcPr>
            <w:tcW w:w="2342" w:type="dxa"/>
            <w:vMerge/>
          </w:tcPr>
          <w:p w14:paraId="0D948FCA" w14:textId="77777777" w:rsidR="00B67E4C" w:rsidRDefault="00B67E4C">
            <w:pPr>
              <w:widowControl w:val="0"/>
              <w:pBdr>
                <w:top w:val="nil"/>
                <w:left w:val="nil"/>
                <w:bottom w:val="nil"/>
                <w:right w:val="nil"/>
                <w:between w:val="nil"/>
              </w:pBdr>
              <w:spacing w:line="276" w:lineRule="auto"/>
              <w:jc w:val="left"/>
              <w:rPr>
                <w:b/>
              </w:rPr>
            </w:pPr>
          </w:p>
        </w:tc>
        <w:tc>
          <w:tcPr>
            <w:tcW w:w="1849" w:type="dxa"/>
          </w:tcPr>
          <w:p w14:paraId="175CED36" w14:textId="77777777" w:rsidR="00B67E4C" w:rsidRDefault="00196867">
            <w:pPr>
              <w:spacing w:line="256" w:lineRule="auto"/>
              <w:jc w:val="center"/>
              <w:rPr>
                <w:b/>
              </w:rPr>
            </w:pPr>
            <w:r>
              <w:rPr>
                <w:b/>
              </w:rPr>
              <w:t>Pure competition</w:t>
            </w:r>
          </w:p>
        </w:tc>
        <w:tc>
          <w:tcPr>
            <w:tcW w:w="1667" w:type="dxa"/>
          </w:tcPr>
          <w:p w14:paraId="6304E644" w14:textId="77777777" w:rsidR="00B67E4C" w:rsidRDefault="00196867">
            <w:pPr>
              <w:spacing w:line="256" w:lineRule="auto"/>
              <w:jc w:val="center"/>
              <w:rPr>
                <w:b/>
              </w:rPr>
            </w:pPr>
            <w:r>
              <w:rPr>
                <w:b/>
              </w:rPr>
              <w:t>Monopolistic</w:t>
            </w:r>
          </w:p>
        </w:tc>
        <w:tc>
          <w:tcPr>
            <w:tcW w:w="1814" w:type="dxa"/>
          </w:tcPr>
          <w:p w14:paraId="4E029AA4" w14:textId="77777777" w:rsidR="00B67E4C" w:rsidRDefault="00196867">
            <w:pPr>
              <w:spacing w:line="256" w:lineRule="auto"/>
              <w:jc w:val="center"/>
              <w:rPr>
                <w:b/>
              </w:rPr>
            </w:pPr>
            <w:r>
              <w:rPr>
                <w:b/>
              </w:rPr>
              <w:t>Oligopoly</w:t>
            </w:r>
          </w:p>
        </w:tc>
        <w:tc>
          <w:tcPr>
            <w:tcW w:w="1836" w:type="dxa"/>
          </w:tcPr>
          <w:p w14:paraId="54F35A8C" w14:textId="77777777" w:rsidR="00B67E4C" w:rsidRDefault="00196867">
            <w:pPr>
              <w:spacing w:line="256" w:lineRule="auto"/>
              <w:jc w:val="center"/>
              <w:rPr>
                <w:b/>
              </w:rPr>
            </w:pPr>
            <w:r>
              <w:rPr>
                <w:b/>
              </w:rPr>
              <w:t>Pure Monopoly</w:t>
            </w:r>
          </w:p>
        </w:tc>
      </w:tr>
      <w:tr w:rsidR="00B67E4C" w14:paraId="2770D847" w14:textId="77777777">
        <w:trPr>
          <w:trHeight w:val="751"/>
        </w:trPr>
        <w:tc>
          <w:tcPr>
            <w:tcW w:w="2342" w:type="dxa"/>
          </w:tcPr>
          <w:p w14:paraId="7E5093FD" w14:textId="77777777" w:rsidR="00B67E4C" w:rsidRDefault="00196867">
            <w:pPr>
              <w:spacing w:line="256" w:lineRule="auto"/>
              <w:jc w:val="center"/>
              <w:rPr>
                <w:b/>
              </w:rPr>
            </w:pPr>
            <w:r>
              <w:rPr>
                <w:b/>
              </w:rPr>
              <w:t>Nature</w:t>
            </w:r>
          </w:p>
        </w:tc>
        <w:tc>
          <w:tcPr>
            <w:tcW w:w="1849" w:type="dxa"/>
          </w:tcPr>
          <w:p w14:paraId="744A5382" w14:textId="77777777" w:rsidR="00B67E4C" w:rsidRDefault="00196867">
            <w:pPr>
              <w:spacing w:line="256" w:lineRule="auto"/>
              <w:jc w:val="left"/>
            </w:pPr>
            <w:r>
              <w:t>Homogeneous</w:t>
            </w:r>
          </w:p>
        </w:tc>
        <w:tc>
          <w:tcPr>
            <w:tcW w:w="1667" w:type="dxa"/>
          </w:tcPr>
          <w:p w14:paraId="62729324" w14:textId="77777777" w:rsidR="00B67E4C" w:rsidRDefault="00196867">
            <w:pPr>
              <w:spacing w:line="256" w:lineRule="auto"/>
              <w:jc w:val="left"/>
            </w:pPr>
            <w:r>
              <w:t>Slightly Differentiated</w:t>
            </w:r>
          </w:p>
        </w:tc>
        <w:tc>
          <w:tcPr>
            <w:tcW w:w="1814" w:type="dxa"/>
          </w:tcPr>
          <w:p w14:paraId="6083C217" w14:textId="77777777" w:rsidR="00B67E4C" w:rsidRDefault="00196867">
            <w:pPr>
              <w:spacing w:line="256" w:lineRule="auto"/>
              <w:jc w:val="left"/>
            </w:pPr>
            <w:r>
              <w:t>High Level of Differentiation</w:t>
            </w:r>
          </w:p>
        </w:tc>
        <w:tc>
          <w:tcPr>
            <w:tcW w:w="1836" w:type="dxa"/>
          </w:tcPr>
          <w:p w14:paraId="39B9C96B" w14:textId="77777777" w:rsidR="00B67E4C" w:rsidRDefault="00196867">
            <w:pPr>
              <w:spacing w:line="256" w:lineRule="auto"/>
              <w:jc w:val="left"/>
            </w:pPr>
            <w:proofErr w:type="gramStart"/>
            <w:r>
              <w:t>Very Unique</w:t>
            </w:r>
            <w:proofErr w:type="gramEnd"/>
          </w:p>
        </w:tc>
      </w:tr>
      <w:tr w:rsidR="00B67E4C" w14:paraId="20F8E934" w14:textId="77777777">
        <w:trPr>
          <w:trHeight w:val="385"/>
        </w:trPr>
        <w:tc>
          <w:tcPr>
            <w:tcW w:w="2342" w:type="dxa"/>
          </w:tcPr>
          <w:p w14:paraId="2F25DD6E" w14:textId="77777777" w:rsidR="00B67E4C" w:rsidRDefault="00196867">
            <w:pPr>
              <w:spacing w:line="256" w:lineRule="auto"/>
              <w:jc w:val="center"/>
              <w:rPr>
                <w:b/>
              </w:rPr>
            </w:pPr>
            <w:r>
              <w:rPr>
                <w:b/>
              </w:rPr>
              <w:t>Price control</w:t>
            </w:r>
          </w:p>
        </w:tc>
        <w:tc>
          <w:tcPr>
            <w:tcW w:w="1849" w:type="dxa"/>
          </w:tcPr>
          <w:p w14:paraId="5AACA34B" w14:textId="77777777" w:rsidR="00B67E4C" w:rsidRDefault="00196867">
            <w:pPr>
              <w:spacing w:line="256" w:lineRule="auto"/>
              <w:jc w:val="left"/>
            </w:pPr>
            <w:r>
              <w:t>Price Taker</w:t>
            </w:r>
          </w:p>
        </w:tc>
        <w:tc>
          <w:tcPr>
            <w:tcW w:w="1667" w:type="dxa"/>
          </w:tcPr>
          <w:p w14:paraId="2C016863" w14:textId="77777777" w:rsidR="00B67E4C" w:rsidRDefault="00196867">
            <w:pPr>
              <w:spacing w:line="256" w:lineRule="auto"/>
              <w:jc w:val="left"/>
            </w:pPr>
            <w:r>
              <w:t>Price Maker</w:t>
            </w:r>
          </w:p>
        </w:tc>
        <w:tc>
          <w:tcPr>
            <w:tcW w:w="1814" w:type="dxa"/>
          </w:tcPr>
          <w:p w14:paraId="4D0E6645" w14:textId="77777777" w:rsidR="00B67E4C" w:rsidRDefault="00196867">
            <w:pPr>
              <w:spacing w:line="256" w:lineRule="auto"/>
              <w:jc w:val="left"/>
            </w:pPr>
            <w:r>
              <w:t>Price Taker</w:t>
            </w:r>
          </w:p>
        </w:tc>
        <w:tc>
          <w:tcPr>
            <w:tcW w:w="1836" w:type="dxa"/>
          </w:tcPr>
          <w:p w14:paraId="3C7649C5" w14:textId="77777777" w:rsidR="00B67E4C" w:rsidRDefault="00196867">
            <w:pPr>
              <w:spacing w:line="256" w:lineRule="auto"/>
              <w:jc w:val="left"/>
            </w:pPr>
            <w:r>
              <w:t>Price Maker</w:t>
            </w:r>
          </w:p>
        </w:tc>
      </w:tr>
      <w:tr w:rsidR="00B67E4C" w14:paraId="6CEDE049" w14:textId="77777777">
        <w:trPr>
          <w:trHeight w:val="732"/>
        </w:trPr>
        <w:tc>
          <w:tcPr>
            <w:tcW w:w="2342" w:type="dxa"/>
          </w:tcPr>
          <w:p w14:paraId="0817332E" w14:textId="77777777" w:rsidR="00B67E4C" w:rsidRDefault="00196867">
            <w:pPr>
              <w:spacing w:line="256" w:lineRule="auto"/>
              <w:jc w:val="center"/>
              <w:rPr>
                <w:b/>
              </w:rPr>
            </w:pPr>
            <w:r>
              <w:rPr>
                <w:b/>
              </w:rPr>
              <w:t>Barriers to entry</w:t>
            </w:r>
          </w:p>
        </w:tc>
        <w:tc>
          <w:tcPr>
            <w:tcW w:w="1849" w:type="dxa"/>
          </w:tcPr>
          <w:p w14:paraId="7D132387" w14:textId="77777777" w:rsidR="00B67E4C" w:rsidRDefault="00196867">
            <w:pPr>
              <w:spacing w:line="256" w:lineRule="auto"/>
              <w:jc w:val="left"/>
            </w:pPr>
            <w:r>
              <w:t>Moderate</w:t>
            </w:r>
          </w:p>
        </w:tc>
        <w:tc>
          <w:tcPr>
            <w:tcW w:w="1667" w:type="dxa"/>
          </w:tcPr>
          <w:p w14:paraId="6246FE9B" w14:textId="77777777" w:rsidR="00B67E4C" w:rsidRDefault="00196867">
            <w:pPr>
              <w:spacing w:line="256" w:lineRule="auto"/>
              <w:jc w:val="left"/>
            </w:pPr>
            <w:r>
              <w:t>High</w:t>
            </w:r>
          </w:p>
        </w:tc>
        <w:tc>
          <w:tcPr>
            <w:tcW w:w="1814" w:type="dxa"/>
          </w:tcPr>
          <w:p w14:paraId="58A27738" w14:textId="77777777" w:rsidR="00B67E4C" w:rsidRDefault="00196867">
            <w:pPr>
              <w:spacing w:line="256" w:lineRule="auto"/>
              <w:jc w:val="left"/>
            </w:pPr>
            <w:r>
              <w:t>Moderate</w:t>
            </w:r>
          </w:p>
        </w:tc>
        <w:tc>
          <w:tcPr>
            <w:tcW w:w="1836" w:type="dxa"/>
          </w:tcPr>
          <w:p w14:paraId="6BC4834C" w14:textId="77777777" w:rsidR="00B67E4C" w:rsidRDefault="00196867">
            <w:pPr>
              <w:spacing w:line="256" w:lineRule="auto"/>
              <w:jc w:val="left"/>
            </w:pPr>
            <w:r>
              <w:t>Very High</w:t>
            </w:r>
          </w:p>
        </w:tc>
      </w:tr>
    </w:tbl>
    <w:p w14:paraId="7CC23D16" w14:textId="77777777" w:rsidR="00B67E4C" w:rsidRDefault="00B67E4C">
      <w:pPr>
        <w:spacing w:line="256" w:lineRule="auto"/>
        <w:jc w:val="left"/>
      </w:pPr>
    </w:p>
    <w:p w14:paraId="42AE7CD6" w14:textId="77777777" w:rsidR="00B67E4C" w:rsidRDefault="00196867">
      <w:r>
        <w:t>The current international economy is growing after the significant economic downturn and inflation all over the world. It is expected to grow at a CAGR 4.4% in 2022 (</w:t>
      </w:r>
      <w:proofErr w:type="spellStart"/>
      <w:r>
        <w:t>Narkar</w:t>
      </w:r>
      <w:proofErr w:type="spellEnd"/>
      <w:r>
        <w:t xml:space="preserve"> and Naik, 2022). The world is recovering the devastating impact of the pandemic. Th</w:t>
      </w:r>
      <w:r>
        <w:t xml:space="preserve">e growth seems positive for luxury car manufacturers like Aston Martin to secure market growth and sustainability.  </w:t>
      </w:r>
    </w:p>
    <w:p w14:paraId="3AF803B8" w14:textId="77777777" w:rsidR="00B67E4C" w:rsidRDefault="00196867">
      <w:pPr>
        <w:pStyle w:val="Heading1"/>
      </w:pPr>
      <w:bookmarkStart w:id="10" w:name="_Toc102512667"/>
      <w:r>
        <w:t>Conclusion</w:t>
      </w:r>
      <w:bookmarkEnd w:id="10"/>
    </w:p>
    <w:p w14:paraId="1E08F427" w14:textId="0B3BEDDB" w:rsidR="00B67E4C" w:rsidRDefault="00196867" w:rsidP="0097678F">
      <w:r>
        <w:t>As a leading automotive manufacturer, Aston Martin requires to consider both the internal and external business environmental fa</w:t>
      </w:r>
      <w:r>
        <w:t xml:space="preserve">ctors in its decision making. The company can accelerate its sales and profitability by enlarging its target markets. It can tackle the rivalry in the industry by innovating and designing new cars to cater niche markets. The company can also establish new </w:t>
      </w:r>
      <w:r>
        <w:t>manufacturing plants in other countries to have economies of scale. These will enable the company to gain a competitive edge in a dynamic global business environment.</w:t>
      </w:r>
      <w:r>
        <w:t xml:space="preserve"> </w:t>
      </w:r>
    </w:p>
    <w:p w14:paraId="6F5E3DC4" w14:textId="77777777" w:rsidR="0097678F" w:rsidRDefault="0097678F">
      <w:pPr>
        <w:pStyle w:val="Heading1"/>
      </w:pPr>
    </w:p>
    <w:p w14:paraId="588B3A5B" w14:textId="3F8BC054" w:rsidR="00B67E4C" w:rsidRDefault="00196867">
      <w:pPr>
        <w:pStyle w:val="Heading1"/>
      </w:pPr>
      <w:bookmarkStart w:id="11" w:name="_Toc102512668"/>
      <w:r>
        <w:t>References</w:t>
      </w:r>
      <w:bookmarkEnd w:id="11"/>
    </w:p>
    <w:p w14:paraId="704AAC1E" w14:textId="77777777" w:rsidR="00B67E4C" w:rsidRDefault="00196867">
      <w:pPr>
        <w:numPr>
          <w:ilvl w:val="0"/>
          <w:numId w:val="1"/>
        </w:numPr>
        <w:pBdr>
          <w:top w:val="nil"/>
          <w:left w:val="nil"/>
          <w:bottom w:val="nil"/>
          <w:right w:val="nil"/>
          <w:between w:val="nil"/>
        </w:pBdr>
        <w:spacing w:after="0"/>
      </w:pPr>
      <w:r>
        <w:rPr>
          <w:color w:val="000000"/>
        </w:rPr>
        <w:t>A</w:t>
      </w:r>
      <w:r>
        <w:rPr>
          <w:color w:val="000000"/>
        </w:rPr>
        <w:t xml:space="preserve">lvarado, R., Ortiz, C., Jiménez, N., Ochoa-Jiménez, D. and </w:t>
      </w:r>
      <w:proofErr w:type="spellStart"/>
      <w:r>
        <w:rPr>
          <w:color w:val="000000"/>
        </w:rPr>
        <w:t>Tillaguango</w:t>
      </w:r>
      <w:proofErr w:type="spellEnd"/>
      <w:r>
        <w:rPr>
          <w:color w:val="000000"/>
        </w:rPr>
        <w:t>, B.</w:t>
      </w:r>
      <w:r>
        <w:rPr>
          <w:color w:val="000000"/>
        </w:rPr>
        <w:t>, 2021. Ecological footprint, air quality and research and development: the role of agriculture and international trade. Journal of Cleaner Production, 288, p.125589.</w:t>
      </w:r>
    </w:p>
    <w:p w14:paraId="7BB9ECC9" w14:textId="77777777" w:rsidR="00B67E4C" w:rsidRDefault="00196867">
      <w:pPr>
        <w:numPr>
          <w:ilvl w:val="0"/>
          <w:numId w:val="1"/>
        </w:numPr>
        <w:pBdr>
          <w:top w:val="nil"/>
          <w:left w:val="nil"/>
          <w:bottom w:val="nil"/>
          <w:right w:val="nil"/>
          <w:between w:val="nil"/>
        </w:pBdr>
        <w:spacing w:after="0"/>
      </w:pPr>
      <w:proofErr w:type="spellStart"/>
      <w:r>
        <w:rPr>
          <w:color w:val="000000"/>
        </w:rPr>
        <w:t>Capuder</w:t>
      </w:r>
      <w:proofErr w:type="spellEnd"/>
      <w:r>
        <w:rPr>
          <w:color w:val="000000"/>
        </w:rPr>
        <w:t xml:space="preserve">, T., </w:t>
      </w:r>
      <w:proofErr w:type="spellStart"/>
      <w:r>
        <w:rPr>
          <w:color w:val="000000"/>
        </w:rPr>
        <w:t>Sprčić</w:t>
      </w:r>
      <w:proofErr w:type="spellEnd"/>
      <w:r>
        <w:rPr>
          <w:color w:val="000000"/>
        </w:rPr>
        <w:t xml:space="preserve">, D.M., </w:t>
      </w:r>
      <w:proofErr w:type="spellStart"/>
      <w:r>
        <w:rPr>
          <w:color w:val="000000"/>
        </w:rPr>
        <w:t>Zoričić</w:t>
      </w:r>
      <w:proofErr w:type="spellEnd"/>
      <w:r>
        <w:rPr>
          <w:color w:val="000000"/>
        </w:rPr>
        <w:t>, D. and Pandžić, H., 2020. Review of challenges and as</w:t>
      </w:r>
      <w:r>
        <w:rPr>
          <w:color w:val="000000"/>
        </w:rPr>
        <w:t>sessment of electric vehicles integration policy goals: Integrated risk analysis approach. International Journal of Electrical Power &amp; Energy Systems, 119, p.105894.</w:t>
      </w:r>
    </w:p>
    <w:p w14:paraId="26BDDED2" w14:textId="77777777" w:rsidR="00B67E4C" w:rsidRDefault="00196867">
      <w:pPr>
        <w:numPr>
          <w:ilvl w:val="0"/>
          <w:numId w:val="1"/>
        </w:numPr>
        <w:pBdr>
          <w:top w:val="nil"/>
          <w:left w:val="nil"/>
          <w:bottom w:val="nil"/>
          <w:right w:val="nil"/>
          <w:between w:val="nil"/>
        </w:pBdr>
        <w:spacing w:after="0"/>
      </w:pPr>
      <w:r>
        <w:rPr>
          <w:color w:val="000000"/>
        </w:rPr>
        <w:t>Carey, N. 2022. Aston Martin sales rev up on higher prices, more profitable cars. Reuters.</w:t>
      </w:r>
      <w:r>
        <w:rPr>
          <w:color w:val="000000"/>
        </w:rPr>
        <w:t xml:space="preserve"> [online] 23 Feb. Available at: </w:t>
      </w:r>
      <w:hyperlink r:id="rId10">
        <w:r>
          <w:rPr>
            <w:color w:val="0563C1"/>
            <w:u w:val="single"/>
          </w:rPr>
          <w:t>https://www.reuters.com/business/autos-transportation/aston-martin-posts-lower-loss-2021-sal</w:t>
        </w:r>
        <w:r>
          <w:rPr>
            <w:color w:val="0563C1"/>
            <w:u w:val="single"/>
          </w:rPr>
          <w:t>es-surge-2022-02-23/</w:t>
        </w:r>
      </w:hyperlink>
      <w:r>
        <w:rPr>
          <w:color w:val="000000"/>
        </w:rPr>
        <w:t>.</w:t>
      </w:r>
    </w:p>
    <w:p w14:paraId="5D19E53F" w14:textId="77777777" w:rsidR="00B67E4C" w:rsidRDefault="00196867">
      <w:pPr>
        <w:numPr>
          <w:ilvl w:val="0"/>
          <w:numId w:val="1"/>
        </w:numPr>
        <w:pBdr>
          <w:top w:val="nil"/>
          <w:left w:val="nil"/>
          <w:bottom w:val="nil"/>
          <w:right w:val="nil"/>
          <w:between w:val="nil"/>
        </w:pBdr>
        <w:spacing w:after="0"/>
      </w:pPr>
      <w:proofErr w:type="spellStart"/>
      <w:r>
        <w:rPr>
          <w:color w:val="000000"/>
        </w:rPr>
        <w:t>Hąbek</w:t>
      </w:r>
      <w:proofErr w:type="spellEnd"/>
      <w:r>
        <w:rPr>
          <w:color w:val="000000"/>
        </w:rPr>
        <w:t xml:space="preserve">, P. and </w:t>
      </w:r>
      <w:proofErr w:type="spellStart"/>
      <w:r>
        <w:rPr>
          <w:color w:val="000000"/>
        </w:rPr>
        <w:t>Lavios</w:t>
      </w:r>
      <w:proofErr w:type="spellEnd"/>
      <w:r>
        <w:rPr>
          <w:color w:val="000000"/>
        </w:rPr>
        <w:t xml:space="preserve"> </w:t>
      </w:r>
      <w:proofErr w:type="spellStart"/>
      <w:r>
        <w:rPr>
          <w:color w:val="000000"/>
        </w:rPr>
        <w:t>Villahoz</w:t>
      </w:r>
      <w:proofErr w:type="spellEnd"/>
      <w:r>
        <w:rPr>
          <w:color w:val="000000"/>
        </w:rPr>
        <w:t>, J.J., 2020. Socially Responsible Supplier Development. Practices of Automotive Industry. Multidisciplinary Aspects of Production Engineering, 3.</w:t>
      </w:r>
    </w:p>
    <w:p w14:paraId="457C7C40" w14:textId="77777777" w:rsidR="00B67E4C" w:rsidRDefault="00196867">
      <w:pPr>
        <w:numPr>
          <w:ilvl w:val="0"/>
          <w:numId w:val="1"/>
        </w:numPr>
        <w:pBdr>
          <w:top w:val="nil"/>
          <w:left w:val="nil"/>
          <w:bottom w:val="nil"/>
          <w:right w:val="nil"/>
          <w:between w:val="nil"/>
        </w:pBdr>
        <w:spacing w:after="0"/>
      </w:pPr>
      <w:r>
        <w:rPr>
          <w:color w:val="000000"/>
        </w:rPr>
        <w:t>Lingenfelder, M., 2019. The relationship between governmen</w:t>
      </w:r>
      <w:r>
        <w:rPr>
          <w:color w:val="000000"/>
        </w:rPr>
        <w:t>t support and the sustainability of the South African automotive industry (Doctoral dissertation).</w:t>
      </w:r>
    </w:p>
    <w:p w14:paraId="53B77F56" w14:textId="77777777" w:rsidR="00B67E4C" w:rsidRDefault="00196867">
      <w:pPr>
        <w:numPr>
          <w:ilvl w:val="0"/>
          <w:numId w:val="1"/>
        </w:numPr>
        <w:pBdr>
          <w:top w:val="nil"/>
          <w:left w:val="nil"/>
          <w:bottom w:val="nil"/>
          <w:right w:val="nil"/>
          <w:between w:val="nil"/>
        </w:pBdr>
        <w:spacing w:after="0"/>
      </w:pPr>
      <w:r>
        <w:rPr>
          <w:color w:val="000000"/>
        </w:rPr>
        <w:t>Mello, J.A.V.B., Pinto, B.G.J. and Mello, A.J.R., 2022. SWOT analysis and GUT matrix for business management and problem solving: an application in a Brazili</w:t>
      </w:r>
      <w:r>
        <w:rPr>
          <w:color w:val="000000"/>
        </w:rPr>
        <w:t>an case-study.</w:t>
      </w:r>
    </w:p>
    <w:p w14:paraId="419CE926" w14:textId="77777777" w:rsidR="00B67E4C" w:rsidRDefault="00196867">
      <w:pPr>
        <w:numPr>
          <w:ilvl w:val="0"/>
          <w:numId w:val="1"/>
        </w:numPr>
        <w:pBdr>
          <w:top w:val="nil"/>
          <w:left w:val="nil"/>
          <w:bottom w:val="nil"/>
          <w:right w:val="nil"/>
          <w:between w:val="nil"/>
        </w:pBdr>
        <w:spacing w:after="0"/>
      </w:pPr>
      <w:r>
        <w:rPr>
          <w:color w:val="000000"/>
        </w:rPr>
        <w:t>Naicker, P. and Olanrewaju, O.A., 2021, December. Improving Competitiveness Through the Application of Cost Estimation Models in the South African Automotive Industry. In 2021 IEEE International Conference on Industrial Engineering and Engineering Manageme</w:t>
      </w:r>
      <w:r>
        <w:rPr>
          <w:color w:val="000000"/>
        </w:rPr>
        <w:t>nt (IEEM) (pp. 1561-1565). IEEE.</w:t>
      </w:r>
    </w:p>
    <w:p w14:paraId="3BA927A7" w14:textId="77777777" w:rsidR="00B67E4C" w:rsidRDefault="00196867">
      <w:pPr>
        <w:numPr>
          <w:ilvl w:val="0"/>
          <w:numId w:val="1"/>
        </w:numPr>
        <w:pBdr>
          <w:top w:val="nil"/>
          <w:left w:val="nil"/>
          <w:bottom w:val="nil"/>
          <w:right w:val="nil"/>
          <w:between w:val="nil"/>
        </w:pBdr>
        <w:spacing w:after="0"/>
      </w:pPr>
      <w:proofErr w:type="spellStart"/>
      <w:r>
        <w:rPr>
          <w:color w:val="000000"/>
        </w:rPr>
        <w:t>Narkar</w:t>
      </w:r>
      <w:proofErr w:type="spellEnd"/>
      <w:r>
        <w:rPr>
          <w:color w:val="000000"/>
        </w:rPr>
        <w:t>, A.S. and Naik, T.P., 2022. An Analysis of the Effect of E-mobility Trend on the Traditional Suppliers in the Global Automotive Industry. In Advances in Mechanical and Materials Technology (pp. 273-282). Springer, Si</w:t>
      </w:r>
      <w:r>
        <w:rPr>
          <w:color w:val="000000"/>
        </w:rPr>
        <w:t>ngapore.</w:t>
      </w:r>
    </w:p>
    <w:p w14:paraId="63630B21" w14:textId="77777777" w:rsidR="00B67E4C" w:rsidRDefault="00196867">
      <w:pPr>
        <w:numPr>
          <w:ilvl w:val="0"/>
          <w:numId w:val="1"/>
        </w:numPr>
        <w:pBdr>
          <w:top w:val="nil"/>
          <w:left w:val="nil"/>
          <w:bottom w:val="nil"/>
          <w:right w:val="nil"/>
          <w:between w:val="nil"/>
        </w:pBdr>
        <w:spacing w:after="0"/>
      </w:pPr>
      <w:r>
        <w:rPr>
          <w:color w:val="000000"/>
        </w:rPr>
        <w:t>Paolucci, E., Pessot, E. and Ricci, R., 2021. The interplay between digital transformation and governance mechanisms in supply chains: evidence from the Italian automotive industry. International Journal of Operations &amp; Production Management.</w:t>
      </w:r>
    </w:p>
    <w:p w14:paraId="69AEEC8B" w14:textId="77777777" w:rsidR="00B67E4C" w:rsidRDefault="00196867">
      <w:pPr>
        <w:numPr>
          <w:ilvl w:val="0"/>
          <w:numId w:val="1"/>
        </w:numPr>
        <w:pBdr>
          <w:top w:val="nil"/>
          <w:left w:val="nil"/>
          <w:bottom w:val="nil"/>
          <w:right w:val="nil"/>
          <w:between w:val="nil"/>
        </w:pBdr>
        <w:spacing w:after="0"/>
      </w:pPr>
      <w:proofErr w:type="spellStart"/>
      <w:r>
        <w:rPr>
          <w:color w:val="000000"/>
        </w:rPr>
        <w:t>Papu</w:t>
      </w:r>
      <w:r>
        <w:rPr>
          <w:color w:val="000000"/>
        </w:rPr>
        <w:t>lová</w:t>
      </w:r>
      <w:proofErr w:type="spellEnd"/>
      <w:r>
        <w:rPr>
          <w:color w:val="000000"/>
        </w:rPr>
        <w:t xml:space="preserve">, Z., </w:t>
      </w:r>
      <w:proofErr w:type="spellStart"/>
      <w:r>
        <w:rPr>
          <w:color w:val="000000"/>
        </w:rPr>
        <w:t>Gažová</w:t>
      </w:r>
      <w:proofErr w:type="spellEnd"/>
      <w:r>
        <w:rPr>
          <w:color w:val="000000"/>
        </w:rPr>
        <w:t xml:space="preserve">, A. and </w:t>
      </w:r>
      <w:proofErr w:type="spellStart"/>
      <w:r>
        <w:rPr>
          <w:color w:val="000000"/>
        </w:rPr>
        <w:t>Šufliarský</w:t>
      </w:r>
      <w:proofErr w:type="spellEnd"/>
      <w:r>
        <w:rPr>
          <w:color w:val="000000"/>
        </w:rPr>
        <w:t>, Ľ., 2022. Implementation of Automation Technologies of Industry 4.0 in Automotive Manufacturing Companies. Procedia Computer Science, 200, pp.1488-1497.</w:t>
      </w:r>
    </w:p>
    <w:p w14:paraId="76B57E7D" w14:textId="77777777" w:rsidR="00B67E4C" w:rsidRDefault="00196867">
      <w:pPr>
        <w:numPr>
          <w:ilvl w:val="0"/>
          <w:numId w:val="1"/>
        </w:numPr>
        <w:pBdr>
          <w:top w:val="nil"/>
          <w:left w:val="nil"/>
          <w:bottom w:val="nil"/>
          <w:right w:val="nil"/>
          <w:between w:val="nil"/>
        </w:pBdr>
        <w:spacing w:after="0"/>
      </w:pPr>
      <w:r>
        <w:rPr>
          <w:color w:val="000000"/>
        </w:rPr>
        <w:lastRenderedPageBreak/>
        <w:t xml:space="preserve">Parker, G. 2018. 20 Fun Facts You Didn’t Know About Aston Martin. </w:t>
      </w:r>
      <w:r>
        <w:rPr>
          <w:color w:val="000000"/>
        </w:rPr>
        <w:t xml:space="preserve">[online] Money Inc. Available at: </w:t>
      </w:r>
      <w:hyperlink r:id="rId11">
        <w:r>
          <w:rPr>
            <w:color w:val="0563C1"/>
            <w:u w:val="single"/>
          </w:rPr>
          <w:t>https://moneyinc.com/20-things-didnt-know-aston-martin/</w:t>
        </w:r>
      </w:hyperlink>
      <w:r>
        <w:rPr>
          <w:color w:val="000000"/>
        </w:rPr>
        <w:t>.</w:t>
      </w:r>
    </w:p>
    <w:p w14:paraId="2BC27420" w14:textId="77777777" w:rsidR="00B67E4C" w:rsidRDefault="00196867">
      <w:pPr>
        <w:numPr>
          <w:ilvl w:val="0"/>
          <w:numId w:val="1"/>
        </w:numPr>
        <w:pBdr>
          <w:top w:val="nil"/>
          <w:left w:val="nil"/>
          <w:bottom w:val="nil"/>
          <w:right w:val="nil"/>
          <w:between w:val="nil"/>
        </w:pBdr>
        <w:spacing w:after="0"/>
      </w:pPr>
      <w:r>
        <w:rPr>
          <w:color w:val="000000"/>
        </w:rPr>
        <w:t>Pelle, A., Sass, M. and Tabajdi, G., 2020. European Integration and Industrial Actors’ Loc</w:t>
      </w:r>
      <w:r>
        <w:rPr>
          <w:color w:val="000000"/>
        </w:rPr>
        <w:t xml:space="preserve">ation and Investment Decisions in the CEE Automotive Industry: What Types of Changes Are Likely To Be Brought by Industry </w:t>
      </w:r>
      <w:proofErr w:type="gramStart"/>
      <w:r>
        <w:rPr>
          <w:color w:val="000000"/>
        </w:rPr>
        <w:t>4.0?.</w:t>
      </w:r>
      <w:proofErr w:type="gramEnd"/>
      <w:r>
        <w:rPr>
          <w:color w:val="000000"/>
        </w:rPr>
        <w:t xml:space="preserve"> Economia &amp; </w:t>
      </w:r>
      <w:proofErr w:type="spellStart"/>
      <w:r>
        <w:rPr>
          <w:color w:val="000000"/>
        </w:rPr>
        <w:t>lavoro</w:t>
      </w:r>
      <w:proofErr w:type="spellEnd"/>
      <w:r>
        <w:rPr>
          <w:color w:val="000000"/>
        </w:rPr>
        <w:t>, 54(1), pp.31-44.</w:t>
      </w:r>
    </w:p>
    <w:p w14:paraId="5DEDCD0F" w14:textId="77777777" w:rsidR="00B67E4C" w:rsidRDefault="00196867">
      <w:pPr>
        <w:numPr>
          <w:ilvl w:val="0"/>
          <w:numId w:val="1"/>
        </w:numPr>
        <w:pBdr>
          <w:top w:val="nil"/>
          <w:left w:val="nil"/>
          <w:bottom w:val="nil"/>
          <w:right w:val="nil"/>
          <w:between w:val="nil"/>
        </w:pBdr>
        <w:spacing w:after="0"/>
      </w:pPr>
      <w:proofErr w:type="spellStart"/>
      <w:r>
        <w:rPr>
          <w:color w:val="000000"/>
        </w:rPr>
        <w:t>Sakuramoto</w:t>
      </w:r>
      <w:proofErr w:type="spellEnd"/>
      <w:r>
        <w:rPr>
          <w:color w:val="000000"/>
        </w:rPr>
        <w:t xml:space="preserve">, C., Di Serio, </w:t>
      </w:r>
      <w:proofErr w:type="gramStart"/>
      <w:r>
        <w:rPr>
          <w:color w:val="000000"/>
        </w:rPr>
        <w:t>L.C.</w:t>
      </w:r>
      <w:proofErr w:type="gramEnd"/>
      <w:r>
        <w:rPr>
          <w:color w:val="000000"/>
        </w:rPr>
        <w:t xml:space="preserve"> and Bittar, A.D.V., 2019. Impact of supply chain on the compe</w:t>
      </w:r>
      <w:r>
        <w:rPr>
          <w:color w:val="000000"/>
        </w:rPr>
        <w:t>titiveness of the automotive industry. RAUSP Management Journal, 54, pp.205-225.</w:t>
      </w:r>
    </w:p>
    <w:p w14:paraId="06E0A5B3" w14:textId="77777777" w:rsidR="00B67E4C" w:rsidRDefault="00196867">
      <w:pPr>
        <w:numPr>
          <w:ilvl w:val="0"/>
          <w:numId w:val="1"/>
        </w:numPr>
        <w:pBdr>
          <w:top w:val="nil"/>
          <w:left w:val="nil"/>
          <w:bottom w:val="nil"/>
          <w:right w:val="nil"/>
          <w:between w:val="nil"/>
        </w:pBdr>
        <w:spacing w:after="0"/>
      </w:pPr>
      <w:proofErr w:type="spellStart"/>
      <w:r>
        <w:rPr>
          <w:color w:val="000000"/>
        </w:rPr>
        <w:t>Suwardi</w:t>
      </w:r>
      <w:proofErr w:type="spellEnd"/>
      <w:r>
        <w:rPr>
          <w:color w:val="000000"/>
        </w:rPr>
        <w:t xml:space="preserve">, W.P., Kusuma, T.C. and </w:t>
      </w:r>
      <w:proofErr w:type="spellStart"/>
      <w:r>
        <w:rPr>
          <w:color w:val="000000"/>
        </w:rPr>
        <w:t>Kartiko</w:t>
      </w:r>
      <w:proofErr w:type="spellEnd"/>
      <w:r>
        <w:rPr>
          <w:color w:val="000000"/>
        </w:rPr>
        <w:t>, B.M., 2021. Porter’s Five Generic Strategies: A Case Study from Indonesia Automotive Industry Against Covid-19.</w:t>
      </w:r>
    </w:p>
    <w:p w14:paraId="7341710E" w14:textId="77777777" w:rsidR="00B67E4C" w:rsidRDefault="00196867">
      <w:pPr>
        <w:numPr>
          <w:ilvl w:val="0"/>
          <w:numId w:val="1"/>
        </w:numPr>
        <w:pBdr>
          <w:top w:val="nil"/>
          <w:left w:val="nil"/>
          <w:bottom w:val="nil"/>
          <w:right w:val="nil"/>
          <w:between w:val="nil"/>
        </w:pBdr>
        <w:spacing w:after="0"/>
      </w:pPr>
      <w:r>
        <w:rPr>
          <w:color w:val="000000"/>
        </w:rPr>
        <w:t>Tan, L.L., Othman, M.F</w:t>
      </w:r>
      <w:r>
        <w:rPr>
          <w:color w:val="000000"/>
        </w:rPr>
        <w:t>.B. and Li, M.Z., 2021. The challenges and opportunities for enhancing the competitiveness of the indigenous Malaysian automotive industry.</w:t>
      </w:r>
    </w:p>
    <w:p w14:paraId="309B2CA9" w14:textId="77777777" w:rsidR="00B67E4C" w:rsidRDefault="00196867">
      <w:pPr>
        <w:numPr>
          <w:ilvl w:val="0"/>
          <w:numId w:val="1"/>
        </w:numPr>
        <w:pBdr>
          <w:top w:val="nil"/>
          <w:left w:val="nil"/>
          <w:bottom w:val="nil"/>
          <w:right w:val="nil"/>
          <w:between w:val="nil"/>
        </w:pBdr>
        <w:spacing w:after="0"/>
      </w:pPr>
      <w:r>
        <w:rPr>
          <w:color w:val="000000"/>
        </w:rPr>
        <w:t xml:space="preserve">the Guardian. 2022. Aston Martin optimistic after sales surge and slashed losses in 2021. [online] Available at: </w:t>
      </w:r>
      <w:hyperlink r:id="rId12">
        <w:r>
          <w:rPr>
            <w:color w:val="0563C1"/>
            <w:u w:val="single"/>
          </w:rPr>
          <w:t>https://www.theguardian.com/business/2022/feb/23/aston-martin-optimistic-after-sales-surge-and-slashed-losses-in-2021</w:t>
        </w:r>
      </w:hyperlink>
      <w:r>
        <w:rPr>
          <w:color w:val="000000"/>
        </w:rPr>
        <w:t>.</w:t>
      </w:r>
    </w:p>
    <w:p w14:paraId="4C0D0B90" w14:textId="77777777" w:rsidR="00B67E4C" w:rsidRDefault="00196867">
      <w:pPr>
        <w:numPr>
          <w:ilvl w:val="0"/>
          <w:numId w:val="1"/>
        </w:numPr>
        <w:pBdr>
          <w:top w:val="nil"/>
          <w:left w:val="nil"/>
          <w:bottom w:val="nil"/>
          <w:right w:val="nil"/>
          <w:between w:val="nil"/>
        </w:pBdr>
      </w:pPr>
      <w:r>
        <w:rPr>
          <w:color w:val="000000"/>
        </w:rPr>
        <w:t>Wan</w:t>
      </w:r>
      <w:r>
        <w:rPr>
          <w:color w:val="000000"/>
        </w:rPr>
        <w:t>g, Z., Yin, Y., Liu, G., Lun, F., Zhang, F., Cui, Z. and Wu, J., 2022. International trade reduces global phosphorus demand but intensifies the imbalance in local consumption. Science of the Total Environment, 830, p.154484.</w:t>
      </w:r>
    </w:p>
    <w:p w14:paraId="2B8167AF" w14:textId="77777777" w:rsidR="00B67E4C" w:rsidRDefault="00B67E4C">
      <w:pPr>
        <w:ind w:left="360"/>
      </w:pPr>
    </w:p>
    <w:sectPr w:rsidR="00B67E4C">
      <w:headerReference w:type="default" r:id="rId13"/>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69ED4" w14:textId="77777777" w:rsidR="00000000" w:rsidRDefault="00196867">
      <w:pPr>
        <w:spacing w:after="0" w:line="240" w:lineRule="auto"/>
      </w:pPr>
      <w:r>
        <w:separator/>
      </w:r>
    </w:p>
  </w:endnote>
  <w:endnote w:type="continuationSeparator" w:id="0">
    <w:p w14:paraId="161DCD9B" w14:textId="77777777" w:rsidR="00000000" w:rsidRDefault="00196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810F0" w14:textId="77777777" w:rsidR="00B67E4C" w:rsidRDefault="00196867">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B91F33">
      <w:rPr>
        <w:noProof/>
        <w:color w:val="000000"/>
      </w:rPr>
      <w:t>1</w:t>
    </w:r>
    <w:r>
      <w:rPr>
        <w:color w:val="000000"/>
      </w:rPr>
      <w:fldChar w:fldCharType="end"/>
    </w:r>
  </w:p>
  <w:p w14:paraId="7B2E96E8" w14:textId="77777777" w:rsidR="00B67E4C" w:rsidRDefault="00B67E4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4DB38" w14:textId="77777777" w:rsidR="00000000" w:rsidRDefault="00196867">
      <w:pPr>
        <w:spacing w:after="0" w:line="240" w:lineRule="auto"/>
      </w:pPr>
      <w:r>
        <w:separator/>
      </w:r>
    </w:p>
  </w:footnote>
  <w:footnote w:type="continuationSeparator" w:id="0">
    <w:p w14:paraId="485F7A03" w14:textId="77777777" w:rsidR="00000000" w:rsidRDefault="001968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6F38CD" w14:textId="77777777" w:rsidR="00B67E4C" w:rsidRDefault="00B67E4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956EEB"/>
    <w:multiLevelType w:val="multilevel"/>
    <w:tmpl w:val="E21611B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196500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7E4C"/>
    <w:rsid w:val="00196867"/>
    <w:rsid w:val="0097678F"/>
    <w:rsid w:val="00B67E4C"/>
    <w:rsid w:val="00B91F33"/>
    <w:rsid w:val="00BA77F4"/>
    <w:rsid w:val="00EB4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46D7D"/>
  <w15:docId w15:val="{A9EA94BE-23E1-450E-912B-371D37749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b/>
      <w:color w:val="1F3864"/>
      <w:sz w:val="32"/>
      <w:szCs w:val="32"/>
    </w:rPr>
  </w:style>
  <w:style w:type="paragraph" w:styleId="Heading2">
    <w:name w:val="heading 2"/>
    <w:basedOn w:val="Normal"/>
    <w:next w:val="Normal"/>
    <w:uiPriority w:val="9"/>
    <w:unhideWhenUsed/>
    <w:qFormat/>
    <w:pPr>
      <w:keepNext/>
      <w:keepLines/>
      <w:spacing w:before="40"/>
      <w:outlineLvl w:val="1"/>
    </w:pPr>
    <w:rPr>
      <w:b/>
      <w:color w:val="1F3864"/>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A77F4"/>
    <w:pPr>
      <w:spacing w:after="100"/>
    </w:pPr>
  </w:style>
  <w:style w:type="paragraph" w:styleId="TOC2">
    <w:name w:val="toc 2"/>
    <w:basedOn w:val="Normal"/>
    <w:next w:val="Normal"/>
    <w:autoRedefine/>
    <w:uiPriority w:val="39"/>
    <w:unhideWhenUsed/>
    <w:rsid w:val="00BA77F4"/>
    <w:pPr>
      <w:spacing w:after="100"/>
      <w:ind w:left="240"/>
    </w:pPr>
  </w:style>
  <w:style w:type="character" w:styleId="Hyperlink">
    <w:name w:val="Hyperlink"/>
    <w:basedOn w:val="DefaultParagraphFont"/>
    <w:uiPriority w:val="99"/>
    <w:unhideWhenUsed/>
    <w:rsid w:val="00BA77F4"/>
    <w:rPr>
      <w:color w:val="0000FF" w:themeColor="hyperlink"/>
      <w:u w:val="single"/>
    </w:rPr>
  </w:style>
  <w:style w:type="table" w:styleId="TableGrid">
    <w:name w:val="Table Grid"/>
    <w:basedOn w:val="TableNormal"/>
    <w:uiPriority w:val="39"/>
    <w:rsid w:val="00BA77F4"/>
    <w:pPr>
      <w:spacing w:after="0" w:line="240" w:lineRule="auto"/>
      <w:jc w:val="left"/>
    </w:pPr>
    <w:rPr>
      <w:rFonts w:asciiTheme="minorHAnsi" w:eastAsiaTheme="minorHAnsi" w:hAnsiTheme="minorHAnsi" w:cstheme="minorBid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guardian.com/business/2022/feb/23/aston-martin-optimistic-after-sales-surge-and-slashed-losses-in-202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neyinc.com/20-things-didnt-know-aston-marti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uters.com/business/autos-transportation/aston-martin-posts-lower-loss-2021-sales-surge-2022-02-2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14</Pages>
  <Words>2930</Words>
  <Characters>16703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 Ciurariu</dc:creator>
  <cp:lastModifiedBy>alexderma2018@outlook.com</cp:lastModifiedBy>
  <dcterms:created xsi:type="dcterms:W3CDTF">2022-05-03T22:31:00Z</dcterms:created>
  <dcterms:modified xsi:type="dcterms:W3CDTF">2022-05-03T22:31:00Z</dcterms:modified>
</cp:coreProperties>
</file>