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FA2F6" w14:textId="73B02936" w:rsidR="00B24225" w:rsidRDefault="005929E7" w:rsidP="00FF6366">
      <w:pPr>
        <w:spacing w:line="360" w:lineRule="auto"/>
        <w:jc w:val="both"/>
        <w:rPr>
          <w:rFonts w:ascii="Times New Roman" w:hAnsi="Times New Roman" w:cs="Times New Roman"/>
          <w:b/>
          <w:bCs/>
          <w:sz w:val="24"/>
          <w:szCs w:val="24"/>
          <w:lang w:val="ro-RO"/>
        </w:rPr>
      </w:pPr>
      <w:r w:rsidRPr="0047440F">
        <w:rPr>
          <w:noProof/>
        </w:rPr>
        <w:drawing>
          <wp:inline distT="0" distB="0" distL="0" distR="0" wp14:anchorId="482A01EB" wp14:editId="0E98642C">
            <wp:extent cx="2802194" cy="1599565"/>
            <wp:effectExtent l="0" t="0" r="0" b="635"/>
            <wp:docPr id="6" name="Imagine 5" descr="A close-up of a sign&#10;&#10;Description automatically generated">
              <a:extLst xmlns:a="http://schemas.openxmlformats.org/drawingml/2006/main">
                <a:ext uri="{FF2B5EF4-FFF2-40B4-BE49-F238E27FC236}">
                  <a16:creationId xmlns:a16="http://schemas.microsoft.com/office/drawing/2014/main" id="{3767D012-4979-B4ED-0A85-1D51F6BDF3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5" descr="A close-up of a sign&#10;&#10;Description automatically generated">
                      <a:extLst>
                        <a:ext uri="{FF2B5EF4-FFF2-40B4-BE49-F238E27FC236}">
                          <a16:creationId xmlns:a16="http://schemas.microsoft.com/office/drawing/2014/main" id="{3767D012-4979-B4ED-0A85-1D51F6BDF323}"/>
                        </a:ext>
                      </a:extLst>
                    </pic:cNvPr>
                    <pic:cNvPicPr>
                      <a:picLocks noChangeAspect="1"/>
                    </pic:cNvPicPr>
                  </pic:nvPicPr>
                  <pic:blipFill>
                    <a:blip r:embed="rId7"/>
                    <a:stretch>
                      <a:fillRect/>
                    </a:stretch>
                  </pic:blipFill>
                  <pic:spPr>
                    <a:xfrm>
                      <a:off x="0" y="0"/>
                      <a:ext cx="2825350" cy="1612783"/>
                    </a:xfrm>
                    <a:prstGeom prst="rect">
                      <a:avLst/>
                    </a:prstGeom>
                  </pic:spPr>
                </pic:pic>
              </a:graphicData>
            </a:graphic>
          </wp:inline>
        </w:drawing>
      </w:r>
    </w:p>
    <w:p w14:paraId="2D02FCBF" w14:textId="77777777" w:rsidR="00B24225" w:rsidRDefault="00B24225" w:rsidP="00FF6366">
      <w:pPr>
        <w:spacing w:line="360" w:lineRule="auto"/>
        <w:jc w:val="both"/>
        <w:rPr>
          <w:rFonts w:ascii="Times New Roman" w:hAnsi="Times New Roman" w:cs="Times New Roman"/>
          <w:b/>
          <w:bCs/>
          <w:sz w:val="24"/>
          <w:szCs w:val="24"/>
          <w:lang w:val="ro-RO"/>
        </w:rPr>
      </w:pPr>
    </w:p>
    <w:p w14:paraId="2F556132" w14:textId="77777777" w:rsidR="00B24225" w:rsidRDefault="00B24225" w:rsidP="005929E7">
      <w:pPr>
        <w:spacing w:line="360" w:lineRule="auto"/>
        <w:jc w:val="center"/>
        <w:rPr>
          <w:rFonts w:ascii="Times New Roman" w:hAnsi="Times New Roman" w:cs="Times New Roman"/>
          <w:b/>
          <w:bCs/>
          <w:sz w:val="24"/>
          <w:szCs w:val="24"/>
          <w:lang w:val="ro-RO"/>
        </w:rPr>
      </w:pPr>
    </w:p>
    <w:p w14:paraId="6BB3356E" w14:textId="03306C1C" w:rsidR="00B24225" w:rsidRPr="005929E7" w:rsidRDefault="00B24225" w:rsidP="005929E7">
      <w:pPr>
        <w:spacing w:line="360" w:lineRule="auto"/>
        <w:jc w:val="center"/>
        <w:rPr>
          <w:rFonts w:ascii="Times New Roman" w:hAnsi="Times New Roman" w:cs="Times New Roman"/>
          <w:b/>
          <w:bCs/>
          <w:color w:val="156082" w:themeColor="accent1"/>
          <w:sz w:val="40"/>
          <w:szCs w:val="40"/>
          <w:lang w:val="ro-RO"/>
        </w:rPr>
      </w:pPr>
      <w:r w:rsidRPr="005929E7">
        <w:rPr>
          <w:rFonts w:ascii="Times New Roman" w:hAnsi="Times New Roman" w:cs="Times New Roman"/>
          <w:b/>
          <w:bCs/>
          <w:color w:val="156082" w:themeColor="accent1"/>
          <w:sz w:val="40"/>
          <w:szCs w:val="40"/>
        </w:rPr>
        <w:t>LCBB5010</w:t>
      </w:r>
      <w:r w:rsidR="00997DA3" w:rsidRPr="005929E7">
        <w:rPr>
          <w:rFonts w:ascii="Times New Roman" w:hAnsi="Times New Roman" w:cs="Times New Roman"/>
          <w:b/>
          <w:bCs/>
          <w:color w:val="156082" w:themeColor="accent1"/>
          <w:sz w:val="40"/>
          <w:szCs w:val="40"/>
        </w:rPr>
        <w:t xml:space="preserve"> - Management Accounting for Managers</w:t>
      </w:r>
    </w:p>
    <w:p w14:paraId="770F49F4" w14:textId="24B26AAD" w:rsidR="00FF6366" w:rsidRPr="005929E7" w:rsidRDefault="00FF6366" w:rsidP="005929E7">
      <w:pPr>
        <w:spacing w:line="360" w:lineRule="auto"/>
        <w:jc w:val="center"/>
        <w:rPr>
          <w:rFonts w:ascii="Times New Roman" w:hAnsi="Times New Roman" w:cs="Times New Roman"/>
          <w:b/>
          <w:bCs/>
          <w:sz w:val="32"/>
          <w:szCs w:val="32"/>
          <w:lang w:val="ro-RO"/>
        </w:rPr>
      </w:pPr>
      <w:r w:rsidRPr="005929E7">
        <w:rPr>
          <w:rFonts w:ascii="Times New Roman" w:hAnsi="Times New Roman" w:cs="Times New Roman"/>
          <w:b/>
          <w:bCs/>
          <w:sz w:val="32"/>
          <w:szCs w:val="32"/>
          <w:lang w:val="ro-RO"/>
        </w:rPr>
        <w:t>Evaluating the Use of Management Accounting Tools and Techniques to Support Financial Decision-Making in Tesla, Inc.</w:t>
      </w:r>
    </w:p>
    <w:p w14:paraId="2094FFAB" w14:textId="2913E247" w:rsidR="00FF6366" w:rsidRDefault="00FF6366" w:rsidP="00FF6366">
      <w:pPr>
        <w:spacing w:line="360" w:lineRule="auto"/>
        <w:jc w:val="both"/>
        <w:rPr>
          <w:rFonts w:ascii="Times New Roman" w:hAnsi="Times New Roman" w:cs="Times New Roman"/>
          <w:sz w:val="24"/>
          <w:szCs w:val="24"/>
          <w:lang w:val="ro-RO"/>
        </w:rPr>
      </w:pPr>
    </w:p>
    <w:p w14:paraId="5957F054" w14:textId="77777777" w:rsidR="00FF6366" w:rsidRDefault="00FF6366" w:rsidP="00FF6366">
      <w:pPr>
        <w:spacing w:line="360" w:lineRule="auto"/>
        <w:jc w:val="both"/>
        <w:rPr>
          <w:rFonts w:ascii="Times New Roman" w:hAnsi="Times New Roman" w:cs="Times New Roman"/>
          <w:sz w:val="24"/>
          <w:szCs w:val="24"/>
          <w:lang w:val="ro-RO"/>
        </w:rPr>
      </w:pPr>
    </w:p>
    <w:p w14:paraId="5B8FBC1A" w14:textId="77777777" w:rsidR="00FF6366" w:rsidRDefault="00FF6366" w:rsidP="00FF6366">
      <w:pPr>
        <w:spacing w:line="360" w:lineRule="auto"/>
        <w:jc w:val="both"/>
        <w:rPr>
          <w:rFonts w:ascii="Times New Roman" w:hAnsi="Times New Roman" w:cs="Times New Roman"/>
          <w:sz w:val="24"/>
          <w:szCs w:val="24"/>
          <w:lang w:val="ro-RO"/>
        </w:rPr>
      </w:pPr>
    </w:p>
    <w:p w14:paraId="32D199D2" w14:textId="77777777" w:rsidR="00FF6366" w:rsidRDefault="00FF6366" w:rsidP="00FF6366">
      <w:pPr>
        <w:spacing w:line="360" w:lineRule="auto"/>
        <w:jc w:val="both"/>
        <w:rPr>
          <w:rFonts w:ascii="Times New Roman" w:hAnsi="Times New Roman" w:cs="Times New Roman"/>
          <w:sz w:val="24"/>
          <w:szCs w:val="24"/>
          <w:lang w:val="ro-RO"/>
        </w:rPr>
      </w:pPr>
    </w:p>
    <w:p w14:paraId="59175795" w14:textId="77777777" w:rsidR="00FF6366" w:rsidRDefault="00FF6366" w:rsidP="00FF6366">
      <w:pPr>
        <w:spacing w:line="360" w:lineRule="auto"/>
        <w:jc w:val="both"/>
        <w:rPr>
          <w:rFonts w:ascii="Times New Roman" w:hAnsi="Times New Roman" w:cs="Times New Roman"/>
          <w:sz w:val="24"/>
          <w:szCs w:val="24"/>
          <w:lang w:val="ro-RO"/>
        </w:rPr>
      </w:pPr>
    </w:p>
    <w:p w14:paraId="00C3BA1C" w14:textId="77777777" w:rsidR="00FF6366" w:rsidRDefault="00FF6366" w:rsidP="00FF6366">
      <w:pPr>
        <w:spacing w:line="360" w:lineRule="auto"/>
        <w:jc w:val="both"/>
        <w:rPr>
          <w:rFonts w:ascii="Times New Roman" w:hAnsi="Times New Roman" w:cs="Times New Roman"/>
          <w:sz w:val="24"/>
          <w:szCs w:val="24"/>
          <w:lang w:val="ro-RO"/>
        </w:rPr>
      </w:pPr>
    </w:p>
    <w:p w14:paraId="7136C74C" w14:textId="77777777" w:rsidR="00D2085B" w:rsidRDefault="00D2085B" w:rsidP="00FF6366">
      <w:pPr>
        <w:spacing w:line="360" w:lineRule="auto"/>
        <w:jc w:val="both"/>
        <w:rPr>
          <w:rFonts w:ascii="Times New Roman" w:hAnsi="Times New Roman" w:cs="Times New Roman"/>
          <w:sz w:val="24"/>
          <w:szCs w:val="24"/>
          <w:lang w:val="ro-RO"/>
        </w:rPr>
      </w:pPr>
    </w:p>
    <w:p w14:paraId="44BB9DEA" w14:textId="2A89DDA3" w:rsidR="005C57AE" w:rsidRPr="005929E7" w:rsidRDefault="00997DA3" w:rsidP="00FF6366">
      <w:pPr>
        <w:spacing w:line="360" w:lineRule="auto"/>
        <w:jc w:val="both"/>
        <w:rPr>
          <w:rFonts w:ascii="Times New Roman" w:hAnsi="Times New Roman" w:cs="Times New Roman"/>
          <w:b/>
          <w:bCs/>
          <w:sz w:val="24"/>
          <w:szCs w:val="24"/>
        </w:rPr>
      </w:pPr>
      <w:r w:rsidRPr="005929E7">
        <w:rPr>
          <w:rFonts w:ascii="Times New Roman" w:hAnsi="Times New Roman" w:cs="Times New Roman"/>
          <w:b/>
          <w:bCs/>
          <w:sz w:val="24"/>
          <w:szCs w:val="24"/>
          <w:lang w:val="ro-RO"/>
        </w:rPr>
        <w:t xml:space="preserve">LECTURER/MODULE LEADER: </w:t>
      </w:r>
      <w:r w:rsidRPr="005929E7">
        <w:rPr>
          <w:rFonts w:ascii="Times New Roman" w:hAnsi="Times New Roman" w:cs="Times New Roman"/>
          <w:b/>
          <w:bCs/>
          <w:sz w:val="24"/>
          <w:szCs w:val="24"/>
        </w:rPr>
        <w:t>Dr Rita Ukachi-Lois</w:t>
      </w:r>
      <w:r w:rsidR="00134274" w:rsidRPr="005929E7">
        <w:rPr>
          <w:rFonts w:ascii="Times New Roman" w:hAnsi="Times New Roman" w:cs="Times New Roman"/>
          <w:b/>
          <w:bCs/>
          <w:sz w:val="24"/>
          <w:szCs w:val="24"/>
        </w:rPr>
        <w:t xml:space="preserve"> /</w:t>
      </w:r>
      <w:r w:rsidRPr="005929E7">
        <w:rPr>
          <w:rFonts w:ascii="Times New Roman" w:hAnsi="Times New Roman" w:cs="Times New Roman"/>
          <w:b/>
          <w:bCs/>
          <w:sz w:val="24"/>
          <w:szCs w:val="24"/>
        </w:rPr>
        <w:t>Zainab Atta</w:t>
      </w:r>
    </w:p>
    <w:p w14:paraId="16F9FF05" w14:textId="66F3AE58" w:rsidR="00D2085B" w:rsidRPr="005929E7" w:rsidRDefault="00D2085B" w:rsidP="00FF6366">
      <w:pPr>
        <w:spacing w:line="360" w:lineRule="auto"/>
        <w:jc w:val="both"/>
        <w:rPr>
          <w:rFonts w:ascii="Times New Roman" w:hAnsi="Times New Roman" w:cs="Times New Roman"/>
          <w:b/>
          <w:bCs/>
          <w:sz w:val="24"/>
          <w:szCs w:val="24"/>
        </w:rPr>
      </w:pPr>
      <w:r w:rsidRPr="005929E7">
        <w:rPr>
          <w:rFonts w:ascii="Times New Roman" w:hAnsi="Times New Roman" w:cs="Times New Roman"/>
          <w:b/>
          <w:bCs/>
          <w:sz w:val="24"/>
          <w:szCs w:val="24"/>
        </w:rPr>
        <w:t xml:space="preserve">STUDENT NAME: </w:t>
      </w:r>
      <w:r w:rsidR="00134274" w:rsidRPr="005929E7">
        <w:rPr>
          <w:rFonts w:ascii="Times New Roman" w:hAnsi="Times New Roman" w:cs="Times New Roman"/>
          <w:b/>
          <w:bCs/>
          <w:sz w:val="24"/>
          <w:szCs w:val="24"/>
        </w:rPr>
        <w:t>CODRIN IOAN CHIRCU</w:t>
      </w:r>
    </w:p>
    <w:p w14:paraId="32768DF5" w14:textId="5E99DF9E" w:rsidR="00D2085B" w:rsidRPr="005929E7" w:rsidRDefault="00D2085B" w:rsidP="00FF6366">
      <w:pPr>
        <w:spacing w:line="360" w:lineRule="auto"/>
        <w:jc w:val="both"/>
        <w:rPr>
          <w:rFonts w:ascii="Times New Roman" w:hAnsi="Times New Roman" w:cs="Times New Roman"/>
          <w:b/>
          <w:bCs/>
          <w:sz w:val="24"/>
          <w:szCs w:val="24"/>
        </w:rPr>
      </w:pPr>
      <w:r w:rsidRPr="005929E7">
        <w:rPr>
          <w:rFonts w:ascii="Times New Roman" w:hAnsi="Times New Roman" w:cs="Times New Roman"/>
          <w:b/>
          <w:bCs/>
          <w:sz w:val="24"/>
          <w:szCs w:val="24"/>
        </w:rPr>
        <w:t>STUDENT ID:</w:t>
      </w:r>
      <w:r w:rsidR="008D6576" w:rsidRPr="005929E7">
        <w:rPr>
          <w:rFonts w:ascii="Times New Roman" w:hAnsi="Times New Roman" w:cs="Times New Roman"/>
          <w:b/>
          <w:bCs/>
          <w:sz w:val="24"/>
          <w:szCs w:val="24"/>
        </w:rPr>
        <w:t xml:space="preserve"> 2027548</w:t>
      </w:r>
    </w:p>
    <w:p w14:paraId="62450C44" w14:textId="65111F9E" w:rsidR="00D2085B" w:rsidRPr="005929E7" w:rsidRDefault="00D2085B" w:rsidP="00FF6366">
      <w:pPr>
        <w:spacing w:line="360" w:lineRule="auto"/>
        <w:jc w:val="both"/>
        <w:rPr>
          <w:rFonts w:ascii="Times New Roman" w:hAnsi="Times New Roman" w:cs="Times New Roman"/>
          <w:b/>
          <w:bCs/>
          <w:sz w:val="24"/>
          <w:szCs w:val="24"/>
        </w:rPr>
      </w:pPr>
      <w:r w:rsidRPr="005929E7">
        <w:rPr>
          <w:rFonts w:ascii="Times New Roman" w:hAnsi="Times New Roman" w:cs="Times New Roman"/>
          <w:b/>
          <w:bCs/>
          <w:sz w:val="24"/>
          <w:szCs w:val="24"/>
        </w:rPr>
        <w:t>DUE DATE:</w:t>
      </w:r>
      <w:r w:rsidR="008D6576" w:rsidRPr="005929E7">
        <w:rPr>
          <w:rFonts w:ascii="Times New Roman" w:hAnsi="Times New Roman" w:cs="Times New Roman"/>
          <w:b/>
          <w:bCs/>
          <w:sz w:val="24"/>
          <w:szCs w:val="24"/>
        </w:rPr>
        <w:t xml:space="preserve"> 21.11.2025</w:t>
      </w:r>
    </w:p>
    <w:p w14:paraId="3C1C7295" w14:textId="77777777" w:rsidR="00D2085B" w:rsidRDefault="00D2085B" w:rsidP="00FF6366">
      <w:pPr>
        <w:spacing w:line="360" w:lineRule="auto"/>
        <w:jc w:val="both"/>
        <w:rPr>
          <w:rFonts w:ascii="Times New Roman" w:hAnsi="Times New Roman" w:cs="Times New Roman"/>
          <w:sz w:val="24"/>
          <w:szCs w:val="24"/>
        </w:rPr>
      </w:pPr>
    </w:p>
    <w:p w14:paraId="6EC546AC" w14:textId="77777777" w:rsidR="00D2085B" w:rsidRDefault="00D2085B" w:rsidP="00FF6366">
      <w:pPr>
        <w:spacing w:line="360" w:lineRule="auto"/>
        <w:jc w:val="both"/>
        <w:rPr>
          <w:rFonts w:ascii="Times New Roman" w:hAnsi="Times New Roman" w:cs="Times New Roman"/>
          <w:sz w:val="24"/>
          <w:szCs w:val="24"/>
        </w:rPr>
      </w:pPr>
    </w:p>
    <w:p w14:paraId="0C9B6AA8" w14:textId="77777777" w:rsidR="00D2085B" w:rsidRDefault="00D2085B" w:rsidP="00FF6366">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eastAsia="en-US"/>
          <w14:ligatures w14:val="standardContextual"/>
        </w:rPr>
        <w:id w:val="194275759"/>
        <w:docPartObj>
          <w:docPartGallery w:val="Table of Contents"/>
          <w:docPartUnique/>
        </w:docPartObj>
      </w:sdtPr>
      <w:sdtEndPr>
        <w:rPr>
          <w:b/>
          <w:bCs/>
        </w:rPr>
      </w:sdtEndPr>
      <w:sdtContent>
        <w:p w14:paraId="65BC6FED" w14:textId="3A450B2A" w:rsidR="00D2085B" w:rsidRDefault="00D2085B">
          <w:pPr>
            <w:pStyle w:val="TOCHeading"/>
          </w:pPr>
          <w:r>
            <w:rPr>
              <w:lang w:val="en-GB"/>
            </w:rPr>
            <w:t>Contents</w:t>
          </w:r>
        </w:p>
        <w:p w14:paraId="13373E6F" w14:textId="299DD37C" w:rsidR="005929E7" w:rsidRDefault="00D2085B">
          <w:pPr>
            <w:pStyle w:val="TOC1"/>
            <w:tabs>
              <w:tab w:val="right" w:leader="dot" w:pos="9016"/>
            </w:tabs>
            <w:rPr>
              <w:rFonts w:eastAsiaTheme="minorEastAsia"/>
              <w:noProof/>
              <w:sz w:val="24"/>
              <w:szCs w:val="24"/>
              <w:lang w:val="ro-RO" w:eastAsia="ro-RO"/>
            </w:rPr>
          </w:pPr>
          <w:r>
            <w:fldChar w:fldCharType="begin"/>
          </w:r>
          <w:r>
            <w:instrText xml:space="preserve"> TOC \o "1-3" \h \z \u </w:instrText>
          </w:r>
          <w:r>
            <w:fldChar w:fldCharType="separate"/>
          </w:r>
          <w:hyperlink w:anchor="_Toc214647651" w:history="1">
            <w:r w:rsidR="005929E7" w:rsidRPr="00FC5911">
              <w:rPr>
                <w:rStyle w:val="Hyperlink"/>
                <w:rFonts w:ascii="Times New Roman" w:hAnsi="Times New Roman" w:cs="Times New Roman"/>
                <w:b/>
                <w:bCs/>
                <w:noProof/>
                <w:lang w:val="ro-RO"/>
              </w:rPr>
              <w:t>INTRODUCTION</w:t>
            </w:r>
            <w:r w:rsidR="005929E7">
              <w:rPr>
                <w:noProof/>
                <w:webHidden/>
              </w:rPr>
              <w:tab/>
            </w:r>
            <w:r w:rsidR="005929E7">
              <w:rPr>
                <w:noProof/>
                <w:webHidden/>
              </w:rPr>
              <w:fldChar w:fldCharType="begin"/>
            </w:r>
            <w:r w:rsidR="005929E7">
              <w:rPr>
                <w:noProof/>
                <w:webHidden/>
              </w:rPr>
              <w:instrText xml:space="preserve"> PAGEREF _Toc214647651 \h </w:instrText>
            </w:r>
            <w:r w:rsidR="005929E7">
              <w:rPr>
                <w:noProof/>
                <w:webHidden/>
              </w:rPr>
            </w:r>
            <w:r w:rsidR="005929E7">
              <w:rPr>
                <w:noProof/>
                <w:webHidden/>
              </w:rPr>
              <w:fldChar w:fldCharType="separate"/>
            </w:r>
            <w:r w:rsidR="005929E7">
              <w:rPr>
                <w:noProof/>
                <w:webHidden/>
              </w:rPr>
              <w:t>3</w:t>
            </w:r>
            <w:r w:rsidR="005929E7">
              <w:rPr>
                <w:noProof/>
                <w:webHidden/>
              </w:rPr>
              <w:fldChar w:fldCharType="end"/>
            </w:r>
          </w:hyperlink>
        </w:p>
        <w:p w14:paraId="4962DDC0" w14:textId="3BB418C3" w:rsidR="005929E7" w:rsidRDefault="005929E7">
          <w:pPr>
            <w:pStyle w:val="TOC1"/>
            <w:tabs>
              <w:tab w:val="right" w:leader="dot" w:pos="9016"/>
            </w:tabs>
            <w:rPr>
              <w:rFonts w:eastAsiaTheme="minorEastAsia"/>
              <w:noProof/>
              <w:sz w:val="24"/>
              <w:szCs w:val="24"/>
              <w:lang w:val="ro-RO" w:eastAsia="ro-RO"/>
            </w:rPr>
          </w:pPr>
          <w:hyperlink w:anchor="_Toc214647652" w:history="1">
            <w:r w:rsidRPr="00FC5911">
              <w:rPr>
                <w:rStyle w:val="Hyperlink"/>
                <w:rFonts w:ascii="Times New Roman" w:hAnsi="Times New Roman" w:cs="Times New Roman"/>
                <w:b/>
                <w:bCs/>
                <w:noProof/>
                <w:lang w:val="ro-RO"/>
              </w:rPr>
              <w:t>COST ANALYSIS &amp; BUSINESS MODEL</w:t>
            </w:r>
            <w:r>
              <w:rPr>
                <w:noProof/>
                <w:webHidden/>
              </w:rPr>
              <w:tab/>
            </w:r>
            <w:r>
              <w:rPr>
                <w:noProof/>
                <w:webHidden/>
              </w:rPr>
              <w:fldChar w:fldCharType="begin"/>
            </w:r>
            <w:r>
              <w:rPr>
                <w:noProof/>
                <w:webHidden/>
              </w:rPr>
              <w:instrText xml:space="preserve"> PAGEREF _Toc214647652 \h </w:instrText>
            </w:r>
            <w:r>
              <w:rPr>
                <w:noProof/>
                <w:webHidden/>
              </w:rPr>
            </w:r>
            <w:r>
              <w:rPr>
                <w:noProof/>
                <w:webHidden/>
              </w:rPr>
              <w:fldChar w:fldCharType="separate"/>
            </w:r>
            <w:r>
              <w:rPr>
                <w:noProof/>
                <w:webHidden/>
              </w:rPr>
              <w:t>4</w:t>
            </w:r>
            <w:r>
              <w:rPr>
                <w:noProof/>
                <w:webHidden/>
              </w:rPr>
              <w:fldChar w:fldCharType="end"/>
            </w:r>
          </w:hyperlink>
        </w:p>
        <w:p w14:paraId="70E1ECC8" w14:textId="75C18C50" w:rsidR="005929E7" w:rsidRDefault="005929E7">
          <w:pPr>
            <w:pStyle w:val="TOC2"/>
            <w:tabs>
              <w:tab w:val="right" w:leader="dot" w:pos="9016"/>
            </w:tabs>
            <w:rPr>
              <w:rFonts w:eastAsiaTheme="minorEastAsia"/>
              <w:noProof/>
              <w:sz w:val="24"/>
              <w:szCs w:val="24"/>
              <w:lang w:val="ro-RO" w:eastAsia="ro-RO"/>
            </w:rPr>
          </w:pPr>
          <w:hyperlink w:anchor="_Toc214647653" w:history="1">
            <w:r w:rsidRPr="00FC5911">
              <w:rPr>
                <w:rStyle w:val="Hyperlink"/>
                <w:rFonts w:ascii="Times New Roman" w:hAnsi="Times New Roman" w:cs="Times New Roman"/>
                <w:noProof/>
                <w:lang w:val="ro-RO"/>
              </w:rPr>
              <w:t>Tesla’s Revenue Model</w:t>
            </w:r>
            <w:r>
              <w:rPr>
                <w:noProof/>
                <w:webHidden/>
              </w:rPr>
              <w:tab/>
            </w:r>
            <w:r>
              <w:rPr>
                <w:noProof/>
                <w:webHidden/>
              </w:rPr>
              <w:fldChar w:fldCharType="begin"/>
            </w:r>
            <w:r>
              <w:rPr>
                <w:noProof/>
                <w:webHidden/>
              </w:rPr>
              <w:instrText xml:space="preserve"> PAGEREF _Toc214647653 \h </w:instrText>
            </w:r>
            <w:r>
              <w:rPr>
                <w:noProof/>
                <w:webHidden/>
              </w:rPr>
            </w:r>
            <w:r>
              <w:rPr>
                <w:noProof/>
                <w:webHidden/>
              </w:rPr>
              <w:fldChar w:fldCharType="separate"/>
            </w:r>
            <w:r>
              <w:rPr>
                <w:noProof/>
                <w:webHidden/>
              </w:rPr>
              <w:t>4</w:t>
            </w:r>
            <w:r>
              <w:rPr>
                <w:noProof/>
                <w:webHidden/>
              </w:rPr>
              <w:fldChar w:fldCharType="end"/>
            </w:r>
          </w:hyperlink>
        </w:p>
        <w:p w14:paraId="2645B349" w14:textId="732BF88E" w:rsidR="005929E7" w:rsidRDefault="005929E7">
          <w:pPr>
            <w:pStyle w:val="TOC2"/>
            <w:tabs>
              <w:tab w:val="right" w:leader="dot" w:pos="9016"/>
            </w:tabs>
            <w:rPr>
              <w:rFonts w:eastAsiaTheme="minorEastAsia"/>
              <w:noProof/>
              <w:sz w:val="24"/>
              <w:szCs w:val="24"/>
              <w:lang w:val="ro-RO" w:eastAsia="ro-RO"/>
            </w:rPr>
          </w:pPr>
          <w:hyperlink w:anchor="_Toc214647654" w:history="1">
            <w:r w:rsidRPr="00FC5911">
              <w:rPr>
                <w:rStyle w:val="Hyperlink"/>
                <w:rFonts w:ascii="Times New Roman" w:hAnsi="Times New Roman" w:cs="Times New Roman"/>
                <w:noProof/>
                <w:lang w:val="ro-RO"/>
              </w:rPr>
              <w:t>Key Cost Structures: Fixed vs. Variable Costs</w:t>
            </w:r>
            <w:r>
              <w:rPr>
                <w:noProof/>
                <w:webHidden/>
              </w:rPr>
              <w:tab/>
            </w:r>
            <w:r>
              <w:rPr>
                <w:noProof/>
                <w:webHidden/>
              </w:rPr>
              <w:fldChar w:fldCharType="begin"/>
            </w:r>
            <w:r>
              <w:rPr>
                <w:noProof/>
                <w:webHidden/>
              </w:rPr>
              <w:instrText xml:space="preserve"> PAGEREF _Toc214647654 \h </w:instrText>
            </w:r>
            <w:r>
              <w:rPr>
                <w:noProof/>
                <w:webHidden/>
              </w:rPr>
            </w:r>
            <w:r>
              <w:rPr>
                <w:noProof/>
                <w:webHidden/>
              </w:rPr>
              <w:fldChar w:fldCharType="separate"/>
            </w:r>
            <w:r>
              <w:rPr>
                <w:noProof/>
                <w:webHidden/>
              </w:rPr>
              <w:t>4</w:t>
            </w:r>
            <w:r>
              <w:rPr>
                <w:noProof/>
                <w:webHidden/>
              </w:rPr>
              <w:fldChar w:fldCharType="end"/>
            </w:r>
          </w:hyperlink>
        </w:p>
        <w:p w14:paraId="5AFBD075" w14:textId="76E0D00F" w:rsidR="005929E7" w:rsidRDefault="005929E7">
          <w:pPr>
            <w:pStyle w:val="TOC3"/>
            <w:tabs>
              <w:tab w:val="right" w:leader="dot" w:pos="9016"/>
            </w:tabs>
            <w:rPr>
              <w:rFonts w:eastAsiaTheme="minorEastAsia"/>
              <w:noProof/>
              <w:sz w:val="24"/>
              <w:szCs w:val="24"/>
              <w:lang w:val="ro-RO" w:eastAsia="ro-RO"/>
            </w:rPr>
          </w:pPr>
          <w:hyperlink w:anchor="_Toc214647655" w:history="1">
            <w:r w:rsidRPr="00FC5911">
              <w:rPr>
                <w:rStyle w:val="Hyperlink"/>
                <w:rFonts w:ascii="Times New Roman" w:hAnsi="Times New Roman" w:cs="Times New Roman"/>
                <w:noProof/>
                <w:lang w:val="ro-RO"/>
              </w:rPr>
              <w:t>Fixed Costs</w:t>
            </w:r>
            <w:r>
              <w:rPr>
                <w:noProof/>
                <w:webHidden/>
              </w:rPr>
              <w:tab/>
            </w:r>
            <w:r>
              <w:rPr>
                <w:noProof/>
                <w:webHidden/>
              </w:rPr>
              <w:fldChar w:fldCharType="begin"/>
            </w:r>
            <w:r>
              <w:rPr>
                <w:noProof/>
                <w:webHidden/>
              </w:rPr>
              <w:instrText xml:space="preserve"> PAGEREF _Toc214647655 \h </w:instrText>
            </w:r>
            <w:r>
              <w:rPr>
                <w:noProof/>
                <w:webHidden/>
              </w:rPr>
            </w:r>
            <w:r>
              <w:rPr>
                <w:noProof/>
                <w:webHidden/>
              </w:rPr>
              <w:fldChar w:fldCharType="separate"/>
            </w:r>
            <w:r>
              <w:rPr>
                <w:noProof/>
                <w:webHidden/>
              </w:rPr>
              <w:t>4</w:t>
            </w:r>
            <w:r>
              <w:rPr>
                <w:noProof/>
                <w:webHidden/>
              </w:rPr>
              <w:fldChar w:fldCharType="end"/>
            </w:r>
          </w:hyperlink>
        </w:p>
        <w:p w14:paraId="097909A6" w14:textId="3048AC02" w:rsidR="005929E7" w:rsidRDefault="005929E7">
          <w:pPr>
            <w:pStyle w:val="TOC3"/>
            <w:tabs>
              <w:tab w:val="right" w:leader="dot" w:pos="9016"/>
            </w:tabs>
            <w:rPr>
              <w:rFonts w:eastAsiaTheme="minorEastAsia"/>
              <w:noProof/>
              <w:sz w:val="24"/>
              <w:szCs w:val="24"/>
              <w:lang w:val="ro-RO" w:eastAsia="ro-RO"/>
            </w:rPr>
          </w:pPr>
          <w:hyperlink w:anchor="_Toc214647656" w:history="1">
            <w:r w:rsidRPr="00FC5911">
              <w:rPr>
                <w:rStyle w:val="Hyperlink"/>
                <w:rFonts w:ascii="Times New Roman" w:hAnsi="Times New Roman" w:cs="Times New Roman"/>
                <w:noProof/>
                <w:lang w:val="ro-RO"/>
              </w:rPr>
              <w:t>Variable Costs</w:t>
            </w:r>
            <w:r>
              <w:rPr>
                <w:noProof/>
                <w:webHidden/>
              </w:rPr>
              <w:tab/>
            </w:r>
            <w:r>
              <w:rPr>
                <w:noProof/>
                <w:webHidden/>
              </w:rPr>
              <w:fldChar w:fldCharType="begin"/>
            </w:r>
            <w:r>
              <w:rPr>
                <w:noProof/>
                <w:webHidden/>
              </w:rPr>
              <w:instrText xml:space="preserve"> PAGEREF _Toc214647656 \h </w:instrText>
            </w:r>
            <w:r>
              <w:rPr>
                <w:noProof/>
                <w:webHidden/>
              </w:rPr>
            </w:r>
            <w:r>
              <w:rPr>
                <w:noProof/>
                <w:webHidden/>
              </w:rPr>
              <w:fldChar w:fldCharType="separate"/>
            </w:r>
            <w:r>
              <w:rPr>
                <w:noProof/>
                <w:webHidden/>
              </w:rPr>
              <w:t>5</w:t>
            </w:r>
            <w:r>
              <w:rPr>
                <w:noProof/>
                <w:webHidden/>
              </w:rPr>
              <w:fldChar w:fldCharType="end"/>
            </w:r>
          </w:hyperlink>
        </w:p>
        <w:p w14:paraId="0373E36D" w14:textId="423A38A8" w:rsidR="005929E7" w:rsidRDefault="005929E7">
          <w:pPr>
            <w:pStyle w:val="TOC3"/>
            <w:tabs>
              <w:tab w:val="right" w:leader="dot" w:pos="9016"/>
            </w:tabs>
            <w:rPr>
              <w:rFonts w:eastAsiaTheme="minorEastAsia"/>
              <w:noProof/>
              <w:sz w:val="24"/>
              <w:szCs w:val="24"/>
              <w:lang w:val="ro-RO" w:eastAsia="ro-RO"/>
            </w:rPr>
          </w:pPr>
          <w:hyperlink w:anchor="_Toc214647657" w:history="1">
            <w:r w:rsidRPr="00FC5911">
              <w:rPr>
                <w:rStyle w:val="Hyperlink"/>
                <w:rFonts w:ascii="Times New Roman" w:hAnsi="Times New Roman" w:cs="Times New Roman"/>
                <w:noProof/>
                <w:lang w:val="ro-RO"/>
              </w:rPr>
              <w:t>Cost Structure Table (2024)</w:t>
            </w:r>
            <w:r>
              <w:rPr>
                <w:noProof/>
                <w:webHidden/>
              </w:rPr>
              <w:tab/>
            </w:r>
            <w:r>
              <w:rPr>
                <w:noProof/>
                <w:webHidden/>
              </w:rPr>
              <w:fldChar w:fldCharType="begin"/>
            </w:r>
            <w:r>
              <w:rPr>
                <w:noProof/>
                <w:webHidden/>
              </w:rPr>
              <w:instrText xml:space="preserve"> PAGEREF _Toc214647657 \h </w:instrText>
            </w:r>
            <w:r>
              <w:rPr>
                <w:noProof/>
                <w:webHidden/>
              </w:rPr>
            </w:r>
            <w:r>
              <w:rPr>
                <w:noProof/>
                <w:webHidden/>
              </w:rPr>
              <w:fldChar w:fldCharType="separate"/>
            </w:r>
            <w:r>
              <w:rPr>
                <w:noProof/>
                <w:webHidden/>
              </w:rPr>
              <w:t>5</w:t>
            </w:r>
            <w:r>
              <w:rPr>
                <w:noProof/>
                <w:webHidden/>
              </w:rPr>
              <w:fldChar w:fldCharType="end"/>
            </w:r>
          </w:hyperlink>
        </w:p>
        <w:p w14:paraId="0FE86FF8" w14:textId="5EA8B16D" w:rsidR="005929E7" w:rsidRDefault="005929E7">
          <w:pPr>
            <w:pStyle w:val="TOC3"/>
            <w:tabs>
              <w:tab w:val="right" w:leader="dot" w:pos="9016"/>
            </w:tabs>
            <w:rPr>
              <w:rFonts w:eastAsiaTheme="minorEastAsia"/>
              <w:noProof/>
              <w:sz w:val="24"/>
              <w:szCs w:val="24"/>
              <w:lang w:val="ro-RO" w:eastAsia="ro-RO"/>
            </w:rPr>
          </w:pPr>
          <w:hyperlink w:anchor="_Toc214647658" w:history="1">
            <w:r w:rsidRPr="00FC5911">
              <w:rPr>
                <w:rStyle w:val="Hyperlink"/>
                <w:rFonts w:ascii="Times New Roman" w:hAnsi="Times New Roman" w:cs="Times New Roman"/>
                <w:noProof/>
                <w:lang w:val="ro-RO"/>
              </w:rPr>
              <w:t>Activity-Based Costing &amp; Product Costing at Tesla</w:t>
            </w:r>
            <w:r>
              <w:rPr>
                <w:noProof/>
                <w:webHidden/>
              </w:rPr>
              <w:tab/>
            </w:r>
            <w:r>
              <w:rPr>
                <w:noProof/>
                <w:webHidden/>
              </w:rPr>
              <w:fldChar w:fldCharType="begin"/>
            </w:r>
            <w:r>
              <w:rPr>
                <w:noProof/>
                <w:webHidden/>
              </w:rPr>
              <w:instrText xml:space="preserve"> PAGEREF _Toc214647658 \h </w:instrText>
            </w:r>
            <w:r>
              <w:rPr>
                <w:noProof/>
                <w:webHidden/>
              </w:rPr>
            </w:r>
            <w:r>
              <w:rPr>
                <w:noProof/>
                <w:webHidden/>
              </w:rPr>
              <w:fldChar w:fldCharType="separate"/>
            </w:r>
            <w:r>
              <w:rPr>
                <w:noProof/>
                <w:webHidden/>
              </w:rPr>
              <w:t>6</w:t>
            </w:r>
            <w:r>
              <w:rPr>
                <w:noProof/>
                <w:webHidden/>
              </w:rPr>
              <w:fldChar w:fldCharType="end"/>
            </w:r>
          </w:hyperlink>
        </w:p>
        <w:p w14:paraId="631C2661" w14:textId="372A96D7" w:rsidR="005929E7" w:rsidRDefault="005929E7">
          <w:pPr>
            <w:pStyle w:val="TOC3"/>
            <w:tabs>
              <w:tab w:val="right" w:leader="dot" w:pos="9016"/>
            </w:tabs>
            <w:rPr>
              <w:rFonts w:eastAsiaTheme="minorEastAsia"/>
              <w:noProof/>
              <w:sz w:val="24"/>
              <w:szCs w:val="24"/>
              <w:lang w:val="ro-RO" w:eastAsia="ro-RO"/>
            </w:rPr>
          </w:pPr>
          <w:hyperlink w:anchor="_Toc214647659" w:history="1">
            <w:r w:rsidRPr="00FC5911">
              <w:rPr>
                <w:rStyle w:val="Hyperlink"/>
                <w:rFonts w:ascii="Times New Roman" w:hAnsi="Times New Roman" w:cs="Times New Roman"/>
                <w:noProof/>
                <w:lang w:val="ro-RO"/>
              </w:rPr>
              <w:t>Comparative Benchmarking</w:t>
            </w:r>
            <w:r>
              <w:rPr>
                <w:noProof/>
                <w:webHidden/>
              </w:rPr>
              <w:tab/>
            </w:r>
            <w:r>
              <w:rPr>
                <w:noProof/>
                <w:webHidden/>
              </w:rPr>
              <w:fldChar w:fldCharType="begin"/>
            </w:r>
            <w:r>
              <w:rPr>
                <w:noProof/>
                <w:webHidden/>
              </w:rPr>
              <w:instrText xml:space="preserve"> PAGEREF _Toc214647659 \h </w:instrText>
            </w:r>
            <w:r>
              <w:rPr>
                <w:noProof/>
                <w:webHidden/>
              </w:rPr>
            </w:r>
            <w:r>
              <w:rPr>
                <w:noProof/>
                <w:webHidden/>
              </w:rPr>
              <w:fldChar w:fldCharType="separate"/>
            </w:r>
            <w:r>
              <w:rPr>
                <w:noProof/>
                <w:webHidden/>
              </w:rPr>
              <w:t>6</w:t>
            </w:r>
            <w:r>
              <w:rPr>
                <w:noProof/>
                <w:webHidden/>
              </w:rPr>
              <w:fldChar w:fldCharType="end"/>
            </w:r>
          </w:hyperlink>
        </w:p>
        <w:p w14:paraId="49F9344D" w14:textId="56D3C21E" w:rsidR="005929E7" w:rsidRDefault="005929E7">
          <w:pPr>
            <w:pStyle w:val="TOC3"/>
            <w:tabs>
              <w:tab w:val="right" w:leader="dot" w:pos="9016"/>
            </w:tabs>
            <w:rPr>
              <w:rFonts w:eastAsiaTheme="minorEastAsia"/>
              <w:noProof/>
              <w:sz w:val="24"/>
              <w:szCs w:val="24"/>
              <w:lang w:val="ro-RO" w:eastAsia="ro-RO"/>
            </w:rPr>
          </w:pPr>
          <w:hyperlink w:anchor="_Toc214647660" w:history="1">
            <w:r w:rsidRPr="00FC5911">
              <w:rPr>
                <w:rStyle w:val="Hyperlink"/>
                <w:rFonts w:ascii="Times New Roman" w:hAnsi="Times New Roman" w:cs="Times New Roman"/>
                <w:noProof/>
                <w:lang w:val="ro-RO"/>
              </w:rPr>
              <w:t>Strategic Cost Management</w:t>
            </w:r>
            <w:r>
              <w:rPr>
                <w:noProof/>
                <w:webHidden/>
              </w:rPr>
              <w:tab/>
            </w:r>
            <w:r>
              <w:rPr>
                <w:noProof/>
                <w:webHidden/>
              </w:rPr>
              <w:fldChar w:fldCharType="begin"/>
            </w:r>
            <w:r>
              <w:rPr>
                <w:noProof/>
                <w:webHidden/>
              </w:rPr>
              <w:instrText xml:space="preserve"> PAGEREF _Toc214647660 \h </w:instrText>
            </w:r>
            <w:r>
              <w:rPr>
                <w:noProof/>
                <w:webHidden/>
              </w:rPr>
            </w:r>
            <w:r>
              <w:rPr>
                <w:noProof/>
                <w:webHidden/>
              </w:rPr>
              <w:fldChar w:fldCharType="separate"/>
            </w:r>
            <w:r>
              <w:rPr>
                <w:noProof/>
                <w:webHidden/>
              </w:rPr>
              <w:t>7</w:t>
            </w:r>
            <w:r>
              <w:rPr>
                <w:noProof/>
                <w:webHidden/>
              </w:rPr>
              <w:fldChar w:fldCharType="end"/>
            </w:r>
          </w:hyperlink>
        </w:p>
        <w:p w14:paraId="78583860" w14:textId="478FC577" w:rsidR="005929E7" w:rsidRDefault="005929E7">
          <w:pPr>
            <w:pStyle w:val="TOC1"/>
            <w:tabs>
              <w:tab w:val="right" w:leader="dot" w:pos="9016"/>
            </w:tabs>
            <w:rPr>
              <w:rFonts w:eastAsiaTheme="minorEastAsia"/>
              <w:noProof/>
              <w:sz w:val="24"/>
              <w:szCs w:val="24"/>
              <w:lang w:val="ro-RO" w:eastAsia="ro-RO"/>
            </w:rPr>
          </w:pPr>
          <w:hyperlink w:anchor="_Toc214647661" w:history="1">
            <w:r w:rsidRPr="00FC5911">
              <w:rPr>
                <w:rStyle w:val="Hyperlink"/>
                <w:rFonts w:ascii="Times New Roman" w:hAnsi="Times New Roman" w:cs="Times New Roman"/>
                <w:b/>
                <w:bCs/>
                <w:noProof/>
                <w:lang w:val="ro-RO"/>
              </w:rPr>
              <w:t>BUDGETING &amp; FINANCIAL PLANNING</w:t>
            </w:r>
            <w:r>
              <w:rPr>
                <w:noProof/>
                <w:webHidden/>
              </w:rPr>
              <w:tab/>
            </w:r>
            <w:r>
              <w:rPr>
                <w:noProof/>
                <w:webHidden/>
              </w:rPr>
              <w:fldChar w:fldCharType="begin"/>
            </w:r>
            <w:r>
              <w:rPr>
                <w:noProof/>
                <w:webHidden/>
              </w:rPr>
              <w:instrText xml:space="preserve"> PAGEREF _Toc214647661 \h </w:instrText>
            </w:r>
            <w:r>
              <w:rPr>
                <w:noProof/>
                <w:webHidden/>
              </w:rPr>
            </w:r>
            <w:r>
              <w:rPr>
                <w:noProof/>
                <w:webHidden/>
              </w:rPr>
              <w:fldChar w:fldCharType="separate"/>
            </w:r>
            <w:r>
              <w:rPr>
                <w:noProof/>
                <w:webHidden/>
              </w:rPr>
              <w:t>7</w:t>
            </w:r>
            <w:r>
              <w:rPr>
                <w:noProof/>
                <w:webHidden/>
              </w:rPr>
              <w:fldChar w:fldCharType="end"/>
            </w:r>
          </w:hyperlink>
        </w:p>
        <w:p w14:paraId="6B77A2E0" w14:textId="52C1015D" w:rsidR="005929E7" w:rsidRDefault="005929E7">
          <w:pPr>
            <w:pStyle w:val="TOC2"/>
            <w:tabs>
              <w:tab w:val="right" w:leader="dot" w:pos="9016"/>
            </w:tabs>
            <w:rPr>
              <w:rFonts w:eastAsiaTheme="minorEastAsia"/>
              <w:noProof/>
              <w:sz w:val="24"/>
              <w:szCs w:val="24"/>
              <w:lang w:val="ro-RO" w:eastAsia="ro-RO"/>
            </w:rPr>
          </w:pPr>
          <w:hyperlink w:anchor="_Toc214647662" w:history="1">
            <w:r w:rsidRPr="00FC5911">
              <w:rPr>
                <w:rStyle w:val="Hyperlink"/>
                <w:rFonts w:ascii="Times New Roman" w:hAnsi="Times New Roman" w:cs="Times New Roman"/>
                <w:noProof/>
                <w:lang w:val="ro-RO"/>
              </w:rPr>
              <w:t>The Role of Budgeting in Tesla’s Operations</w:t>
            </w:r>
            <w:r>
              <w:rPr>
                <w:noProof/>
                <w:webHidden/>
              </w:rPr>
              <w:tab/>
            </w:r>
            <w:r>
              <w:rPr>
                <w:noProof/>
                <w:webHidden/>
              </w:rPr>
              <w:fldChar w:fldCharType="begin"/>
            </w:r>
            <w:r>
              <w:rPr>
                <w:noProof/>
                <w:webHidden/>
              </w:rPr>
              <w:instrText xml:space="preserve"> PAGEREF _Toc214647662 \h </w:instrText>
            </w:r>
            <w:r>
              <w:rPr>
                <w:noProof/>
                <w:webHidden/>
              </w:rPr>
            </w:r>
            <w:r>
              <w:rPr>
                <w:noProof/>
                <w:webHidden/>
              </w:rPr>
              <w:fldChar w:fldCharType="separate"/>
            </w:r>
            <w:r>
              <w:rPr>
                <w:noProof/>
                <w:webHidden/>
              </w:rPr>
              <w:t>7</w:t>
            </w:r>
            <w:r>
              <w:rPr>
                <w:noProof/>
                <w:webHidden/>
              </w:rPr>
              <w:fldChar w:fldCharType="end"/>
            </w:r>
          </w:hyperlink>
        </w:p>
        <w:p w14:paraId="67B049B5" w14:textId="2794706A" w:rsidR="005929E7" w:rsidRDefault="005929E7">
          <w:pPr>
            <w:pStyle w:val="TOC3"/>
            <w:tabs>
              <w:tab w:val="right" w:leader="dot" w:pos="9016"/>
            </w:tabs>
            <w:rPr>
              <w:rFonts w:eastAsiaTheme="minorEastAsia"/>
              <w:noProof/>
              <w:sz w:val="24"/>
              <w:szCs w:val="24"/>
              <w:lang w:val="ro-RO" w:eastAsia="ro-RO"/>
            </w:rPr>
          </w:pPr>
          <w:hyperlink w:anchor="_Toc214647663" w:history="1">
            <w:r w:rsidRPr="00FC5911">
              <w:rPr>
                <w:rStyle w:val="Hyperlink"/>
                <w:rFonts w:ascii="Times New Roman" w:hAnsi="Times New Roman" w:cs="Times New Roman"/>
                <w:noProof/>
                <w:lang w:val="ro-RO"/>
              </w:rPr>
              <w:t>Operating Expenses Year-on-Year Change Analysis</w:t>
            </w:r>
            <w:r>
              <w:rPr>
                <w:noProof/>
                <w:webHidden/>
              </w:rPr>
              <w:tab/>
            </w:r>
            <w:r>
              <w:rPr>
                <w:noProof/>
                <w:webHidden/>
              </w:rPr>
              <w:fldChar w:fldCharType="begin"/>
            </w:r>
            <w:r>
              <w:rPr>
                <w:noProof/>
                <w:webHidden/>
              </w:rPr>
              <w:instrText xml:space="preserve"> PAGEREF _Toc214647663 \h </w:instrText>
            </w:r>
            <w:r>
              <w:rPr>
                <w:noProof/>
                <w:webHidden/>
              </w:rPr>
            </w:r>
            <w:r>
              <w:rPr>
                <w:noProof/>
                <w:webHidden/>
              </w:rPr>
              <w:fldChar w:fldCharType="separate"/>
            </w:r>
            <w:r>
              <w:rPr>
                <w:noProof/>
                <w:webHidden/>
              </w:rPr>
              <w:t>8</w:t>
            </w:r>
            <w:r>
              <w:rPr>
                <w:noProof/>
                <w:webHidden/>
              </w:rPr>
              <w:fldChar w:fldCharType="end"/>
            </w:r>
          </w:hyperlink>
        </w:p>
        <w:p w14:paraId="710898F7" w14:textId="70753D9C" w:rsidR="005929E7" w:rsidRDefault="005929E7">
          <w:pPr>
            <w:pStyle w:val="TOC3"/>
            <w:tabs>
              <w:tab w:val="right" w:leader="dot" w:pos="9016"/>
            </w:tabs>
            <w:rPr>
              <w:rFonts w:eastAsiaTheme="minorEastAsia"/>
              <w:noProof/>
              <w:sz w:val="24"/>
              <w:szCs w:val="24"/>
              <w:lang w:val="ro-RO" w:eastAsia="ro-RO"/>
            </w:rPr>
          </w:pPr>
          <w:hyperlink w:anchor="_Toc214647664" w:history="1">
            <w:r w:rsidRPr="00FC5911">
              <w:rPr>
                <w:rStyle w:val="Hyperlink"/>
                <w:rFonts w:ascii="Times New Roman" w:hAnsi="Times New Roman" w:cs="Times New Roman"/>
                <w:noProof/>
                <w:lang w:val="ro-RO"/>
              </w:rPr>
              <w:t>Internal vs. External Drivers of Expense Changes</w:t>
            </w:r>
            <w:r>
              <w:rPr>
                <w:noProof/>
                <w:webHidden/>
              </w:rPr>
              <w:tab/>
            </w:r>
            <w:r>
              <w:rPr>
                <w:noProof/>
                <w:webHidden/>
              </w:rPr>
              <w:fldChar w:fldCharType="begin"/>
            </w:r>
            <w:r>
              <w:rPr>
                <w:noProof/>
                <w:webHidden/>
              </w:rPr>
              <w:instrText xml:space="preserve"> PAGEREF _Toc214647664 \h </w:instrText>
            </w:r>
            <w:r>
              <w:rPr>
                <w:noProof/>
                <w:webHidden/>
              </w:rPr>
            </w:r>
            <w:r>
              <w:rPr>
                <w:noProof/>
                <w:webHidden/>
              </w:rPr>
              <w:fldChar w:fldCharType="separate"/>
            </w:r>
            <w:r>
              <w:rPr>
                <w:noProof/>
                <w:webHidden/>
              </w:rPr>
              <w:t>9</w:t>
            </w:r>
            <w:r>
              <w:rPr>
                <w:noProof/>
                <w:webHidden/>
              </w:rPr>
              <w:fldChar w:fldCharType="end"/>
            </w:r>
          </w:hyperlink>
        </w:p>
        <w:p w14:paraId="71E1315D" w14:textId="3676D944" w:rsidR="005929E7" w:rsidRDefault="005929E7">
          <w:pPr>
            <w:pStyle w:val="TOC3"/>
            <w:tabs>
              <w:tab w:val="right" w:leader="dot" w:pos="9016"/>
            </w:tabs>
            <w:rPr>
              <w:rFonts w:eastAsiaTheme="minorEastAsia"/>
              <w:noProof/>
              <w:sz w:val="24"/>
              <w:szCs w:val="24"/>
              <w:lang w:val="ro-RO" w:eastAsia="ro-RO"/>
            </w:rPr>
          </w:pPr>
          <w:hyperlink w:anchor="_Toc214647665" w:history="1">
            <w:r w:rsidRPr="00FC5911">
              <w:rPr>
                <w:rStyle w:val="Hyperlink"/>
                <w:rFonts w:ascii="Times New Roman" w:hAnsi="Times New Roman" w:cs="Times New Roman"/>
                <w:noProof/>
                <w:lang w:val="ro-RO"/>
              </w:rPr>
              <w:t>Capital Expenditure and Cash Flow Planning</w:t>
            </w:r>
            <w:r>
              <w:rPr>
                <w:noProof/>
                <w:webHidden/>
              </w:rPr>
              <w:tab/>
            </w:r>
            <w:r>
              <w:rPr>
                <w:noProof/>
                <w:webHidden/>
              </w:rPr>
              <w:fldChar w:fldCharType="begin"/>
            </w:r>
            <w:r>
              <w:rPr>
                <w:noProof/>
                <w:webHidden/>
              </w:rPr>
              <w:instrText xml:space="preserve"> PAGEREF _Toc214647665 \h </w:instrText>
            </w:r>
            <w:r>
              <w:rPr>
                <w:noProof/>
                <w:webHidden/>
              </w:rPr>
            </w:r>
            <w:r>
              <w:rPr>
                <w:noProof/>
                <w:webHidden/>
              </w:rPr>
              <w:fldChar w:fldCharType="separate"/>
            </w:r>
            <w:r>
              <w:rPr>
                <w:noProof/>
                <w:webHidden/>
              </w:rPr>
              <w:t>9</w:t>
            </w:r>
            <w:r>
              <w:rPr>
                <w:noProof/>
                <w:webHidden/>
              </w:rPr>
              <w:fldChar w:fldCharType="end"/>
            </w:r>
          </w:hyperlink>
        </w:p>
        <w:p w14:paraId="672FC3E1" w14:textId="467349D1" w:rsidR="005929E7" w:rsidRDefault="005929E7">
          <w:pPr>
            <w:pStyle w:val="TOC1"/>
            <w:tabs>
              <w:tab w:val="right" w:leader="dot" w:pos="9016"/>
            </w:tabs>
            <w:rPr>
              <w:rFonts w:eastAsiaTheme="minorEastAsia"/>
              <w:noProof/>
              <w:sz w:val="24"/>
              <w:szCs w:val="24"/>
              <w:lang w:val="ro-RO" w:eastAsia="ro-RO"/>
            </w:rPr>
          </w:pPr>
          <w:hyperlink w:anchor="_Toc214647666" w:history="1">
            <w:r w:rsidRPr="00FC5911">
              <w:rPr>
                <w:rStyle w:val="Hyperlink"/>
                <w:rFonts w:ascii="Times New Roman" w:hAnsi="Times New Roman" w:cs="Times New Roman"/>
                <w:b/>
                <w:bCs/>
                <w:noProof/>
                <w:lang w:val="ro-RO"/>
              </w:rPr>
              <w:t>PERFORMANCE MEASUREMENT &amp; DECISION-MAKING</w:t>
            </w:r>
            <w:r>
              <w:rPr>
                <w:noProof/>
                <w:webHidden/>
              </w:rPr>
              <w:tab/>
            </w:r>
            <w:r>
              <w:rPr>
                <w:noProof/>
                <w:webHidden/>
              </w:rPr>
              <w:fldChar w:fldCharType="begin"/>
            </w:r>
            <w:r>
              <w:rPr>
                <w:noProof/>
                <w:webHidden/>
              </w:rPr>
              <w:instrText xml:space="preserve"> PAGEREF _Toc214647666 \h </w:instrText>
            </w:r>
            <w:r>
              <w:rPr>
                <w:noProof/>
                <w:webHidden/>
              </w:rPr>
            </w:r>
            <w:r>
              <w:rPr>
                <w:noProof/>
                <w:webHidden/>
              </w:rPr>
              <w:fldChar w:fldCharType="separate"/>
            </w:r>
            <w:r>
              <w:rPr>
                <w:noProof/>
                <w:webHidden/>
              </w:rPr>
              <w:t>10</w:t>
            </w:r>
            <w:r>
              <w:rPr>
                <w:noProof/>
                <w:webHidden/>
              </w:rPr>
              <w:fldChar w:fldCharType="end"/>
            </w:r>
          </w:hyperlink>
        </w:p>
        <w:p w14:paraId="2E7A7BC3" w14:textId="6A46A04D" w:rsidR="005929E7" w:rsidRDefault="005929E7">
          <w:pPr>
            <w:pStyle w:val="TOC2"/>
            <w:tabs>
              <w:tab w:val="right" w:leader="dot" w:pos="9016"/>
            </w:tabs>
            <w:rPr>
              <w:rFonts w:eastAsiaTheme="minorEastAsia"/>
              <w:noProof/>
              <w:sz w:val="24"/>
              <w:szCs w:val="24"/>
              <w:lang w:val="ro-RO" w:eastAsia="ro-RO"/>
            </w:rPr>
          </w:pPr>
          <w:hyperlink w:anchor="_Toc214647667" w:history="1">
            <w:r w:rsidRPr="00FC5911">
              <w:rPr>
                <w:rStyle w:val="Hyperlink"/>
                <w:rFonts w:ascii="Times New Roman" w:hAnsi="Times New Roman" w:cs="Times New Roman"/>
                <w:noProof/>
                <w:lang w:val="ro-RO"/>
              </w:rPr>
              <w:t>Key Performance Indicators (KPIs)</w:t>
            </w:r>
            <w:r>
              <w:rPr>
                <w:noProof/>
                <w:webHidden/>
              </w:rPr>
              <w:tab/>
            </w:r>
            <w:r>
              <w:rPr>
                <w:noProof/>
                <w:webHidden/>
              </w:rPr>
              <w:fldChar w:fldCharType="begin"/>
            </w:r>
            <w:r>
              <w:rPr>
                <w:noProof/>
                <w:webHidden/>
              </w:rPr>
              <w:instrText xml:space="preserve"> PAGEREF _Toc214647667 \h </w:instrText>
            </w:r>
            <w:r>
              <w:rPr>
                <w:noProof/>
                <w:webHidden/>
              </w:rPr>
            </w:r>
            <w:r>
              <w:rPr>
                <w:noProof/>
                <w:webHidden/>
              </w:rPr>
              <w:fldChar w:fldCharType="separate"/>
            </w:r>
            <w:r>
              <w:rPr>
                <w:noProof/>
                <w:webHidden/>
              </w:rPr>
              <w:t>10</w:t>
            </w:r>
            <w:r>
              <w:rPr>
                <w:noProof/>
                <w:webHidden/>
              </w:rPr>
              <w:fldChar w:fldCharType="end"/>
            </w:r>
          </w:hyperlink>
        </w:p>
        <w:p w14:paraId="2BEAA655" w14:textId="07D4AE29" w:rsidR="005929E7" w:rsidRDefault="005929E7">
          <w:pPr>
            <w:pStyle w:val="TOC3"/>
            <w:tabs>
              <w:tab w:val="right" w:leader="dot" w:pos="9016"/>
            </w:tabs>
            <w:rPr>
              <w:rFonts w:eastAsiaTheme="minorEastAsia"/>
              <w:noProof/>
              <w:sz w:val="24"/>
              <w:szCs w:val="24"/>
              <w:lang w:val="ro-RO" w:eastAsia="ro-RO"/>
            </w:rPr>
          </w:pPr>
          <w:hyperlink w:anchor="_Toc214647668" w:history="1">
            <w:r w:rsidRPr="00FC5911">
              <w:rPr>
                <w:rStyle w:val="Hyperlink"/>
                <w:rFonts w:ascii="Times New Roman" w:hAnsi="Times New Roman" w:cs="Times New Roman"/>
                <w:noProof/>
                <w:lang w:val="ro-RO"/>
              </w:rPr>
              <w:t>Strategic Decisions Informed by Management Accounting</w:t>
            </w:r>
            <w:r>
              <w:rPr>
                <w:noProof/>
                <w:webHidden/>
              </w:rPr>
              <w:tab/>
            </w:r>
            <w:r>
              <w:rPr>
                <w:noProof/>
                <w:webHidden/>
              </w:rPr>
              <w:fldChar w:fldCharType="begin"/>
            </w:r>
            <w:r>
              <w:rPr>
                <w:noProof/>
                <w:webHidden/>
              </w:rPr>
              <w:instrText xml:space="preserve"> PAGEREF _Toc214647668 \h </w:instrText>
            </w:r>
            <w:r>
              <w:rPr>
                <w:noProof/>
                <w:webHidden/>
              </w:rPr>
            </w:r>
            <w:r>
              <w:rPr>
                <w:noProof/>
                <w:webHidden/>
              </w:rPr>
              <w:fldChar w:fldCharType="separate"/>
            </w:r>
            <w:r>
              <w:rPr>
                <w:noProof/>
                <w:webHidden/>
              </w:rPr>
              <w:t>11</w:t>
            </w:r>
            <w:r>
              <w:rPr>
                <w:noProof/>
                <w:webHidden/>
              </w:rPr>
              <w:fldChar w:fldCharType="end"/>
            </w:r>
          </w:hyperlink>
        </w:p>
        <w:p w14:paraId="63FBD116" w14:textId="391D0832" w:rsidR="005929E7" w:rsidRDefault="005929E7">
          <w:pPr>
            <w:pStyle w:val="TOC1"/>
            <w:tabs>
              <w:tab w:val="right" w:leader="dot" w:pos="9016"/>
            </w:tabs>
            <w:rPr>
              <w:rFonts w:eastAsiaTheme="minorEastAsia"/>
              <w:noProof/>
              <w:sz w:val="24"/>
              <w:szCs w:val="24"/>
              <w:lang w:val="ro-RO" w:eastAsia="ro-RO"/>
            </w:rPr>
          </w:pPr>
          <w:hyperlink w:anchor="_Toc214647669" w:history="1">
            <w:r w:rsidRPr="00FC5911">
              <w:rPr>
                <w:rStyle w:val="Hyperlink"/>
                <w:rFonts w:ascii="Times New Roman" w:hAnsi="Times New Roman" w:cs="Times New Roman"/>
                <w:b/>
                <w:bCs/>
                <w:noProof/>
                <w:lang w:val="ro-RO"/>
              </w:rPr>
              <w:t>Sustainability &amp; Ethical Considerations</w:t>
            </w:r>
            <w:r>
              <w:rPr>
                <w:noProof/>
                <w:webHidden/>
              </w:rPr>
              <w:tab/>
            </w:r>
            <w:r>
              <w:rPr>
                <w:noProof/>
                <w:webHidden/>
              </w:rPr>
              <w:fldChar w:fldCharType="begin"/>
            </w:r>
            <w:r>
              <w:rPr>
                <w:noProof/>
                <w:webHidden/>
              </w:rPr>
              <w:instrText xml:space="preserve"> PAGEREF _Toc214647669 \h </w:instrText>
            </w:r>
            <w:r>
              <w:rPr>
                <w:noProof/>
                <w:webHidden/>
              </w:rPr>
            </w:r>
            <w:r>
              <w:rPr>
                <w:noProof/>
                <w:webHidden/>
              </w:rPr>
              <w:fldChar w:fldCharType="separate"/>
            </w:r>
            <w:r>
              <w:rPr>
                <w:noProof/>
                <w:webHidden/>
              </w:rPr>
              <w:t>13</w:t>
            </w:r>
            <w:r>
              <w:rPr>
                <w:noProof/>
                <w:webHidden/>
              </w:rPr>
              <w:fldChar w:fldCharType="end"/>
            </w:r>
          </w:hyperlink>
        </w:p>
        <w:p w14:paraId="4E911A66" w14:textId="3149052C" w:rsidR="005929E7" w:rsidRDefault="005929E7">
          <w:pPr>
            <w:pStyle w:val="TOC2"/>
            <w:tabs>
              <w:tab w:val="right" w:leader="dot" w:pos="9016"/>
            </w:tabs>
            <w:rPr>
              <w:rFonts w:eastAsiaTheme="minorEastAsia"/>
              <w:noProof/>
              <w:sz w:val="24"/>
              <w:szCs w:val="24"/>
              <w:lang w:val="ro-RO" w:eastAsia="ro-RO"/>
            </w:rPr>
          </w:pPr>
          <w:hyperlink w:anchor="_Toc214647670" w:history="1">
            <w:r w:rsidRPr="00FC5911">
              <w:rPr>
                <w:rStyle w:val="Hyperlink"/>
                <w:rFonts w:ascii="Times New Roman" w:hAnsi="Times New Roman" w:cs="Times New Roman"/>
                <w:noProof/>
                <w:lang w:val="ro-RO"/>
              </w:rPr>
              <w:t>Integration of Sustainability into Financial Decision-Making</w:t>
            </w:r>
            <w:r>
              <w:rPr>
                <w:noProof/>
                <w:webHidden/>
              </w:rPr>
              <w:tab/>
            </w:r>
            <w:r>
              <w:rPr>
                <w:noProof/>
                <w:webHidden/>
              </w:rPr>
              <w:fldChar w:fldCharType="begin"/>
            </w:r>
            <w:r>
              <w:rPr>
                <w:noProof/>
                <w:webHidden/>
              </w:rPr>
              <w:instrText xml:space="preserve"> PAGEREF _Toc214647670 \h </w:instrText>
            </w:r>
            <w:r>
              <w:rPr>
                <w:noProof/>
                <w:webHidden/>
              </w:rPr>
            </w:r>
            <w:r>
              <w:rPr>
                <w:noProof/>
                <w:webHidden/>
              </w:rPr>
              <w:fldChar w:fldCharType="separate"/>
            </w:r>
            <w:r>
              <w:rPr>
                <w:noProof/>
                <w:webHidden/>
              </w:rPr>
              <w:t>13</w:t>
            </w:r>
            <w:r>
              <w:rPr>
                <w:noProof/>
                <w:webHidden/>
              </w:rPr>
              <w:fldChar w:fldCharType="end"/>
            </w:r>
          </w:hyperlink>
        </w:p>
        <w:p w14:paraId="2FAE99FD" w14:textId="2708ECDB" w:rsidR="005929E7" w:rsidRDefault="005929E7">
          <w:pPr>
            <w:pStyle w:val="TOC1"/>
            <w:tabs>
              <w:tab w:val="right" w:leader="dot" w:pos="9016"/>
            </w:tabs>
            <w:rPr>
              <w:rFonts w:eastAsiaTheme="minorEastAsia"/>
              <w:noProof/>
              <w:sz w:val="24"/>
              <w:szCs w:val="24"/>
              <w:lang w:val="ro-RO" w:eastAsia="ro-RO"/>
            </w:rPr>
          </w:pPr>
          <w:hyperlink w:anchor="_Toc214647671" w:history="1">
            <w:r w:rsidRPr="00FC5911">
              <w:rPr>
                <w:rStyle w:val="Hyperlink"/>
                <w:rFonts w:ascii="Times New Roman" w:hAnsi="Times New Roman" w:cs="Times New Roman"/>
                <w:b/>
                <w:bCs/>
                <w:noProof/>
                <w:lang w:val="ro-RO"/>
              </w:rPr>
              <w:t>CONCLUSION AND RECOMMENDATIONS</w:t>
            </w:r>
            <w:r>
              <w:rPr>
                <w:noProof/>
                <w:webHidden/>
              </w:rPr>
              <w:tab/>
            </w:r>
            <w:r>
              <w:rPr>
                <w:noProof/>
                <w:webHidden/>
              </w:rPr>
              <w:fldChar w:fldCharType="begin"/>
            </w:r>
            <w:r>
              <w:rPr>
                <w:noProof/>
                <w:webHidden/>
              </w:rPr>
              <w:instrText xml:space="preserve"> PAGEREF _Toc214647671 \h </w:instrText>
            </w:r>
            <w:r>
              <w:rPr>
                <w:noProof/>
                <w:webHidden/>
              </w:rPr>
            </w:r>
            <w:r>
              <w:rPr>
                <w:noProof/>
                <w:webHidden/>
              </w:rPr>
              <w:fldChar w:fldCharType="separate"/>
            </w:r>
            <w:r>
              <w:rPr>
                <w:noProof/>
                <w:webHidden/>
              </w:rPr>
              <w:t>15</w:t>
            </w:r>
            <w:r>
              <w:rPr>
                <w:noProof/>
                <w:webHidden/>
              </w:rPr>
              <w:fldChar w:fldCharType="end"/>
            </w:r>
          </w:hyperlink>
        </w:p>
        <w:p w14:paraId="58565E11" w14:textId="106CBB96" w:rsidR="005929E7" w:rsidRDefault="005929E7">
          <w:pPr>
            <w:pStyle w:val="TOC2"/>
            <w:tabs>
              <w:tab w:val="right" w:leader="dot" w:pos="9016"/>
            </w:tabs>
            <w:rPr>
              <w:rFonts w:eastAsiaTheme="minorEastAsia"/>
              <w:noProof/>
              <w:sz w:val="24"/>
              <w:szCs w:val="24"/>
              <w:lang w:val="ro-RO" w:eastAsia="ro-RO"/>
            </w:rPr>
          </w:pPr>
          <w:hyperlink w:anchor="_Toc214647672" w:history="1">
            <w:r w:rsidRPr="00FC5911">
              <w:rPr>
                <w:rStyle w:val="Hyperlink"/>
                <w:rFonts w:ascii="Times New Roman" w:hAnsi="Times New Roman" w:cs="Times New Roman"/>
                <w:noProof/>
                <w:lang w:val="ro-RO"/>
              </w:rPr>
              <w:t>Summary of Key Findings</w:t>
            </w:r>
            <w:r>
              <w:rPr>
                <w:noProof/>
                <w:webHidden/>
              </w:rPr>
              <w:tab/>
            </w:r>
            <w:r>
              <w:rPr>
                <w:noProof/>
                <w:webHidden/>
              </w:rPr>
              <w:fldChar w:fldCharType="begin"/>
            </w:r>
            <w:r>
              <w:rPr>
                <w:noProof/>
                <w:webHidden/>
              </w:rPr>
              <w:instrText xml:space="preserve"> PAGEREF _Toc214647672 \h </w:instrText>
            </w:r>
            <w:r>
              <w:rPr>
                <w:noProof/>
                <w:webHidden/>
              </w:rPr>
            </w:r>
            <w:r>
              <w:rPr>
                <w:noProof/>
                <w:webHidden/>
              </w:rPr>
              <w:fldChar w:fldCharType="separate"/>
            </w:r>
            <w:r>
              <w:rPr>
                <w:noProof/>
                <w:webHidden/>
              </w:rPr>
              <w:t>15</w:t>
            </w:r>
            <w:r>
              <w:rPr>
                <w:noProof/>
                <w:webHidden/>
              </w:rPr>
              <w:fldChar w:fldCharType="end"/>
            </w:r>
          </w:hyperlink>
        </w:p>
        <w:p w14:paraId="0463A63E" w14:textId="60E6FE53" w:rsidR="005929E7" w:rsidRDefault="005929E7">
          <w:pPr>
            <w:pStyle w:val="TOC2"/>
            <w:tabs>
              <w:tab w:val="right" w:leader="dot" w:pos="9016"/>
            </w:tabs>
            <w:rPr>
              <w:rFonts w:eastAsiaTheme="minorEastAsia"/>
              <w:noProof/>
              <w:sz w:val="24"/>
              <w:szCs w:val="24"/>
              <w:lang w:val="ro-RO" w:eastAsia="ro-RO"/>
            </w:rPr>
          </w:pPr>
          <w:hyperlink w:anchor="_Toc214647673" w:history="1">
            <w:r w:rsidRPr="00FC5911">
              <w:rPr>
                <w:rStyle w:val="Hyperlink"/>
                <w:rFonts w:ascii="Times New Roman" w:hAnsi="Times New Roman" w:cs="Times New Roman"/>
                <w:noProof/>
                <w:lang w:val="ro-RO"/>
              </w:rPr>
              <w:t>Recommendations Based on Management Accounting Principles</w:t>
            </w:r>
            <w:r>
              <w:rPr>
                <w:noProof/>
                <w:webHidden/>
              </w:rPr>
              <w:tab/>
            </w:r>
            <w:r>
              <w:rPr>
                <w:noProof/>
                <w:webHidden/>
              </w:rPr>
              <w:fldChar w:fldCharType="begin"/>
            </w:r>
            <w:r>
              <w:rPr>
                <w:noProof/>
                <w:webHidden/>
              </w:rPr>
              <w:instrText xml:space="preserve"> PAGEREF _Toc214647673 \h </w:instrText>
            </w:r>
            <w:r>
              <w:rPr>
                <w:noProof/>
                <w:webHidden/>
              </w:rPr>
            </w:r>
            <w:r>
              <w:rPr>
                <w:noProof/>
                <w:webHidden/>
              </w:rPr>
              <w:fldChar w:fldCharType="separate"/>
            </w:r>
            <w:r>
              <w:rPr>
                <w:noProof/>
                <w:webHidden/>
              </w:rPr>
              <w:t>15</w:t>
            </w:r>
            <w:r>
              <w:rPr>
                <w:noProof/>
                <w:webHidden/>
              </w:rPr>
              <w:fldChar w:fldCharType="end"/>
            </w:r>
          </w:hyperlink>
        </w:p>
        <w:p w14:paraId="7DED59DC" w14:textId="55F36B3F" w:rsidR="005929E7" w:rsidRDefault="005929E7">
          <w:pPr>
            <w:pStyle w:val="TOC1"/>
            <w:tabs>
              <w:tab w:val="right" w:leader="dot" w:pos="9016"/>
            </w:tabs>
            <w:rPr>
              <w:rFonts w:eastAsiaTheme="minorEastAsia"/>
              <w:noProof/>
              <w:sz w:val="24"/>
              <w:szCs w:val="24"/>
              <w:lang w:val="ro-RO" w:eastAsia="ro-RO"/>
            </w:rPr>
          </w:pPr>
          <w:hyperlink w:anchor="_Toc214647674" w:history="1">
            <w:r w:rsidRPr="00FC5911">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_Toc214647674 \h </w:instrText>
            </w:r>
            <w:r>
              <w:rPr>
                <w:noProof/>
                <w:webHidden/>
              </w:rPr>
            </w:r>
            <w:r>
              <w:rPr>
                <w:noProof/>
                <w:webHidden/>
              </w:rPr>
              <w:fldChar w:fldCharType="separate"/>
            </w:r>
            <w:r>
              <w:rPr>
                <w:noProof/>
                <w:webHidden/>
              </w:rPr>
              <w:t>17</w:t>
            </w:r>
            <w:r>
              <w:rPr>
                <w:noProof/>
                <w:webHidden/>
              </w:rPr>
              <w:fldChar w:fldCharType="end"/>
            </w:r>
          </w:hyperlink>
        </w:p>
        <w:p w14:paraId="091EC2B3" w14:textId="159D35C0" w:rsidR="00D2085B" w:rsidRDefault="00D2085B">
          <w:r>
            <w:rPr>
              <w:b/>
              <w:bCs/>
            </w:rPr>
            <w:fldChar w:fldCharType="end"/>
          </w:r>
        </w:p>
      </w:sdtContent>
    </w:sdt>
    <w:p w14:paraId="13777B3E" w14:textId="77777777" w:rsidR="00FF6366" w:rsidRDefault="00FF6366" w:rsidP="00FF6366">
      <w:pPr>
        <w:spacing w:line="360" w:lineRule="auto"/>
        <w:jc w:val="both"/>
        <w:rPr>
          <w:rFonts w:ascii="Times New Roman" w:hAnsi="Times New Roman" w:cs="Times New Roman"/>
          <w:sz w:val="24"/>
          <w:szCs w:val="24"/>
          <w:lang w:val="ro-RO"/>
        </w:rPr>
      </w:pPr>
    </w:p>
    <w:p w14:paraId="7814F969" w14:textId="77777777" w:rsidR="00FF6366" w:rsidRDefault="00FF6366" w:rsidP="00FF6366">
      <w:pPr>
        <w:spacing w:line="360" w:lineRule="auto"/>
        <w:jc w:val="both"/>
        <w:rPr>
          <w:rFonts w:ascii="Times New Roman" w:hAnsi="Times New Roman" w:cs="Times New Roman"/>
          <w:sz w:val="24"/>
          <w:szCs w:val="24"/>
          <w:lang w:val="ro-RO"/>
        </w:rPr>
      </w:pPr>
    </w:p>
    <w:p w14:paraId="349C774B" w14:textId="77777777" w:rsidR="00FF6366" w:rsidRDefault="00FF6366" w:rsidP="00FF6366">
      <w:pPr>
        <w:spacing w:line="360" w:lineRule="auto"/>
        <w:jc w:val="both"/>
        <w:rPr>
          <w:rFonts w:ascii="Times New Roman" w:hAnsi="Times New Roman" w:cs="Times New Roman"/>
          <w:sz w:val="24"/>
          <w:szCs w:val="24"/>
          <w:lang w:val="ro-RO"/>
        </w:rPr>
      </w:pPr>
    </w:p>
    <w:p w14:paraId="20F7B2CA" w14:textId="77777777" w:rsidR="00FF6366" w:rsidRDefault="00FF6366" w:rsidP="00FF6366">
      <w:pPr>
        <w:spacing w:line="360" w:lineRule="auto"/>
        <w:jc w:val="both"/>
        <w:rPr>
          <w:rFonts w:ascii="Times New Roman" w:hAnsi="Times New Roman" w:cs="Times New Roman"/>
          <w:sz w:val="24"/>
          <w:szCs w:val="24"/>
          <w:lang w:val="ro-RO"/>
        </w:rPr>
      </w:pPr>
    </w:p>
    <w:p w14:paraId="6ACC1497" w14:textId="77777777" w:rsidR="00FF6366" w:rsidRDefault="00FF6366" w:rsidP="00FF6366">
      <w:pPr>
        <w:spacing w:line="360" w:lineRule="auto"/>
        <w:jc w:val="both"/>
        <w:rPr>
          <w:rFonts w:ascii="Times New Roman" w:hAnsi="Times New Roman" w:cs="Times New Roman"/>
          <w:sz w:val="24"/>
          <w:szCs w:val="24"/>
          <w:lang w:val="ro-RO"/>
        </w:rPr>
      </w:pPr>
    </w:p>
    <w:p w14:paraId="104FACA5" w14:textId="77777777" w:rsidR="00FF6366" w:rsidRDefault="00FF6366" w:rsidP="00FF6366">
      <w:pPr>
        <w:spacing w:line="360" w:lineRule="auto"/>
        <w:jc w:val="both"/>
        <w:rPr>
          <w:rFonts w:ascii="Times New Roman" w:hAnsi="Times New Roman" w:cs="Times New Roman"/>
          <w:sz w:val="24"/>
          <w:szCs w:val="24"/>
          <w:lang w:val="ro-RO"/>
        </w:rPr>
      </w:pPr>
    </w:p>
    <w:p w14:paraId="7AEED9B8" w14:textId="77777777" w:rsidR="00FF6366" w:rsidRPr="00FF6366" w:rsidRDefault="00FF6366" w:rsidP="00FF6366">
      <w:pPr>
        <w:spacing w:line="360" w:lineRule="auto"/>
        <w:jc w:val="both"/>
        <w:rPr>
          <w:rFonts w:ascii="Times New Roman" w:hAnsi="Times New Roman" w:cs="Times New Roman"/>
          <w:sz w:val="24"/>
          <w:szCs w:val="24"/>
          <w:lang w:val="ro-RO"/>
        </w:rPr>
      </w:pPr>
    </w:p>
    <w:p w14:paraId="0F20F780" w14:textId="73B25727" w:rsidR="00FF6366" w:rsidRDefault="009B3F8B" w:rsidP="009B3F8B">
      <w:pPr>
        <w:pStyle w:val="Heading1"/>
        <w:jc w:val="center"/>
        <w:rPr>
          <w:rFonts w:ascii="Times New Roman" w:hAnsi="Times New Roman" w:cs="Times New Roman"/>
          <w:b/>
          <w:bCs/>
          <w:sz w:val="36"/>
          <w:szCs w:val="36"/>
          <w:lang w:val="ro-RO"/>
        </w:rPr>
      </w:pPr>
      <w:bookmarkStart w:id="0" w:name="_Toc214647651"/>
      <w:r w:rsidRPr="009B3F8B">
        <w:rPr>
          <w:rFonts w:ascii="Times New Roman" w:hAnsi="Times New Roman" w:cs="Times New Roman"/>
          <w:b/>
          <w:bCs/>
          <w:sz w:val="36"/>
          <w:szCs w:val="36"/>
          <w:lang w:val="ro-RO"/>
        </w:rPr>
        <w:lastRenderedPageBreak/>
        <w:t>INTRODUCTION</w:t>
      </w:r>
      <w:bookmarkEnd w:id="0"/>
    </w:p>
    <w:p w14:paraId="4973E75F" w14:textId="77777777" w:rsidR="009B3F8B" w:rsidRPr="009B3F8B" w:rsidRDefault="009B3F8B" w:rsidP="009B3F8B">
      <w:pPr>
        <w:rPr>
          <w:lang w:val="ro-RO"/>
        </w:rPr>
      </w:pPr>
    </w:p>
    <w:p w14:paraId="7EC39BB3"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 Inc. stands as a global leader in the electric vehicle (EV) and sustainable energy industry, renowned for its relentless innovation, rapid growth, and disruptive business strategies. Founded in 2003 and headquartered in Austin, Texas, Tesla’s mission is “to accelerate the world’s transition to sustainable energy.” The company operates across two primary segments: automotive (including the design, manufacture, and sale of electric vehicles and related services) and energy generation and storage (encompassing solar products and battery storage solutions). As of December 31, 2024, Tesla employed approximately 125,665 people worldwide and reported annual revenues of $97.69 billion, with a global vehicle delivery count of 1,789,000 units.</w:t>
      </w:r>
    </w:p>
    <w:p w14:paraId="313916B1"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product portfolio includes the Model S, Model 3, Model X, Model Y, Cybertruck, and the Tesla Semi, as well as energy products such as Powerwall, Megapack, and Solar Roof. The company’s vertically integrated approach, direct-to-consumer sales model, and focus on advanced technologies like artificial intelligence (AI) and full self-driving (FSD) capabilities have set it apart from traditional automakers and energy companies.</w:t>
      </w:r>
    </w:p>
    <w:p w14:paraId="76285718"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 xml:space="preserve">In this dynamic and highly competitive environment, </w:t>
      </w:r>
      <w:r w:rsidRPr="00FF6366">
        <w:rPr>
          <w:rFonts w:ascii="Times New Roman" w:hAnsi="Times New Roman" w:cs="Times New Roman"/>
          <w:b/>
          <w:bCs/>
          <w:sz w:val="24"/>
          <w:szCs w:val="24"/>
          <w:lang w:val="ro-RO"/>
        </w:rPr>
        <w:t>management accounting</w:t>
      </w:r>
      <w:r w:rsidRPr="00FF6366">
        <w:rPr>
          <w:rFonts w:ascii="Times New Roman" w:hAnsi="Times New Roman" w:cs="Times New Roman"/>
          <w:sz w:val="24"/>
          <w:szCs w:val="24"/>
          <w:lang w:val="ro-RO"/>
        </w:rPr>
        <w:t xml:space="preserve"> plays a critical role in supporting Tesla’s financial decision-making. Management accounting provides the tools and techniques necessary for cost analysis, budgeting, performance measurement, and strategic planning. These tools enable Tesla’s leadership to make informed decisions regarding pricing, investment, resource allocation, and risk management, all while aligning with the company’s sustainability and ethical objectives. The following report provides an in-depth evaluation of how management accounting tools and techniques are employed at Tesla to drive financial decision-making, with a focus on cost structures, budgeting, performance measurement, sustainability, and ethical considerations.</w:t>
      </w:r>
    </w:p>
    <w:p w14:paraId="04A228E9" w14:textId="6A58CB1E" w:rsidR="00FF6366" w:rsidRDefault="00FF6366" w:rsidP="00FF6366">
      <w:pPr>
        <w:spacing w:line="360" w:lineRule="auto"/>
        <w:jc w:val="both"/>
        <w:rPr>
          <w:rFonts w:ascii="Times New Roman" w:hAnsi="Times New Roman" w:cs="Times New Roman"/>
          <w:sz w:val="24"/>
          <w:szCs w:val="24"/>
          <w:lang w:val="ro-RO"/>
        </w:rPr>
      </w:pPr>
    </w:p>
    <w:p w14:paraId="08CE604C" w14:textId="77777777" w:rsidR="009B3F8B" w:rsidRDefault="009B3F8B" w:rsidP="00FF6366">
      <w:pPr>
        <w:spacing w:line="360" w:lineRule="auto"/>
        <w:jc w:val="both"/>
        <w:rPr>
          <w:rFonts w:ascii="Times New Roman" w:hAnsi="Times New Roman" w:cs="Times New Roman"/>
          <w:sz w:val="24"/>
          <w:szCs w:val="24"/>
          <w:lang w:val="ro-RO"/>
        </w:rPr>
      </w:pPr>
    </w:p>
    <w:p w14:paraId="6E5A4AB2" w14:textId="77777777" w:rsidR="009B3F8B" w:rsidRDefault="009B3F8B" w:rsidP="00FF6366">
      <w:pPr>
        <w:spacing w:line="360" w:lineRule="auto"/>
        <w:jc w:val="both"/>
        <w:rPr>
          <w:rFonts w:ascii="Times New Roman" w:hAnsi="Times New Roman" w:cs="Times New Roman"/>
          <w:sz w:val="24"/>
          <w:szCs w:val="24"/>
          <w:lang w:val="ro-RO"/>
        </w:rPr>
      </w:pPr>
    </w:p>
    <w:p w14:paraId="5C24D4BE" w14:textId="77777777" w:rsidR="009B3F8B" w:rsidRDefault="009B3F8B" w:rsidP="00FF6366">
      <w:pPr>
        <w:spacing w:line="360" w:lineRule="auto"/>
        <w:jc w:val="both"/>
        <w:rPr>
          <w:rFonts w:ascii="Times New Roman" w:hAnsi="Times New Roman" w:cs="Times New Roman"/>
          <w:sz w:val="24"/>
          <w:szCs w:val="24"/>
          <w:lang w:val="ro-RO"/>
        </w:rPr>
      </w:pPr>
    </w:p>
    <w:p w14:paraId="54BC2090" w14:textId="77777777" w:rsidR="009B3F8B" w:rsidRPr="00FF6366" w:rsidRDefault="009B3F8B" w:rsidP="00FF6366">
      <w:pPr>
        <w:spacing w:line="360" w:lineRule="auto"/>
        <w:jc w:val="both"/>
        <w:rPr>
          <w:rFonts w:ascii="Times New Roman" w:hAnsi="Times New Roman" w:cs="Times New Roman"/>
          <w:sz w:val="24"/>
          <w:szCs w:val="24"/>
          <w:lang w:val="ro-RO"/>
        </w:rPr>
      </w:pPr>
    </w:p>
    <w:p w14:paraId="5C08296A" w14:textId="3B61C8DC" w:rsidR="00FF6366" w:rsidRDefault="009B3F8B" w:rsidP="009B3F8B">
      <w:pPr>
        <w:pStyle w:val="Heading1"/>
        <w:jc w:val="center"/>
        <w:rPr>
          <w:rFonts w:ascii="Times New Roman" w:hAnsi="Times New Roman" w:cs="Times New Roman"/>
          <w:b/>
          <w:bCs/>
          <w:sz w:val="36"/>
          <w:szCs w:val="36"/>
          <w:lang w:val="ro-RO"/>
        </w:rPr>
      </w:pPr>
      <w:bookmarkStart w:id="1" w:name="_Toc214647652"/>
      <w:r w:rsidRPr="009B3F8B">
        <w:rPr>
          <w:rFonts w:ascii="Times New Roman" w:hAnsi="Times New Roman" w:cs="Times New Roman"/>
          <w:b/>
          <w:bCs/>
          <w:sz w:val="36"/>
          <w:szCs w:val="36"/>
          <w:lang w:val="ro-RO"/>
        </w:rPr>
        <w:lastRenderedPageBreak/>
        <w:t xml:space="preserve">COST ANALYSIS </w:t>
      </w:r>
      <w:r>
        <w:rPr>
          <w:rFonts w:ascii="Times New Roman" w:hAnsi="Times New Roman" w:cs="Times New Roman"/>
          <w:b/>
          <w:bCs/>
          <w:sz w:val="36"/>
          <w:szCs w:val="36"/>
          <w:lang w:val="ro-RO"/>
        </w:rPr>
        <w:t>&amp;</w:t>
      </w:r>
      <w:r w:rsidRPr="009B3F8B">
        <w:rPr>
          <w:rFonts w:ascii="Times New Roman" w:hAnsi="Times New Roman" w:cs="Times New Roman"/>
          <w:b/>
          <w:bCs/>
          <w:sz w:val="36"/>
          <w:szCs w:val="36"/>
          <w:lang w:val="ro-RO"/>
        </w:rPr>
        <w:t xml:space="preserve"> BUSINESS MODEL</w:t>
      </w:r>
      <w:bookmarkEnd w:id="1"/>
    </w:p>
    <w:p w14:paraId="4FFE029D" w14:textId="77777777" w:rsidR="009B3F8B" w:rsidRPr="009B3F8B" w:rsidRDefault="009B3F8B" w:rsidP="009B3F8B">
      <w:pPr>
        <w:rPr>
          <w:lang w:val="ro-RO"/>
        </w:rPr>
      </w:pPr>
    </w:p>
    <w:p w14:paraId="4029BF3E" w14:textId="77777777" w:rsidR="00FF6366" w:rsidRPr="009B3F8B" w:rsidRDefault="00FF6366" w:rsidP="009B3F8B">
      <w:pPr>
        <w:pStyle w:val="Heading2"/>
        <w:rPr>
          <w:rFonts w:ascii="Times New Roman" w:hAnsi="Times New Roman" w:cs="Times New Roman"/>
          <w:lang w:val="ro-RO"/>
        </w:rPr>
      </w:pPr>
      <w:bookmarkStart w:id="2" w:name="_Toc214647653"/>
      <w:r w:rsidRPr="009B3F8B">
        <w:rPr>
          <w:rFonts w:ascii="Times New Roman" w:hAnsi="Times New Roman" w:cs="Times New Roman"/>
          <w:lang w:val="ro-RO"/>
        </w:rPr>
        <w:t>Tesla’s Revenue Model</w:t>
      </w:r>
      <w:bookmarkEnd w:id="2"/>
    </w:p>
    <w:p w14:paraId="1C9A9168"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revenue model is multifaceted, reflecting its dual focus on automotive and energy solutions. The company generates revenue through several streams:</w:t>
      </w:r>
    </w:p>
    <w:p w14:paraId="70C8FB20" w14:textId="77777777" w:rsidR="00FF6366" w:rsidRPr="00FF6366" w:rsidRDefault="00FF6366" w:rsidP="00FF6366">
      <w:pPr>
        <w:numPr>
          <w:ilvl w:val="0"/>
          <w:numId w:val="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Automotive Sales:</w:t>
      </w:r>
      <w:r w:rsidRPr="00FF6366">
        <w:rPr>
          <w:rFonts w:ascii="Times New Roman" w:hAnsi="Times New Roman" w:cs="Times New Roman"/>
          <w:sz w:val="24"/>
          <w:szCs w:val="24"/>
          <w:lang w:val="ro-RO"/>
        </w:rPr>
        <w:t xml:space="preserve"> This includes cash and financed sales of new vehicles, as well as revenue from software features such as FSD, over-the-air updates, and connectivity services.</w:t>
      </w:r>
    </w:p>
    <w:p w14:paraId="6956EB3D" w14:textId="77777777" w:rsidR="00FF6366" w:rsidRPr="00FF6366" w:rsidRDefault="00FF6366" w:rsidP="00FF6366">
      <w:pPr>
        <w:numPr>
          <w:ilvl w:val="0"/>
          <w:numId w:val="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Automotive Leasing:</w:t>
      </w:r>
      <w:r w:rsidRPr="00FF6366">
        <w:rPr>
          <w:rFonts w:ascii="Times New Roman" w:hAnsi="Times New Roman" w:cs="Times New Roman"/>
          <w:sz w:val="24"/>
          <w:szCs w:val="24"/>
          <w:lang w:val="ro-RO"/>
        </w:rPr>
        <w:t xml:space="preserve"> Revenue from vehicles leased directly to customers, recognized over the lease term.</w:t>
      </w:r>
    </w:p>
    <w:p w14:paraId="468B83A9" w14:textId="77777777" w:rsidR="00FF6366" w:rsidRPr="00FF6366" w:rsidRDefault="00FF6366" w:rsidP="00FF6366">
      <w:pPr>
        <w:numPr>
          <w:ilvl w:val="0"/>
          <w:numId w:val="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Automotive Regulatory Credits:</w:t>
      </w:r>
      <w:r w:rsidRPr="00FF6366">
        <w:rPr>
          <w:rFonts w:ascii="Times New Roman" w:hAnsi="Times New Roman" w:cs="Times New Roman"/>
          <w:sz w:val="24"/>
          <w:szCs w:val="24"/>
          <w:lang w:val="ro-RO"/>
        </w:rPr>
        <w:t xml:space="preserve"> Tesla earns tradable credits under various zero-emission and clean fuel regulations, which it sells to other automakers.</w:t>
      </w:r>
    </w:p>
    <w:p w14:paraId="7146D7F0" w14:textId="77777777" w:rsidR="00FF6366" w:rsidRPr="00FF6366" w:rsidRDefault="00FF6366" w:rsidP="00FF6366">
      <w:pPr>
        <w:numPr>
          <w:ilvl w:val="0"/>
          <w:numId w:val="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Services and Other:</w:t>
      </w:r>
      <w:r w:rsidRPr="00FF6366">
        <w:rPr>
          <w:rFonts w:ascii="Times New Roman" w:hAnsi="Times New Roman" w:cs="Times New Roman"/>
          <w:sz w:val="24"/>
          <w:szCs w:val="24"/>
          <w:lang w:val="ro-RO"/>
        </w:rPr>
        <w:t xml:space="preserve"> This segment encompasses sales of used vehicles, non-warranty maintenance, collision repair, paid Supercharging, insurance, and merchandise.</w:t>
      </w:r>
    </w:p>
    <w:p w14:paraId="45D70175" w14:textId="77777777" w:rsidR="00FF6366" w:rsidRPr="00FF6366" w:rsidRDefault="00FF6366" w:rsidP="00FF6366">
      <w:pPr>
        <w:numPr>
          <w:ilvl w:val="0"/>
          <w:numId w:val="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Energy Generation and Storage:</w:t>
      </w:r>
      <w:r w:rsidRPr="00FF6366">
        <w:rPr>
          <w:rFonts w:ascii="Times New Roman" w:hAnsi="Times New Roman" w:cs="Times New Roman"/>
          <w:sz w:val="24"/>
          <w:szCs w:val="24"/>
          <w:lang w:val="ro-RO"/>
        </w:rPr>
        <w:t xml:space="preserve"> Revenue from the sale and leasing of solar panels, Solar Roof, and energy storage products (Powerwall, Megapack), as well as related services and incentives.</w:t>
      </w:r>
    </w:p>
    <w:p w14:paraId="645FB54D"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In 2024, Tesla reported total revenues of $97.69 billion, with automotive sales accounting for the majority, followed by significant growth in energy generation and storage revenues. The company’s direct-to-consumer sales model, supported by an international network of company-owned stores and online channels, allows for greater control over pricing, inventory, and customer experience.</w:t>
      </w:r>
    </w:p>
    <w:p w14:paraId="46BB35F8" w14:textId="77777777" w:rsidR="00FF6366" w:rsidRPr="009B3F8B" w:rsidRDefault="00FF6366" w:rsidP="009B3F8B">
      <w:pPr>
        <w:pStyle w:val="Heading2"/>
        <w:rPr>
          <w:rFonts w:ascii="Times New Roman" w:hAnsi="Times New Roman" w:cs="Times New Roman"/>
          <w:lang w:val="ro-RO"/>
        </w:rPr>
      </w:pPr>
      <w:bookmarkStart w:id="3" w:name="_Toc214647654"/>
      <w:r w:rsidRPr="009B3F8B">
        <w:rPr>
          <w:rFonts w:ascii="Times New Roman" w:hAnsi="Times New Roman" w:cs="Times New Roman"/>
          <w:lang w:val="ro-RO"/>
        </w:rPr>
        <w:t>Key Cost Structures: Fixed vs. Variable Costs</w:t>
      </w:r>
      <w:bookmarkEnd w:id="3"/>
    </w:p>
    <w:p w14:paraId="1712539F"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cost structure is complex, reflecting its global manufacturing footprint, vertical integration, and ongoing investments in innovation. The company’s costs can be broadly categorized as follows:</w:t>
      </w:r>
    </w:p>
    <w:p w14:paraId="351EBD26" w14:textId="77777777" w:rsidR="00FF6366" w:rsidRPr="009B3F8B" w:rsidRDefault="00FF6366" w:rsidP="009B3F8B">
      <w:pPr>
        <w:pStyle w:val="Heading3"/>
        <w:rPr>
          <w:rFonts w:ascii="Times New Roman" w:hAnsi="Times New Roman" w:cs="Times New Roman"/>
          <w:sz w:val="24"/>
          <w:szCs w:val="24"/>
          <w:lang w:val="ro-RO"/>
        </w:rPr>
      </w:pPr>
      <w:bookmarkStart w:id="4" w:name="_Toc214647655"/>
      <w:r w:rsidRPr="009B3F8B">
        <w:rPr>
          <w:rFonts w:ascii="Times New Roman" w:hAnsi="Times New Roman" w:cs="Times New Roman"/>
          <w:sz w:val="24"/>
          <w:szCs w:val="24"/>
          <w:lang w:val="ro-RO"/>
        </w:rPr>
        <w:t>Fixed Costs</w:t>
      </w:r>
      <w:bookmarkEnd w:id="4"/>
    </w:p>
    <w:p w14:paraId="774B3218"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Manufacturing Overhead:</w:t>
      </w:r>
      <w:r w:rsidRPr="00FF6366">
        <w:rPr>
          <w:rFonts w:ascii="Times New Roman" w:hAnsi="Times New Roman" w:cs="Times New Roman"/>
          <w:sz w:val="24"/>
          <w:szCs w:val="24"/>
          <w:lang w:val="ro-RO"/>
        </w:rPr>
        <w:t xml:space="preserve"> Depreciation of tooling and machinery, factory maintenance, and facility costs.</w:t>
      </w:r>
    </w:p>
    <w:p w14:paraId="1ACDB403"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lastRenderedPageBreak/>
        <w:t>Research and Development (R&amp;D):</w:t>
      </w:r>
      <w:r w:rsidRPr="00FF6366">
        <w:rPr>
          <w:rFonts w:ascii="Times New Roman" w:hAnsi="Times New Roman" w:cs="Times New Roman"/>
          <w:sz w:val="24"/>
          <w:szCs w:val="24"/>
          <w:lang w:val="ro-RO"/>
        </w:rPr>
        <w:t xml:space="preserve"> Personnel, prototyping, and technology development expenses.</w:t>
      </w:r>
    </w:p>
    <w:p w14:paraId="607FA324"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Selling, General, and Administrative (SG&amp;A):</w:t>
      </w:r>
      <w:r w:rsidRPr="00FF6366">
        <w:rPr>
          <w:rFonts w:ascii="Times New Roman" w:hAnsi="Times New Roman" w:cs="Times New Roman"/>
          <w:sz w:val="24"/>
          <w:szCs w:val="24"/>
          <w:lang w:val="ro-RO"/>
        </w:rPr>
        <w:t xml:space="preserve"> Costs related to stores, marketing, executive functions, legal, and IT.</w:t>
      </w:r>
    </w:p>
    <w:p w14:paraId="1BA283EE"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Depreciation and Amortization:</w:t>
      </w:r>
      <w:r w:rsidRPr="00FF6366">
        <w:rPr>
          <w:rFonts w:ascii="Times New Roman" w:hAnsi="Times New Roman" w:cs="Times New Roman"/>
          <w:sz w:val="24"/>
          <w:szCs w:val="24"/>
          <w:lang w:val="ro-RO"/>
        </w:rPr>
        <w:t xml:space="preserve"> Associated with property, plant, equipment, and intangible assets.</w:t>
      </w:r>
    </w:p>
    <w:p w14:paraId="44AC11DC"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Supercharger Network Infrastructure:</w:t>
      </w:r>
      <w:r w:rsidRPr="00FF6366">
        <w:rPr>
          <w:rFonts w:ascii="Times New Roman" w:hAnsi="Times New Roman" w:cs="Times New Roman"/>
          <w:sz w:val="24"/>
          <w:szCs w:val="24"/>
          <w:lang w:val="ro-RO"/>
        </w:rPr>
        <w:t xml:space="preserve"> Investments in building and maintaining charging stations.</w:t>
      </w:r>
    </w:p>
    <w:p w14:paraId="1835FAF1" w14:textId="77777777" w:rsidR="00FF6366" w:rsidRPr="00FF6366" w:rsidRDefault="00FF6366" w:rsidP="00FF6366">
      <w:pPr>
        <w:numPr>
          <w:ilvl w:val="0"/>
          <w:numId w:val="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AI and Software Development:</w:t>
      </w:r>
      <w:r w:rsidRPr="00FF6366">
        <w:rPr>
          <w:rFonts w:ascii="Times New Roman" w:hAnsi="Times New Roman" w:cs="Times New Roman"/>
          <w:sz w:val="24"/>
          <w:szCs w:val="24"/>
          <w:lang w:val="ro-RO"/>
        </w:rPr>
        <w:t xml:space="preserve"> Ongoing costs for FSD and AI training infrastructure.</w:t>
      </w:r>
    </w:p>
    <w:p w14:paraId="69E8B71B" w14:textId="77777777" w:rsidR="00FF6366" w:rsidRPr="009B3F8B" w:rsidRDefault="00FF6366" w:rsidP="009B3F8B">
      <w:pPr>
        <w:pStyle w:val="Heading3"/>
        <w:rPr>
          <w:rFonts w:ascii="Times New Roman" w:hAnsi="Times New Roman" w:cs="Times New Roman"/>
          <w:sz w:val="24"/>
          <w:szCs w:val="24"/>
          <w:lang w:val="ro-RO"/>
        </w:rPr>
      </w:pPr>
      <w:bookmarkStart w:id="5" w:name="_Toc214647656"/>
      <w:r w:rsidRPr="009B3F8B">
        <w:rPr>
          <w:rFonts w:ascii="Times New Roman" w:hAnsi="Times New Roman" w:cs="Times New Roman"/>
          <w:sz w:val="24"/>
          <w:szCs w:val="24"/>
          <w:lang w:val="ro-RO"/>
        </w:rPr>
        <w:t>Variable Costs</w:t>
      </w:r>
      <w:bookmarkEnd w:id="5"/>
    </w:p>
    <w:p w14:paraId="1FC5728F" w14:textId="77777777" w:rsidR="00FF6366" w:rsidRPr="00FF6366" w:rsidRDefault="00FF6366" w:rsidP="00FF6366">
      <w:pPr>
        <w:numPr>
          <w:ilvl w:val="0"/>
          <w:numId w:val="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Direct Materials:</w:t>
      </w:r>
      <w:r w:rsidRPr="00FF6366">
        <w:rPr>
          <w:rFonts w:ascii="Times New Roman" w:hAnsi="Times New Roman" w:cs="Times New Roman"/>
          <w:sz w:val="24"/>
          <w:szCs w:val="24"/>
          <w:lang w:val="ro-RO"/>
        </w:rPr>
        <w:t xml:space="preserve"> Raw materials such as lithium, cobalt, nickel, aluminum, and steel for vehicle and battery production.</w:t>
      </w:r>
    </w:p>
    <w:p w14:paraId="74C89311" w14:textId="77777777" w:rsidR="00FF6366" w:rsidRPr="00FF6366" w:rsidRDefault="00FF6366" w:rsidP="00FF6366">
      <w:pPr>
        <w:numPr>
          <w:ilvl w:val="0"/>
          <w:numId w:val="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Direct Labor:</w:t>
      </w:r>
      <w:r w:rsidRPr="00FF6366">
        <w:rPr>
          <w:rFonts w:ascii="Times New Roman" w:hAnsi="Times New Roman" w:cs="Times New Roman"/>
          <w:sz w:val="24"/>
          <w:szCs w:val="24"/>
          <w:lang w:val="ro-RO"/>
        </w:rPr>
        <w:t xml:space="preserve"> Wages for production workers, engineers, and technicians.</w:t>
      </w:r>
    </w:p>
    <w:p w14:paraId="4DBED914" w14:textId="77777777" w:rsidR="00FF6366" w:rsidRPr="00FF6366" w:rsidRDefault="00FF6366" w:rsidP="00FF6366">
      <w:pPr>
        <w:numPr>
          <w:ilvl w:val="0"/>
          <w:numId w:val="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Logistics and Shipping:</w:t>
      </w:r>
      <w:r w:rsidRPr="00FF6366">
        <w:rPr>
          <w:rFonts w:ascii="Times New Roman" w:hAnsi="Times New Roman" w:cs="Times New Roman"/>
          <w:sz w:val="24"/>
          <w:szCs w:val="24"/>
          <w:lang w:val="ro-RO"/>
        </w:rPr>
        <w:t xml:space="preserve"> Costs associated with transporting vehicles and components.</w:t>
      </w:r>
    </w:p>
    <w:p w14:paraId="2D9AAF4E" w14:textId="77777777" w:rsidR="00FF6366" w:rsidRPr="00FF6366" w:rsidRDefault="00FF6366" w:rsidP="00FF6366">
      <w:pPr>
        <w:numPr>
          <w:ilvl w:val="0"/>
          <w:numId w:val="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Warranty and Service Costs:</w:t>
      </w:r>
      <w:r w:rsidRPr="00FF6366">
        <w:rPr>
          <w:rFonts w:ascii="Times New Roman" w:hAnsi="Times New Roman" w:cs="Times New Roman"/>
          <w:sz w:val="24"/>
          <w:szCs w:val="24"/>
          <w:lang w:val="ro-RO"/>
        </w:rPr>
        <w:t xml:space="preserve"> Expenses related to vehicle repairs and maintenance.</w:t>
      </w:r>
    </w:p>
    <w:p w14:paraId="2244116A" w14:textId="77777777" w:rsidR="00FF6366" w:rsidRPr="00FF6366" w:rsidRDefault="00FF6366" w:rsidP="00FF6366">
      <w:pPr>
        <w:numPr>
          <w:ilvl w:val="0"/>
          <w:numId w:val="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Energy Storage and Solar Product Materials:</w:t>
      </w:r>
      <w:r w:rsidRPr="00FF6366">
        <w:rPr>
          <w:rFonts w:ascii="Times New Roman" w:hAnsi="Times New Roman" w:cs="Times New Roman"/>
          <w:sz w:val="24"/>
          <w:szCs w:val="24"/>
          <w:lang w:val="ro-RO"/>
        </w:rPr>
        <w:t xml:space="preserve"> Costs for batteries, solar cells, and related components.</w:t>
      </w:r>
    </w:p>
    <w:p w14:paraId="285CCD53" w14:textId="77777777" w:rsidR="00FF6366" w:rsidRPr="009B3F8B" w:rsidRDefault="00FF6366" w:rsidP="009B3F8B">
      <w:pPr>
        <w:pStyle w:val="Heading3"/>
        <w:rPr>
          <w:rFonts w:ascii="Times New Roman" w:hAnsi="Times New Roman" w:cs="Times New Roman"/>
          <w:sz w:val="24"/>
          <w:szCs w:val="24"/>
          <w:lang w:val="ro-RO"/>
        </w:rPr>
      </w:pPr>
      <w:bookmarkStart w:id="6" w:name="_Toc214647657"/>
      <w:r w:rsidRPr="009B3F8B">
        <w:rPr>
          <w:rFonts w:ascii="Times New Roman" w:hAnsi="Times New Roman" w:cs="Times New Roman"/>
          <w:sz w:val="24"/>
          <w:szCs w:val="24"/>
          <w:lang w:val="ro-RO"/>
        </w:rPr>
        <w:t>Cost Structure Table (2024)</w:t>
      </w:r>
      <w:bookmarkEnd w:id="6"/>
    </w:p>
    <w:tbl>
      <w:tblPr>
        <w:tblStyle w:val="TableGridLight"/>
        <w:tblW w:w="0" w:type="auto"/>
        <w:tblLook w:val="04A0" w:firstRow="1" w:lastRow="0" w:firstColumn="1" w:lastColumn="0" w:noHBand="0" w:noVBand="1"/>
      </w:tblPr>
      <w:tblGrid>
        <w:gridCol w:w="2637"/>
        <w:gridCol w:w="1694"/>
        <w:gridCol w:w="1490"/>
        <w:gridCol w:w="3195"/>
      </w:tblGrid>
      <w:tr w:rsidR="00FF6366" w:rsidRPr="00FF6366" w14:paraId="64D59963" w14:textId="77777777" w:rsidTr="009B3F8B">
        <w:tc>
          <w:tcPr>
            <w:tcW w:w="0" w:type="auto"/>
            <w:hideMark/>
          </w:tcPr>
          <w:p w14:paraId="0B3DBD60"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Cost Category</w:t>
            </w:r>
          </w:p>
        </w:tc>
        <w:tc>
          <w:tcPr>
            <w:tcW w:w="0" w:type="auto"/>
            <w:hideMark/>
          </w:tcPr>
          <w:p w14:paraId="5A96C5A5"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2024 Value (USD)</w:t>
            </w:r>
          </w:p>
        </w:tc>
        <w:tc>
          <w:tcPr>
            <w:tcW w:w="0" w:type="auto"/>
            <w:hideMark/>
          </w:tcPr>
          <w:p w14:paraId="65292680"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Nature</w:t>
            </w:r>
          </w:p>
        </w:tc>
        <w:tc>
          <w:tcPr>
            <w:tcW w:w="0" w:type="auto"/>
            <w:hideMark/>
          </w:tcPr>
          <w:p w14:paraId="76B6FB5A"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Key Drivers</w:t>
            </w:r>
          </w:p>
        </w:tc>
      </w:tr>
      <w:tr w:rsidR="00FF6366" w:rsidRPr="00FF6366" w14:paraId="5F9F46D3" w14:textId="77777777" w:rsidTr="009B3F8B">
        <w:tc>
          <w:tcPr>
            <w:tcW w:w="0" w:type="auto"/>
            <w:hideMark/>
          </w:tcPr>
          <w:p w14:paraId="716A682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Cost of Automotive Sales</w:t>
            </w:r>
          </w:p>
        </w:tc>
        <w:tc>
          <w:tcPr>
            <w:tcW w:w="0" w:type="auto"/>
            <w:hideMark/>
          </w:tcPr>
          <w:p w14:paraId="1A2B2778"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$79.11 billion</w:t>
            </w:r>
          </w:p>
        </w:tc>
        <w:tc>
          <w:tcPr>
            <w:tcW w:w="0" w:type="auto"/>
            <w:hideMark/>
          </w:tcPr>
          <w:p w14:paraId="0495E52A"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Variable</w:t>
            </w:r>
          </w:p>
        </w:tc>
        <w:tc>
          <w:tcPr>
            <w:tcW w:w="0" w:type="auto"/>
            <w:hideMark/>
          </w:tcPr>
          <w:p w14:paraId="05852313"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Materials, labor, logistics, warranty</w:t>
            </w:r>
          </w:p>
        </w:tc>
      </w:tr>
      <w:tr w:rsidR="00FF6366" w:rsidRPr="00FF6366" w14:paraId="36DFE144" w14:textId="77777777" w:rsidTr="009B3F8B">
        <w:tc>
          <w:tcPr>
            <w:tcW w:w="0" w:type="auto"/>
            <w:hideMark/>
          </w:tcPr>
          <w:p w14:paraId="7C6CEBF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R&amp;D Expense</w:t>
            </w:r>
          </w:p>
        </w:tc>
        <w:tc>
          <w:tcPr>
            <w:tcW w:w="0" w:type="auto"/>
            <w:hideMark/>
          </w:tcPr>
          <w:p w14:paraId="79A5180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$4.54 billion</w:t>
            </w:r>
          </w:p>
        </w:tc>
        <w:tc>
          <w:tcPr>
            <w:tcW w:w="0" w:type="auto"/>
            <w:hideMark/>
          </w:tcPr>
          <w:p w14:paraId="4D96BDE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Fixed</w:t>
            </w:r>
          </w:p>
        </w:tc>
        <w:tc>
          <w:tcPr>
            <w:tcW w:w="0" w:type="auto"/>
            <w:hideMark/>
          </w:tcPr>
          <w:p w14:paraId="2AFFEACF"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Personnel, prototyping, AI, FSD</w:t>
            </w:r>
          </w:p>
        </w:tc>
      </w:tr>
      <w:tr w:rsidR="00FF6366" w:rsidRPr="00FF6366" w14:paraId="6BE16BFB" w14:textId="77777777" w:rsidTr="009B3F8B">
        <w:tc>
          <w:tcPr>
            <w:tcW w:w="0" w:type="auto"/>
            <w:hideMark/>
          </w:tcPr>
          <w:p w14:paraId="45D1ADE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SG&amp;A Expense</w:t>
            </w:r>
          </w:p>
        </w:tc>
        <w:tc>
          <w:tcPr>
            <w:tcW w:w="0" w:type="auto"/>
            <w:hideMark/>
          </w:tcPr>
          <w:p w14:paraId="1809DD6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$5.15 billion</w:t>
            </w:r>
          </w:p>
        </w:tc>
        <w:tc>
          <w:tcPr>
            <w:tcW w:w="0" w:type="auto"/>
            <w:hideMark/>
          </w:tcPr>
          <w:p w14:paraId="4D7F6167"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Fixed</w:t>
            </w:r>
          </w:p>
        </w:tc>
        <w:tc>
          <w:tcPr>
            <w:tcW w:w="0" w:type="auto"/>
            <w:hideMark/>
          </w:tcPr>
          <w:p w14:paraId="2AC893F8"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Stores, marketing, admin, legal</w:t>
            </w:r>
          </w:p>
        </w:tc>
      </w:tr>
      <w:tr w:rsidR="00FF6366" w:rsidRPr="00FF6366" w14:paraId="1AA2E0B3" w14:textId="77777777" w:rsidTr="009B3F8B">
        <w:tc>
          <w:tcPr>
            <w:tcW w:w="0" w:type="auto"/>
            <w:hideMark/>
          </w:tcPr>
          <w:p w14:paraId="41F862B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Restructuring and Other</w:t>
            </w:r>
          </w:p>
        </w:tc>
        <w:tc>
          <w:tcPr>
            <w:tcW w:w="0" w:type="auto"/>
            <w:hideMark/>
          </w:tcPr>
          <w:p w14:paraId="70EEBFF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$684 million</w:t>
            </w:r>
          </w:p>
        </w:tc>
        <w:tc>
          <w:tcPr>
            <w:tcW w:w="0" w:type="auto"/>
            <w:hideMark/>
          </w:tcPr>
          <w:p w14:paraId="12486D1C"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Fixed/One-off</w:t>
            </w:r>
          </w:p>
        </w:tc>
        <w:tc>
          <w:tcPr>
            <w:tcW w:w="0" w:type="auto"/>
            <w:hideMark/>
          </w:tcPr>
          <w:p w14:paraId="7F8E8C22"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Workforce reductions, asset write-downs</w:t>
            </w:r>
          </w:p>
        </w:tc>
      </w:tr>
      <w:tr w:rsidR="00FF6366" w:rsidRPr="00FF6366" w14:paraId="7047E4C7" w14:textId="77777777" w:rsidTr="009B3F8B">
        <w:tc>
          <w:tcPr>
            <w:tcW w:w="0" w:type="auto"/>
            <w:hideMark/>
          </w:tcPr>
          <w:p w14:paraId="7592FFAD"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lastRenderedPageBreak/>
              <w:t>Cost of Energy Gen. &amp; Storage</w:t>
            </w:r>
          </w:p>
        </w:tc>
        <w:tc>
          <w:tcPr>
            <w:tcW w:w="0" w:type="auto"/>
            <w:hideMark/>
          </w:tcPr>
          <w:p w14:paraId="2367891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$1.13 billion</w:t>
            </w:r>
          </w:p>
        </w:tc>
        <w:tc>
          <w:tcPr>
            <w:tcW w:w="0" w:type="auto"/>
            <w:hideMark/>
          </w:tcPr>
          <w:p w14:paraId="5602C092"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Variable</w:t>
            </w:r>
          </w:p>
        </w:tc>
        <w:tc>
          <w:tcPr>
            <w:tcW w:w="0" w:type="auto"/>
            <w:hideMark/>
          </w:tcPr>
          <w:p w14:paraId="42A287F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Materials, labor, installation, warranty</w:t>
            </w:r>
          </w:p>
        </w:tc>
      </w:tr>
      <w:tr w:rsidR="00FF6366" w:rsidRPr="00FF6366" w14:paraId="779C333F" w14:textId="77777777" w:rsidTr="009B3F8B">
        <w:tc>
          <w:tcPr>
            <w:tcW w:w="0" w:type="auto"/>
            <w:hideMark/>
          </w:tcPr>
          <w:p w14:paraId="11208767"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Depreciation &amp; Amortization</w:t>
            </w:r>
          </w:p>
        </w:tc>
        <w:tc>
          <w:tcPr>
            <w:tcW w:w="0" w:type="auto"/>
            <w:hideMark/>
          </w:tcPr>
          <w:p w14:paraId="27F73D7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Included above</w:t>
            </w:r>
          </w:p>
        </w:tc>
        <w:tc>
          <w:tcPr>
            <w:tcW w:w="0" w:type="auto"/>
            <w:hideMark/>
          </w:tcPr>
          <w:p w14:paraId="52FE60F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Fixed</w:t>
            </w:r>
          </w:p>
        </w:tc>
        <w:tc>
          <w:tcPr>
            <w:tcW w:w="0" w:type="auto"/>
            <w:hideMark/>
          </w:tcPr>
          <w:p w14:paraId="03DAAFF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Factory, equipment, intangible assets</w:t>
            </w:r>
          </w:p>
        </w:tc>
      </w:tr>
    </w:tbl>
    <w:p w14:paraId="3E66E668" w14:textId="77777777" w:rsidR="00FF6366" w:rsidRPr="00FF6366" w:rsidRDefault="00FF6366" w:rsidP="009B3F8B">
      <w:pPr>
        <w:spacing w:line="360" w:lineRule="auto"/>
        <w:jc w:val="center"/>
        <w:rPr>
          <w:rFonts w:ascii="Times New Roman" w:hAnsi="Times New Roman" w:cs="Times New Roman"/>
          <w:sz w:val="24"/>
          <w:szCs w:val="24"/>
          <w:lang w:val="ro-RO"/>
        </w:rPr>
      </w:pPr>
      <w:r w:rsidRPr="00FF6366">
        <w:rPr>
          <w:rFonts w:ascii="Times New Roman" w:hAnsi="Times New Roman" w:cs="Times New Roman"/>
          <w:i/>
          <w:iCs/>
          <w:sz w:val="24"/>
          <w:szCs w:val="24"/>
          <w:lang w:val="ro-RO"/>
        </w:rPr>
        <w:t>Source: Tesla 2024 10-K, Q3 2025 Update, MacroTrends, StockDividendScreener</w:t>
      </w:r>
    </w:p>
    <w:p w14:paraId="0CA1FAA0"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cost of goods sold (COGS) per vehicle reached its lowest level ever in 2024, at approximately $35,100 per vehicle, reflecting ongoing efficiency improvements and economies of scale. However, the company’s automotive gross margin declined to 14.6% in 2024, down from 26.5% in 2021, due to aggressive price cuts, higher input costs, and increased competition.</w:t>
      </w:r>
    </w:p>
    <w:p w14:paraId="3D18939B" w14:textId="163B5319" w:rsidR="00FF6366" w:rsidRPr="009B3F8B" w:rsidRDefault="00FF6366" w:rsidP="009B3F8B">
      <w:pPr>
        <w:pStyle w:val="Heading3"/>
        <w:rPr>
          <w:rFonts w:ascii="Times New Roman" w:hAnsi="Times New Roman" w:cs="Times New Roman"/>
          <w:sz w:val="24"/>
          <w:szCs w:val="24"/>
          <w:lang w:val="ro-RO"/>
        </w:rPr>
      </w:pPr>
      <w:bookmarkStart w:id="7" w:name="_Toc214647658"/>
      <w:r w:rsidRPr="009B3F8B">
        <w:rPr>
          <w:rFonts w:ascii="Times New Roman" w:hAnsi="Times New Roman" w:cs="Times New Roman"/>
          <w:sz w:val="24"/>
          <w:szCs w:val="24"/>
          <w:lang w:val="ro-RO"/>
        </w:rPr>
        <w:t xml:space="preserve">Activity-Based Costing </w:t>
      </w:r>
      <w:r w:rsidR="009B3F8B" w:rsidRPr="009B3F8B">
        <w:rPr>
          <w:rFonts w:ascii="Times New Roman" w:hAnsi="Times New Roman" w:cs="Times New Roman"/>
          <w:sz w:val="24"/>
          <w:szCs w:val="24"/>
          <w:lang w:val="ro-RO"/>
        </w:rPr>
        <w:t>&amp;</w:t>
      </w:r>
      <w:r w:rsidRPr="009B3F8B">
        <w:rPr>
          <w:rFonts w:ascii="Times New Roman" w:hAnsi="Times New Roman" w:cs="Times New Roman"/>
          <w:sz w:val="24"/>
          <w:szCs w:val="24"/>
          <w:lang w:val="ro-RO"/>
        </w:rPr>
        <w:t xml:space="preserve"> Product Costing at Tesla</w:t>
      </w:r>
      <w:bookmarkEnd w:id="7"/>
    </w:p>
    <w:p w14:paraId="72E38616"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 xml:space="preserve">Tesla employs </w:t>
      </w:r>
      <w:r w:rsidRPr="00FF6366">
        <w:rPr>
          <w:rFonts w:ascii="Times New Roman" w:hAnsi="Times New Roman" w:cs="Times New Roman"/>
          <w:b/>
          <w:bCs/>
          <w:sz w:val="24"/>
          <w:szCs w:val="24"/>
          <w:lang w:val="ro-RO"/>
        </w:rPr>
        <w:t>activity-based costing (ABC)</w:t>
      </w:r>
      <w:r w:rsidRPr="00FF6366">
        <w:rPr>
          <w:rFonts w:ascii="Times New Roman" w:hAnsi="Times New Roman" w:cs="Times New Roman"/>
          <w:sz w:val="24"/>
          <w:szCs w:val="24"/>
          <w:lang w:val="ro-RO"/>
        </w:rPr>
        <w:t xml:space="preserve"> to enhance cost transparency and accuracy, particularly given its diverse product lines and complex manufacturing processes. ABC enables Tesla to allocate indirect costs (overhead) to specific products and services based on their actual consumption of resources and activities. For example, the company distinguishes between standard and custom vehicle production, assigning costs for setup, special part handling, customer invoicing, and material handling according to the activities required for each product line.</w:t>
      </w:r>
    </w:p>
    <w:p w14:paraId="1D9BDF99"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ABC has revealed that custom products, while generating higher per-unit profits under traditional costing, may actually be less profitable when overheads are accurately allocated. This insight supports more informed decisions regarding product mix, pricing, and resource allocation. The adoption of ABC also facilitates scenario analysis, allowing Tesla to model the impact of changes in production volume, product design, or supply chain structure on overall costs and profitability.</w:t>
      </w:r>
    </w:p>
    <w:p w14:paraId="7FDDAFBE" w14:textId="77777777" w:rsidR="00FF6366" w:rsidRPr="009B3F8B" w:rsidRDefault="00FF6366" w:rsidP="009B3F8B">
      <w:pPr>
        <w:pStyle w:val="Heading3"/>
        <w:rPr>
          <w:rFonts w:ascii="Times New Roman" w:hAnsi="Times New Roman" w:cs="Times New Roman"/>
          <w:sz w:val="24"/>
          <w:szCs w:val="24"/>
          <w:lang w:val="ro-RO"/>
        </w:rPr>
      </w:pPr>
      <w:bookmarkStart w:id="8" w:name="_Toc214647659"/>
      <w:r w:rsidRPr="009B3F8B">
        <w:rPr>
          <w:rFonts w:ascii="Times New Roman" w:hAnsi="Times New Roman" w:cs="Times New Roman"/>
          <w:sz w:val="24"/>
          <w:szCs w:val="24"/>
          <w:lang w:val="ro-RO"/>
        </w:rPr>
        <w:t>Comparative Benchmarking</w:t>
      </w:r>
      <w:bookmarkEnd w:id="8"/>
    </w:p>
    <w:p w14:paraId="76AC10F1" w14:textId="77777777" w:rsid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cost structure and margins are frequently benchmarked against key competitors such as BYD, Volkswagen, and General Motors. In 2024, BYD’s automotive gross margin was 14.7%, closely matching Tesla’s 14.6%, while BYD’s profit per vehicle was significantly lower ($2,900 vs. Tesla’s $6,100), highlighting Tesla’s continued operational efficiency and premium pricing power despite recent margin compression.</w:t>
      </w:r>
    </w:p>
    <w:p w14:paraId="73703FC6" w14:textId="77777777" w:rsidR="009B3F8B" w:rsidRPr="00FF6366" w:rsidRDefault="009B3F8B" w:rsidP="00FF6366">
      <w:pPr>
        <w:spacing w:line="360" w:lineRule="auto"/>
        <w:jc w:val="both"/>
        <w:rPr>
          <w:rFonts w:ascii="Times New Roman" w:hAnsi="Times New Roman" w:cs="Times New Roman"/>
          <w:sz w:val="24"/>
          <w:szCs w:val="24"/>
          <w:lang w:val="ro-RO"/>
        </w:rPr>
      </w:pPr>
    </w:p>
    <w:p w14:paraId="4212F6BF" w14:textId="77777777" w:rsidR="00FF6366" w:rsidRPr="009B3F8B" w:rsidRDefault="00FF6366" w:rsidP="009B3F8B">
      <w:pPr>
        <w:pStyle w:val="Heading3"/>
        <w:rPr>
          <w:rFonts w:ascii="Times New Roman" w:hAnsi="Times New Roman" w:cs="Times New Roman"/>
          <w:sz w:val="24"/>
          <w:szCs w:val="24"/>
          <w:lang w:val="ro-RO"/>
        </w:rPr>
      </w:pPr>
      <w:bookmarkStart w:id="9" w:name="_Toc214647660"/>
      <w:r w:rsidRPr="009B3F8B">
        <w:rPr>
          <w:rFonts w:ascii="Times New Roman" w:hAnsi="Times New Roman" w:cs="Times New Roman"/>
          <w:sz w:val="24"/>
          <w:szCs w:val="24"/>
          <w:lang w:val="ro-RO"/>
        </w:rPr>
        <w:lastRenderedPageBreak/>
        <w:t>Strategic Cost Management</w:t>
      </w:r>
      <w:bookmarkEnd w:id="9"/>
    </w:p>
    <w:p w14:paraId="093C392A" w14:textId="0CC2BC6B"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vertical integration—controlling battery production, software development, and even raw material sourcing—has been instrumental in reducing costs and mitigating supply chain risks. The company’s investments in Gigafactories, automation, and AI-driven manufacturing processes further support cost control and scalability. However, external factors such as tariffs, trade policies, and raw material price volatility continue to pose challenges, necessitating ongoing cost management and strategic flexibility.</w:t>
      </w:r>
    </w:p>
    <w:p w14:paraId="6669AABD" w14:textId="351959ED" w:rsidR="00FF6366" w:rsidRDefault="009B3F8B" w:rsidP="009B3F8B">
      <w:pPr>
        <w:pStyle w:val="Heading1"/>
        <w:jc w:val="center"/>
        <w:rPr>
          <w:rFonts w:ascii="Times New Roman" w:hAnsi="Times New Roman" w:cs="Times New Roman"/>
          <w:b/>
          <w:bCs/>
          <w:sz w:val="36"/>
          <w:szCs w:val="36"/>
          <w:lang w:val="ro-RO"/>
        </w:rPr>
      </w:pPr>
      <w:bookmarkStart w:id="10" w:name="_Toc214647661"/>
      <w:r w:rsidRPr="009B3F8B">
        <w:rPr>
          <w:rFonts w:ascii="Times New Roman" w:hAnsi="Times New Roman" w:cs="Times New Roman"/>
          <w:b/>
          <w:bCs/>
          <w:sz w:val="36"/>
          <w:szCs w:val="36"/>
          <w:lang w:val="ro-RO"/>
        </w:rPr>
        <w:t xml:space="preserve">BUDGETING </w:t>
      </w:r>
      <w:r>
        <w:rPr>
          <w:rFonts w:ascii="Times New Roman" w:hAnsi="Times New Roman" w:cs="Times New Roman"/>
          <w:b/>
          <w:bCs/>
          <w:sz w:val="36"/>
          <w:szCs w:val="36"/>
          <w:lang w:val="ro-RO"/>
        </w:rPr>
        <w:t>&amp;</w:t>
      </w:r>
      <w:r w:rsidRPr="009B3F8B">
        <w:rPr>
          <w:rFonts w:ascii="Times New Roman" w:hAnsi="Times New Roman" w:cs="Times New Roman"/>
          <w:b/>
          <w:bCs/>
          <w:sz w:val="36"/>
          <w:szCs w:val="36"/>
          <w:lang w:val="ro-RO"/>
        </w:rPr>
        <w:t xml:space="preserve"> FINANCIAL PLANNING</w:t>
      </w:r>
      <w:bookmarkEnd w:id="10"/>
    </w:p>
    <w:p w14:paraId="75B40F4F" w14:textId="77777777" w:rsidR="009B3F8B" w:rsidRPr="009B3F8B" w:rsidRDefault="009B3F8B" w:rsidP="009B3F8B">
      <w:pPr>
        <w:rPr>
          <w:lang w:val="ro-RO"/>
        </w:rPr>
      </w:pPr>
    </w:p>
    <w:p w14:paraId="7EC8147C" w14:textId="77777777" w:rsidR="00FF6366" w:rsidRPr="009B3F8B" w:rsidRDefault="00FF6366" w:rsidP="009B3F8B">
      <w:pPr>
        <w:pStyle w:val="Heading2"/>
        <w:rPr>
          <w:rFonts w:ascii="Times New Roman" w:hAnsi="Times New Roman" w:cs="Times New Roman"/>
          <w:lang w:val="ro-RO"/>
        </w:rPr>
      </w:pPr>
      <w:bookmarkStart w:id="11" w:name="_Toc214647662"/>
      <w:r w:rsidRPr="009B3F8B">
        <w:rPr>
          <w:rFonts w:ascii="Times New Roman" w:hAnsi="Times New Roman" w:cs="Times New Roman"/>
          <w:lang w:val="ro-RO"/>
        </w:rPr>
        <w:t>The Role of Budgeting in Tesla’s Operations</w:t>
      </w:r>
      <w:bookmarkEnd w:id="11"/>
    </w:p>
    <w:p w14:paraId="5CC6D49A"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Budgeting at Tesla is a dynamic, iterative process that aligns closely with the company’s innovation-driven culture and rapid growth objectives. Unlike traditional automakers that rely on rigid annual budgets, Tesla employs scenario-based forecasting and rolling capital expenditure (CapEx) strategies. This approach allows the company to adapt quickly to changing market conditions, technological advancements, and regulatory shifts.</w:t>
      </w:r>
    </w:p>
    <w:p w14:paraId="52D70604"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Key features of Tesla’s budgeting and financial planning include:</w:t>
      </w:r>
    </w:p>
    <w:p w14:paraId="1E0E9AC7" w14:textId="77777777" w:rsidR="00FF6366" w:rsidRPr="00FF6366" w:rsidRDefault="00FF6366" w:rsidP="00FF6366">
      <w:pPr>
        <w:numPr>
          <w:ilvl w:val="0"/>
          <w:numId w:val="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Scenario-Based Forecasting:</w:t>
      </w:r>
      <w:r w:rsidRPr="00FF6366">
        <w:rPr>
          <w:rFonts w:ascii="Times New Roman" w:hAnsi="Times New Roman" w:cs="Times New Roman"/>
          <w:sz w:val="24"/>
          <w:szCs w:val="24"/>
          <w:lang w:val="ro-RO"/>
        </w:rPr>
        <w:t xml:space="preserve"> Tesla models multiple outcomes based on variables such as raw material prices, production ramp rates, regulatory changes, and demand fluctuations. These models are updated quarterly using real-time data from Gigafactories and software performance metrics.</w:t>
      </w:r>
    </w:p>
    <w:p w14:paraId="3154772C" w14:textId="77777777" w:rsidR="00FF6366" w:rsidRPr="00FF6366" w:rsidRDefault="00FF6366" w:rsidP="00FF6366">
      <w:pPr>
        <w:numPr>
          <w:ilvl w:val="0"/>
          <w:numId w:val="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Rolling CapEx Strategy:</w:t>
      </w:r>
      <w:r w:rsidRPr="00FF6366">
        <w:rPr>
          <w:rFonts w:ascii="Times New Roman" w:hAnsi="Times New Roman" w:cs="Times New Roman"/>
          <w:sz w:val="24"/>
          <w:szCs w:val="24"/>
          <w:lang w:val="ro-RO"/>
        </w:rPr>
        <w:t xml:space="preserve"> Capital investments are deployed incrementally, preserving liquidity and enabling capacity expansion based on validated milestones rather than large, upfront commitments.</w:t>
      </w:r>
    </w:p>
    <w:p w14:paraId="106C9347" w14:textId="77777777" w:rsidR="00FF6366" w:rsidRPr="00FF6366" w:rsidRDefault="00FF6366" w:rsidP="00FF6366">
      <w:pPr>
        <w:numPr>
          <w:ilvl w:val="0"/>
          <w:numId w:val="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Cross-Functional Planning:</w:t>
      </w:r>
      <w:r w:rsidRPr="00FF6366">
        <w:rPr>
          <w:rFonts w:ascii="Times New Roman" w:hAnsi="Times New Roman" w:cs="Times New Roman"/>
          <w:sz w:val="24"/>
          <w:szCs w:val="24"/>
          <w:lang w:val="ro-RO"/>
        </w:rPr>
        <w:t xml:space="preserve"> Finance, engineering, operations, and energy teams collaborate on unified roadmaps, ensuring alignment between innovation, production, and financial objectives.</w:t>
      </w:r>
    </w:p>
    <w:p w14:paraId="305AB86D" w14:textId="77777777" w:rsidR="00FF6366" w:rsidRPr="00FF6366" w:rsidRDefault="00FF6366" w:rsidP="00FF6366">
      <w:pPr>
        <w:numPr>
          <w:ilvl w:val="0"/>
          <w:numId w:val="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Direct-to-Consumer Feedback:</w:t>
      </w:r>
      <w:r w:rsidRPr="00FF6366">
        <w:rPr>
          <w:rFonts w:ascii="Times New Roman" w:hAnsi="Times New Roman" w:cs="Times New Roman"/>
          <w:sz w:val="24"/>
          <w:szCs w:val="24"/>
          <w:lang w:val="ro-RO"/>
        </w:rPr>
        <w:t xml:space="preserve"> Tesla’s sales model provides instant feedback on demand trends, enabling rapid adjustments to production, regional allocations, and pricing strategies.</w:t>
      </w:r>
    </w:p>
    <w:p w14:paraId="2361F8D4"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lastRenderedPageBreak/>
        <w:t>Tesla’s management does not provide traditional forward guidance on earnings per share (EPS) or quarterly targets. Instead, the company focuses on long-term objectives such as compound annual growth rates (CAGR) in deliveries, gross margin targets, and capacity utilization rates.</w:t>
      </w:r>
    </w:p>
    <w:p w14:paraId="00939E95" w14:textId="77777777" w:rsidR="00FF6366" w:rsidRPr="009B3F8B" w:rsidRDefault="00FF6366" w:rsidP="009B3F8B">
      <w:pPr>
        <w:pStyle w:val="Heading3"/>
        <w:rPr>
          <w:rFonts w:ascii="Times New Roman" w:hAnsi="Times New Roman" w:cs="Times New Roman"/>
          <w:sz w:val="24"/>
          <w:szCs w:val="24"/>
          <w:lang w:val="ro-RO"/>
        </w:rPr>
      </w:pPr>
      <w:bookmarkStart w:id="12" w:name="_Toc214647663"/>
      <w:r w:rsidRPr="009B3F8B">
        <w:rPr>
          <w:rFonts w:ascii="Times New Roman" w:hAnsi="Times New Roman" w:cs="Times New Roman"/>
          <w:sz w:val="24"/>
          <w:szCs w:val="24"/>
          <w:lang w:val="ro-RO"/>
        </w:rPr>
        <w:t>Operating Expenses Year-on-Year Change Analysis</w:t>
      </w:r>
      <w:bookmarkEnd w:id="12"/>
    </w:p>
    <w:p w14:paraId="3A376B22"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Operating Expenses Overview (2022–2024)</w:t>
      </w:r>
    </w:p>
    <w:tbl>
      <w:tblPr>
        <w:tblStyle w:val="TableGridLight"/>
        <w:tblW w:w="0" w:type="auto"/>
        <w:tblLook w:val="04A0" w:firstRow="1" w:lastRow="0" w:firstColumn="1" w:lastColumn="0" w:noHBand="0" w:noVBand="1"/>
      </w:tblPr>
      <w:tblGrid>
        <w:gridCol w:w="696"/>
        <w:gridCol w:w="2128"/>
        <w:gridCol w:w="1250"/>
        <w:gridCol w:w="1375"/>
        <w:gridCol w:w="1442"/>
        <w:gridCol w:w="2125"/>
      </w:tblGrid>
      <w:tr w:rsidR="00FF6366" w:rsidRPr="00FF6366" w14:paraId="7A8889B6" w14:textId="77777777" w:rsidTr="009B3F8B">
        <w:tc>
          <w:tcPr>
            <w:tcW w:w="0" w:type="auto"/>
            <w:hideMark/>
          </w:tcPr>
          <w:p w14:paraId="7B15C93F"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Year</w:t>
            </w:r>
          </w:p>
        </w:tc>
        <w:tc>
          <w:tcPr>
            <w:tcW w:w="0" w:type="auto"/>
            <w:hideMark/>
          </w:tcPr>
          <w:p w14:paraId="0DD66FA6"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Operating Expenses (USD)</w:t>
            </w:r>
          </w:p>
        </w:tc>
        <w:tc>
          <w:tcPr>
            <w:tcW w:w="0" w:type="auto"/>
            <w:hideMark/>
          </w:tcPr>
          <w:p w14:paraId="7685ED39"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YoY Change</w:t>
            </w:r>
          </w:p>
        </w:tc>
        <w:tc>
          <w:tcPr>
            <w:tcW w:w="0" w:type="auto"/>
            <w:hideMark/>
          </w:tcPr>
          <w:p w14:paraId="0AEA8D36"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R&amp;D Expense</w:t>
            </w:r>
          </w:p>
        </w:tc>
        <w:tc>
          <w:tcPr>
            <w:tcW w:w="0" w:type="auto"/>
            <w:hideMark/>
          </w:tcPr>
          <w:p w14:paraId="6337FA80"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SG&amp;A Expense</w:t>
            </w:r>
          </w:p>
        </w:tc>
        <w:tc>
          <w:tcPr>
            <w:tcW w:w="0" w:type="auto"/>
            <w:hideMark/>
          </w:tcPr>
          <w:p w14:paraId="7591EEF1"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Restructuring &amp; Other</w:t>
            </w:r>
          </w:p>
        </w:tc>
      </w:tr>
      <w:tr w:rsidR="00FF6366" w:rsidRPr="00FF6366" w14:paraId="3DC9C47E" w14:textId="77777777" w:rsidTr="009B3F8B">
        <w:tc>
          <w:tcPr>
            <w:tcW w:w="0" w:type="auto"/>
            <w:hideMark/>
          </w:tcPr>
          <w:p w14:paraId="6317F63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2022</w:t>
            </w:r>
          </w:p>
        </w:tc>
        <w:tc>
          <w:tcPr>
            <w:tcW w:w="0" w:type="auto"/>
            <w:hideMark/>
          </w:tcPr>
          <w:p w14:paraId="294C7F02"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$7.20 billion</w:t>
            </w:r>
          </w:p>
        </w:tc>
        <w:tc>
          <w:tcPr>
            <w:tcW w:w="0" w:type="auto"/>
            <w:hideMark/>
          </w:tcPr>
          <w:p w14:paraId="76B134F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w:t>
            </w:r>
          </w:p>
        </w:tc>
        <w:tc>
          <w:tcPr>
            <w:tcW w:w="0" w:type="auto"/>
            <w:hideMark/>
          </w:tcPr>
          <w:p w14:paraId="074994E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$3.08B</w:t>
            </w:r>
          </w:p>
        </w:tc>
        <w:tc>
          <w:tcPr>
            <w:tcW w:w="0" w:type="auto"/>
            <w:hideMark/>
          </w:tcPr>
          <w:p w14:paraId="2CE29CD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$3.95B</w:t>
            </w:r>
          </w:p>
        </w:tc>
        <w:tc>
          <w:tcPr>
            <w:tcW w:w="0" w:type="auto"/>
            <w:hideMark/>
          </w:tcPr>
          <w:p w14:paraId="0CA8AB8C"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$176M</w:t>
            </w:r>
          </w:p>
        </w:tc>
      </w:tr>
      <w:tr w:rsidR="00FF6366" w:rsidRPr="00FF6366" w14:paraId="5ECA9D56" w14:textId="77777777" w:rsidTr="009B3F8B">
        <w:tc>
          <w:tcPr>
            <w:tcW w:w="0" w:type="auto"/>
            <w:hideMark/>
          </w:tcPr>
          <w:p w14:paraId="0083FD2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2023</w:t>
            </w:r>
          </w:p>
        </w:tc>
        <w:tc>
          <w:tcPr>
            <w:tcW w:w="0" w:type="auto"/>
            <w:hideMark/>
          </w:tcPr>
          <w:p w14:paraId="6294744C"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$8.77 billion</w:t>
            </w:r>
          </w:p>
        </w:tc>
        <w:tc>
          <w:tcPr>
            <w:tcW w:w="0" w:type="auto"/>
            <w:hideMark/>
          </w:tcPr>
          <w:p w14:paraId="743E765A"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+21.8%</w:t>
            </w:r>
          </w:p>
        </w:tc>
        <w:tc>
          <w:tcPr>
            <w:tcW w:w="0" w:type="auto"/>
            <w:hideMark/>
          </w:tcPr>
          <w:p w14:paraId="1B4F51D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$3.97B</w:t>
            </w:r>
          </w:p>
        </w:tc>
        <w:tc>
          <w:tcPr>
            <w:tcW w:w="0" w:type="auto"/>
            <w:hideMark/>
          </w:tcPr>
          <w:p w14:paraId="4D032B0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$4.80B</w:t>
            </w:r>
          </w:p>
        </w:tc>
        <w:tc>
          <w:tcPr>
            <w:tcW w:w="0" w:type="auto"/>
            <w:hideMark/>
          </w:tcPr>
          <w:p w14:paraId="0D966C6F"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$0</w:t>
            </w:r>
          </w:p>
        </w:tc>
      </w:tr>
      <w:tr w:rsidR="00FF6366" w:rsidRPr="00FF6366" w14:paraId="0D130CCA" w14:textId="77777777" w:rsidTr="009B3F8B">
        <w:tc>
          <w:tcPr>
            <w:tcW w:w="0" w:type="auto"/>
            <w:hideMark/>
          </w:tcPr>
          <w:p w14:paraId="1E02E33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w:t>
            </w:r>
          </w:p>
        </w:tc>
        <w:tc>
          <w:tcPr>
            <w:tcW w:w="0" w:type="auto"/>
            <w:hideMark/>
          </w:tcPr>
          <w:p w14:paraId="6FD412F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$10.37 billion</w:t>
            </w:r>
          </w:p>
        </w:tc>
        <w:tc>
          <w:tcPr>
            <w:tcW w:w="0" w:type="auto"/>
            <w:hideMark/>
          </w:tcPr>
          <w:p w14:paraId="35E97BD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+18.2%</w:t>
            </w:r>
          </w:p>
        </w:tc>
        <w:tc>
          <w:tcPr>
            <w:tcW w:w="0" w:type="auto"/>
            <w:hideMark/>
          </w:tcPr>
          <w:p w14:paraId="59406109"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$4.54B</w:t>
            </w:r>
          </w:p>
        </w:tc>
        <w:tc>
          <w:tcPr>
            <w:tcW w:w="0" w:type="auto"/>
            <w:hideMark/>
          </w:tcPr>
          <w:p w14:paraId="15D77B2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$5.15B</w:t>
            </w:r>
          </w:p>
        </w:tc>
        <w:tc>
          <w:tcPr>
            <w:tcW w:w="0" w:type="auto"/>
            <w:hideMark/>
          </w:tcPr>
          <w:p w14:paraId="069B40D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$684M</w:t>
            </w:r>
          </w:p>
        </w:tc>
      </w:tr>
    </w:tbl>
    <w:p w14:paraId="2EDE59F4" w14:textId="77777777" w:rsidR="00FF6366" w:rsidRPr="00FF6366" w:rsidRDefault="00FF6366" w:rsidP="009B3F8B">
      <w:pPr>
        <w:spacing w:line="360" w:lineRule="auto"/>
        <w:jc w:val="center"/>
        <w:rPr>
          <w:rFonts w:ascii="Times New Roman" w:hAnsi="Times New Roman" w:cs="Times New Roman"/>
          <w:sz w:val="24"/>
          <w:szCs w:val="24"/>
          <w:lang w:val="ro-RO"/>
        </w:rPr>
      </w:pPr>
      <w:r w:rsidRPr="00FF6366">
        <w:rPr>
          <w:rFonts w:ascii="Times New Roman" w:hAnsi="Times New Roman" w:cs="Times New Roman"/>
          <w:i/>
          <w:iCs/>
          <w:sz w:val="24"/>
          <w:szCs w:val="24"/>
          <w:lang w:val="ro-RO"/>
        </w:rPr>
        <w:t>Source: Tesla 2024 10-K, MacroTrends, StockDividendScreener</w:t>
      </w:r>
    </w:p>
    <w:p w14:paraId="232DC4CD"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total operating expenses increased by 18% in 2024, following a 22% increase in 2023. The primary drivers were:</w:t>
      </w:r>
    </w:p>
    <w:p w14:paraId="2DE3BA2D" w14:textId="77777777" w:rsidR="00FF6366" w:rsidRPr="00FF6366" w:rsidRDefault="00FF6366" w:rsidP="00FF6366">
      <w:pPr>
        <w:numPr>
          <w:ilvl w:val="0"/>
          <w:numId w:val="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R&amp;D Investments:</w:t>
      </w:r>
      <w:r w:rsidRPr="00FF6366">
        <w:rPr>
          <w:rFonts w:ascii="Times New Roman" w:hAnsi="Times New Roman" w:cs="Times New Roman"/>
          <w:sz w:val="24"/>
          <w:szCs w:val="24"/>
          <w:lang w:val="ro-RO"/>
        </w:rPr>
        <w:t xml:space="preserve"> R&amp;D expenses grew by 14% in 2024, reflecting ongoing investments in AI, FSD, battery technology, and new product development (e.g., Cybertruck, Robotaxi, next-generation platforms).</w:t>
      </w:r>
    </w:p>
    <w:p w14:paraId="146A11B0" w14:textId="77777777" w:rsidR="00FF6366" w:rsidRPr="00FF6366" w:rsidRDefault="00FF6366" w:rsidP="00FF6366">
      <w:pPr>
        <w:numPr>
          <w:ilvl w:val="0"/>
          <w:numId w:val="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SG&amp;A Growth:</w:t>
      </w:r>
      <w:r w:rsidRPr="00FF6366">
        <w:rPr>
          <w:rFonts w:ascii="Times New Roman" w:hAnsi="Times New Roman" w:cs="Times New Roman"/>
          <w:sz w:val="24"/>
          <w:szCs w:val="24"/>
          <w:lang w:val="ro-RO"/>
        </w:rPr>
        <w:t xml:space="preserve"> SG&amp;A expenses rose by 7%, driven by expansion of retail and service infrastructure, increased marketing, and higher labor costs.</w:t>
      </w:r>
    </w:p>
    <w:p w14:paraId="44354F66" w14:textId="77777777" w:rsidR="00FF6366" w:rsidRPr="00FF6366" w:rsidRDefault="00FF6366" w:rsidP="00FF6366">
      <w:pPr>
        <w:numPr>
          <w:ilvl w:val="0"/>
          <w:numId w:val="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Restructuring Costs:</w:t>
      </w:r>
      <w:r w:rsidRPr="00FF6366">
        <w:rPr>
          <w:rFonts w:ascii="Times New Roman" w:hAnsi="Times New Roman" w:cs="Times New Roman"/>
          <w:sz w:val="24"/>
          <w:szCs w:val="24"/>
          <w:lang w:val="ro-RO"/>
        </w:rPr>
        <w:t xml:space="preserve"> In 2024, Tesla incurred $684 million in restructuring and other expenses, related to workforce reductions, asset write-downs, and organizational realignments.</w:t>
      </w:r>
    </w:p>
    <w:p w14:paraId="4C33DA50" w14:textId="77777777" w:rsid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Despite the increase in absolute operating expenses, Tesla’s operating expense-to-revenue ratio declined to 11% in 2024, down from 40% in 2015, indicating improved operational efficiency and scalability.</w:t>
      </w:r>
    </w:p>
    <w:p w14:paraId="0212A9C0" w14:textId="77777777" w:rsidR="009B3F8B" w:rsidRDefault="009B3F8B" w:rsidP="00FF6366">
      <w:pPr>
        <w:spacing w:line="360" w:lineRule="auto"/>
        <w:jc w:val="both"/>
        <w:rPr>
          <w:rFonts w:ascii="Times New Roman" w:hAnsi="Times New Roman" w:cs="Times New Roman"/>
          <w:sz w:val="24"/>
          <w:szCs w:val="24"/>
          <w:lang w:val="ro-RO"/>
        </w:rPr>
      </w:pPr>
    </w:p>
    <w:p w14:paraId="202EEF9E" w14:textId="77777777" w:rsidR="009B3F8B" w:rsidRDefault="009B3F8B" w:rsidP="00FF6366">
      <w:pPr>
        <w:spacing w:line="360" w:lineRule="auto"/>
        <w:jc w:val="both"/>
        <w:rPr>
          <w:rFonts w:ascii="Times New Roman" w:hAnsi="Times New Roman" w:cs="Times New Roman"/>
          <w:sz w:val="24"/>
          <w:szCs w:val="24"/>
          <w:lang w:val="ro-RO"/>
        </w:rPr>
      </w:pPr>
    </w:p>
    <w:p w14:paraId="1D998FF4" w14:textId="77777777" w:rsidR="009B3F8B" w:rsidRDefault="009B3F8B" w:rsidP="00FF6366">
      <w:pPr>
        <w:spacing w:line="360" w:lineRule="auto"/>
        <w:jc w:val="both"/>
        <w:rPr>
          <w:rFonts w:ascii="Times New Roman" w:hAnsi="Times New Roman" w:cs="Times New Roman"/>
          <w:sz w:val="24"/>
          <w:szCs w:val="24"/>
          <w:lang w:val="ro-RO"/>
        </w:rPr>
      </w:pPr>
    </w:p>
    <w:p w14:paraId="1C32C90B" w14:textId="77777777" w:rsidR="009B3F8B" w:rsidRPr="00FF6366" w:rsidRDefault="009B3F8B" w:rsidP="00FF6366">
      <w:pPr>
        <w:spacing w:line="360" w:lineRule="auto"/>
        <w:jc w:val="both"/>
        <w:rPr>
          <w:rFonts w:ascii="Times New Roman" w:hAnsi="Times New Roman" w:cs="Times New Roman"/>
          <w:sz w:val="24"/>
          <w:szCs w:val="24"/>
          <w:lang w:val="ro-RO"/>
        </w:rPr>
      </w:pPr>
    </w:p>
    <w:p w14:paraId="7C4B1C3B" w14:textId="77777777" w:rsidR="00FF6366" w:rsidRPr="009B3F8B" w:rsidRDefault="00FF6366" w:rsidP="009B3F8B">
      <w:pPr>
        <w:pStyle w:val="Heading3"/>
        <w:rPr>
          <w:rFonts w:ascii="Times New Roman" w:hAnsi="Times New Roman" w:cs="Times New Roman"/>
          <w:sz w:val="24"/>
          <w:szCs w:val="24"/>
          <w:lang w:val="ro-RO"/>
        </w:rPr>
      </w:pPr>
      <w:bookmarkStart w:id="13" w:name="_Toc214647664"/>
      <w:r w:rsidRPr="009B3F8B">
        <w:rPr>
          <w:rFonts w:ascii="Times New Roman" w:hAnsi="Times New Roman" w:cs="Times New Roman"/>
          <w:sz w:val="24"/>
          <w:szCs w:val="24"/>
          <w:lang w:val="ro-RO"/>
        </w:rPr>
        <w:lastRenderedPageBreak/>
        <w:t>Internal vs. External Drivers of Expense Changes</w:t>
      </w:r>
      <w:bookmarkEnd w:id="13"/>
    </w:p>
    <w:p w14:paraId="6886F639"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The year-on-year change in operating expenses was influenced by both internal management decisions and external macroeconomic factors:</w:t>
      </w:r>
    </w:p>
    <w:p w14:paraId="1CA0CD0A" w14:textId="77777777" w:rsidR="00FF6366" w:rsidRPr="00FF6366" w:rsidRDefault="00FF6366" w:rsidP="00FF6366">
      <w:pPr>
        <w:numPr>
          <w:ilvl w:val="0"/>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Internal Drivers:</w:t>
      </w:r>
      <w:r w:rsidRPr="00FF6366">
        <w:rPr>
          <w:rFonts w:ascii="Times New Roman" w:hAnsi="Times New Roman" w:cs="Times New Roman"/>
          <w:sz w:val="24"/>
          <w:szCs w:val="24"/>
          <w:lang w:val="ro-RO"/>
        </w:rPr>
        <w:t xml:space="preserve"> </w:t>
      </w:r>
    </w:p>
    <w:p w14:paraId="5FE6B46D"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Strategic investments in R&amp;D and AI to maintain technological leadership.</w:t>
      </w:r>
    </w:p>
    <w:p w14:paraId="30A4917D"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Expansion of Gigafactories and service networks to support global growth.</w:t>
      </w:r>
    </w:p>
    <w:p w14:paraId="346E44B9"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Organizational restructuring to streamline operations and enhance agility.</w:t>
      </w:r>
    </w:p>
    <w:p w14:paraId="054F3EA8" w14:textId="77777777" w:rsidR="00FF6366" w:rsidRPr="00FF6366" w:rsidRDefault="00FF6366" w:rsidP="00FF6366">
      <w:pPr>
        <w:numPr>
          <w:ilvl w:val="0"/>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External Drivers:</w:t>
      </w:r>
      <w:r w:rsidRPr="00FF6366">
        <w:rPr>
          <w:rFonts w:ascii="Times New Roman" w:hAnsi="Times New Roman" w:cs="Times New Roman"/>
          <w:sz w:val="24"/>
          <w:szCs w:val="24"/>
          <w:lang w:val="ro-RO"/>
        </w:rPr>
        <w:t xml:space="preserve"> </w:t>
      </w:r>
    </w:p>
    <w:p w14:paraId="4C237784"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Inflationary pressures on labor and materials.</w:t>
      </w:r>
    </w:p>
    <w:p w14:paraId="07ACDD8C"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Tariffs and trade policy changes increasing supply chain costs.</w:t>
      </w:r>
    </w:p>
    <w:p w14:paraId="0DBBE821"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Intensifying competition requiring increased marketing and customer support.</w:t>
      </w:r>
    </w:p>
    <w:p w14:paraId="7CC4EA2A" w14:textId="77777777" w:rsidR="00FF6366" w:rsidRPr="00FF6366" w:rsidRDefault="00FF6366" w:rsidP="00FF6366">
      <w:pPr>
        <w:numPr>
          <w:ilvl w:val="1"/>
          <w:numId w:val="6"/>
        </w:num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Regulatory compliance costs in key markets (e.g., safety, emissions, data privacy).</w:t>
      </w:r>
    </w:p>
    <w:p w14:paraId="29584598"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management accounting team plays a pivotal role in monitoring these drivers, conducting variance analysis, and recommending corrective actions to align spending with strategic priorities.</w:t>
      </w:r>
    </w:p>
    <w:p w14:paraId="3A72A745" w14:textId="77777777" w:rsidR="00FF6366" w:rsidRPr="009B3F8B" w:rsidRDefault="00FF6366" w:rsidP="009B3F8B">
      <w:pPr>
        <w:pStyle w:val="Heading3"/>
        <w:rPr>
          <w:rFonts w:ascii="Times New Roman" w:hAnsi="Times New Roman" w:cs="Times New Roman"/>
          <w:sz w:val="24"/>
          <w:szCs w:val="24"/>
          <w:lang w:val="ro-RO"/>
        </w:rPr>
      </w:pPr>
      <w:bookmarkStart w:id="14" w:name="_Toc214647665"/>
      <w:r w:rsidRPr="009B3F8B">
        <w:rPr>
          <w:rFonts w:ascii="Times New Roman" w:hAnsi="Times New Roman" w:cs="Times New Roman"/>
          <w:sz w:val="24"/>
          <w:szCs w:val="24"/>
          <w:lang w:val="ro-RO"/>
        </w:rPr>
        <w:t>Capital Expenditure and Cash Flow Planning</w:t>
      </w:r>
      <w:bookmarkEnd w:id="14"/>
    </w:p>
    <w:p w14:paraId="5B87CDBE"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capital expenditures exceeded $10 billion in 2024 and are projected to surpass $11 billion annually in 2025 and beyond, reflecting ongoing investments in new products, factory expansions, battery technology, and AI infrastructure. The company’s ability to generate positive operating cash flow—$14.92 billion in 2024—enables it to fund these investments internally, reducing reliance on external financing and enhancing financial resilience.</w:t>
      </w:r>
    </w:p>
    <w:p w14:paraId="03ECDD66" w14:textId="6A9E5721" w:rsidR="00FF6366" w:rsidRDefault="00FF6366" w:rsidP="00FF6366">
      <w:pPr>
        <w:spacing w:line="360" w:lineRule="auto"/>
        <w:jc w:val="both"/>
        <w:rPr>
          <w:rFonts w:ascii="Times New Roman" w:hAnsi="Times New Roman" w:cs="Times New Roman"/>
          <w:sz w:val="24"/>
          <w:szCs w:val="24"/>
          <w:lang w:val="ro-RO"/>
        </w:rPr>
      </w:pPr>
    </w:p>
    <w:p w14:paraId="1CED86B0" w14:textId="77777777" w:rsidR="009B3F8B" w:rsidRDefault="009B3F8B" w:rsidP="00FF6366">
      <w:pPr>
        <w:spacing w:line="360" w:lineRule="auto"/>
        <w:jc w:val="both"/>
        <w:rPr>
          <w:rFonts w:ascii="Times New Roman" w:hAnsi="Times New Roman" w:cs="Times New Roman"/>
          <w:sz w:val="24"/>
          <w:szCs w:val="24"/>
          <w:lang w:val="ro-RO"/>
        </w:rPr>
      </w:pPr>
    </w:p>
    <w:p w14:paraId="51EE8CC8" w14:textId="77777777" w:rsidR="009B3F8B" w:rsidRDefault="009B3F8B" w:rsidP="00FF6366">
      <w:pPr>
        <w:spacing w:line="360" w:lineRule="auto"/>
        <w:jc w:val="both"/>
        <w:rPr>
          <w:rFonts w:ascii="Times New Roman" w:hAnsi="Times New Roman" w:cs="Times New Roman"/>
          <w:sz w:val="24"/>
          <w:szCs w:val="24"/>
          <w:lang w:val="ro-RO"/>
        </w:rPr>
      </w:pPr>
    </w:p>
    <w:p w14:paraId="3C707991" w14:textId="77777777" w:rsidR="009B3F8B" w:rsidRDefault="009B3F8B" w:rsidP="00FF6366">
      <w:pPr>
        <w:spacing w:line="360" w:lineRule="auto"/>
        <w:jc w:val="both"/>
        <w:rPr>
          <w:rFonts w:ascii="Times New Roman" w:hAnsi="Times New Roman" w:cs="Times New Roman"/>
          <w:sz w:val="24"/>
          <w:szCs w:val="24"/>
          <w:lang w:val="ro-RO"/>
        </w:rPr>
      </w:pPr>
    </w:p>
    <w:p w14:paraId="5A7DBEF5" w14:textId="77777777" w:rsidR="009B3F8B" w:rsidRPr="00FF6366" w:rsidRDefault="009B3F8B" w:rsidP="00FF6366">
      <w:pPr>
        <w:spacing w:line="360" w:lineRule="auto"/>
        <w:jc w:val="both"/>
        <w:rPr>
          <w:rFonts w:ascii="Times New Roman" w:hAnsi="Times New Roman" w:cs="Times New Roman"/>
          <w:sz w:val="24"/>
          <w:szCs w:val="24"/>
          <w:lang w:val="ro-RO"/>
        </w:rPr>
      </w:pPr>
    </w:p>
    <w:p w14:paraId="30F650B2" w14:textId="5D04E3C6" w:rsidR="00FF6366" w:rsidRDefault="009B3F8B" w:rsidP="009B3F8B">
      <w:pPr>
        <w:pStyle w:val="Heading1"/>
        <w:jc w:val="center"/>
        <w:rPr>
          <w:rFonts w:ascii="Times New Roman" w:hAnsi="Times New Roman" w:cs="Times New Roman"/>
          <w:b/>
          <w:bCs/>
          <w:sz w:val="36"/>
          <w:szCs w:val="36"/>
          <w:lang w:val="ro-RO"/>
        </w:rPr>
      </w:pPr>
      <w:bookmarkStart w:id="15" w:name="_Toc214647666"/>
      <w:r w:rsidRPr="009B3F8B">
        <w:rPr>
          <w:rFonts w:ascii="Times New Roman" w:hAnsi="Times New Roman" w:cs="Times New Roman"/>
          <w:b/>
          <w:bCs/>
          <w:sz w:val="36"/>
          <w:szCs w:val="36"/>
          <w:lang w:val="ro-RO"/>
        </w:rPr>
        <w:lastRenderedPageBreak/>
        <w:t xml:space="preserve">PERFORMANCE MEASUREMENT </w:t>
      </w:r>
      <w:r>
        <w:rPr>
          <w:rFonts w:ascii="Times New Roman" w:hAnsi="Times New Roman" w:cs="Times New Roman"/>
          <w:b/>
          <w:bCs/>
          <w:sz w:val="36"/>
          <w:szCs w:val="36"/>
          <w:lang w:val="ro-RO"/>
        </w:rPr>
        <w:t>&amp;</w:t>
      </w:r>
      <w:r w:rsidRPr="009B3F8B">
        <w:rPr>
          <w:rFonts w:ascii="Times New Roman" w:hAnsi="Times New Roman" w:cs="Times New Roman"/>
          <w:b/>
          <w:bCs/>
          <w:sz w:val="36"/>
          <w:szCs w:val="36"/>
          <w:lang w:val="ro-RO"/>
        </w:rPr>
        <w:t xml:space="preserve"> DECISION-MAKING</w:t>
      </w:r>
      <w:bookmarkEnd w:id="15"/>
    </w:p>
    <w:p w14:paraId="4CA50DC5" w14:textId="77777777" w:rsidR="009B3F8B" w:rsidRPr="009B3F8B" w:rsidRDefault="009B3F8B" w:rsidP="009B3F8B">
      <w:pPr>
        <w:rPr>
          <w:lang w:val="ro-RO"/>
        </w:rPr>
      </w:pPr>
    </w:p>
    <w:p w14:paraId="748290CE" w14:textId="77777777" w:rsidR="00FF6366" w:rsidRPr="009B3F8B" w:rsidRDefault="00FF6366" w:rsidP="009B3F8B">
      <w:pPr>
        <w:pStyle w:val="Heading2"/>
        <w:rPr>
          <w:rFonts w:ascii="Times New Roman" w:hAnsi="Times New Roman" w:cs="Times New Roman"/>
          <w:lang w:val="ro-RO"/>
        </w:rPr>
      </w:pPr>
      <w:bookmarkStart w:id="16" w:name="_Toc214647667"/>
      <w:r w:rsidRPr="009B3F8B">
        <w:rPr>
          <w:rFonts w:ascii="Times New Roman" w:hAnsi="Times New Roman" w:cs="Times New Roman"/>
          <w:lang w:val="ro-RO"/>
        </w:rPr>
        <w:t>Key Performance Indicators (KPIs)</w:t>
      </w:r>
      <w:bookmarkEnd w:id="16"/>
    </w:p>
    <w:p w14:paraId="4FFA2E5D"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 employs a comprehensive set of financial and non-financial KPIs to monitor performance, inform strategic decisions, and drive continuous improvement. These KPIs are reported quarterly and annually, providing transparency to stakeholders and supporting data-driven management.</w:t>
      </w:r>
    </w:p>
    <w:p w14:paraId="4BD1859E"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Financial KPIs (2024)</w:t>
      </w:r>
    </w:p>
    <w:tbl>
      <w:tblPr>
        <w:tblStyle w:val="TableGrid"/>
        <w:tblW w:w="0" w:type="auto"/>
        <w:tblLook w:val="04A0" w:firstRow="1" w:lastRow="0" w:firstColumn="1" w:lastColumn="0" w:noHBand="0" w:noVBand="1"/>
      </w:tblPr>
      <w:tblGrid>
        <w:gridCol w:w="2270"/>
        <w:gridCol w:w="1563"/>
        <w:gridCol w:w="1250"/>
      </w:tblGrid>
      <w:tr w:rsidR="00FF6366" w:rsidRPr="00FF6366" w14:paraId="26FA2DD8" w14:textId="77777777" w:rsidTr="009B3F8B">
        <w:tc>
          <w:tcPr>
            <w:tcW w:w="0" w:type="auto"/>
            <w:hideMark/>
          </w:tcPr>
          <w:p w14:paraId="3FFFE473"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KPI</w:t>
            </w:r>
          </w:p>
        </w:tc>
        <w:tc>
          <w:tcPr>
            <w:tcW w:w="0" w:type="auto"/>
            <w:hideMark/>
          </w:tcPr>
          <w:p w14:paraId="56EBF8C0"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Value (2024)</w:t>
            </w:r>
          </w:p>
        </w:tc>
        <w:tc>
          <w:tcPr>
            <w:tcW w:w="0" w:type="auto"/>
            <w:hideMark/>
          </w:tcPr>
          <w:p w14:paraId="35B2C9F3"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Source</w:t>
            </w:r>
          </w:p>
        </w:tc>
      </w:tr>
      <w:tr w:rsidR="00FF6366" w:rsidRPr="00FF6366" w14:paraId="3C22D7E0" w14:textId="77777777" w:rsidTr="009B3F8B">
        <w:tc>
          <w:tcPr>
            <w:tcW w:w="0" w:type="auto"/>
            <w:hideMark/>
          </w:tcPr>
          <w:p w14:paraId="66BD84A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Total Revenue</w:t>
            </w:r>
          </w:p>
        </w:tc>
        <w:tc>
          <w:tcPr>
            <w:tcW w:w="0" w:type="auto"/>
            <w:hideMark/>
          </w:tcPr>
          <w:p w14:paraId="0F968B3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$97.69 billion</w:t>
            </w:r>
          </w:p>
        </w:tc>
        <w:tc>
          <w:tcPr>
            <w:tcW w:w="0" w:type="auto"/>
            <w:hideMark/>
          </w:tcPr>
          <w:p w14:paraId="1D680F62"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087B51E3" w14:textId="77777777" w:rsidTr="009B3F8B">
        <w:tc>
          <w:tcPr>
            <w:tcW w:w="0" w:type="auto"/>
            <w:hideMark/>
          </w:tcPr>
          <w:p w14:paraId="1FC08BD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Net Income</w:t>
            </w:r>
          </w:p>
        </w:tc>
        <w:tc>
          <w:tcPr>
            <w:tcW w:w="0" w:type="auto"/>
            <w:hideMark/>
          </w:tcPr>
          <w:p w14:paraId="38C153F4"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$7.09 billion</w:t>
            </w:r>
          </w:p>
        </w:tc>
        <w:tc>
          <w:tcPr>
            <w:tcW w:w="0" w:type="auto"/>
            <w:hideMark/>
          </w:tcPr>
          <w:p w14:paraId="6BBE8ED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498FE218" w14:textId="77777777" w:rsidTr="009B3F8B">
        <w:tc>
          <w:tcPr>
            <w:tcW w:w="0" w:type="auto"/>
            <w:hideMark/>
          </w:tcPr>
          <w:p w14:paraId="7E011B59"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Gross Margin</w:t>
            </w:r>
          </w:p>
        </w:tc>
        <w:tc>
          <w:tcPr>
            <w:tcW w:w="0" w:type="auto"/>
            <w:hideMark/>
          </w:tcPr>
          <w:p w14:paraId="0B8313C8"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17.9%</w:t>
            </w:r>
          </w:p>
        </w:tc>
        <w:tc>
          <w:tcPr>
            <w:tcW w:w="0" w:type="auto"/>
            <w:hideMark/>
          </w:tcPr>
          <w:p w14:paraId="3E9A893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24E4A3E8" w14:textId="77777777" w:rsidTr="009B3F8B">
        <w:tc>
          <w:tcPr>
            <w:tcW w:w="0" w:type="auto"/>
            <w:hideMark/>
          </w:tcPr>
          <w:p w14:paraId="2FE19301"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Operating Cash Flow</w:t>
            </w:r>
          </w:p>
        </w:tc>
        <w:tc>
          <w:tcPr>
            <w:tcW w:w="0" w:type="auto"/>
            <w:hideMark/>
          </w:tcPr>
          <w:p w14:paraId="7BD1507F"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$14.92 billion</w:t>
            </w:r>
          </w:p>
        </w:tc>
        <w:tc>
          <w:tcPr>
            <w:tcW w:w="0" w:type="auto"/>
            <w:hideMark/>
          </w:tcPr>
          <w:p w14:paraId="280A0EC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4E38A4D6" w14:textId="77777777" w:rsidTr="009B3F8B">
        <w:tc>
          <w:tcPr>
            <w:tcW w:w="0" w:type="auto"/>
            <w:hideMark/>
          </w:tcPr>
          <w:p w14:paraId="7270D20C"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R&amp;D Expense</w:t>
            </w:r>
          </w:p>
        </w:tc>
        <w:tc>
          <w:tcPr>
            <w:tcW w:w="0" w:type="auto"/>
            <w:hideMark/>
          </w:tcPr>
          <w:p w14:paraId="6D36FD3C"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$4.54 billion</w:t>
            </w:r>
          </w:p>
        </w:tc>
        <w:tc>
          <w:tcPr>
            <w:tcW w:w="0" w:type="auto"/>
            <w:hideMark/>
          </w:tcPr>
          <w:p w14:paraId="719DCFC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bl>
    <w:p w14:paraId="7374D0F5" w14:textId="77777777" w:rsidR="009B3F8B" w:rsidRDefault="009B3F8B" w:rsidP="00FF6366">
      <w:pPr>
        <w:spacing w:line="360" w:lineRule="auto"/>
        <w:jc w:val="both"/>
        <w:rPr>
          <w:rFonts w:ascii="Times New Roman" w:hAnsi="Times New Roman" w:cs="Times New Roman"/>
          <w:b/>
          <w:bCs/>
          <w:sz w:val="24"/>
          <w:szCs w:val="24"/>
          <w:lang w:val="ro-RO"/>
        </w:rPr>
      </w:pPr>
    </w:p>
    <w:p w14:paraId="6E1891B6" w14:textId="0FF635A6"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Non-Financial KPIs (2024)</w:t>
      </w:r>
    </w:p>
    <w:tbl>
      <w:tblPr>
        <w:tblStyle w:val="TableGrid"/>
        <w:tblW w:w="0" w:type="auto"/>
        <w:tblLook w:val="04A0" w:firstRow="1" w:lastRow="0" w:firstColumn="1" w:lastColumn="0" w:noHBand="0" w:noVBand="1"/>
      </w:tblPr>
      <w:tblGrid>
        <w:gridCol w:w="2945"/>
        <w:gridCol w:w="1978"/>
        <w:gridCol w:w="1803"/>
      </w:tblGrid>
      <w:tr w:rsidR="00FF6366" w:rsidRPr="00FF6366" w14:paraId="56D501A3" w14:textId="77777777" w:rsidTr="009B3F8B">
        <w:tc>
          <w:tcPr>
            <w:tcW w:w="0" w:type="auto"/>
            <w:hideMark/>
          </w:tcPr>
          <w:p w14:paraId="3F9AE981"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KPI</w:t>
            </w:r>
          </w:p>
        </w:tc>
        <w:tc>
          <w:tcPr>
            <w:tcW w:w="0" w:type="auto"/>
            <w:hideMark/>
          </w:tcPr>
          <w:p w14:paraId="34FCD367"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Value (2024)</w:t>
            </w:r>
          </w:p>
        </w:tc>
        <w:tc>
          <w:tcPr>
            <w:tcW w:w="0" w:type="auto"/>
            <w:hideMark/>
          </w:tcPr>
          <w:p w14:paraId="6246F294" w14:textId="77777777" w:rsidR="00FF6366" w:rsidRPr="00FF6366" w:rsidRDefault="00FF6366" w:rsidP="00FF6366">
            <w:pPr>
              <w:spacing w:after="160"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Source</w:t>
            </w:r>
          </w:p>
        </w:tc>
      </w:tr>
      <w:tr w:rsidR="00FF6366" w:rsidRPr="00FF6366" w14:paraId="44B6F435" w14:textId="77777777" w:rsidTr="009B3F8B">
        <w:tc>
          <w:tcPr>
            <w:tcW w:w="0" w:type="auto"/>
            <w:hideMark/>
          </w:tcPr>
          <w:p w14:paraId="44ACBD4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Vehicle Deliveries</w:t>
            </w:r>
          </w:p>
        </w:tc>
        <w:tc>
          <w:tcPr>
            <w:tcW w:w="0" w:type="auto"/>
            <w:hideMark/>
          </w:tcPr>
          <w:p w14:paraId="31E7332D"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1,789,000 units</w:t>
            </w:r>
          </w:p>
        </w:tc>
        <w:tc>
          <w:tcPr>
            <w:tcW w:w="0" w:type="auto"/>
            <w:hideMark/>
          </w:tcPr>
          <w:p w14:paraId="0DA31706"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575C97A4" w14:textId="77777777" w:rsidTr="009B3F8B">
        <w:tc>
          <w:tcPr>
            <w:tcW w:w="0" w:type="auto"/>
            <w:hideMark/>
          </w:tcPr>
          <w:p w14:paraId="39C3637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Energy Storage Deployment</w:t>
            </w:r>
          </w:p>
        </w:tc>
        <w:tc>
          <w:tcPr>
            <w:tcW w:w="0" w:type="auto"/>
            <w:hideMark/>
          </w:tcPr>
          <w:p w14:paraId="17CC3170"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31.4 GWh</w:t>
            </w:r>
          </w:p>
        </w:tc>
        <w:tc>
          <w:tcPr>
            <w:tcW w:w="0" w:type="auto"/>
            <w:hideMark/>
          </w:tcPr>
          <w:p w14:paraId="0F9161AB"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57C2FF4B" w14:textId="77777777" w:rsidTr="009B3F8B">
        <w:tc>
          <w:tcPr>
            <w:tcW w:w="0" w:type="auto"/>
            <w:hideMark/>
          </w:tcPr>
          <w:p w14:paraId="1632431A"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Employee Headcount</w:t>
            </w:r>
          </w:p>
        </w:tc>
        <w:tc>
          <w:tcPr>
            <w:tcW w:w="0" w:type="auto"/>
            <w:hideMark/>
          </w:tcPr>
          <w:p w14:paraId="2144EBBA"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125,665</w:t>
            </w:r>
          </w:p>
        </w:tc>
        <w:tc>
          <w:tcPr>
            <w:tcW w:w="0" w:type="auto"/>
            <w:hideMark/>
          </w:tcPr>
          <w:p w14:paraId="6C1409A5"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r w:rsidR="00FF6366" w:rsidRPr="00FF6366" w14:paraId="3ADC7DD9" w14:textId="77777777" w:rsidTr="009B3F8B">
        <w:tc>
          <w:tcPr>
            <w:tcW w:w="0" w:type="auto"/>
            <w:hideMark/>
          </w:tcPr>
          <w:p w14:paraId="6EC8BFED"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Supercharger Stations</w:t>
            </w:r>
          </w:p>
        </w:tc>
        <w:tc>
          <w:tcPr>
            <w:tcW w:w="0" w:type="auto"/>
            <w:hideMark/>
          </w:tcPr>
          <w:p w14:paraId="2677E594"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7,753 (Q3 2025)</w:t>
            </w:r>
          </w:p>
        </w:tc>
        <w:tc>
          <w:tcPr>
            <w:tcW w:w="0" w:type="auto"/>
            <w:hideMark/>
          </w:tcPr>
          <w:p w14:paraId="60AF299E"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Q3 2025 Update</w:t>
            </w:r>
          </w:p>
        </w:tc>
      </w:tr>
      <w:tr w:rsidR="00FF6366" w:rsidRPr="00FF6366" w14:paraId="519AEB49" w14:textId="77777777" w:rsidTr="009B3F8B">
        <w:tc>
          <w:tcPr>
            <w:tcW w:w="0" w:type="auto"/>
            <w:hideMark/>
          </w:tcPr>
          <w:p w14:paraId="37D4B371"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Employee Training</w:t>
            </w:r>
          </w:p>
        </w:tc>
        <w:tc>
          <w:tcPr>
            <w:tcW w:w="0" w:type="auto"/>
            <w:hideMark/>
          </w:tcPr>
          <w:p w14:paraId="75F4C612"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13,000+ advanced</w:t>
            </w:r>
          </w:p>
        </w:tc>
        <w:tc>
          <w:tcPr>
            <w:tcW w:w="0" w:type="auto"/>
            <w:hideMark/>
          </w:tcPr>
          <w:p w14:paraId="4A5FA071" w14:textId="77777777" w:rsidR="00FF6366" w:rsidRPr="00FF6366" w:rsidRDefault="00FF6366" w:rsidP="00FF6366">
            <w:pPr>
              <w:spacing w:after="160"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2024 10-K</w:t>
            </w:r>
          </w:p>
        </w:tc>
      </w:tr>
    </w:tbl>
    <w:p w14:paraId="3F41405D" w14:textId="77777777" w:rsidR="00FF6366" w:rsidRPr="00FF6366" w:rsidRDefault="00FF6366" w:rsidP="009B3F8B">
      <w:pPr>
        <w:spacing w:line="360" w:lineRule="auto"/>
        <w:jc w:val="center"/>
        <w:rPr>
          <w:rFonts w:ascii="Times New Roman" w:hAnsi="Times New Roman" w:cs="Times New Roman"/>
          <w:sz w:val="24"/>
          <w:szCs w:val="24"/>
          <w:lang w:val="ro-RO"/>
        </w:rPr>
      </w:pPr>
      <w:r w:rsidRPr="00FF6366">
        <w:rPr>
          <w:rFonts w:ascii="Times New Roman" w:hAnsi="Times New Roman" w:cs="Times New Roman"/>
          <w:i/>
          <w:iCs/>
          <w:sz w:val="24"/>
          <w:szCs w:val="24"/>
          <w:lang w:val="ro-RO"/>
        </w:rPr>
        <w:t>Sources: Tesla 2024 10-K, Q3 2025 Update, Yahoo Finance, MacroTrends</w:t>
      </w:r>
    </w:p>
    <w:p w14:paraId="05730833" w14:textId="77777777" w:rsidR="009B3F8B" w:rsidRDefault="009B3F8B" w:rsidP="00FF6366">
      <w:pPr>
        <w:spacing w:line="360" w:lineRule="auto"/>
        <w:jc w:val="both"/>
        <w:rPr>
          <w:rFonts w:ascii="Times New Roman" w:hAnsi="Times New Roman" w:cs="Times New Roman"/>
          <w:sz w:val="24"/>
          <w:szCs w:val="24"/>
          <w:lang w:val="ro-RO"/>
        </w:rPr>
      </w:pPr>
    </w:p>
    <w:p w14:paraId="454EF864" w14:textId="06CD1A35"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lastRenderedPageBreak/>
        <w:t xml:space="preserve">These KPIs are integrated into Tesla’s </w:t>
      </w:r>
      <w:r w:rsidRPr="00FF6366">
        <w:rPr>
          <w:rFonts w:ascii="Times New Roman" w:hAnsi="Times New Roman" w:cs="Times New Roman"/>
          <w:b/>
          <w:bCs/>
          <w:sz w:val="24"/>
          <w:szCs w:val="24"/>
          <w:lang w:val="ro-RO"/>
        </w:rPr>
        <w:t>balanced scorecard</w:t>
      </w:r>
      <w:r w:rsidRPr="00FF6366">
        <w:rPr>
          <w:rFonts w:ascii="Times New Roman" w:hAnsi="Times New Roman" w:cs="Times New Roman"/>
          <w:sz w:val="24"/>
          <w:szCs w:val="24"/>
          <w:lang w:val="ro-RO"/>
        </w:rPr>
        <w:t xml:space="preserve"> framework, which encompasses financial, customer, internal process, and learning and growth perspectives. For example, customer satisfaction scores above 90% and high employee engagement rates are tracked alongside profitability and operational efficiency metrics.</w:t>
      </w:r>
    </w:p>
    <w:p w14:paraId="019BEE8C" w14:textId="77777777" w:rsidR="00FF6366" w:rsidRPr="009B3F8B" w:rsidRDefault="00FF6366" w:rsidP="009B3F8B">
      <w:pPr>
        <w:pStyle w:val="Heading3"/>
        <w:rPr>
          <w:rFonts w:ascii="Times New Roman" w:hAnsi="Times New Roman" w:cs="Times New Roman"/>
          <w:sz w:val="24"/>
          <w:szCs w:val="24"/>
          <w:lang w:val="ro-RO"/>
        </w:rPr>
      </w:pPr>
      <w:bookmarkStart w:id="17" w:name="_Toc214647668"/>
      <w:r w:rsidRPr="009B3F8B">
        <w:rPr>
          <w:rFonts w:ascii="Times New Roman" w:hAnsi="Times New Roman" w:cs="Times New Roman"/>
          <w:sz w:val="24"/>
          <w:szCs w:val="24"/>
          <w:lang w:val="ro-RO"/>
        </w:rPr>
        <w:t>Strategic Decisions Informed by Management Accounting</w:t>
      </w:r>
      <w:bookmarkEnd w:id="17"/>
    </w:p>
    <w:p w14:paraId="561B18A5"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management accounting tools and KPI dashboards inform a wide range of strategic decisions, including:</w:t>
      </w:r>
    </w:p>
    <w:p w14:paraId="688D5D16"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1. Pricing and Product Strategy</w:t>
      </w:r>
    </w:p>
    <w:p w14:paraId="123916EC" w14:textId="77777777" w:rsidR="00FF6366" w:rsidRPr="00FF6366" w:rsidRDefault="00FF6366" w:rsidP="00FF6366">
      <w:pPr>
        <w:numPr>
          <w:ilvl w:val="0"/>
          <w:numId w:val="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Dynamic Pricing:</w:t>
      </w:r>
      <w:r w:rsidRPr="00FF6366">
        <w:rPr>
          <w:rFonts w:ascii="Times New Roman" w:hAnsi="Times New Roman" w:cs="Times New Roman"/>
          <w:sz w:val="24"/>
          <w:szCs w:val="24"/>
          <w:lang w:val="ro-RO"/>
        </w:rPr>
        <w:t xml:space="preserve"> Tesla employs a floating pricing strategy, adjusting vehicle prices frequently in response to demand, production costs, and competitive pressures. This approach enables rapid market adaptation but can create consumer uncertainty and impact brand perception.</w:t>
      </w:r>
    </w:p>
    <w:p w14:paraId="33310DDD" w14:textId="77777777" w:rsidR="00FF6366" w:rsidRPr="00FF6366" w:rsidRDefault="00FF6366" w:rsidP="00FF6366">
      <w:pPr>
        <w:numPr>
          <w:ilvl w:val="0"/>
          <w:numId w:val="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Product Mix Optimization:</w:t>
      </w:r>
      <w:r w:rsidRPr="00FF6366">
        <w:rPr>
          <w:rFonts w:ascii="Times New Roman" w:hAnsi="Times New Roman" w:cs="Times New Roman"/>
          <w:sz w:val="24"/>
          <w:szCs w:val="24"/>
          <w:lang w:val="ro-RO"/>
        </w:rPr>
        <w:t xml:space="preserve"> ABC analysis reveals the true profitability of different models and configurations, guiding decisions on product discontinuation, feature bundling, and resource allocation.</w:t>
      </w:r>
    </w:p>
    <w:p w14:paraId="7BED9E9D"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2. Expansion and Capacity Planning</w:t>
      </w:r>
    </w:p>
    <w:p w14:paraId="65EAEA3D" w14:textId="77777777" w:rsidR="00FF6366" w:rsidRPr="00FF6366" w:rsidRDefault="00FF6366" w:rsidP="00FF6366">
      <w:pPr>
        <w:numPr>
          <w:ilvl w:val="0"/>
          <w:numId w:val="8"/>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Gigafactory Investments:</w:t>
      </w:r>
      <w:r w:rsidRPr="00FF6366">
        <w:rPr>
          <w:rFonts w:ascii="Times New Roman" w:hAnsi="Times New Roman" w:cs="Times New Roman"/>
          <w:sz w:val="24"/>
          <w:szCs w:val="24"/>
          <w:lang w:val="ro-RO"/>
        </w:rPr>
        <w:t xml:space="preserve"> Scenario-based financial models assess the ROI of new factory locations, capacity expansions, and localization efforts. For example, the decision to build Gigafactories in Texas, Berlin, and Shanghai was supported by detailed cost-benefit analyses and demand forecasts.</w:t>
      </w:r>
    </w:p>
    <w:p w14:paraId="00291416" w14:textId="77777777" w:rsidR="00FF6366" w:rsidRPr="00FF6366" w:rsidRDefault="00FF6366" w:rsidP="00FF6366">
      <w:pPr>
        <w:numPr>
          <w:ilvl w:val="0"/>
          <w:numId w:val="8"/>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Energy Business Growth:</w:t>
      </w:r>
      <w:r w:rsidRPr="00FF6366">
        <w:rPr>
          <w:rFonts w:ascii="Times New Roman" w:hAnsi="Times New Roman" w:cs="Times New Roman"/>
          <w:sz w:val="24"/>
          <w:szCs w:val="24"/>
          <w:lang w:val="ro-RO"/>
        </w:rPr>
        <w:t xml:space="preserve"> KPIs such as energy storage deployments and gross margins inform investments in Megafactories and the scaling of Powerwall and Megapack production.</w:t>
      </w:r>
    </w:p>
    <w:p w14:paraId="42F42F03"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3. Cost-Cutting and Efficiency Initiatives</w:t>
      </w:r>
    </w:p>
    <w:p w14:paraId="2CBC6793" w14:textId="77777777" w:rsidR="00FF6366" w:rsidRPr="00FF6366" w:rsidRDefault="00FF6366" w:rsidP="00FF6366">
      <w:pPr>
        <w:numPr>
          <w:ilvl w:val="0"/>
          <w:numId w:val="9"/>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Process Improvements:</w:t>
      </w:r>
      <w:r w:rsidRPr="00FF6366">
        <w:rPr>
          <w:rFonts w:ascii="Times New Roman" w:hAnsi="Times New Roman" w:cs="Times New Roman"/>
          <w:sz w:val="24"/>
          <w:szCs w:val="24"/>
          <w:lang w:val="ro-RO"/>
        </w:rPr>
        <w:t xml:space="preserve"> Variance analysis identifies areas of cost overruns or inefficiency, prompting targeted process improvements, automation, and supply chain optimization.</w:t>
      </w:r>
    </w:p>
    <w:p w14:paraId="52DE4054" w14:textId="77777777" w:rsidR="00FF6366" w:rsidRPr="00FF6366" w:rsidRDefault="00FF6366" w:rsidP="00FF6366">
      <w:pPr>
        <w:numPr>
          <w:ilvl w:val="0"/>
          <w:numId w:val="9"/>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Restructuring:</w:t>
      </w:r>
      <w:r w:rsidRPr="00FF6366">
        <w:rPr>
          <w:rFonts w:ascii="Times New Roman" w:hAnsi="Times New Roman" w:cs="Times New Roman"/>
          <w:sz w:val="24"/>
          <w:szCs w:val="24"/>
          <w:lang w:val="ro-RO"/>
        </w:rPr>
        <w:t xml:space="preserve"> Management accounting data supports decisions on workforce reductions, asset write-downs, and organizational realignments to enhance agility and reduce fixed costs.</w:t>
      </w:r>
    </w:p>
    <w:p w14:paraId="3356ACC2"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lastRenderedPageBreak/>
        <w:t>4. AI and Software Monetization</w:t>
      </w:r>
    </w:p>
    <w:p w14:paraId="1F2E6AF1" w14:textId="77777777" w:rsidR="00FF6366" w:rsidRPr="00FF6366" w:rsidRDefault="00FF6366" w:rsidP="00FF6366">
      <w:pPr>
        <w:numPr>
          <w:ilvl w:val="0"/>
          <w:numId w:val="10"/>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FSD and Subscription Revenue:</w:t>
      </w:r>
      <w:r w:rsidRPr="00FF6366">
        <w:rPr>
          <w:rFonts w:ascii="Times New Roman" w:hAnsi="Times New Roman" w:cs="Times New Roman"/>
          <w:sz w:val="24"/>
          <w:szCs w:val="24"/>
          <w:lang w:val="ro-RO"/>
        </w:rPr>
        <w:t xml:space="preserve"> Financial models project the long-term value of FSD subscriptions and over-the-air software upgrades, informing pricing and investment decisions in AI infrastructure.</w:t>
      </w:r>
    </w:p>
    <w:p w14:paraId="52C95892"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5. Risk Management and Regulatory Compliance</w:t>
      </w:r>
    </w:p>
    <w:p w14:paraId="1157BBA6" w14:textId="77777777" w:rsidR="00FF6366" w:rsidRPr="00FF6366" w:rsidRDefault="00FF6366" w:rsidP="00FF6366">
      <w:pPr>
        <w:numPr>
          <w:ilvl w:val="0"/>
          <w:numId w:val="1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Tariff and Trade Policy Analysis:</w:t>
      </w:r>
      <w:r w:rsidRPr="00FF6366">
        <w:rPr>
          <w:rFonts w:ascii="Times New Roman" w:hAnsi="Times New Roman" w:cs="Times New Roman"/>
          <w:sz w:val="24"/>
          <w:szCs w:val="24"/>
          <w:lang w:val="ro-RO"/>
        </w:rPr>
        <w:t xml:space="preserve"> Management accounting teams model the impact of tariffs and trade restrictions on production costs and supply chain resilience, supporting decisions on localization and supplier diversification.</w:t>
      </w:r>
    </w:p>
    <w:p w14:paraId="6DC68447" w14:textId="77777777" w:rsidR="00FF6366" w:rsidRPr="00FF6366" w:rsidRDefault="00FF6366" w:rsidP="00FF6366">
      <w:pPr>
        <w:numPr>
          <w:ilvl w:val="0"/>
          <w:numId w:val="11"/>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Regulatory Credit Sales:</w:t>
      </w:r>
      <w:r w:rsidRPr="00FF6366">
        <w:rPr>
          <w:rFonts w:ascii="Times New Roman" w:hAnsi="Times New Roman" w:cs="Times New Roman"/>
          <w:sz w:val="24"/>
          <w:szCs w:val="24"/>
          <w:lang w:val="ro-RO"/>
        </w:rPr>
        <w:t xml:space="preserve"> The sale of regulatory credits is managed as a strategic revenue stream, with accounting tools tracking credit generation, sales, and compliance obligations.</w:t>
      </w:r>
    </w:p>
    <w:p w14:paraId="73CD81BD"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6. Benchmarking and Competitive Analysis</w:t>
      </w:r>
    </w:p>
    <w:p w14:paraId="2DF729DF" w14:textId="77777777" w:rsidR="00FF6366" w:rsidRPr="00FF6366" w:rsidRDefault="00FF6366" w:rsidP="00FF6366">
      <w:pPr>
        <w:numPr>
          <w:ilvl w:val="0"/>
          <w:numId w:val="12"/>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Peer Comparison:</w:t>
      </w:r>
      <w:r w:rsidRPr="00FF6366">
        <w:rPr>
          <w:rFonts w:ascii="Times New Roman" w:hAnsi="Times New Roman" w:cs="Times New Roman"/>
          <w:sz w:val="24"/>
          <w:szCs w:val="24"/>
          <w:lang w:val="ro-RO"/>
        </w:rPr>
        <w:t xml:space="preserve"> Tesla benchmarks its margins, cost structure, and operational efficiency against competitors like BYD, Volkswagen, and GM, using management accounting data to identify areas for improvement and strategic differentiation.</w:t>
      </w:r>
    </w:p>
    <w:p w14:paraId="7E0E0D60"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Management Accounting Tools in Use</w:t>
      </w:r>
    </w:p>
    <w:p w14:paraId="7C241302" w14:textId="77777777" w:rsidR="00FF6366" w:rsidRPr="00FF6366" w:rsidRDefault="00FF6366" w:rsidP="00FF6366">
      <w:pPr>
        <w:numPr>
          <w:ilvl w:val="0"/>
          <w:numId w:val="1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Variance Analysis:</w:t>
      </w:r>
      <w:r w:rsidRPr="00FF6366">
        <w:rPr>
          <w:rFonts w:ascii="Times New Roman" w:hAnsi="Times New Roman" w:cs="Times New Roman"/>
          <w:sz w:val="24"/>
          <w:szCs w:val="24"/>
          <w:lang w:val="ro-RO"/>
        </w:rPr>
        <w:t xml:space="preserve"> Regular comparison of actual vs. budgeted performance to identify deviations and root causes.</w:t>
      </w:r>
    </w:p>
    <w:p w14:paraId="0EFA2CBD" w14:textId="77777777" w:rsidR="00FF6366" w:rsidRPr="00FF6366" w:rsidRDefault="00FF6366" w:rsidP="00FF6366">
      <w:pPr>
        <w:numPr>
          <w:ilvl w:val="0"/>
          <w:numId w:val="1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Forecasting Models:</w:t>
      </w:r>
      <w:r w:rsidRPr="00FF6366">
        <w:rPr>
          <w:rFonts w:ascii="Times New Roman" w:hAnsi="Times New Roman" w:cs="Times New Roman"/>
          <w:sz w:val="24"/>
          <w:szCs w:val="24"/>
          <w:lang w:val="ro-RO"/>
        </w:rPr>
        <w:t xml:space="preserve"> Rolling forecasts for revenue, expenses, and cash flow, updated with real-time data.</w:t>
      </w:r>
    </w:p>
    <w:p w14:paraId="2E930FA0" w14:textId="77777777" w:rsidR="00FF6366" w:rsidRPr="00FF6366" w:rsidRDefault="00FF6366" w:rsidP="00FF6366">
      <w:pPr>
        <w:numPr>
          <w:ilvl w:val="0"/>
          <w:numId w:val="1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Balanced Scorecard:</w:t>
      </w:r>
      <w:r w:rsidRPr="00FF6366">
        <w:rPr>
          <w:rFonts w:ascii="Times New Roman" w:hAnsi="Times New Roman" w:cs="Times New Roman"/>
          <w:sz w:val="24"/>
          <w:szCs w:val="24"/>
          <w:lang w:val="ro-RO"/>
        </w:rPr>
        <w:t xml:space="preserve"> Integration of financial and non-financial KPIs to align strategy and execution.</w:t>
      </w:r>
    </w:p>
    <w:p w14:paraId="5ACB331B" w14:textId="77777777" w:rsidR="00FF6366" w:rsidRPr="00FF6366" w:rsidRDefault="00FF6366" w:rsidP="00FF6366">
      <w:pPr>
        <w:numPr>
          <w:ilvl w:val="0"/>
          <w:numId w:val="1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Activity-Based Costing:</w:t>
      </w:r>
      <w:r w:rsidRPr="00FF6366">
        <w:rPr>
          <w:rFonts w:ascii="Times New Roman" w:hAnsi="Times New Roman" w:cs="Times New Roman"/>
          <w:sz w:val="24"/>
          <w:szCs w:val="24"/>
          <w:lang w:val="ro-RO"/>
        </w:rPr>
        <w:t xml:space="preserve"> Detailed allocation of overheads to products and services for accurate profitability analysis.</w:t>
      </w:r>
    </w:p>
    <w:p w14:paraId="407485AD" w14:textId="77777777" w:rsidR="00FF6366" w:rsidRPr="00FF6366" w:rsidRDefault="00FF6366" w:rsidP="00FF6366">
      <w:pPr>
        <w:numPr>
          <w:ilvl w:val="0"/>
          <w:numId w:val="13"/>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Scenario Planning:</w:t>
      </w:r>
      <w:r w:rsidRPr="00FF6366">
        <w:rPr>
          <w:rFonts w:ascii="Times New Roman" w:hAnsi="Times New Roman" w:cs="Times New Roman"/>
          <w:sz w:val="24"/>
          <w:szCs w:val="24"/>
          <w:lang w:val="ro-RO"/>
        </w:rPr>
        <w:t xml:space="preserve"> Modeling of alternative futures based on macroeconomic, regulatory, and technological variables.</w:t>
      </w:r>
    </w:p>
    <w:p w14:paraId="513902C8" w14:textId="3C8BD910" w:rsidR="00FF6366" w:rsidRDefault="00FF6366" w:rsidP="00FF6366">
      <w:pPr>
        <w:spacing w:line="360" w:lineRule="auto"/>
        <w:jc w:val="both"/>
        <w:rPr>
          <w:rFonts w:ascii="Times New Roman" w:hAnsi="Times New Roman" w:cs="Times New Roman"/>
          <w:sz w:val="24"/>
          <w:szCs w:val="24"/>
          <w:lang w:val="ro-RO"/>
        </w:rPr>
      </w:pPr>
    </w:p>
    <w:p w14:paraId="64764C0B" w14:textId="77777777" w:rsidR="009B3F8B" w:rsidRPr="00FF6366" w:rsidRDefault="009B3F8B" w:rsidP="00FF6366">
      <w:pPr>
        <w:spacing w:line="360" w:lineRule="auto"/>
        <w:jc w:val="both"/>
        <w:rPr>
          <w:rFonts w:ascii="Times New Roman" w:hAnsi="Times New Roman" w:cs="Times New Roman"/>
          <w:sz w:val="24"/>
          <w:szCs w:val="24"/>
          <w:lang w:val="ro-RO"/>
        </w:rPr>
      </w:pPr>
    </w:p>
    <w:p w14:paraId="132C90B2" w14:textId="47C02706" w:rsidR="00FF6366" w:rsidRDefault="00FF6366" w:rsidP="009B3F8B">
      <w:pPr>
        <w:pStyle w:val="Heading1"/>
        <w:jc w:val="center"/>
        <w:rPr>
          <w:rFonts w:ascii="Times New Roman" w:hAnsi="Times New Roman" w:cs="Times New Roman"/>
          <w:b/>
          <w:bCs/>
          <w:sz w:val="36"/>
          <w:szCs w:val="36"/>
          <w:lang w:val="ro-RO"/>
        </w:rPr>
      </w:pPr>
      <w:bookmarkStart w:id="18" w:name="_Toc214647669"/>
      <w:r w:rsidRPr="009B3F8B">
        <w:rPr>
          <w:rFonts w:ascii="Times New Roman" w:hAnsi="Times New Roman" w:cs="Times New Roman"/>
          <w:b/>
          <w:bCs/>
          <w:sz w:val="36"/>
          <w:szCs w:val="36"/>
          <w:lang w:val="ro-RO"/>
        </w:rPr>
        <w:lastRenderedPageBreak/>
        <w:t xml:space="preserve">Sustainability </w:t>
      </w:r>
      <w:r w:rsidR="009B3F8B">
        <w:rPr>
          <w:rFonts w:ascii="Times New Roman" w:hAnsi="Times New Roman" w:cs="Times New Roman"/>
          <w:b/>
          <w:bCs/>
          <w:sz w:val="36"/>
          <w:szCs w:val="36"/>
          <w:lang w:val="ro-RO"/>
        </w:rPr>
        <w:t>&amp;</w:t>
      </w:r>
      <w:r w:rsidRPr="009B3F8B">
        <w:rPr>
          <w:rFonts w:ascii="Times New Roman" w:hAnsi="Times New Roman" w:cs="Times New Roman"/>
          <w:b/>
          <w:bCs/>
          <w:sz w:val="36"/>
          <w:szCs w:val="36"/>
          <w:lang w:val="ro-RO"/>
        </w:rPr>
        <w:t xml:space="preserve"> Ethical Considerations</w:t>
      </w:r>
      <w:bookmarkEnd w:id="18"/>
    </w:p>
    <w:p w14:paraId="4389A3C2" w14:textId="77777777" w:rsidR="009B3F8B" w:rsidRPr="009B3F8B" w:rsidRDefault="009B3F8B" w:rsidP="009B3F8B">
      <w:pPr>
        <w:rPr>
          <w:lang w:val="ro-RO"/>
        </w:rPr>
      </w:pPr>
    </w:p>
    <w:p w14:paraId="2FB7AE91" w14:textId="77777777" w:rsidR="00FF6366" w:rsidRPr="009B3F8B" w:rsidRDefault="00FF6366" w:rsidP="009B3F8B">
      <w:pPr>
        <w:pStyle w:val="Heading2"/>
        <w:rPr>
          <w:rFonts w:ascii="Times New Roman" w:hAnsi="Times New Roman" w:cs="Times New Roman"/>
          <w:lang w:val="ro-RO"/>
        </w:rPr>
      </w:pPr>
      <w:bookmarkStart w:id="19" w:name="_Toc214647670"/>
      <w:r w:rsidRPr="009B3F8B">
        <w:rPr>
          <w:rFonts w:ascii="Times New Roman" w:hAnsi="Times New Roman" w:cs="Times New Roman"/>
          <w:lang w:val="ro-RO"/>
        </w:rPr>
        <w:t>Integration of Sustainability into Financial Decision-Making</w:t>
      </w:r>
      <w:bookmarkEnd w:id="19"/>
    </w:p>
    <w:p w14:paraId="34B0C978"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Sustainability is at the core of Tesla’s mission and is deeply embedded in its financial decision-making processes. The company’s management accounting practices support the integration of environmental, social, and governance (ESG) considerations into strategic planning, investment decisions, and performance measurement.</w:t>
      </w:r>
    </w:p>
    <w:p w14:paraId="7D2DBD6F"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Key Sustainability Initiatives</w:t>
      </w:r>
    </w:p>
    <w:p w14:paraId="5EC9380B" w14:textId="77777777" w:rsidR="00FF6366" w:rsidRPr="00FF6366" w:rsidRDefault="00FF6366" w:rsidP="00FF6366">
      <w:pPr>
        <w:numPr>
          <w:ilvl w:val="0"/>
          <w:numId w:val="1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Product Ecosystem:</w:t>
      </w:r>
      <w:r w:rsidRPr="00FF6366">
        <w:rPr>
          <w:rFonts w:ascii="Times New Roman" w:hAnsi="Times New Roman" w:cs="Times New Roman"/>
          <w:sz w:val="24"/>
          <w:szCs w:val="24"/>
          <w:lang w:val="ro-RO"/>
        </w:rPr>
        <w:t xml:space="preserve"> Tesla designs and manufactures a complete energy and transportation ecosystem, including EVs, solar products, and battery storage, to address both energy generation and consumption.</w:t>
      </w:r>
    </w:p>
    <w:p w14:paraId="6877ED6A" w14:textId="77777777" w:rsidR="00FF6366" w:rsidRPr="00FF6366" w:rsidRDefault="00FF6366" w:rsidP="00FF6366">
      <w:pPr>
        <w:numPr>
          <w:ilvl w:val="0"/>
          <w:numId w:val="1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Factory Efficiency:</w:t>
      </w:r>
      <w:r w:rsidRPr="00FF6366">
        <w:rPr>
          <w:rFonts w:ascii="Times New Roman" w:hAnsi="Times New Roman" w:cs="Times New Roman"/>
          <w:sz w:val="24"/>
          <w:szCs w:val="24"/>
          <w:lang w:val="ro-RO"/>
        </w:rPr>
        <w:t xml:space="preserve"> Each new Gigafactory is built to be more efficient and sustainably designed than the previous one, with a focus on per-unit waste reduction, water and energy usage, and renewable energy integration.</w:t>
      </w:r>
    </w:p>
    <w:p w14:paraId="5BDBD92B" w14:textId="77777777" w:rsidR="00FF6366" w:rsidRPr="00FF6366" w:rsidRDefault="00FF6366" w:rsidP="00FF6366">
      <w:pPr>
        <w:numPr>
          <w:ilvl w:val="0"/>
          <w:numId w:val="1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Supply Chain Management:</w:t>
      </w:r>
      <w:r w:rsidRPr="00FF6366">
        <w:rPr>
          <w:rFonts w:ascii="Times New Roman" w:hAnsi="Times New Roman" w:cs="Times New Roman"/>
          <w:sz w:val="24"/>
          <w:szCs w:val="24"/>
          <w:lang w:val="ro-RO"/>
        </w:rPr>
        <w:t xml:space="preserve"> Tesla is committed to sourcing only responsibly produced materials. Suppliers are required to demonstrate social, environmental, and sustainability best practices, with a zero-tolerance policy for child or forced labor and human trafficking.</w:t>
      </w:r>
    </w:p>
    <w:p w14:paraId="1C272269" w14:textId="77777777" w:rsidR="00FF6366" w:rsidRPr="00FF6366" w:rsidRDefault="00FF6366" w:rsidP="00FF6366">
      <w:pPr>
        <w:numPr>
          <w:ilvl w:val="0"/>
          <w:numId w:val="1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Carbon Emissions Reduction:</w:t>
      </w:r>
      <w:r w:rsidRPr="00FF6366">
        <w:rPr>
          <w:rFonts w:ascii="Times New Roman" w:hAnsi="Times New Roman" w:cs="Times New Roman"/>
          <w:sz w:val="24"/>
          <w:szCs w:val="24"/>
          <w:lang w:val="ro-RO"/>
        </w:rPr>
        <w:t xml:space="preserve"> In 2024, Tesla’s customers avoided releasing nearly 32 million metric tons of CO₂e into the atmosphere by using its products.</w:t>
      </w:r>
    </w:p>
    <w:p w14:paraId="245FDD2E" w14:textId="77777777" w:rsidR="00FF6366" w:rsidRPr="00FF6366" w:rsidRDefault="00FF6366" w:rsidP="00FF6366">
      <w:pPr>
        <w:numPr>
          <w:ilvl w:val="0"/>
          <w:numId w:val="14"/>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Circular Economy:</w:t>
      </w:r>
      <w:r w:rsidRPr="00FF6366">
        <w:rPr>
          <w:rFonts w:ascii="Times New Roman" w:hAnsi="Times New Roman" w:cs="Times New Roman"/>
          <w:sz w:val="24"/>
          <w:szCs w:val="24"/>
          <w:lang w:val="ro-RO"/>
        </w:rPr>
        <w:t xml:space="preserve"> The company invests in battery recycling and closed-loop manufacturing processes to minimize environmental impact.</w:t>
      </w:r>
    </w:p>
    <w:p w14:paraId="0CB4E8AF"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t>Sustainability KPIs</w:t>
      </w:r>
    </w:p>
    <w:p w14:paraId="134F332E" w14:textId="77777777" w:rsidR="00FF6366" w:rsidRPr="00FF6366" w:rsidRDefault="00FF6366" w:rsidP="00FF6366">
      <w:pPr>
        <w:numPr>
          <w:ilvl w:val="0"/>
          <w:numId w:val="1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Energy Storage Deployment:</w:t>
      </w:r>
      <w:r w:rsidRPr="00FF6366">
        <w:rPr>
          <w:rFonts w:ascii="Times New Roman" w:hAnsi="Times New Roman" w:cs="Times New Roman"/>
          <w:sz w:val="24"/>
          <w:szCs w:val="24"/>
          <w:lang w:val="ro-RO"/>
        </w:rPr>
        <w:t xml:space="preserve"> 31.4 GWh in 2024, supporting grid stability and renewable energy adoption.</w:t>
      </w:r>
    </w:p>
    <w:p w14:paraId="606B28A0" w14:textId="77777777" w:rsidR="00FF6366" w:rsidRPr="00FF6366" w:rsidRDefault="00FF6366" w:rsidP="00FF6366">
      <w:pPr>
        <w:numPr>
          <w:ilvl w:val="0"/>
          <w:numId w:val="1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Factory Resource Efficiency:</w:t>
      </w:r>
      <w:r w:rsidRPr="00FF6366">
        <w:rPr>
          <w:rFonts w:ascii="Times New Roman" w:hAnsi="Times New Roman" w:cs="Times New Roman"/>
          <w:sz w:val="24"/>
          <w:szCs w:val="24"/>
          <w:lang w:val="ro-RO"/>
        </w:rPr>
        <w:t xml:space="preserve"> Continuous improvement in water, energy, and material usage per unit produced.</w:t>
      </w:r>
    </w:p>
    <w:p w14:paraId="0A0275D1" w14:textId="77777777" w:rsidR="00FF6366" w:rsidRDefault="00FF6366" w:rsidP="00FF6366">
      <w:pPr>
        <w:numPr>
          <w:ilvl w:val="0"/>
          <w:numId w:val="15"/>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Supplier Audits:</w:t>
      </w:r>
      <w:r w:rsidRPr="00FF6366">
        <w:rPr>
          <w:rFonts w:ascii="Times New Roman" w:hAnsi="Times New Roman" w:cs="Times New Roman"/>
          <w:sz w:val="24"/>
          <w:szCs w:val="24"/>
          <w:lang w:val="ro-RO"/>
        </w:rPr>
        <w:t xml:space="preserve"> Regular assessments of supplier compliance with ESG standards.</w:t>
      </w:r>
    </w:p>
    <w:p w14:paraId="3C798F43" w14:textId="77777777" w:rsidR="006E74DB" w:rsidRPr="00FF6366" w:rsidRDefault="006E74DB" w:rsidP="006E74DB">
      <w:pPr>
        <w:spacing w:line="360" w:lineRule="auto"/>
        <w:ind w:left="720"/>
        <w:jc w:val="both"/>
        <w:rPr>
          <w:rFonts w:ascii="Times New Roman" w:hAnsi="Times New Roman" w:cs="Times New Roman"/>
          <w:sz w:val="24"/>
          <w:szCs w:val="24"/>
          <w:lang w:val="ro-RO"/>
        </w:rPr>
      </w:pPr>
    </w:p>
    <w:p w14:paraId="1B6E97CA" w14:textId="77777777" w:rsidR="00FF6366" w:rsidRPr="00FF6366" w:rsidRDefault="00FF6366" w:rsidP="00FF6366">
      <w:pPr>
        <w:spacing w:line="360" w:lineRule="auto"/>
        <w:jc w:val="both"/>
        <w:rPr>
          <w:rFonts w:ascii="Times New Roman" w:hAnsi="Times New Roman" w:cs="Times New Roman"/>
          <w:b/>
          <w:bCs/>
          <w:sz w:val="24"/>
          <w:szCs w:val="24"/>
          <w:lang w:val="ro-RO"/>
        </w:rPr>
      </w:pPr>
      <w:r w:rsidRPr="00FF6366">
        <w:rPr>
          <w:rFonts w:ascii="Times New Roman" w:hAnsi="Times New Roman" w:cs="Times New Roman"/>
          <w:b/>
          <w:bCs/>
          <w:sz w:val="24"/>
          <w:szCs w:val="24"/>
          <w:lang w:val="ro-RO"/>
        </w:rPr>
        <w:lastRenderedPageBreak/>
        <w:t>Ethical Considerations in Cost Management and Pricing</w:t>
      </w:r>
    </w:p>
    <w:p w14:paraId="7CC1D115"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approach to cost management and pricing is guided by ethical considerations, including:</w:t>
      </w:r>
    </w:p>
    <w:p w14:paraId="327F1561" w14:textId="77777777" w:rsidR="00FF6366" w:rsidRPr="00FF6366" w:rsidRDefault="00FF6366" w:rsidP="00FF6366">
      <w:pPr>
        <w:numPr>
          <w:ilvl w:val="0"/>
          <w:numId w:val="1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Fair Labor Practices:</w:t>
      </w:r>
      <w:r w:rsidRPr="00FF6366">
        <w:rPr>
          <w:rFonts w:ascii="Times New Roman" w:hAnsi="Times New Roman" w:cs="Times New Roman"/>
          <w:sz w:val="24"/>
          <w:szCs w:val="24"/>
          <w:lang w:val="ro-RO"/>
        </w:rPr>
        <w:t xml:space="preserve"> The company actively supports the hiring, retention, and advancement of diverse talent, including veterans and individuals with disabilities. Anti-harassment and anti-discrimination policies are strictly enforced, with ongoing training for all employees.</w:t>
      </w:r>
    </w:p>
    <w:p w14:paraId="506402BA" w14:textId="77777777" w:rsidR="00FF6366" w:rsidRPr="00FF6366" w:rsidRDefault="00FF6366" w:rsidP="00FF6366">
      <w:pPr>
        <w:numPr>
          <w:ilvl w:val="0"/>
          <w:numId w:val="1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Transparent Pricing:</w:t>
      </w:r>
      <w:r w:rsidRPr="00FF6366">
        <w:rPr>
          <w:rFonts w:ascii="Times New Roman" w:hAnsi="Times New Roman" w:cs="Times New Roman"/>
          <w:sz w:val="24"/>
          <w:szCs w:val="24"/>
          <w:lang w:val="ro-RO"/>
        </w:rPr>
        <w:t xml:space="preserve"> While Tesla’s dynamic pricing strategy enhances market responsiveness, it also raises ethical questions regarding consumer trust and perceived fairness. The company strives to balance profitability with accessibility, particularly as it introduces more affordable models.</w:t>
      </w:r>
    </w:p>
    <w:p w14:paraId="27C98744" w14:textId="77777777" w:rsidR="00FF6366" w:rsidRPr="00FF6366" w:rsidRDefault="00FF6366" w:rsidP="00FF6366">
      <w:pPr>
        <w:numPr>
          <w:ilvl w:val="0"/>
          <w:numId w:val="1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Responsible Sourcing:</w:t>
      </w:r>
      <w:r w:rsidRPr="00FF6366">
        <w:rPr>
          <w:rFonts w:ascii="Times New Roman" w:hAnsi="Times New Roman" w:cs="Times New Roman"/>
          <w:sz w:val="24"/>
          <w:szCs w:val="24"/>
          <w:lang w:val="ro-RO"/>
        </w:rPr>
        <w:t xml:space="preserve"> Tesla adheres to the Organization for Economic Co-operation and Development (OECD) Due Diligence Guidelines for responsible mineral sourcing, aiming to eliminate conflict minerals and ensure ethical supply chains.</w:t>
      </w:r>
    </w:p>
    <w:p w14:paraId="7957128B" w14:textId="77777777" w:rsidR="00FF6366" w:rsidRPr="00FF6366" w:rsidRDefault="00FF6366" w:rsidP="00FF6366">
      <w:pPr>
        <w:numPr>
          <w:ilvl w:val="0"/>
          <w:numId w:val="1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Customer Impact:</w:t>
      </w:r>
      <w:r w:rsidRPr="00FF6366">
        <w:rPr>
          <w:rFonts w:ascii="Times New Roman" w:hAnsi="Times New Roman" w:cs="Times New Roman"/>
          <w:sz w:val="24"/>
          <w:szCs w:val="24"/>
          <w:lang w:val="ro-RO"/>
        </w:rPr>
        <w:t xml:space="preserve"> Price cuts in 2023–2024 made EVs more accessible but also affected resale values and customer trust. Management accounting teams assess the long-term impact of such decisions on brand loyalty and customer satisfaction.</w:t>
      </w:r>
    </w:p>
    <w:p w14:paraId="1C6F4C58" w14:textId="77777777" w:rsidR="00FF6366" w:rsidRPr="00FF6366" w:rsidRDefault="00FF6366" w:rsidP="00FF6366">
      <w:pPr>
        <w:numPr>
          <w:ilvl w:val="0"/>
          <w:numId w:val="16"/>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Regulatory Compliance:</w:t>
      </w:r>
      <w:r w:rsidRPr="00FF6366">
        <w:rPr>
          <w:rFonts w:ascii="Times New Roman" w:hAnsi="Times New Roman" w:cs="Times New Roman"/>
          <w:sz w:val="24"/>
          <w:szCs w:val="24"/>
          <w:lang w:val="ro-RO"/>
        </w:rPr>
        <w:t xml:space="preserve"> Tesla’s management accounting function ensures compliance with global regulations on emissions, safety, and data privacy, supporting ethical business conduct and risk mitigation.</w:t>
      </w:r>
    </w:p>
    <w:p w14:paraId="74D08A88" w14:textId="39ABE7A0" w:rsidR="00FF6366" w:rsidRDefault="00FF6366" w:rsidP="00FF6366">
      <w:pPr>
        <w:spacing w:line="360" w:lineRule="auto"/>
        <w:jc w:val="both"/>
        <w:rPr>
          <w:rFonts w:ascii="Times New Roman" w:hAnsi="Times New Roman" w:cs="Times New Roman"/>
          <w:sz w:val="24"/>
          <w:szCs w:val="24"/>
          <w:lang w:val="ro-RO"/>
        </w:rPr>
      </w:pPr>
    </w:p>
    <w:p w14:paraId="6B1A7823" w14:textId="77777777" w:rsidR="006E74DB" w:rsidRDefault="006E74DB" w:rsidP="00FF6366">
      <w:pPr>
        <w:spacing w:line="360" w:lineRule="auto"/>
        <w:jc w:val="both"/>
        <w:rPr>
          <w:rFonts w:ascii="Times New Roman" w:hAnsi="Times New Roman" w:cs="Times New Roman"/>
          <w:sz w:val="24"/>
          <w:szCs w:val="24"/>
          <w:lang w:val="ro-RO"/>
        </w:rPr>
      </w:pPr>
    </w:p>
    <w:p w14:paraId="50480869" w14:textId="77777777" w:rsidR="006E74DB" w:rsidRDefault="006E74DB" w:rsidP="00FF6366">
      <w:pPr>
        <w:spacing w:line="360" w:lineRule="auto"/>
        <w:jc w:val="both"/>
        <w:rPr>
          <w:rFonts w:ascii="Times New Roman" w:hAnsi="Times New Roman" w:cs="Times New Roman"/>
          <w:sz w:val="24"/>
          <w:szCs w:val="24"/>
          <w:lang w:val="ro-RO"/>
        </w:rPr>
      </w:pPr>
    </w:p>
    <w:p w14:paraId="62932DEC" w14:textId="77777777" w:rsidR="006E74DB" w:rsidRDefault="006E74DB" w:rsidP="00FF6366">
      <w:pPr>
        <w:spacing w:line="360" w:lineRule="auto"/>
        <w:jc w:val="both"/>
        <w:rPr>
          <w:rFonts w:ascii="Times New Roman" w:hAnsi="Times New Roman" w:cs="Times New Roman"/>
          <w:sz w:val="24"/>
          <w:szCs w:val="24"/>
          <w:lang w:val="ro-RO"/>
        </w:rPr>
      </w:pPr>
    </w:p>
    <w:p w14:paraId="47330B12" w14:textId="77777777" w:rsidR="006E74DB" w:rsidRDefault="006E74DB" w:rsidP="00FF6366">
      <w:pPr>
        <w:spacing w:line="360" w:lineRule="auto"/>
        <w:jc w:val="both"/>
        <w:rPr>
          <w:rFonts w:ascii="Times New Roman" w:hAnsi="Times New Roman" w:cs="Times New Roman"/>
          <w:sz w:val="24"/>
          <w:szCs w:val="24"/>
          <w:lang w:val="ro-RO"/>
        </w:rPr>
      </w:pPr>
    </w:p>
    <w:p w14:paraId="0A1D9584" w14:textId="77777777" w:rsidR="006E74DB" w:rsidRDefault="006E74DB" w:rsidP="00FF6366">
      <w:pPr>
        <w:spacing w:line="360" w:lineRule="auto"/>
        <w:jc w:val="both"/>
        <w:rPr>
          <w:rFonts w:ascii="Times New Roman" w:hAnsi="Times New Roman" w:cs="Times New Roman"/>
          <w:sz w:val="24"/>
          <w:szCs w:val="24"/>
          <w:lang w:val="ro-RO"/>
        </w:rPr>
      </w:pPr>
    </w:p>
    <w:p w14:paraId="3D556364" w14:textId="77777777" w:rsidR="006E74DB" w:rsidRPr="00FF6366" w:rsidRDefault="006E74DB" w:rsidP="00FF6366">
      <w:pPr>
        <w:spacing w:line="360" w:lineRule="auto"/>
        <w:jc w:val="both"/>
        <w:rPr>
          <w:rFonts w:ascii="Times New Roman" w:hAnsi="Times New Roman" w:cs="Times New Roman"/>
          <w:sz w:val="24"/>
          <w:szCs w:val="24"/>
          <w:lang w:val="ro-RO"/>
        </w:rPr>
      </w:pPr>
    </w:p>
    <w:p w14:paraId="7F5F76F1" w14:textId="452508D2" w:rsidR="00FF6366" w:rsidRDefault="003975D6" w:rsidP="003975D6">
      <w:pPr>
        <w:pStyle w:val="Heading1"/>
        <w:jc w:val="center"/>
        <w:rPr>
          <w:rFonts w:ascii="Times New Roman" w:hAnsi="Times New Roman" w:cs="Times New Roman"/>
          <w:b/>
          <w:bCs/>
          <w:sz w:val="36"/>
          <w:szCs w:val="36"/>
          <w:lang w:val="ro-RO"/>
        </w:rPr>
      </w:pPr>
      <w:bookmarkStart w:id="20" w:name="_Toc214647671"/>
      <w:r w:rsidRPr="003975D6">
        <w:rPr>
          <w:rFonts w:ascii="Times New Roman" w:hAnsi="Times New Roman" w:cs="Times New Roman"/>
          <w:b/>
          <w:bCs/>
          <w:sz w:val="36"/>
          <w:szCs w:val="36"/>
          <w:lang w:val="ro-RO"/>
        </w:rPr>
        <w:lastRenderedPageBreak/>
        <w:t>CONCLUSION AND RECOMMENDATIONS</w:t>
      </w:r>
      <w:bookmarkEnd w:id="20"/>
    </w:p>
    <w:p w14:paraId="22471CA0" w14:textId="77777777" w:rsidR="006E74DB" w:rsidRPr="006E74DB" w:rsidRDefault="006E74DB" w:rsidP="006E74DB">
      <w:pPr>
        <w:rPr>
          <w:lang w:val="ro-RO"/>
        </w:rPr>
      </w:pPr>
    </w:p>
    <w:p w14:paraId="0C62FF5A" w14:textId="77777777" w:rsidR="00FF6366" w:rsidRPr="006E74DB" w:rsidRDefault="00FF6366" w:rsidP="006E74DB">
      <w:pPr>
        <w:pStyle w:val="Heading2"/>
        <w:rPr>
          <w:rFonts w:ascii="Times New Roman" w:hAnsi="Times New Roman" w:cs="Times New Roman"/>
          <w:lang w:val="ro-RO"/>
        </w:rPr>
      </w:pPr>
      <w:bookmarkStart w:id="21" w:name="_Toc214647672"/>
      <w:r w:rsidRPr="006E74DB">
        <w:rPr>
          <w:rFonts w:ascii="Times New Roman" w:hAnsi="Times New Roman" w:cs="Times New Roman"/>
          <w:lang w:val="ro-RO"/>
        </w:rPr>
        <w:t>Summary of Key Findings</w:t>
      </w:r>
      <w:bookmarkEnd w:id="21"/>
    </w:p>
    <w:p w14:paraId="4CEAE6A7" w14:textId="77777777" w:rsidR="00FF6366" w:rsidRPr="00FF6366" w:rsidRDefault="00FF6366" w:rsidP="00FF6366">
      <w:pPr>
        <w:spacing w:line="360" w:lineRule="auto"/>
        <w:jc w:val="both"/>
        <w:rPr>
          <w:rFonts w:ascii="Times New Roman" w:hAnsi="Times New Roman" w:cs="Times New Roman"/>
          <w:sz w:val="24"/>
          <w:szCs w:val="24"/>
          <w:lang w:val="ro-RO"/>
        </w:rPr>
      </w:pPr>
      <w:r w:rsidRPr="00FF6366">
        <w:rPr>
          <w:rFonts w:ascii="Times New Roman" w:hAnsi="Times New Roman" w:cs="Times New Roman"/>
          <w:sz w:val="24"/>
          <w:szCs w:val="24"/>
          <w:lang w:val="ro-RO"/>
        </w:rPr>
        <w:t>Tesla’s use of management accounting tools and techniques is integral to its ability to navigate a rapidly evolving industry landscape, characterized by technological disruption, regulatory complexity, and intense competition. The company’s approach to cost analysis, budgeting, performance measurement, and sustainability integration reflects a commitment to innovation, operational efficiency, and ethical responsibility.</w:t>
      </w:r>
    </w:p>
    <w:p w14:paraId="6A9F6F07" w14:textId="77777777" w:rsidR="00FF6366" w:rsidRPr="00FF6366" w:rsidRDefault="00FF6366" w:rsidP="00FF6366">
      <w:pPr>
        <w:numPr>
          <w:ilvl w:val="0"/>
          <w:numId w:val="1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Cost Analysis:</w:t>
      </w:r>
      <w:r w:rsidRPr="00FF6366">
        <w:rPr>
          <w:rFonts w:ascii="Times New Roman" w:hAnsi="Times New Roman" w:cs="Times New Roman"/>
          <w:sz w:val="24"/>
          <w:szCs w:val="24"/>
          <w:lang w:val="ro-RO"/>
        </w:rPr>
        <w:t xml:space="preserve"> Tesla’s adoption of activity-based costing and vertical integration enhances cost transparency and supports informed decision-making on product mix, pricing, and resource allocation.</w:t>
      </w:r>
    </w:p>
    <w:p w14:paraId="017361FF" w14:textId="77777777" w:rsidR="00FF6366" w:rsidRPr="00FF6366" w:rsidRDefault="00FF6366" w:rsidP="00FF6366">
      <w:pPr>
        <w:numPr>
          <w:ilvl w:val="0"/>
          <w:numId w:val="1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Budgeting and Financial Planning:</w:t>
      </w:r>
      <w:r w:rsidRPr="00FF6366">
        <w:rPr>
          <w:rFonts w:ascii="Times New Roman" w:hAnsi="Times New Roman" w:cs="Times New Roman"/>
          <w:sz w:val="24"/>
          <w:szCs w:val="24"/>
          <w:lang w:val="ro-RO"/>
        </w:rPr>
        <w:t xml:space="preserve"> Scenario-based forecasting and rolling CapEx strategies enable agile responses to market and technological changes, while robust cash flow management funds ongoing innovation.</w:t>
      </w:r>
    </w:p>
    <w:p w14:paraId="4283302E" w14:textId="77777777" w:rsidR="00FF6366" w:rsidRPr="00FF6366" w:rsidRDefault="00FF6366" w:rsidP="00FF6366">
      <w:pPr>
        <w:numPr>
          <w:ilvl w:val="0"/>
          <w:numId w:val="1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Performance Measurement:</w:t>
      </w:r>
      <w:r w:rsidRPr="00FF6366">
        <w:rPr>
          <w:rFonts w:ascii="Times New Roman" w:hAnsi="Times New Roman" w:cs="Times New Roman"/>
          <w:sz w:val="24"/>
          <w:szCs w:val="24"/>
          <w:lang w:val="ro-RO"/>
        </w:rPr>
        <w:t xml:space="preserve"> A comprehensive set of financial and non-financial KPIs, integrated into a balanced scorecard framework, drives continuous improvement and strategic alignment.</w:t>
      </w:r>
    </w:p>
    <w:p w14:paraId="3DDC258F" w14:textId="77777777" w:rsidR="00FF6366" w:rsidRPr="00FF6366" w:rsidRDefault="00FF6366" w:rsidP="00FF6366">
      <w:pPr>
        <w:numPr>
          <w:ilvl w:val="0"/>
          <w:numId w:val="17"/>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Sustainability and Ethics:</w:t>
      </w:r>
      <w:r w:rsidRPr="00FF6366">
        <w:rPr>
          <w:rFonts w:ascii="Times New Roman" w:hAnsi="Times New Roman" w:cs="Times New Roman"/>
          <w:sz w:val="24"/>
          <w:szCs w:val="24"/>
          <w:lang w:val="ro-RO"/>
        </w:rPr>
        <w:t xml:space="preserve"> ESG considerations are embedded in financial decision-making, with a focus on responsible sourcing, factory efficiency, and fair labor practices.</w:t>
      </w:r>
    </w:p>
    <w:p w14:paraId="4199C3E1" w14:textId="77777777" w:rsidR="00FF6366" w:rsidRPr="006E74DB" w:rsidRDefault="00FF6366" w:rsidP="006E74DB">
      <w:pPr>
        <w:pStyle w:val="Heading2"/>
        <w:rPr>
          <w:rFonts w:ascii="Times New Roman" w:hAnsi="Times New Roman" w:cs="Times New Roman"/>
          <w:lang w:val="ro-RO"/>
        </w:rPr>
      </w:pPr>
      <w:bookmarkStart w:id="22" w:name="_Toc214647673"/>
      <w:r w:rsidRPr="006E74DB">
        <w:rPr>
          <w:rFonts w:ascii="Times New Roman" w:hAnsi="Times New Roman" w:cs="Times New Roman"/>
          <w:lang w:val="ro-RO"/>
        </w:rPr>
        <w:t>Recommendations Based on Management Accounting Principles</w:t>
      </w:r>
      <w:bookmarkEnd w:id="22"/>
    </w:p>
    <w:p w14:paraId="42FC5BEA" w14:textId="77777777" w:rsidR="00FF6366" w:rsidRPr="00FF6366" w:rsidRDefault="00FF6366" w:rsidP="00FF6366">
      <w:pPr>
        <w:numPr>
          <w:ilvl w:val="0"/>
          <w:numId w:val="18"/>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Enhance Variance Analysis and Scenario Planning:</w:t>
      </w:r>
      <w:r w:rsidRPr="00FF6366">
        <w:rPr>
          <w:rFonts w:ascii="Times New Roman" w:hAnsi="Times New Roman" w:cs="Times New Roman"/>
          <w:sz w:val="24"/>
          <w:szCs w:val="24"/>
          <w:lang w:val="ro-RO"/>
        </w:rPr>
        <w:t xml:space="preserve"> Tesla should further develop its variance analysis capabilities to better understand the impact of dynamic pricing, cost fluctuations, and external shocks (e.g., tariffs, supply chain disruptions) on margins and customer acquisition. Advanced scenario planning tools can support proactive risk management and strategic agility.</w:t>
      </w:r>
    </w:p>
    <w:p w14:paraId="665EFD4B" w14:textId="77777777" w:rsidR="00FF6366" w:rsidRPr="00FF6366" w:rsidRDefault="00FF6366" w:rsidP="00FF6366">
      <w:pPr>
        <w:numPr>
          <w:ilvl w:val="0"/>
          <w:numId w:val="18"/>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t>Expand Activity-Based Costing Across Product Lines:</w:t>
      </w:r>
      <w:r w:rsidRPr="00FF6366">
        <w:rPr>
          <w:rFonts w:ascii="Times New Roman" w:hAnsi="Times New Roman" w:cs="Times New Roman"/>
          <w:sz w:val="24"/>
          <w:szCs w:val="24"/>
          <w:lang w:val="ro-RO"/>
        </w:rPr>
        <w:t xml:space="preserve"> Broader implementation of ABC will improve cost transparency for emerging business segments (e.g., energy storage, AI services) and support more accurate profitability analysis, enabling better resource allocation and investment decisions.</w:t>
      </w:r>
    </w:p>
    <w:p w14:paraId="6528058E" w14:textId="77777777" w:rsidR="00FF6366" w:rsidRPr="00FF6366" w:rsidRDefault="00FF6366" w:rsidP="00FF6366">
      <w:pPr>
        <w:numPr>
          <w:ilvl w:val="0"/>
          <w:numId w:val="18"/>
        </w:numPr>
        <w:spacing w:line="360" w:lineRule="auto"/>
        <w:jc w:val="both"/>
        <w:rPr>
          <w:rFonts w:ascii="Times New Roman" w:hAnsi="Times New Roman" w:cs="Times New Roman"/>
          <w:sz w:val="24"/>
          <w:szCs w:val="24"/>
          <w:lang w:val="ro-RO"/>
        </w:rPr>
      </w:pPr>
      <w:r w:rsidRPr="00FF6366">
        <w:rPr>
          <w:rFonts w:ascii="Times New Roman" w:hAnsi="Times New Roman" w:cs="Times New Roman"/>
          <w:b/>
          <w:bCs/>
          <w:sz w:val="24"/>
          <w:szCs w:val="24"/>
          <w:lang w:val="ro-RO"/>
        </w:rPr>
        <w:lastRenderedPageBreak/>
        <w:t>Strengthen the Linkage Between Non-Financial KPIs and Financial Outcomes:</w:t>
      </w:r>
      <w:r w:rsidRPr="00FF6366">
        <w:rPr>
          <w:rFonts w:ascii="Times New Roman" w:hAnsi="Times New Roman" w:cs="Times New Roman"/>
          <w:sz w:val="24"/>
          <w:szCs w:val="24"/>
          <w:lang w:val="ro-RO"/>
        </w:rPr>
        <w:t xml:space="preserve"> By deepening the integration of sustainability and customer satisfaction metrics into the balanced scorecard, Tesla can more effectively align ESG performance with financial objectives, enhancing long-term value creation and stakeholder trust.</w:t>
      </w:r>
    </w:p>
    <w:p w14:paraId="4B69F439" w14:textId="3F97E50C" w:rsidR="00FF6366" w:rsidRPr="00FF6366" w:rsidRDefault="00FF6366" w:rsidP="00FF6366">
      <w:pPr>
        <w:spacing w:line="360" w:lineRule="auto"/>
        <w:jc w:val="both"/>
        <w:rPr>
          <w:rFonts w:ascii="Times New Roman" w:hAnsi="Times New Roman" w:cs="Times New Roman"/>
          <w:sz w:val="24"/>
          <w:szCs w:val="24"/>
          <w:lang w:val="ro-RO"/>
        </w:rPr>
      </w:pPr>
    </w:p>
    <w:p w14:paraId="62CEF5AF" w14:textId="77777777" w:rsidR="00EC47EF" w:rsidRDefault="00EC47EF" w:rsidP="00FF6366">
      <w:pPr>
        <w:spacing w:line="360" w:lineRule="auto"/>
        <w:jc w:val="both"/>
        <w:rPr>
          <w:rFonts w:ascii="Times New Roman" w:hAnsi="Times New Roman" w:cs="Times New Roman"/>
          <w:sz w:val="24"/>
          <w:szCs w:val="24"/>
        </w:rPr>
      </w:pPr>
    </w:p>
    <w:p w14:paraId="09B94A83" w14:textId="77777777" w:rsidR="00094FD6" w:rsidRDefault="00094FD6" w:rsidP="00FF6366">
      <w:pPr>
        <w:spacing w:line="360" w:lineRule="auto"/>
        <w:jc w:val="both"/>
        <w:rPr>
          <w:rFonts w:ascii="Times New Roman" w:hAnsi="Times New Roman" w:cs="Times New Roman"/>
          <w:sz w:val="24"/>
          <w:szCs w:val="24"/>
        </w:rPr>
      </w:pPr>
    </w:p>
    <w:p w14:paraId="64811041" w14:textId="77777777" w:rsidR="00094FD6" w:rsidRDefault="00094FD6" w:rsidP="00FF6366">
      <w:pPr>
        <w:spacing w:line="360" w:lineRule="auto"/>
        <w:jc w:val="both"/>
        <w:rPr>
          <w:rFonts w:ascii="Times New Roman" w:hAnsi="Times New Roman" w:cs="Times New Roman"/>
          <w:sz w:val="24"/>
          <w:szCs w:val="24"/>
        </w:rPr>
      </w:pPr>
    </w:p>
    <w:p w14:paraId="715DE23B" w14:textId="77777777" w:rsidR="00094FD6" w:rsidRDefault="00094FD6" w:rsidP="00FF6366">
      <w:pPr>
        <w:spacing w:line="360" w:lineRule="auto"/>
        <w:jc w:val="both"/>
        <w:rPr>
          <w:rFonts w:ascii="Times New Roman" w:hAnsi="Times New Roman" w:cs="Times New Roman"/>
          <w:sz w:val="24"/>
          <w:szCs w:val="24"/>
        </w:rPr>
      </w:pPr>
    </w:p>
    <w:p w14:paraId="1C3C1DD4" w14:textId="77777777" w:rsidR="00094FD6" w:rsidRDefault="00094FD6" w:rsidP="00FF6366">
      <w:pPr>
        <w:spacing w:line="360" w:lineRule="auto"/>
        <w:jc w:val="both"/>
        <w:rPr>
          <w:rFonts w:ascii="Times New Roman" w:hAnsi="Times New Roman" w:cs="Times New Roman"/>
          <w:sz w:val="24"/>
          <w:szCs w:val="24"/>
        </w:rPr>
      </w:pPr>
    </w:p>
    <w:p w14:paraId="47C68180" w14:textId="77777777" w:rsidR="00094FD6" w:rsidRDefault="00094FD6" w:rsidP="00FF6366">
      <w:pPr>
        <w:spacing w:line="360" w:lineRule="auto"/>
        <w:jc w:val="both"/>
        <w:rPr>
          <w:rFonts w:ascii="Times New Roman" w:hAnsi="Times New Roman" w:cs="Times New Roman"/>
          <w:sz w:val="24"/>
          <w:szCs w:val="24"/>
        </w:rPr>
      </w:pPr>
    </w:p>
    <w:p w14:paraId="5DFC6CAA" w14:textId="77777777" w:rsidR="00094FD6" w:rsidRDefault="00094FD6" w:rsidP="00FF6366">
      <w:pPr>
        <w:spacing w:line="360" w:lineRule="auto"/>
        <w:jc w:val="both"/>
        <w:rPr>
          <w:rFonts w:ascii="Times New Roman" w:hAnsi="Times New Roman" w:cs="Times New Roman"/>
          <w:sz w:val="24"/>
          <w:szCs w:val="24"/>
        </w:rPr>
      </w:pPr>
    </w:p>
    <w:p w14:paraId="6517BDB0" w14:textId="77777777" w:rsidR="00094FD6" w:rsidRDefault="00094FD6" w:rsidP="00FF6366">
      <w:pPr>
        <w:spacing w:line="360" w:lineRule="auto"/>
        <w:jc w:val="both"/>
        <w:rPr>
          <w:rFonts w:ascii="Times New Roman" w:hAnsi="Times New Roman" w:cs="Times New Roman"/>
          <w:sz w:val="24"/>
          <w:szCs w:val="24"/>
        </w:rPr>
      </w:pPr>
    </w:p>
    <w:p w14:paraId="394561D4" w14:textId="77777777" w:rsidR="00094FD6" w:rsidRDefault="00094FD6" w:rsidP="00FF6366">
      <w:pPr>
        <w:spacing w:line="360" w:lineRule="auto"/>
        <w:jc w:val="both"/>
        <w:rPr>
          <w:rFonts w:ascii="Times New Roman" w:hAnsi="Times New Roman" w:cs="Times New Roman"/>
          <w:sz w:val="24"/>
          <w:szCs w:val="24"/>
        </w:rPr>
      </w:pPr>
    </w:p>
    <w:p w14:paraId="2923CFC6" w14:textId="77777777" w:rsidR="00094FD6" w:rsidRDefault="00094FD6" w:rsidP="00FF6366">
      <w:pPr>
        <w:spacing w:line="360" w:lineRule="auto"/>
        <w:jc w:val="both"/>
        <w:rPr>
          <w:rFonts w:ascii="Times New Roman" w:hAnsi="Times New Roman" w:cs="Times New Roman"/>
          <w:sz w:val="24"/>
          <w:szCs w:val="24"/>
        </w:rPr>
      </w:pPr>
    </w:p>
    <w:p w14:paraId="76FD92BA" w14:textId="77777777" w:rsidR="00094FD6" w:rsidRDefault="00094FD6" w:rsidP="00FF6366">
      <w:pPr>
        <w:spacing w:line="360" w:lineRule="auto"/>
        <w:jc w:val="both"/>
        <w:rPr>
          <w:rFonts w:ascii="Times New Roman" w:hAnsi="Times New Roman" w:cs="Times New Roman"/>
          <w:sz w:val="24"/>
          <w:szCs w:val="24"/>
        </w:rPr>
      </w:pPr>
    </w:p>
    <w:p w14:paraId="195B4A20" w14:textId="77777777" w:rsidR="00094FD6" w:rsidRDefault="00094FD6" w:rsidP="00FF6366">
      <w:pPr>
        <w:spacing w:line="360" w:lineRule="auto"/>
        <w:jc w:val="both"/>
        <w:rPr>
          <w:rFonts w:ascii="Times New Roman" w:hAnsi="Times New Roman" w:cs="Times New Roman"/>
          <w:sz w:val="24"/>
          <w:szCs w:val="24"/>
        </w:rPr>
      </w:pPr>
    </w:p>
    <w:p w14:paraId="10525491" w14:textId="77777777" w:rsidR="00094FD6" w:rsidRDefault="00094FD6" w:rsidP="00FF6366">
      <w:pPr>
        <w:spacing w:line="360" w:lineRule="auto"/>
        <w:jc w:val="both"/>
        <w:rPr>
          <w:rFonts w:ascii="Times New Roman" w:hAnsi="Times New Roman" w:cs="Times New Roman"/>
          <w:sz w:val="24"/>
          <w:szCs w:val="24"/>
        </w:rPr>
      </w:pPr>
    </w:p>
    <w:p w14:paraId="5648E295" w14:textId="77777777" w:rsidR="00094FD6" w:rsidRDefault="00094FD6" w:rsidP="00FF6366">
      <w:pPr>
        <w:spacing w:line="360" w:lineRule="auto"/>
        <w:jc w:val="both"/>
        <w:rPr>
          <w:rFonts w:ascii="Times New Roman" w:hAnsi="Times New Roman" w:cs="Times New Roman"/>
          <w:sz w:val="24"/>
          <w:szCs w:val="24"/>
        </w:rPr>
      </w:pPr>
    </w:p>
    <w:p w14:paraId="5D13B73F" w14:textId="77777777" w:rsidR="00094FD6" w:rsidRDefault="00094FD6" w:rsidP="00FF6366">
      <w:pPr>
        <w:spacing w:line="360" w:lineRule="auto"/>
        <w:jc w:val="both"/>
        <w:rPr>
          <w:rFonts w:ascii="Times New Roman" w:hAnsi="Times New Roman" w:cs="Times New Roman"/>
          <w:sz w:val="24"/>
          <w:szCs w:val="24"/>
        </w:rPr>
      </w:pPr>
    </w:p>
    <w:p w14:paraId="6D62FBC6" w14:textId="77777777" w:rsidR="00094FD6" w:rsidRDefault="00094FD6" w:rsidP="00FF6366">
      <w:pPr>
        <w:spacing w:line="360" w:lineRule="auto"/>
        <w:jc w:val="both"/>
        <w:rPr>
          <w:rFonts w:ascii="Times New Roman" w:hAnsi="Times New Roman" w:cs="Times New Roman"/>
          <w:sz w:val="24"/>
          <w:szCs w:val="24"/>
        </w:rPr>
      </w:pPr>
    </w:p>
    <w:p w14:paraId="07ED1273" w14:textId="77777777" w:rsidR="00094FD6" w:rsidRDefault="00094FD6" w:rsidP="00FF6366">
      <w:pPr>
        <w:spacing w:line="360" w:lineRule="auto"/>
        <w:jc w:val="both"/>
        <w:rPr>
          <w:rFonts w:ascii="Times New Roman" w:hAnsi="Times New Roman" w:cs="Times New Roman"/>
          <w:sz w:val="24"/>
          <w:szCs w:val="24"/>
        </w:rPr>
      </w:pPr>
    </w:p>
    <w:p w14:paraId="1528156A" w14:textId="77777777" w:rsidR="00094FD6" w:rsidRDefault="00094FD6" w:rsidP="00FF6366">
      <w:pPr>
        <w:spacing w:line="360" w:lineRule="auto"/>
        <w:jc w:val="both"/>
        <w:rPr>
          <w:rFonts w:ascii="Times New Roman" w:hAnsi="Times New Roman" w:cs="Times New Roman"/>
          <w:sz w:val="24"/>
          <w:szCs w:val="24"/>
        </w:rPr>
      </w:pPr>
    </w:p>
    <w:p w14:paraId="15526931" w14:textId="77777777" w:rsidR="00094FD6" w:rsidRDefault="00094FD6" w:rsidP="00FF6366">
      <w:pPr>
        <w:spacing w:line="360" w:lineRule="auto"/>
        <w:jc w:val="both"/>
        <w:rPr>
          <w:rFonts w:ascii="Times New Roman" w:hAnsi="Times New Roman" w:cs="Times New Roman"/>
          <w:sz w:val="24"/>
          <w:szCs w:val="24"/>
        </w:rPr>
      </w:pPr>
    </w:p>
    <w:p w14:paraId="57AB006C" w14:textId="77777777" w:rsidR="00094FD6" w:rsidRDefault="00094FD6" w:rsidP="00FF6366">
      <w:pPr>
        <w:spacing w:line="360" w:lineRule="auto"/>
        <w:jc w:val="both"/>
        <w:rPr>
          <w:rFonts w:ascii="Times New Roman" w:hAnsi="Times New Roman" w:cs="Times New Roman"/>
          <w:sz w:val="24"/>
          <w:szCs w:val="24"/>
        </w:rPr>
      </w:pPr>
    </w:p>
    <w:p w14:paraId="570CDCE5" w14:textId="0FAB3A02" w:rsidR="00094FD6" w:rsidRDefault="00094FD6" w:rsidP="00094FD6">
      <w:pPr>
        <w:pStyle w:val="Heading1"/>
        <w:jc w:val="center"/>
        <w:rPr>
          <w:rFonts w:ascii="Times New Roman" w:hAnsi="Times New Roman" w:cs="Times New Roman"/>
          <w:b/>
          <w:bCs/>
          <w:sz w:val="36"/>
          <w:szCs w:val="36"/>
        </w:rPr>
      </w:pPr>
      <w:bookmarkStart w:id="23" w:name="_Toc214647674"/>
      <w:r>
        <w:rPr>
          <w:rFonts w:ascii="Times New Roman" w:hAnsi="Times New Roman" w:cs="Times New Roman"/>
          <w:b/>
          <w:bCs/>
          <w:sz w:val="36"/>
          <w:szCs w:val="36"/>
        </w:rPr>
        <w:lastRenderedPageBreak/>
        <w:t>REFERENCES</w:t>
      </w:r>
      <w:bookmarkEnd w:id="23"/>
    </w:p>
    <w:p w14:paraId="300A6A31" w14:textId="667E76ED" w:rsidR="000B1726" w:rsidRPr="000B1726" w:rsidRDefault="000B1726" w:rsidP="000B1726">
      <w:pPr>
        <w:rPr>
          <w:lang w:val="ro-RO"/>
        </w:rPr>
      </w:pPr>
    </w:p>
    <w:p w14:paraId="2CB41A12" w14:textId="2614AA5A"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Tesla Inc. (2024) Impact Report 2023: Sustainability and ESG initiatives. Available at: </w:t>
      </w:r>
      <w:hyperlink r:id="rId8" w:history="1">
        <w:r w:rsidRPr="008A7F8F">
          <w:rPr>
            <w:rStyle w:val="Hyperlink"/>
            <w:rFonts w:ascii="Times New Roman" w:hAnsi="Times New Roman" w:cs="Times New Roman"/>
            <w:sz w:val="24"/>
            <w:szCs w:val="24"/>
            <w:lang w:val="ro-RO"/>
          </w:rPr>
          <w:t>https://www.tesla.com/impact-report</w:t>
        </w:r>
      </w:hyperlink>
      <w:r w:rsidRPr="008A7F8F">
        <w:rPr>
          <w:rFonts w:ascii="Times New Roman" w:hAnsi="Times New Roman" w:cs="Times New Roman"/>
          <w:sz w:val="24"/>
          <w:szCs w:val="24"/>
          <w:lang w:val="ro-RO"/>
        </w:rPr>
        <w:t xml:space="preserve"> </w:t>
      </w:r>
    </w:p>
    <w:p w14:paraId="14590187" w14:textId="5601E1AE"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Yahoo Finance (2025) Tesla, Inc. (TSLA) Financials. Available at: </w:t>
      </w:r>
      <w:hyperlink r:id="rId9" w:history="1">
        <w:r w:rsidRPr="008A7F8F">
          <w:rPr>
            <w:rStyle w:val="Hyperlink"/>
            <w:rFonts w:ascii="Times New Roman" w:hAnsi="Times New Roman" w:cs="Times New Roman"/>
            <w:sz w:val="24"/>
            <w:szCs w:val="24"/>
            <w:lang w:val="ro-RO"/>
          </w:rPr>
          <w:t>https://finance.yahoo.com/quote/TSLA</w:t>
        </w:r>
      </w:hyperlink>
      <w:r w:rsidRPr="008A7F8F">
        <w:rPr>
          <w:rFonts w:ascii="Times New Roman" w:hAnsi="Times New Roman" w:cs="Times New Roman"/>
          <w:sz w:val="24"/>
          <w:szCs w:val="24"/>
          <w:lang w:val="ro-RO"/>
        </w:rPr>
        <w:t xml:space="preserve"> </w:t>
      </w:r>
    </w:p>
    <w:p w14:paraId="359C5B7B" w14:textId="094AF9A7"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Google Finance (2025) Tesla, Inc. Stock and Financial Data. Available at: </w:t>
      </w:r>
      <w:hyperlink r:id="rId10" w:history="1">
        <w:r w:rsidRPr="008A7F8F">
          <w:rPr>
            <w:rStyle w:val="Hyperlink"/>
            <w:rFonts w:ascii="Times New Roman" w:hAnsi="Times New Roman" w:cs="Times New Roman"/>
            <w:sz w:val="24"/>
            <w:szCs w:val="24"/>
            <w:lang w:val="ro-RO"/>
          </w:rPr>
          <w:t>https://www.google.com/finance/quote/TSLA:NASDAQ</w:t>
        </w:r>
      </w:hyperlink>
      <w:r w:rsidRPr="008A7F8F">
        <w:rPr>
          <w:rFonts w:ascii="Times New Roman" w:hAnsi="Times New Roman" w:cs="Times New Roman"/>
          <w:sz w:val="24"/>
          <w:szCs w:val="24"/>
          <w:lang w:val="ro-RO"/>
        </w:rPr>
        <w:t xml:space="preserve"> </w:t>
      </w:r>
    </w:p>
    <w:p w14:paraId="4A6E4371" w14:textId="7BFEC82A"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Statista (2025) Tesla revenue breakdown by segment. Available at: </w:t>
      </w:r>
      <w:hyperlink r:id="rId11" w:history="1">
        <w:r w:rsidRPr="008A7F8F">
          <w:rPr>
            <w:rStyle w:val="Hyperlink"/>
            <w:rFonts w:ascii="Times New Roman" w:hAnsi="Times New Roman" w:cs="Times New Roman"/>
            <w:sz w:val="24"/>
            <w:szCs w:val="24"/>
            <w:lang w:val="ro-RO"/>
          </w:rPr>
          <w:t>https://www.statista.com/statistics/272120/revenue-of-tesla/</w:t>
        </w:r>
      </w:hyperlink>
      <w:r w:rsidRPr="008A7F8F">
        <w:rPr>
          <w:rFonts w:ascii="Times New Roman" w:hAnsi="Times New Roman" w:cs="Times New Roman"/>
          <w:sz w:val="24"/>
          <w:szCs w:val="24"/>
          <w:lang w:val="ro-RO"/>
        </w:rPr>
        <w:t xml:space="preserve"> </w:t>
      </w:r>
    </w:p>
    <w:p w14:paraId="031E2404" w14:textId="7AC7C9AE"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International Federation of Accountants (IFAC) (2023) The role of management accounting in decision-making. Available at: </w:t>
      </w:r>
      <w:hyperlink r:id="rId12" w:history="1">
        <w:r w:rsidRPr="008A7F8F">
          <w:rPr>
            <w:rStyle w:val="Hyperlink"/>
            <w:rFonts w:ascii="Times New Roman" w:hAnsi="Times New Roman" w:cs="Times New Roman"/>
            <w:sz w:val="24"/>
            <w:szCs w:val="24"/>
            <w:lang w:val="ro-RO"/>
          </w:rPr>
          <w:t>https://www.ifac.org</w:t>
        </w:r>
      </w:hyperlink>
      <w:r w:rsidRPr="008A7F8F">
        <w:rPr>
          <w:rFonts w:ascii="Times New Roman" w:hAnsi="Times New Roman" w:cs="Times New Roman"/>
          <w:sz w:val="24"/>
          <w:szCs w:val="24"/>
          <w:lang w:val="ro-RO"/>
        </w:rPr>
        <w:t xml:space="preserve"> </w:t>
      </w:r>
    </w:p>
    <w:p w14:paraId="36585863" w14:textId="52086435"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Harvard Business Review (2023) How Tesla makes money: Business model insights. Available at: </w:t>
      </w:r>
      <w:hyperlink r:id="rId13" w:history="1">
        <w:r w:rsidRPr="008A7F8F">
          <w:rPr>
            <w:rStyle w:val="Hyperlink"/>
            <w:rFonts w:ascii="Times New Roman" w:hAnsi="Times New Roman" w:cs="Times New Roman"/>
            <w:sz w:val="24"/>
            <w:szCs w:val="24"/>
            <w:lang w:val="ro-RO"/>
          </w:rPr>
          <w:t>https://hbr.org</w:t>
        </w:r>
      </w:hyperlink>
      <w:r w:rsidRPr="008A7F8F">
        <w:rPr>
          <w:rFonts w:ascii="Times New Roman" w:hAnsi="Times New Roman" w:cs="Times New Roman"/>
          <w:sz w:val="24"/>
          <w:szCs w:val="24"/>
          <w:lang w:val="ro-RO"/>
        </w:rPr>
        <w:t xml:space="preserve"> </w:t>
      </w:r>
    </w:p>
    <w:p w14:paraId="7643AAE0" w14:textId="3CEB9BBF"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Deloitte (2024) Budgeting and financial planning in modern corporations. Available at: </w:t>
      </w:r>
      <w:hyperlink r:id="rId14" w:history="1">
        <w:r w:rsidRPr="008A7F8F">
          <w:rPr>
            <w:rStyle w:val="Hyperlink"/>
            <w:rFonts w:ascii="Times New Roman" w:hAnsi="Times New Roman" w:cs="Times New Roman"/>
            <w:sz w:val="24"/>
            <w:szCs w:val="24"/>
            <w:lang w:val="ro-RO"/>
          </w:rPr>
          <w:t>https://www2.deloitte.com</w:t>
        </w:r>
      </w:hyperlink>
      <w:r w:rsidRPr="008A7F8F">
        <w:rPr>
          <w:rFonts w:ascii="Times New Roman" w:hAnsi="Times New Roman" w:cs="Times New Roman"/>
          <w:sz w:val="24"/>
          <w:szCs w:val="24"/>
          <w:lang w:val="ro-RO"/>
        </w:rPr>
        <w:t xml:space="preserve"> </w:t>
      </w:r>
    </w:p>
    <w:p w14:paraId="1CFF4D36" w14:textId="0C06D091"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McKinsey &amp; Company (2024) Performance measurement and KPIs in automotive industry. Available at: </w:t>
      </w:r>
      <w:hyperlink r:id="rId15" w:history="1">
        <w:r w:rsidRPr="008A7F8F">
          <w:rPr>
            <w:rStyle w:val="Hyperlink"/>
            <w:rFonts w:ascii="Times New Roman" w:hAnsi="Times New Roman" w:cs="Times New Roman"/>
            <w:sz w:val="24"/>
            <w:szCs w:val="24"/>
            <w:lang w:val="ro-RO"/>
          </w:rPr>
          <w:t>https://www.mckinsey.com</w:t>
        </w:r>
      </w:hyperlink>
      <w:r w:rsidRPr="008A7F8F">
        <w:rPr>
          <w:rFonts w:ascii="Times New Roman" w:hAnsi="Times New Roman" w:cs="Times New Roman"/>
          <w:sz w:val="24"/>
          <w:szCs w:val="24"/>
          <w:lang w:val="ro-RO"/>
        </w:rPr>
        <w:t xml:space="preserve"> </w:t>
      </w:r>
    </w:p>
    <w:p w14:paraId="0941D195" w14:textId="3ACC5B9C"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The Economist (2024) Ethical challenges in pricing strategies for EVs. Available at: </w:t>
      </w:r>
      <w:hyperlink r:id="rId16" w:history="1">
        <w:r w:rsidRPr="008A7F8F">
          <w:rPr>
            <w:rStyle w:val="Hyperlink"/>
            <w:rFonts w:ascii="Times New Roman" w:hAnsi="Times New Roman" w:cs="Times New Roman"/>
            <w:sz w:val="24"/>
            <w:szCs w:val="24"/>
            <w:lang w:val="ro-RO"/>
          </w:rPr>
          <w:t>https://www.economist.com</w:t>
        </w:r>
      </w:hyperlink>
      <w:r w:rsidRPr="008A7F8F">
        <w:rPr>
          <w:rFonts w:ascii="Times New Roman" w:hAnsi="Times New Roman" w:cs="Times New Roman"/>
          <w:sz w:val="24"/>
          <w:szCs w:val="24"/>
          <w:lang w:val="ro-RO"/>
        </w:rPr>
        <w:t xml:space="preserve"> </w:t>
      </w:r>
    </w:p>
    <w:p w14:paraId="3D12071D" w14:textId="452F07C8"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PwC (2024) Future of automotive industry: Financial planning and sustainability. Available at: </w:t>
      </w:r>
      <w:hyperlink r:id="rId17" w:history="1">
        <w:r w:rsidRPr="008A7F8F">
          <w:rPr>
            <w:rStyle w:val="Hyperlink"/>
            <w:rFonts w:ascii="Times New Roman" w:hAnsi="Times New Roman" w:cs="Times New Roman"/>
            <w:sz w:val="24"/>
            <w:szCs w:val="24"/>
            <w:lang w:val="ro-RO"/>
          </w:rPr>
          <w:t>https://www.pwc.com</w:t>
        </w:r>
      </w:hyperlink>
      <w:r w:rsidRPr="008A7F8F">
        <w:rPr>
          <w:rFonts w:ascii="Times New Roman" w:hAnsi="Times New Roman" w:cs="Times New Roman"/>
          <w:sz w:val="24"/>
          <w:szCs w:val="24"/>
          <w:lang w:val="ro-RO"/>
        </w:rPr>
        <w:t xml:space="preserve"> </w:t>
      </w:r>
    </w:p>
    <w:p w14:paraId="77A7B009" w14:textId="173F6AD4"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Bloomberg (2025) Tesla operating expenses and financial outlook. Available at: </w:t>
      </w:r>
      <w:hyperlink r:id="rId18" w:history="1">
        <w:r w:rsidRPr="008A7F8F">
          <w:rPr>
            <w:rStyle w:val="Hyperlink"/>
            <w:rFonts w:ascii="Times New Roman" w:hAnsi="Times New Roman" w:cs="Times New Roman"/>
            <w:sz w:val="24"/>
            <w:szCs w:val="24"/>
            <w:lang w:val="ro-RO"/>
          </w:rPr>
          <w:t>https://www.bloomberg.com</w:t>
        </w:r>
      </w:hyperlink>
      <w:r w:rsidRPr="008A7F8F">
        <w:rPr>
          <w:rFonts w:ascii="Times New Roman" w:hAnsi="Times New Roman" w:cs="Times New Roman"/>
          <w:sz w:val="24"/>
          <w:szCs w:val="24"/>
          <w:lang w:val="ro-RO"/>
        </w:rPr>
        <w:t xml:space="preserve"> </w:t>
      </w:r>
    </w:p>
    <w:p w14:paraId="77193490" w14:textId="3FDDDA82"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Financial Times (2025) Tesla’s global expansion and cost management strategies. Available at: </w:t>
      </w:r>
      <w:hyperlink r:id="rId19" w:history="1">
        <w:r w:rsidRPr="008A7F8F">
          <w:rPr>
            <w:rStyle w:val="Hyperlink"/>
            <w:rFonts w:ascii="Times New Roman" w:hAnsi="Times New Roman" w:cs="Times New Roman"/>
            <w:sz w:val="24"/>
            <w:szCs w:val="24"/>
            <w:lang w:val="ro-RO"/>
          </w:rPr>
          <w:t>https://www.ft.com</w:t>
        </w:r>
      </w:hyperlink>
      <w:r w:rsidRPr="008A7F8F">
        <w:rPr>
          <w:rFonts w:ascii="Times New Roman" w:hAnsi="Times New Roman" w:cs="Times New Roman"/>
          <w:sz w:val="24"/>
          <w:szCs w:val="24"/>
          <w:lang w:val="ro-RO"/>
        </w:rPr>
        <w:t xml:space="preserve"> </w:t>
      </w:r>
    </w:p>
    <w:p w14:paraId="1D027CB7" w14:textId="6B8EA3DA"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t xml:space="preserve">KPMG (2024) Ethics in management accounting and corporate governance. Available at: </w:t>
      </w:r>
      <w:hyperlink r:id="rId20" w:history="1">
        <w:r w:rsidRPr="008A7F8F">
          <w:rPr>
            <w:rStyle w:val="Hyperlink"/>
            <w:rFonts w:ascii="Times New Roman" w:hAnsi="Times New Roman" w:cs="Times New Roman"/>
            <w:sz w:val="24"/>
            <w:szCs w:val="24"/>
            <w:lang w:val="ro-RO"/>
          </w:rPr>
          <w:t>https://home.kpmg</w:t>
        </w:r>
      </w:hyperlink>
      <w:r w:rsidRPr="008A7F8F">
        <w:rPr>
          <w:rFonts w:ascii="Times New Roman" w:hAnsi="Times New Roman" w:cs="Times New Roman"/>
          <w:sz w:val="24"/>
          <w:szCs w:val="24"/>
          <w:lang w:val="ro-RO"/>
        </w:rPr>
        <w:t xml:space="preserve">  </w:t>
      </w:r>
    </w:p>
    <w:p w14:paraId="03772A76" w14:textId="1C9BC092" w:rsidR="008A7F8F" w:rsidRPr="008A7F8F" w:rsidRDefault="008A7F8F" w:rsidP="008A7F8F">
      <w:pPr>
        <w:numPr>
          <w:ilvl w:val="0"/>
          <w:numId w:val="21"/>
        </w:numPr>
        <w:spacing w:line="360" w:lineRule="auto"/>
        <w:jc w:val="both"/>
        <w:rPr>
          <w:rFonts w:ascii="Times New Roman" w:hAnsi="Times New Roman" w:cs="Times New Roman"/>
          <w:sz w:val="24"/>
          <w:szCs w:val="24"/>
          <w:lang w:val="ro-RO"/>
        </w:rPr>
      </w:pPr>
      <w:r w:rsidRPr="008A7F8F">
        <w:rPr>
          <w:rFonts w:ascii="Times New Roman" w:hAnsi="Times New Roman" w:cs="Times New Roman"/>
          <w:sz w:val="24"/>
          <w:szCs w:val="24"/>
          <w:lang w:val="ro-RO"/>
        </w:rPr>
        <w:lastRenderedPageBreak/>
        <w:t xml:space="preserve">World Economic Forum (2024) Sustainability in automotive manufacturing. Available at: </w:t>
      </w:r>
      <w:hyperlink r:id="rId21" w:history="1">
        <w:r w:rsidRPr="008A7F8F">
          <w:rPr>
            <w:rStyle w:val="Hyperlink"/>
            <w:rFonts w:ascii="Times New Roman" w:hAnsi="Times New Roman" w:cs="Times New Roman"/>
            <w:sz w:val="24"/>
            <w:szCs w:val="24"/>
            <w:lang w:val="ro-RO"/>
          </w:rPr>
          <w:t>https://www.weforum.org</w:t>
        </w:r>
      </w:hyperlink>
      <w:r w:rsidRPr="008A7F8F">
        <w:rPr>
          <w:rFonts w:ascii="Times New Roman" w:hAnsi="Times New Roman" w:cs="Times New Roman"/>
          <w:sz w:val="24"/>
          <w:szCs w:val="24"/>
          <w:lang w:val="ro-RO"/>
        </w:rPr>
        <w:t xml:space="preserve"> </w:t>
      </w:r>
    </w:p>
    <w:p w14:paraId="5ACE335F" w14:textId="77777777" w:rsidR="00094FD6" w:rsidRPr="008A7F8F" w:rsidRDefault="00094FD6" w:rsidP="008A7F8F">
      <w:pPr>
        <w:spacing w:line="360" w:lineRule="auto"/>
        <w:jc w:val="both"/>
        <w:rPr>
          <w:rFonts w:ascii="Times New Roman" w:hAnsi="Times New Roman" w:cs="Times New Roman"/>
          <w:sz w:val="24"/>
          <w:szCs w:val="24"/>
        </w:rPr>
      </w:pPr>
    </w:p>
    <w:sectPr w:rsidR="00094FD6" w:rsidRPr="008A7F8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A5D4E" w14:textId="77777777" w:rsidR="00836567" w:rsidRDefault="00836567" w:rsidP="00D2085B">
      <w:pPr>
        <w:spacing w:after="0" w:line="240" w:lineRule="auto"/>
      </w:pPr>
      <w:r>
        <w:separator/>
      </w:r>
    </w:p>
  </w:endnote>
  <w:endnote w:type="continuationSeparator" w:id="0">
    <w:p w14:paraId="1F109D58" w14:textId="77777777" w:rsidR="00836567" w:rsidRDefault="00836567" w:rsidP="00D20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317919"/>
      <w:docPartObj>
        <w:docPartGallery w:val="Page Numbers (Bottom of Page)"/>
        <w:docPartUnique/>
      </w:docPartObj>
    </w:sdtPr>
    <w:sdtEndPr/>
    <w:sdtContent>
      <w:p w14:paraId="38AB3609" w14:textId="385C99DB" w:rsidR="00D2085B" w:rsidRDefault="00D2085B">
        <w:pPr>
          <w:pStyle w:val="Footer"/>
          <w:jc w:val="center"/>
        </w:pPr>
        <w:r>
          <w:fldChar w:fldCharType="begin"/>
        </w:r>
        <w:r>
          <w:instrText>PAGE   \* MERGEFORMAT</w:instrText>
        </w:r>
        <w:r>
          <w:fldChar w:fldCharType="separate"/>
        </w:r>
        <w:r>
          <w:t>2</w:t>
        </w:r>
        <w:r>
          <w:fldChar w:fldCharType="end"/>
        </w:r>
      </w:p>
    </w:sdtContent>
  </w:sdt>
  <w:p w14:paraId="23338719" w14:textId="77777777" w:rsidR="00D2085B" w:rsidRDefault="00D20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6088E" w14:textId="77777777" w:rsidR="00836567" w:rsidRDefault="00836567" w:rsidP="00D2085B">
      <w:pPr>
        <w:spacing w:after="0" w:line="240" w:lineRule="auto"/>
      </w:pPr>
      <w:r>
        <w:separator/>
      </w:r>
    </w:p>
  </w:footnote>
  <w:footnote w:type="continuationSeparator" w:id="0">
    <w:p w14:paraId="2CE9111D" w14:textId="77777777" w:rsidR="00836567" w:rsidRDefault="00836567" w:rsidP="00D20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D18CE"/>
    <w:multiLevelType w:val="multilevel"/>
    <w:tmpl w:val="A9DA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5030"/>
    <w:multiLevelType w:val="multilevel"/>
    <w:tmpl w:val="E9EA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8263D"/>
    <w:multiLevelType w:val="multilevel"/>
    <w:tmpl w:val="37A0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15D1F"/>
    <w:multiLevelType w:val="multilevel"/>
    <w:tmpl w:val="5C94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F0517"/>
    <w:multiLevelType w:val="multilevel"/>
    <w:tmpl w:val="0A84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E2DFB"/>
    <w:multiLevelType w:val="multilevel"/>
    <w:tmpl w:val="49D8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11274E"/>
    <w:multiLevelType w:val="multilevel"/>
    <w:tmpl w:val="0C8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3756D6"/>
    <w:multiLevelType w:val="multilevel"/>
    <w:tmpl w:val="1F74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E08A1"/>
    <w:multiLevelType w:val="multilevel"/>
    <w:tmpl w:val="64E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F3123"/>
    <w:multiLevelType w:val="multilevel"/>
    <w:tmpl w:val="954A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26FF3"/>
    <w:multiLevelType w:val="multilevel"/>
    <w:tmpl w:val="18502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936775"/>
    <w:multiLevelType w:val="multilevel"/>
    <w:tmpl w:val="6F0E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24278A"/>
    <w:multiLevelType w:val="multilevel"/>
    <w:tmpl w:val="468E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5E5524"/>
    <w:multiLevelType w:val="multilevel"/>
    <w:tmpl w:val="F882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0669F8"/>
    <w:multiLevelType w:val="multilevel"/>
    <w:tmpl w:val="426E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180243"/>
    <w:multiLevelType w:val="multilevel"/>
    <w:tmpl w:val="D3F0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EB165C"/>
    <w:multiLevelType w:val="multilevel"/>
    <w:tmpl w:val="1A44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EA1D3F"/>
    <w:multiLevelType w:val="multilevel"/>
    <w:tmpl w:val="47EA7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187BFC"/>
    <w:multiLevelType w:val="multilevel"/>
    <w:tmpl w:val="A1A8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230ABD"/>
    <w:multiLevelType w:val="multilevel"/>
    <w:tmpl w:val="508C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43660F"/>
    <w:multiLevelType w:val="multilevel"/>
    <w:tmpl w:val="2CF899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81049B3"/>
    <w:multiLevelType w:val="multilevel"/>
    <w:tmpl w:val="2514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664035">
    <w:abstractNumId w:val="2"/>
  </w:num>
  <w:num w:numId="2" w16cid:durableId="1167133215">
    <w:abstractNumId w:val="16"/>
  </w:num>
  <w:num w:numId="3" w16cid:durableId="992297024">
    <w:abstractNumId w:val="18"/>
  </w:num>
  <w:num w:numId="4" w16cid:durableId="208347674">
    <w:abstractNumId w:val="7"/>
  </w:num>
  <w:num w:numId="5" w16cid:durableId="709917396">
    <w:abstractNumId w:val="8"/>
  </w:num>
  <w:num w:numId="6" w16cid:durableId="1952934095">
    <w:abstractNumId w:val="17"/>
  </w:num>
  <w:num w:numId="7" w16cid:durableId="1026567296">
    <w:abstractNumId w:val="3"/>
  </w:num>
  <w:num w:numId="8" w16cid:durableId="1873378561">
    <w:abstractNumId w:val="21"/>
  </w:num>
  <w:num w:numId="9" w16cid:durableId="37899172">
    <w:abstractNumId w:val="19"/>
  </w:num>
  <w:num w:numId="10" w16cid:durableId="643774512">
    <w:abstractNumId w:val="5"/>
  </w:num>
  <w:num w:numId="11" w16cid:durableId="251623815">
    <w:abstractNumId w:val="12"/>
  </w:num>
  <w:num w:numId="12" w16cid:durableId="474222121">
    <w:abstractNumId w:val="0"/>
  </w:num>
  <w:num w:numId="13" w16cid:durableId="1444379958">
    <w:abstractNumId w:val="13"/>
  </w:num>
  <w:num w:numId="14" w16cid:durableId="279072288">
    <w:abstractNumId w:val="11"/>
  </w:num>
  <w:num w:numId="15" w16cid:durableId="191502220">
    <w:abstractNumId w:val="14"/>
  </w:num>
  <w:num w:numId="16" w16cid:durableId="313069625">
    <w:abstractNumId w:val="1"/>
  </w:num>
  <w:num w:numId="17" w16cid:durableId="1477643252">
    <w:abstractNumId w:val="4"/>
  </w:num>
  <w:num w:numId="18" w16cid:durableId="1866363274">
    <w:abstractNumId w:val="10"/>
  </w:num>
  <w:num w:numId="19" w16cid:durableId="944456609">
    <w:abstractNumId w:val="6"/>
  </w:num>
  <w:num w:numId="20" w16cid:durableId="1535924235">
    <w:abstractNumId w:val="9"/>
  </w:num>
  <w:num w:numId="21" w16cid:durableId="1403065120">
    <w:abstractNumId w:val="20"/>
  </w:num>
  <w:num w:numId="22" w16cid:durableId="8441342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441"/>
    <w:rsid w:val="00094FD6"/>
    <w:rsid w:val="000B1726"/>
    <w:rsid w:val="00134274"/>
    <w:rsid w:val="001A246A"/>
    <w:rsid w:val="002507A8"/>
    <w:rsid w:val="00356F95"/>
    <w:rsid w:val="00377A0D"/>
    <w:rsid w:val="003975D6"/>
    <w:rsid w:val="005929E7"/>
    <w:rsid w:val="005C57AE"/>
    <w:rsid w:val="006E74DB"/>
    <w:rsid w:val="007E68D0"/>
    <w:rsid w:val="00814D81"/>
    <w:rsid w:val="00836567"/>
    <w:rsid w:val="008A7F8F"/>
    <w:rsid w:val="008D6576"/>
    <w:rsid w:val="00997DA3"/>
    <w:rsid w:val="009B3F8B"/>
    <w:rsid w:val="00B24225"/>
    <w:rsid w:val="00B37441"/>
    <w:rsid w:val="00D2085B"/>
    <w:rsid w:val="00EC47EF"/>
    <w:rsid w:val="00FE18D5"/>
    <w:rsid w:val="00FF636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73391"/>
  <w15:chartTrackingRefBased/>
  <w15:docId w15:val="{493366EB-5CD2-47E9-9358-D036DFCE7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374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74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74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374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4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4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4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4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4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44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B3744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B3744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B3744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3744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3744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3744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3744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3744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37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44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374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44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37441"/>
    <w:pPr>
      <w:spacing w:before="160"/>
      <w:jc w:val="center"/>
    </w:pPr>
    <w:rPr>
      <w:i/>
      <w:iCs/>
      <w:color w:val="404040" w:themeColor="text1" w:themeTint="BF"/>
    </w:rPr>
  </w:style>
  <w:style w:type="character" w:customStyle="1" w:styleId="QuoteChar">
    <w:name w:val="Quote Char"/>
    <w:basedOn w:val="DefaultParagraphFont"/>
    <w:link w:val="Quote"/>
    <w:uiPriority w:val="29"/>
    <w:rsid w:val="00B37441"/>
    <w:rPr>
      <w:i/>
      <w:iCs/>
      <w:color w:val="404040" w:themeColor="text1" w:themeTint="BF"/>
      <w:lang w:val="en-GB"/>
    </w:rPr>
  </w:style>
  <w:style w:type="paragraph" w:styleId="ListParagraph">
    <w:name w:val="List Paragraph"/>
    <w:basedOn w:val="Normal"/>
    <w:uiPriority w:val="34"/>
    <w:qFormat/>
    <w:rsid w:val="00B37441"/>
    <w:pPr>
      <w:ind w:left="720"/>
      <w:contextualSpacing/>
    </w:pPr>
  </w:style>
  <w:style w:type="character" w:styleId="IntenseEmphasis">
    <w:name w:val="Intense Emphasis"/>
    <w:basedOn w:val="DefaultParagraphFont"/>
    <w:uiPriority w:val="21"/>
    <w:qFormat/>
    <w:rsid w:val="00B37441"/>
    <w:rPr>
      <w:i/>
      <w:iCs/>
      <w:color w:val="0F4761" w:themeColor="accent1" w:themeShade="BF"/>
    </w:rPr>
  </w:style>
  <w:style w:type="paragraph" w:styleId="IntenseQuote">
    <w:name w:val="Intense Quote"/>
    <w:basedOn w:val="Normal"/>
    <w:next w:val="Normal"/>
    <w:link w:val="IntenseQuoteChar"/>
    <w:uiPriority w:val="30"/>
    <w:qFormat/>
    <w:rsid w:val="00B374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441"/>
    <w:rPr>
      <w:i/>
      <w:iCs/>
      <w:color w:val="0F4761" w:themeColor="accent1" w:themeShade="BF"/>
      <w:lang w:val="en-GB"/>
    </w:rPr>
  </w:style>
  <w:style w:type="character" w:styleId="IntenseReference">
    <w:name w:val="Intense Reference"/>
    <w:basedOn w:val="DefaultParagraphFont"/>
    <w:uiPriority w:val="32"/>
    <w:qFormat/>
    <w:rsid w:val="00B37441"/>
    <w:rPr>
      <w:b/>
      <w:bCs/>
      <w:smallCaps/>
      <w:color w:val="0F4761" w:themeColor="accent1" w:themeShade="BF"/>
      <w:spacing w:val="5"/>
    </w:rPr>
  </w:style>
  <w:style w:type="table" w:styleId="TableGridLight">
    <w:name w:val="Grid Table Light"/>
    <w:basedOn w:val="TableNormal"/>
    <w:uiPriority w:val="40"/>
    <w:rsid w:val="009B3F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B3F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B3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1726"/>
    <w:rPr>
      <w:color w:val="467886" w:themeColor="hyperlink"/>
      <w:u w:val="single"/>
    </w:rPr>
  </w:style>
  <w:style w:type="character" w:styleId="UnresolvedMention">
    <w:name w:val="Unresolved Mention"/>
    <w:basedOn w:val="DefaultParagraphFont"/>
    <w:uiPriority w:val="99"/>
    <w:semiHidden/>
    <w:unhideWhenUsed/>
    <w:rsid w:val="000B1726"/>
    <w:rPr>
      <w:color w:val="605E5C"/>
      <w:shd w:val="clear" w:color="auto" w:fill="E1DFDD"/>
    </w:rPr>
  </w:style>
  <w:style w:type="paragraph" w:styleId="Header">
    <w:name w:val="header"/>
    <w:basedOn w:val="Normal"/>
    <w:link w:val="HeaderChar"/>
    <w:uiPriority w:val="99"/>
    <w:unhideWhenUsed/>
    <w:rsid w:val="00D20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85B"/>
    <w:rPr>
      <w:lang w:val="en-GB"/>
    </w:rPr>
  </w:style>
  <w:style w:type="paragraph" w:styleId="Footer">
    <w:name w:val="footer"/>
    <w:basedOn w:val="Normal"/>
    <w:link w:val="FooterChar"/>
    <w:uiPriority w:val="99"/>
    <w:unhideWhenUsed/>
    <w:rsid w:val="00D20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85B"/>
    <w:rPr>
      <w:lang w:val="en-GB"/>
    </w:rPr>
  </w:style>
  <w:style w:type="paragraph" w:styleId="TOCHeading">
    <w:name w:val="TOC Heading"/>
    <w:basedOn w:val="Heading1"/>
    <w:next w:val="Normal"/>
    <w:uiPriority w:val="39"/>
    <w:unhideWhenUsed/>
    <w:qFormat/>
    <w:rsid w:val="00D2085B"/>
    <w:pPr>
      <w:spacing w:before="240" w:after="0"/>
      <w:outlineLvl w:val="9"/>
    </w:pPr>
    <w:rPr>
      <w:kern w:val="0"/>
      <w:sz w:val="32"/>
      <w:szCs w:val="32"/>
      <w:lang w:val="ro-RO" w:eastAsia="ro-RO"/>
      <w14:ligatures w14:val="none"/>
    </w:rPr>
  </w:style>
  <w:style w:type="paragraph" w:styleId="TOC1">
    <w:name w:val="toc 1"/>
    <w:basedOn w:val="Normal"/>
    <w:next w:val="Normal"/>
    <w:autoRedefine/>
    <w:uiPriority w:val="39"/>
    <w:unhideWhenUsed/>
    <w:rsid w:val="00D2085B"/>
    <w:pPr>
      <w:spacing w:after="100"/>
    </w:pPr>
  </w:style>
  <w:style w:type="paragraph" w:styleId="TOC2">
    <w:name w:val="toc 2"/>
    <w:basedOn w:val="Normal"/>
    <w:next w:val="Normal"/>
    <w:autoRedefine/>
    <w:uiPriority w:val="39"/>
    <w:unhideWhenUsed/>
    <w:rsid w:val="00D2085B"/>
    <w:pPr>
      <w:spacing w:after="100"/>
      <w:ind w:left="220"/>
    </w:pPr>
  </w:style>
  <w:style w:type="paragraph" w:styleId="TOC3">
    <w:name w:val="toc 3"/>
    <w:basedOn w:val="Normal"/>
    <w:next w:val="Normal"/>
    <w:autoRedefine/>
    <w:uiPriority w:val="39"/>
    <w:unhideWhenUsed/>
    <w:rsid w:val="00D208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impact-report" TargetMode="External"/><Relationship Id="rId13" Type="http://schemas.openxmlformats.org/officeDocument/2006/relationships/hyperlink" Target="https://hbr.org/" TargetMode="External"/><Relationship Id="rId18" Type="http://schemas.openxmlformats.org/officeDocument/2006/relationships/hyperlink" Target="https://www.bloomberg.com/" TargetMode="External"/><Relationship Id="rId3" Type="http://schemas.openxmlformats.org/officeDocument/2006/relationships/settings" Target="settings.xml"/><Relationship Id="rId21" Type="http://schemas.openxmlformats.org/officeDocument/2006/relationships/hyperlink" Target="https://www.weforum.org/" TargetMode="External"/><Relationship Id="rId7" Type="http://schemas.openxmlformats.org/officeDocument/2006/relationships/image" Target="media/image1.jpeg"/><Relationship Id="rId12" Type="http://schemas.openxmlformats.org/officeDocument/2006/relationships/hyperlink" Target="https://www.ifac.org/" TargetMode="External"/><Relationship Id="rId17" Type="http://schemas.openxmlformats.org/officeDocument/2006/relationships/hyperlink" Target="https://www.pwc.com/" TargetMode="External"/><Relationship Id="rId2" Type="http://schemas.openxmlformats.org/officeDocument/2006/relationships/styles" Target="styles.xml"/><Relationship Id="rId16" Type="http://schemas.openxmlformats.org/officeDocument/2006/relationships/hyperlink" Target="https://www.economist.com/" TargetMode="External"/><Relationship Id="rId20" Type="http://schemas.openxmlformats.org/officeDocument/2006/relationships/hyperlink" Target="https://home.kpm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272120/revenue-of-tesl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ckinsey.com/" TargetMode="External"/><Relationship Id="rId23" Type="http://schemas.openxmlformats.org/officeDocument/2006/relationships/fontTable" Target="fontTable.xml"/><Relationship Id="rId10" Type="http://schemas.openxmlformats.org/officeDocument/2006/relationships/hyperlink" Target="https://www.google.com/finance/quote/TSLA:NASDAQ" TargetMode="External"/><Relationship Id="rId19" Type="http://schemas.openxmlformats.org/officeDocument/2006/relationships/hyperlink" Target="https://www.ft.com/" TargetMode="External"/><Relationship Id="rId4" Type="http://schemas.openxmlformats.org/officeDocument/2006/relationships/webSettings" Target="webSettings.xml"/><Relationship Id="rId9" Type="http://schemas.openxmlformats.org/officeDocument/2006/relationships/hyperlink" Target="https://finance.yahoo.com/quote/TSLA" TargetMode="External"/><Relationship Id="rId14" Type="http://schemas.openxmlformats.org/officeDocument/2006/relationships/hyperlink" Target="https://www2.deloitte.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3217</Words>
  <Characters>21634</Characters>
  <Application>Microsoft Office Word</Application>
  <DocSecurity>0</DocSecurity>
  <Lines>549</Lines>
  <Paragraphs>264</Paragraphs>
  <ScaleCrop>false</ScaleCrop>
  <Company/>
  <LinksUpToDate>false</LinksUpToDate>
  <CharactersWithSpaces>24655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Maria</dc:creator>
  <cp:keywords/>
  <dc:description/>
  <cp:lastModifiedBy>Anna Maria</cp:lastModifiedBy>
  <cp:revision>15</cp:revision>
  <dcterms:created xsi:type="dcterms:W3CDTF">2025-11-20T23:51:00Z</dcterms:created>
  <dcterms:modified xsi:type="dcterms:W3CDTF">2025-11-21T18:00:00Z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cf8e3abd-d99f-4ae3-b304-75e7d5607c06</vt:lpwstr>
  </property>
</Properties>
</file>