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3041E" w14:textId="77777777" w:rsidR="00E1176F" w:rsidRPr="00E1176F" w:rsidRDefault="00E1176F" w:rsidP="00E1176F">
      <w:pPr>
        <w:spacing w:before="100" w:beforeAutospacing="1" w:after="100" w:afterAutospacing="1"/>
        <w:outlineLvl w:val="0"/>
        <w:rPr>
          <w:rFonts w:ascii="Times New Roman" w:eastAsia="Times New Roman" w:hAnsi="Times New Roman" w:cs="Times New Roman"/>
          <w:b/>
          <w:bCs/>
          <w:kern w:val="36"/>
          <w:sz w:val="48"/>
          <w:szCs w:val="48"/>
          <w:lang w:eastAsia="en-GB"/>
        </w:rPr>
      </w:pPr>
      <w:r w:rsidRPr="00E1176F">
        <w:rPr>
          <w:rFonts w:ascii="Times New Roman" w:eastAsia="Times New Roman" w:hAnsi="Times New Roman" w:cs="Times New Roman"/>
          <w:b/>
          <w:bCs/>
          <w:kern w:val="36"/>
          <w:sz w:val="48"/>
          <w:szCs w:val="48"/>
          <w:lang w:eastAsia="en-GB"/>
        </w:rPr>
        <w:t xml:space="preserve">Cybersecurity Policy Development for </w:t>
      </w:r>
      <w:proofErr w:type="spellStart"/>
      <w:r w:rsidRPr="00E1176F">
        <w:rPr>
          <w:rFonts w:ascii="Times New Roman" w:eastAsia="Times New Roman" w:hAnsi="Times New Roman" w:cs="Times New Roman"/>
          <w:b/>
          <w:bCs/>
          <w:kern w:val="36"/>
          <w:sz w:val="48"/>
          <w:szCs w:val="48"/>
          <w:lang w:eastAsia="en-GB"/>
        </w:rPr>
        <w:t>FinSecure</w:t>
      </w:r>
      <w:proofErr w:type="spellEnd"/>
      <w:r w:rsidRPr="00E1176F">
        <w:rPr>
          <w:rFonts w:ascii="Times New Roman" w:eastAsia="Times New Roman" w:hAnsi="Times New Roman" w:cs="Times New Roman"/>
          <w:b/>
          <w:bCs/>
          <w:kern w:val="36"/>
          <w:sz w:val="48"/>
          <w:szCs w:val="48"/>
          <w:lang w:eastAsia="en-GB"/>
        </w:rPr>
        <w:t xml:space="preserve"> Ltd</w:t>
      </w:r>
    </w:p>
    <w:p w14:paraId="51C1A4BA"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Abstract</w:t>
      </w:r>
    </w:p>
    <w:p w14:paraId="0CD94565"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 xml:space="preserve">This report outlines the development of a comprehensive cybersecurity policy framework for </w:t>
      </w:r>
      <w:proofErr w:type="spellStart"/>
      <w:r w:rsidRPr="00E1176F">
        <w:rPr>
          <w:rFonts w:ascii="Times New Roman" w:eastAsia="Times New Roman" w:hAnsi="Times New Roman" w:cs="Times New Roman"/>
          <w:lang w:eastAsia="en-GB"/>
        </w:rPr>
        <w:t>FinSecure</w:t>
      </w:r>
      <w:proofErr w:type="spellEnd"/>
      <w:r w:rsidRPr="00E1176F">
        <w:rPr>
          <w:rFonts w:ascii="Times New Roman" w:eastAsia="Times New Roman" w:hAnsi="Times New Roman" w:cs="Times New Roman"/>
          <w:lang w:eastAsia="en-GB"/>
        </w:rPr>
        <w:t xml:space="preserve"> Ltd (FSL), a medium-sized UK financial services firm. It summarizes key threats – both internal (e.g. negligent or malicious insiders) and external (e.g. phishing, ransomware, malware, DDoS) – and shows how policies aligned to standards (ISO/IEC 27001, NIST CSF) and regulations (GDPR/UK Data Protection Act) can manage those risks. Recommended mitigation measures include technical controls (encryption, multi-factor authentication, network </w:t>
      </w:r>
      <w:r w:rsidRPr="00E1176F">
        <w:rPr>
          <w:rFonts w:ascii="Times New Roman" w:eastAsia="Times New Roman" w:hAnsi="Times New Roman" w:cs="Times New Roman"/>
          <w:lang w:eastAsia="en-GB"/>
        </w:rPr>
        <w:t>defences</w:t>
      </w:r>
      <w:r w:rsidRPr="00E1176F">
        <w:rPr>
          <w:rFonts w:ascii="Times New Roman" w:eastAsia="Times New Roman" w:hAnsi="Times New Roman" w:cs="Times New Roman"/>
          <w:lang w:eastAsia="en-GB"/>
        </w:rPr>
        <w:t xml:space="preserve">), as well as organizational steps like incident response planning and monitoring. Staff training and awareness are emphasized as critical to reinforce policy compliance. </w:t>
      </w:r>
    </w:p>
    <w:p w14:paraId="0647F4A8"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Introduction</w:t>
      </w:r>
    </w:p>
    <w:p w14:paraId="11819704"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proofErr w:type="spellStart"/>
      <w:r w:rsidRPr="00E1176F">
        <w:rPr>
          <w:rFonts w:ascii="Times New Roman" w:eastAsia="Times New Roman" w:hAnsi="Times New Roman" w:cs="Times New Roman"/>
          <w:lang w:eastAsia="en-GB"/>
        </w:rPr>
        <w:t>FinSecure</w:t>
      </w:r>
      <w:proofErr w:type="spellEnd"/>
      <w:r w:rsidRPr="00E1176F">
        <w:rPr>
          <w:rFonts w:ascii="Times New Roman" w:eastAsia="Times New Roman" w:hAnsi="Times New Roman" w:cs="Times New Roman"/>
          <w:lang w:eastAsia="en-GB"/>
        </w:rPr>
        <w:t xml:space="preserve"> Ltd (FSL) handles sensitive customer finances and personal data, so regulatory compliance and robust security governance are essential. For example, UK GDPR requires that “personal data [be processed] securely by means of ‘appropriate technical and organisational measures’”</w:t>
      </w:r>
      <w:r w:rsidRPr="00E1176F">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[1]. International standards provide frameworks: ISO/IEC 27001 requires establishing an Information Security Management System (ISMS) with documented policies and continual risk management</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[2], while the NIST Cybersecurity Framework (CSF) helps organizations improve their cybersecurity risk management</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[3]. In simple terms, FSL must define clear security policies and processes (e.g. acceptable use, access control, incident handling) that align with these guidelines, while meeting GDPR/data-protection obligations (data minimization, breach notification, encryption, etc.). This report first identifies major cyber threats to FSL (both outside attackers and inside risks), then proposes specific policies and controls (aligned to ISO 27001, NIST CSF and GDPR principles) to mitigate them. It also covers how to monitor and respond to incidents (with an incident response flowchart) and highlights the importance of ongoing staff training.</w:t>
      </w:r>
    </w:p>
    <w:p w14:paraId="338B40F5"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Identification of Threats</w:t>
      </w:r>
    </w:p>
    <w:p w14:paraId="0047BBF1"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 xml:space="preserve">FSL faces both external cyber threats and internal risks. Externally, financial firms are high-value targets: one study reported that banks and insurers faced </w:t>
      </w:r>
      <w:r w:rsidRPr="00E1176F">
        <w:rPr>
          <w:rFonts w:ascii="Times New Roman" w:eastAsia="Times New Roman" w:hAnsi="Times New Roman" w:cs="Times New Roman"/>
          <w:i/>
          <w:iCs/>
          <w:lang w:eastAsia="en-GB"/>
        </w:rPr>
        <w:t>“300 times more”</w:t>
      </w:r>
      <w:r w:rsidRPr="00E1176F">
        <w:rPr>
          <w:rFonts w:ascii="Times New Roman" w:eastAsia="Times New Roman" w:hAnsi="Times New Roman" w:cs="Times New Roman"/>
          <w:lang w:eastAsia="en-GB"/>
        </w:rPr>
        <w:t xml:space="preserve"> cyberattacks than other industries</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[4]. Common external threats include:</w:t>
      </w:r>
    </w:p>
    <w:p w14:paraId="5B01C439" w14:textId="77777777" w:rsidR="00E1176F" w:rsidRDefault="00E1176F" w:rsidP="00E1176F">
      <w:pPr>
        <w:numPr>
          <w:ilvl w:val="0"/>
          <w:numId w:val="1"/>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Phishing and Social Engineering:</w:t>
      </w:r>
      <w:r w:rsidRPr="00E1176F">
        <w:rPr>
          <w:rFonts w:ascii="Times New Roman" w:eastAsia="Times New Roman" w:hAnsi="Times New Roman" w:cs="Times New Roman"/>
          <w:lang w:eastAsia="en-GB"/>
        </w:rPr>
        <w:t xml:space="preserve"> Attackers send deceptive emails or calls to trick staff into revealing credentials or opening malware attachments. (Financial services are the most impersonated sector in phishing attacks</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[6].)</w:t>
      </w:r>
    </w:p>
    <w:p w14:paraId="6DD196F9" w14:textId="77777777" w:rsidR="009F59A0" w:rsidRPr="00E1176F" w:rsidRDefault="009F59A0" w:rsidP="009F59A0">
      <w:pPr>
        <w:spacing w:before="100" w:beforeAutospacing="1" w:after="100" w:afterAutospacing="1"/>
        <w:ind w:left="720"/>
        <w:rPr>
          <w:rFonts w:ascii="Times New Roman" w:eastAsia="Times New Roman" w:hAnsi="Times New Roman" w:cs="Times New Roman"/>
          <w:lang w:eastAsia="en-GB"/>
        </w:rPr>
      </w:pPr>
    </w:p>
    <w:p w14:paraId="1C99B5A3" w14:textId="77777777" w:rsidR="00E1176F" w:rsidRDefault="00E1176F" w:rsidP="00E1176F">
      <w:pPr>
        <w:numPr>
          <w:ilvl w:val="0"/>
          <w:numId w:val="1"/>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Ransomware and Malware:</w:t>
      </w:r>
      <w:r w:rsidRPr="00E1176F">
        <w:rPr>
          <w:rFonts w:ascii="Times New Roman" w:eastAsia="Times New Roman" w:hAnsi="Times New Roman" w:cs="Times New Roman"/>
          <w:lang w:eastAsia="en-GB"/>
        </w:rPr>
        <w:t xml:space="preserve"> Malware (including ransomware) encrypts or corrupts data. Ransomware has hit the financial sector heavily; in one period it accounted for about </w:t>
      </w:r>
      <w:r w:rsidRPr="00E1176F">
        <w:rPr>
          <w:rFonts w:ascii="Times New Roman" w:eastAsia="Times New Roman" w:hAnsi="Times New Roman" w:cs="Times New Roman"/>
          <w:i/>
          <w:iCs/>
          <w:lang w:eastAsia="en-GB"/>
        </w:rPr>
        <w:t>22%</w:t>
      </w:r>
      <w:r w:rsidRPr="00E1176F">
        <w:rPr>
          <w:rFonts w:ascii="Times New Roman" w:eastAsia="Times New Roman" w:hAnsi="Times New Roman" w:cs="Times New Roman"/>
          <w:lang w:eastAsia="en-GB"/>
        </w:rPr>
        <w:t xml:space="preserve"> of all ransomware attacks globally</w:t>
      </w:r>
      <w:r>
        <w:rPr>
          <w:rFonts w:ascii="Times New Roman" w:eastAsia="Times New Roman" w:hAnsi="Times New Roman" w:cs="Times New Roman"/>
          <w:lang w:eastAsia="en-GB"/>
        </w:rPr>
        <w:t>.</w:t>
      </w:r>
      <w:r w:rsidR="009F59A0">
        <w:rPr>
          <w:rFonts w:ascii="Times New Roman" w:eastAsia="Times New Roman" w:hAnsi="Times New Roman" w:cs="Times New Roman"/>
          <w:lang w:eastAsia="en-GB"/>
        </w:rPr>
        <w:t xml:space="preserve"> [6]</w:t>
      </w:r>
    </w:p>
    <w:p w14:paraId="4FD9E656" w14:textId="77777777" w:rsidR="009F59A0" w:rsidRDefault="009F59A0" w:rsidP="009F59A0">
      <w:pPr>
        <w:pStyle w:val="ListParagraph"/>
        <w:rPr>
          <w:rFonts w:ascii="Times New Roman" w:eastAsia="Times New Roman" w:hAnsi="Times New Roman" w:cs="Times New Roman"/>
          <w:lang w:eastAsia="en-GB"/>
        </w:rPr>
      </w:pPr>
    </w:p>
    <w:p w14:paraId="75664CF4" w14:textId="77777777" w:rsidR="009F59A0" w:rsidRPr="00E1176F" w:rsidRDefault="009F59A0" w:rsidP="009F59A0">
      <w:pPr>
        <w:spacing w:before="100" w:beforeAutospacing="1" w:after="100" w:afterAutospacing="1"/>
        <w:ind w:left="720"/>
        <w:rPr>
          <w:rFonts w:ascii="Times New Roman" w:eastAsia="Times New Roman" w:hAnsi="Times New Roman" w:cs="Times New Roman"/>
          <w:lang w:eastAsia="en-GB"/>
        </w:rPr>
      </w:pPr>
    </w:p>
    <w:p w14:paraId="70A31311" w14:textId="77777777" w:rsidR="00E1176F" w:rsidRDefault="00E1176F" w:rsidP="009F59A0">
      <w:pPr>
        <w:numPr>
          <w:ilvl w:val="0"/>
          <w:numId w:val="1"/>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Hacking and Exploits:</w:t>
      </w:r>
      <w:r w:rsidRPr="00E1176F">
        <w:rPr>
          <w:rFonts w:ascii="Times New Roman" w:eastAsia="Times New Roman" w:hAnsi="Times New Roman" w:cs="Times New Roman"/>
          <w:lang w:eastAsia="en-GB"/>
        </w:rPr>
        <w:t xml:space="preserve"> Cybercriminals (or sometimes nation-state actors) exploit system vulnerabilities, use brute-force attacks, or deploy malware to steal funds or data.</w:t>
      </w:r>
    </w:p>
    <w:p w14:paraId="3B1F58B4" w14:textId="77777777" w:rsidR="009F59A0" w:rsidRPr="00E1176F" w:rsidRDefault="009F59A0" w:rsidP="009F59A0">
      <w:pPr>
        <w:spacing w:before="100" w:beforeAutospacing="1" w:after="100" w:afterAutospacing="1"/>
        <w:ind w:left="720"/>
        <w:rPr>
          <w:rFonts w:ascii="Times New Roman" w:eastAsia="Times New Roman" w:hAnsi="Times New Roman" w:cs="Times New Roman"/>
          <w:lang w:eastAsia="en-GB"/>
        </w:rPr>
      </w:pPr>
    </w:p>
    <w:p w14:paraId="3C9AD007" w14:textId="77777777" w:rsidR="00E1176F" w:rsidRPr="00E1176F" w:rsidRDefault="00E1176F" w:rsidP="00E1176F">
      <w:pPr>
        <w:numPr>
          <w:ilvl w:val="0"/>
          <w:numId w:val="1"/>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Distributed Denial of Service (DDoS):</w:t>
      </w:r>
      <w:r w:rsidRPr="00E1176F">
        <w:rPr>
          <w:rFonts w:ascii="Times New Roman" w:eastAsia="Times New Roman" w:hAnsi="Times New Roman" w:cs="Times New Roman"/>
          <w:lang w:eastAsia="en-GB"/>
        </w:rPr>
        <w:t xml:space="preserve"> Overloading network resources to disrupt online services (e.g. online banking portals).</w:t>
      </w:r>
    </w:p>
    <w:p w14:paraId="1A2B5FD5"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Internally, threats come from within the organisation. These include:</w:t>
      </w:r>
    </w:p>
    <w:p w14:paraId="0D082634" w14:textId="77777777" w:rsidR="00E1176F" w:rsidRDefault="00E1176F" w:rsidP="00E1176F">
      <w:pPr>
        <w:numPr>
          <w:ilvl w:val="0"/>
          <w:numId w:val="2"/>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Negligent insiders:</w:t>
      </w:r>
      <w:r w:rsidRPr="00E1176F">
        <w:rPr>
          <w:rFonts w:ascii="Times New Roman" w:eastAsia="Times New Roman" w:hAnsi="Times New Roman" w:cs="Times New Roman"/>
          <w:lang w:eastAsia="en-GB"/>
        </w:rPr>
        <w:t xml:space="preserve"> Employees may inadvertently cause breaches (e.g. by clicking phishing links, losing devices, or misconfiguring systems). Even a simple mistake (like sending a spreadsheet to the wrong email) can expose data.</w:t>
      </w:r>
    </w:p>
    <w:p w14:paraId="0CAE58BC" w14:textId="77777777" w:rsidR="009F59A0" w:rsidRPr="00E1176F" w:rsidRDefault="009F59A0" w:rsidP="009F59A0">
      <w:pPr>
        <w:spacing w:before="100" w:beforeAutospacing="1" w:after="100" w:afterAutospacing="1"/>
        <w:ind w:left="720"/>
        <w:rPr>
          <w:rFonts w:ascii="Times New Roman" w:eastAsia="Times New Roman" w:hAnsi="Times New Roman" w:cs="Times New Roman"/>
          <w:lang w:eastAsia="en-GB"/>
        </w:rPr>
      </w:pPr>
    </w:p>
    <w:p w14:paraId="178ECE7C" w14:textId="77777777" w:rsidR="009F59A0" w:rsidRDefault="00E1176F" w:rsidP="009F59A0">
      <w:pPr>
        <w:numPr>
          <w:ilvl w:val="0"/>
          <w:numId w:val="2"/>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Malicious insiders:</w:t>
      </w:r>
      <w:r w:rsidRPr="00E1176F">
        <w:rPr>
          <w:rFonts w:ascii="Times New Roman" w:eastAsia="Times New Roman" w:hAnsi="Times New Roman" w:cs="Times New Roman"/>
          <w:lang w:eastAsia="en-GB"/>
        </w:rPr>
        <w:t xml:space="preserve"> Disgruntled or rogue employees with legitimate access might steal or sabotage data. In fact, industry studies find that roughly 30% of data breaches in financial services are caused by insiders</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[5]. For example, departing staff might copy customer lists or trade secrets, despite NDAs</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[5].</w:t>
      </w:r>
    </w:p>
    <w:p w14:paraId="5C9428A3" w14:textId="77777777" w:rsidR="009F59A0" w:rsidRPr="00E1176F" w:rsidRDefault="009F59A0" w:rsidP="009F59A0">
      <w:pPr>
        <w:spacing w:before="100" w:beforeAutospacing="1" w:after="100" w:afterAutospacing="1"/>
        <w:ind w:left="720"/>
        <w:rPr>
          <w:rFonts w:ascii="Times New Roman" w:eastAsia="Times New Roman" w:hAnsi="Times New Roman" w:cs="Times New Roman"/>
          <w:lang w:eastAsia="en-GB"/>
        </w:rPr>
      </w:pPr>
    </w:p>
    <w:p w14:paraId="3AE7DAE5" w14:textId="77777777" w:rsidR="00E1176F" w:rsidRPr="00E1176F" w:rsidRDefault="00E1176F" w:rsidP="00E1176F">
      <w:pPr>
        <w:numPr>
          <w:ilvl w:val="0"/>
          <w:numId w:val="2"/>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Third-party/supply-chain risks:</w:t>
      </w:r>
      <w:r w:rsidRPr="00E1176F">
        <w:rPr>
          <w:rFonts w:ascii="Times New Roman" w:eastAsia="Times New Roman" w:hAnsi="Times New Roman" w:cs="Times New Roman"/>
          <w:lang w:eastAsia="en-GB"/>
        </w:rPr>
        <w:t xml:space="preserve"> Contractors or service providers (e.g. IT vendors) might introduce vulnerabilities or be attacked as a backdoor into FSL’s systems.</w:t>
      </w:r>
    </w:p>
    <w:p w14:paraId="6BC54952"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Overall, both human and technical factors play a role. FSL’s policy must therefore consider insider dangers (e.g. by controlling privileges and monitoring internal systems) as well as hardening against external cyberattacks.</w:t>
      </w:r>
    </w:p>
    <w:p w14:paraId="0A9ACF98"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Security Policies (ISO 27001, NIST, GDPR)</w:t>
      </w:r>
    </w:p>
    <w:p w14:paraId="701AB6FC"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A robust policy framework ensures that security controls are standardized, documented, and enforced. Key policies for FSL should include:</w:t>
      </w:r>
    </w:p>
    <w:p w14:paraId="4BEAC74D" w14:textId="77777777" w:rsidR="00E1176F" w:rsidRDefault="00E1176F" w:rsidP="00E1176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Information Security Policy:</w:t>
      </w:r>
      <w:r w:rsidRPr="00E1176F">
        <w:rPr>
          <w:rFonts w:ascii="Times New Roman" w:eastAsia="Times New Roman" w:hAnsi="Times New Roman" w:cs="Times New Roman"/>
          <w:lang w:eastAsia="en-GB"/>
        </w:rPr>
        <w:t xml:space="preserve"> The top-level directive defining FSL’s overall security objectives, risk approach, roles (e.g. management’s commitment) and scope. ISO 27001 explicitly requires a formally documented information security policy as part of its ISMS foundation</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[2].</w:t>
      </w:r>
    </w:p>
    <w:p w14:paraId="08ECA214" w14:textId="77777777" w:rsidR="009F59A0" w:rsidRPr="00E1176F" w:rsidRDefault="009F59A0" w:rsidP="009F59A0">
      <w:pPr>
        <w:spacing w:before="100" w:beforeAutospacing="1" w:after="100" w:afterAutospacing="1"/>
        <w:ind w:left="720"/>
        <w:rPr>
          <w:rFonts w:ascii="Times New Roman" w:eastAsia="Times New Roman" w:hAnsi="Times New Roman" w:cs="Times New Roman"/>
          <w:lang w:eastAsia="en-GB"/>
        </w:rPr>
      </w:pPr>
    </w:p>
    <w:p w14:paraId="79128937" w14:textId="77777777" w:rsidR="00234F8F" w:rsidRDefault="00E1176F" w:rsidP="00234F8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Data Protection Policy:</w:t>
      </w:r>
      <w:r w:rsidRPr="00E1176F">
        <w:rPr>
          <w:rFonts w:ascii="Times New Roman" w:eastAsia="Times New Roman" w:hAnsi="Times New Roman" w:cs="Times New Roman"/>
          <w:lang w:eastAsia="en-GB"/>
        </w:rPr>
        <w:t xml:space="preserve"> To comply with GDPR/UK-GDPR, FSL needs a data protection policy outlining how personal data is processed lawfully, how consent is managed, data subject rights, and how breaches are reported. UK GDPR guidance reminds that organizations must implement appropriate “technical and organisational measures” (e.g. policies, training, encryption) to protect personal data</w:t>
      </w:r>
      <w:r w:rsidR="00234F8F">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[1].</w:t>
      </w:r>
    </w:p>
    <w:p w14:paraId="57270CC6" w14:textId="77777777" w:rsidR="00234F8F" w:rsidRDefault="00234F8F" w:rsidP="00234F8F">
      <w:pPr>
        <w:pStyle w:val="ListParagraph"/>
        <w:rPr>
          <w:rFonts w:ascii="Times New Roman" w:eastAsia="Times New Roman" w:hAnsi="Times New Roman" w:cs="Times New Roman"/>
          <w:lang w:eastAsia="en-GB"/>
        </w:rPr>
      </w:pPr>
    </w:p>
    <w:p w14:paraId="1021E345" w14:textId="77777777" w:rsidR="00234F8F" w:rsidRPr="00E1176F" w:rsidRDefault="00234F8F" w:rsidP="00234F8F">
      <w:pPr>
        <w:spacing w:before="100" w:beforeAutospacing="1" w:after="100" w:afterAutospacing="1"/>
        <w:ind w:left="720"/>
        <w:rPr>
          <w:rFonts w:ascii="Times New Roman" w:eastAsia="Times New Roman" w:hAnsi="Times New Roman" w:cs="Times New Roman"/>
          <w:lang w:eastAsia="en-GB"/>
        </w:rPr>
      </w:pPr>
    </w:p>
    <w:p w14:paraId="7F1891A6" w14:textId="77777777" w:rsidR="00E1176F" w:rsidRDefault="00E1176F" w:rsidP="00E1176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lastRenderedPageBreak/>
        <w:t>Access Control Policy:</w:t>
      </w:r>
      <w:r w:rsidRPr="00E1176F">
        <w:rPr>
          <w:rFonts w:ascii="Times New Roman" w:eastAsia="Times New Roman" w:hAnsi="Times New Roman" w:cs="Times New Roman"/>
          <w:lang w:eastAsia="en-GB"/>
        </w:rPr>
        <w:t xml:space="preserve"> Rules for authentication, authorization, user account management (e.g. password rules, role-based access, privileged account controls). For example, ISO Annex A (control family) expects organisations to define who can access which systems and data</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[2].</w:t>
      </w:r>
    </w:p>
    <w:p w14:paraId="6C98875C" w14:textId="77777777" w:rsidR="00234F8F" w:rsidRPr="00E1176F" w:rsidRDefault="00234F8F" w:rsidP="00234F8F">
      <w:pPr>
        <w:spacing w:before="100" w:beforeAutospacing="1" w:after="100" w:afterAutospacing="1"/>
        <w:ind w:left="720"/>
        <w:rPr>
          <w:rFonts w:ascii="Times New Roman" w:eastAsia="Times New Roman" w:hAnsi="Times New Roman" w:cs="Times New Roman"/>
          <w:lang w:eastAsia="en-GB"/>
        </w:rPr>
      </w:pPr>
    </w:p>
    <w:p w14:paraId="328DD094" w14:textId="77777777" w:rsidR="00E1176F" w:rsidRDefault="00E1176F" w:rsidP="00E1176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Acceptable Use Policy (AUP):</w:t>
      </w:r>
      <w:r w:rsidRPr="00E1176F">
        <w:rPr>
          <w:rFonts w:ascii="Times New Roman" w:eastAsia="Times New Roman" w:hAnsi="Times New Roman" w:cs="Times New Roman"/>
          <w:lang w:eastAsia="en-GB"/>
        </w:rPr>
        <w:t xml:space="preserve"> Guidelines for employees on permitted use of company IT (e.g. email, internet, devices). This helps prevent unapproved software install, phishing vulnerability, or unsafe uploads.</w:t>
      </w:r>
    </w:p>
    <w:p w14:paraId="058796DC" w14:textId="77777777" w:rsidR="00234F8F" w:rsidRDefault="00234F8F" w:rsidP="00234F8F">
      <w:pPr>
        <w:pStyle w:val="ListParagraph"/>
        <w:rPr>
          <w:rFonts w:ascii="Times New Roman" w:eastAsia="Times New Roman" w:hAnsi="Times New Roman" w:cs="Times New Roman"/>
          <w:lang w:eastAsia="en-GB"/>
        </w:rPr>
      </w:pPr>
    </w:p>
    <w:p w14:paraId="3DB32846" w14:textId="77777777" w:rsidR="00234F8F" w:rsidRPr="00E1176F" w:rsidRDefault="00234F8F" w:rsidP="00234F8F">
      <w:pPr>
        <w:spacing w:before="100" w:beforeAutospacing="1" w:after="100" w:afterAutospacing="1"/>
        <w:ind w:left="720"/>
        <w:rPr>
          <w:rFonts w:ascii="Times New Roman" w:eastAsia="Times New Roman" w:hAnsi="Times New Roman" w:cs="Times New Roman"/>
          <w:lang w:eastAsia="en-GB"/>
        </w:rPr>
      </w:pPr>
    </w:p>
    <w:p w14:paraId="1D1CE1AB" w14:textId="77777777" w:rsidR="00E1176F" w:rsidRDefault="00E1176F" w:rsidP="00E1176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Incident Response Policy:</w:t>
      </w:r>
      <w:r w:rsidRPr="00E1176F">
        <w:rPr>
          <w:rFonts w:ascii="Times New Roman" w:eastAsia="Times New Roman" w:hAnsi="Times New Roman" w:cs="Times New Roman"/>
          <w:lang w:eastAsia="en-GB"/>
        </w:rPr>
        <w:t xml:space="preserve"> Defines how FSL will detect, report, and respond to security incidents. It should specify response team roles, escalation paths, communication plans, and legal/PR considerations. </w:t>
      </w:r>
    </w:p>
    <w:p w14:paraId="780A2799" w14:textId="77777777" w:rsidR="00234F8F" w:rsidRPr="00E1176F" w:rsidRDefault="00234F8F" w:rsidP="00234F8F">
      <w:pPr>
        <w:spacing w:before="100" w:beforeAutospacing="1" w:after="100" w:afterAutospacing="1"/>
        <w:ind w:left="720"/>
        <w:rPr>
          <w:rFonts w:ascii="Times New Roman" w:eastAsia="Times New Roman" w:hAnsi="Times New Roman" w:cs="Times New Roman"/>
          <w:lang w:eastAsia="en-GB"/>
        </w:rPr>
      </w:pPr>
    </w:p>
    <w:p w14:paraId="389E078D" w14:textId="77777777" w:rsidR="00E1176F" w:rsidRDefault="00E1176F" w:rsidP="00E1176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Business Continuity/Disaster Recovery Policy:</w:t>
      </w:r>
      <w:r w:rsidRPr="00E1176F">
        <w:rPr>
          <w:rFonts w:ascii="Times New Roman" w:eastAsia="Times New Roman" w:hAnsi="Times New Roman" w:cs="Times New Roman"/>
          <w:lang w:eastAsia="en-GB"/>
        </w:rPr>
        <w:t xml:space="preserve"> Although separate from cybersecurity policies, an overlap is crucial – ensuring FSL can continue operating or quickly restore services after an incident (e.g. data backups, alternate sites).</w:t>
      </w:r>
    </w:p>
    <w:p w14:paraId="21948683" w14:textId="77777777" w:rsidR="00234F8F" w:rsidRDefault="00234F8F" w:rsidP="00234F8F">
      <w:pPr>
        <w:pStyle w:val="ListParagraph"/>
        <w:rPr>
          <w:rFonts w:ascii="Times New Roman" w:eastAsia="Times New Roman" w:hAnsi="Times New Roman" w:cs="Times New Roman"/>
          <w:lang w:eastAsia="en-GB"/>
        </w:rPr>
      </w:pPr>
    </w:p>
    <w:p w14:paraId="59F924B5" w14:textId="77777777" w:rsidR="00234F8F" w:rsidRPr="00E1176F" w:rsidRDefault="00234F8F" w:rsidP="00234F8F">
      <w:pPr>
        <w:spacing w:before="100" w:beforeAutospacing="1" w:after="100" w:afterAutospacing="1"/>
        <w:ind w:left="720"/>
        <w:rPr>
          <w:rFonts w:ascii="Times New Roman" w:eastAsia="Times New Roman" w:hAnsi="Times New Roman" w:cs="Times New Roman"/>
          <w:lang w:eastAsia="en-GB"/>
        </w:rPr>
      </w:pPr>
    </w:p>
    <w:p w14:paraId="46021AC8" w14:textId="77777777" w:rsidR="00E1176F" w:rsidRDefault="00E1176F" w:rsidP="00E1176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Acceptable Encryption Policy:</w:t>
      </w:r>
      <w:r w:rsidRPr="00E1176F">
        <w:rPr>
          <w:rFonts w:ascii="Times New Roman" w:eastAsia="Times New Roman" w:hAnsi="Times New Roman" w:cs="Times New Roman"/>
          <w:lang w:eastAsia="en-GB"/>
        </w:rPr>
        <w:t xml:space="preserve"> Under GDPR, FSL should use encryption and pseudonymisation where appropriate to protect data</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[1]</w:t>
      </w:r>
      <w:r>
        <w:rPr>
          <w:rFonts w:ascii="Times New Roman" w:eastAsia="Times New Roman" w:hAnsi="Times New Roman" w:cs="Times New Roman"/>
          <w:lang w:eastAsia="en-GB"/>
        </w:rPr>
        <w:t>.</w:t>
      </w:r>
      <w:r w:rsidRPr="00E1176F">
        <w:rPr>
          <w:rFonts w:ascii="Times New Roman" w:eastAsia="Times New Roman" w:hAnsi="Times New Roman" w:cs="Times New Roman"/>
          <w:lang w:eastAsia="en-GB"/>
        </w:rPr>
        <w:t xml:space="preserve"> A policy can specify data at-rest and in-transit encryption standards (e.g. AES for databases, TLS for web).</w:t>
      </w:r>
    </w:p>
    <w:p w14:paraId="59CA3B21" w14:textId="77777777" w:rsidR="00234F8F" w:rsidRPr="00E1176F" w:rsidRDefault="00234F8F" w:rsidP="00234F8F">
      <w:pPr>
        <w:spacing w:before="100" w:beforeAutospacing="1" w:after="100" w:afterAutospacing="1"/>
        <w:ind w:left="720"/>
        <w:rPr>
          <w:rFonts w:ascii="Times New Roman" w:eastAsia="Times New Roman" w:hAnsi="Times New Roman" w:cs="Times New Roman"/>
          <w:lang w:eastAsia="en-GB"/>
        </w:rPr>
      </w:pPr>
    </w:p>
    <w:p w14:paraId="3E4B3DFA" w14:textId="77777777" w:rsidR="00E1176F" w:rsidRPr="00E1176F" w:rsidRDefault="00E1176F" w:rsidP="00E1176F">
      <w:pPr>
        <w:numPr>
          <w:ilvl w:val="0"/>
          <w:numId w:val="3"/>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Vendor/Supply-Chain Security Policy:</w:t>
      </w:r>
      <w:r w:rsidRPr="00E1176F">
        <w:rPr>
          <w:rFonts w:ascii="Times New Roman" w:eastAsia="Times New Roman" w:hAnsi="Times New Roman" w:cs="Times New Roman"/>
          <w:lang w:eastAsia="en-GB"/>
        </w:rPr>
        <w:t xml:space="preserve"> Requirements for third parties (e.g. banks, cloud providers) such as contractual security clauses, regular audits, and compliance with FSL’s standards.</w:t>
      </w:r>
    </w:p>
    <w:p w14:paraId="67956341"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These policies should be aligned with recognized frameworks: ISO 27001 guides the overall ISMS structure; NIST CSF’s Protect category includes establishing policies and controls (e.g. identity management, data security) to reduce risks; and GDPR mandates governance (e.g. appointing a Data Protection Officer, documenting processing activities). For instance, NIST CSF’s Protect function explicitly calls for formal policies and procedures to limit impact of events</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[2]. In practice, FSL’s security committee would draft and review these policies, ensuring they meet legal (GDPR/FCA) requirements and map to ISO/NIST best practices.</w:t>
      </w:r>
    </w:p>
    <w:p w14:paraId="690DA0BC"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Important points from authoritative sources: the ICO says that organisations “have an information security policy (or equivalent) and take steps to make sure the policy is implemented</w:t>
      </w:r>
      <w:r w:rsidRPr="00E1176F">
        <w:rPr>
          <w:rFonts w:ascii="Times New Roman" w:eastAsia="Times New Roman" w:hAnsi="Times New Roman" w:cs="Times New Roman"/>
          <w:i/>
          <w:iCs/>
          <w:lang w:eastAsia="en-GB"/>
        </w:rPr>
        <w:t>”</w:t>
      </w:r>
      <w:r w:rsidRPr="00E1176F">
        <w:rPr>
          <w:rFonts w:ascii="Times New Roman" w:eastAsia="Times New Roman" w:hAnsi="Times New Roman" w:cs="Times New Roman"/>
          <w:lang w:eastAsia="en-GB"/>
        </w:rPr>
        <w:t>, and that these policies must be regularly reviewed and updated</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[1]. In other words, it’s not enough to write a policy; FSL must enforce it (via oversight and audit) and refine it over time as threats or business needs change.</w:t>
      </w:r>
    </w:p>
    <w:p w14:paraId="4ADC2A42" w14:textId="77777777" w:rsidR="00234F8F" w:rsidRDefault="00234F8F" w:rsidP="00E1176F">
      <w:pPr>
        <w:spacing w:before="100" w:beforeAutospacing="1" w:after="100" w:afterAutospacing="1"/>
        <w:outlineLvl w:val="1"/>
        <w:rPr>
          <w:rFonts w:ascii="Times New Roman" w:eastAsia="Times New Roman" w:hAnsi="Times New Roman" w:cs="Times New Roman"/>
          <w:b/>
          <w:bCs/>
          <w:sz w:val="36"/>
          <w:szCs w:val="36"/>
          <w:lang w:eastAsia="en-GB"/>
        </w:rPr>
      </w:pPr>
    </w:p>
    <w:p w14:paraId="7B4DF745"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lastRenderedPageBreak/>
        <w:t>Mitigation Measures</w:t>
      </w:r>
    </w:p>
    <w:p w14:paraId="79141556"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Policy documents set the rules; mitigation measures put them into practice. Controls and safeguards fall into technical, administrative, and physical categories:</w:t>
      </w:r>
    </w:p>
    <w:p w14:paraId="12838D70" w14:textId="77777777" w:rsidR="00E1176F" w:rsidRPr="00E1176F" w:rsidRDefault="00E1176F" w:rsidP="00E1176F">
      <w:pPr>
        <w:numPr>
          <w:ilvl w:val="0"/>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Technical Controls:</w:t>
      </w:r>
    </w:p>
    <w:p w14:paraId="5BD5CBA4"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Firewalls and Network Security:</w:t>
      </w:r>
      <w:r w:rsidRPr="00E1176F">
        <w:rPr>
          <w:rFonts w:ascii="Times New Roman" w:eastAsia="Times New Roman" w:hAnsi="Times New Roman" w:cs="Times New Roman"/>
          <w:lang w:eastAsia="en-GB"/>
        </w:rPr>
        <w:t xml:space="preserve"> A properly configured firewall and intrusion detection/prevention system (IDS/IPS) at network perimeters.</w:t>
      </w:r>
    </w:p>
    <w:p w14:paraId="33F23722"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Encryption:</w:t>
      </w:r>
      <w:r w:rsidRPr="00E1176F">
        <w:rPr>
          <w:rFonts w:ascii="Times New Roman" w:eastAsia="Times New Roman" w:hAnsi="Times New Roman" w:cs="Times New Roman"/>
          <w:lang w:eastAsia="en-GB"/>
        </w:rPr>
        <w:t xml:space="preserve"> Use strong encryption (AES, TLS) for data at rest and in transit. As the ICO notes, organisations should use encryption and pseudonymisation “where appropriate” to protect data</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[1]. For example, customer databases and backups should be encrypted.</w:t>
      </w:r>
    </w:p>
    <w:p w14:paraId="6E39E40C"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Multi-Factor Authentication (MFA):</w:t>
      </w:r>
      <w:r w:rsidRPr="00E1176F">
        <w:rPr>
          <w:rFonts w:ascii="Times New Roman" w:eastAsia="Times New Roman" w:hAnsi="Times New Roman" w:cs="Times New Roman"/>
          <w:lang w:eastAsia="en-GB"/>
        </w:rPr>
        <w:t xml:space="preserve"> Require MFA for all privileged and remote logins (admins, VPN access, cloud consoles) to reduce credential theft risk.</w:t>
      </w:r>
    </w:p>
    <w:p w14:paraId="3DEE9240"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Endpoint Protection and Patch Management:</w:t>
      </w:r>
      <w:r w:rsidRPr="00E1176F">
        <w:rPr>
          <w:rFonts w:ascii="Times New Roman" w:eastAsia="Times New Roman" w:hAnsi="Times New Roman" w:cs="Times New Roman"/>
          <w:lang w:eastAsia="en-GB"/>
        </w:rPr>
        <w:t xml:space="preserve"> Install up-to-date anti-malware/EDR on all endpoints (PCs, servers) and ensure timely OS/software patching to close vulnerabilities.</w:t>
      </w:r>
    </w:p>
    <w:p w14:paraId="046D7EB1"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Network Segmentation:</w:t>
      </w:r>
      <w:r w:rsidRPr="00E1176F">
        <w:rPr>
          <w:rFonts w:ascii="Times New Roman" w:eastAsia="Times New Roman" w:hAnsi="Times New Roman" w:cs="Times New Roman"/>
          <w:lang w:eastAsia="en-GB"/>
        </w:rPr>
        <w:t xml:space="preserve"> Separate critical systems (e.g. payment processing) from general user networks to contain breaches.</w:t>
      </w:r>
    </w:p>
    <w:p w14:paraId="77A1ECD1"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Logging and SIEM:</w:t>
      </w:r>
      <w:r w:rsidRPr="00E1176F">
        <w:rPr>
          <w:rFonts w:ascii="Times New Roman" w:eastAsia="Times New Roman" w:hAnsi="Times New Roman" w:cs="Times New Roman"/>
          <w:lang w:eastAsia="en-GB"/>
        </w:rPr>
        <w:t xml:space="preserve"> Implement central logging (e.g. Security Information and Event Management) to monitor unusual activity (multiple failed logins, spikes in traffic) as an early warning system.</w:t>
      </w:r>
    </w:p>
    <w:p w14:paraId="1A0707B0" w14:textId="77777777" w:rsidR="00E1176F" w:rsidRPr="00E1176F" w:rsidRDefault="00E1176F" w:rsidP="00E1176F">
      <w:pPr>
        <w:numPr>
          <w:ilvl w:val="0"/>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Administrative Controls:</w:t>
      </w:r>
    </w:p>
    <w:p w14:paraId="1ABEA4DC"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Risk Assessment:</w:t>
      </w:r>
      <w:r w:rsidRPr="00E1176F">
        <w:rPr>
          <w:rFonts w:ascii="Times New Roman" w:eastAsia="Times New Roman" w:hAnsi="Times New Roman" w:cs="Times New Roman"/>
          <w:lang w:eastAsia="en-GB"/>
        </w:rPr>
        <w:t xml:space="preserve"> Conduct regular risk assessments (as required by ISO 27001) to identify assets (customer records, systems) and rate risks. This drives which controls to implement and how strict they should be.</w:t>
      </w:r>
    </w:p>
    <w:p w14:paraId="1EC74F0F"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User Access Reviews:</w:t>
      </w:r>
      <w:r w:rsidRPr="00E1176F">
        <w:rPr>
          <w:rFonts w:ascii="Times New Roman" w:eastAsia="Times New Roman" w:hAnsi="Times New Roman" w:cs="Times New Roman"/>
          <w:lang w:eastAsia="en-GB"/>
        </w:rPr>
        <w:t xml:space="preserve"> Periodically review user permissions to ensure employees have only the access needed for their role (principle of least privilege).</w:t>
      </w:r>
    </w:p>
    <w:p w14:paraId="5F30C2B2"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Policies &amp; Enforcement:</w:t>
      </w:r>
      <w:r w:rsidRPr="00E1176F">
        <w:rPr>
          <w:rFonts w:ascii="Times New Roman" w:eastAsia="Times New Roman" w:hAnsi="Times New Roman" w:cs="Times New Roman"/>
          <w:lang w:eastAsia="en-GB"/>
        </w:rPr>
        <w:t xml:space="preserve"> Enforce the policies listed above. For example, audits to confirm devices comply with the AUP, or that sensitive data is classified and handled according to the policy.</w:t>
      </w:r>
    </w:p>
    <w:p w14:paraId="6CAA151B"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Incident Drills &amp; Testing:</w:t>
      </w:r>
      <w:r w:rsidRPr="00E1176F">
        <w:rPr>
          <w:rFonts w:ascii="Times New Roman" w:eastAsia="Times New Roman" w:hAnsi="Times New Roman" w:cs="Times New Roman"/>
          <w:lang w:eastAsia="en-GB"/>
        </w:rPr>
        <w:t xml:space="preserve"> Regularly test incident response procedures (see next section) through tabletop exercises or phishing simulations.</w:t>
      </w:r>
    </w:p>
    <w:p w14:paraId="53F8A2F8"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Data Backups:</w:t>
      </w:r>
      <w:r w:rsidRPr="00E1176F">
        <w:rPr>
          <w:rFonts w:ascii="Times New Roman" w:eastAsia="Times New Roman" w:hAnsi="Times New Roman" w:cs="Times New Roman"/>
          <w:lang w:eastAsia="en-GB"/>
        </w:rPr>
        <w:t xml:space="preserve"> Maintain frequent, tested backups of critical data to enable recovery from ransomware or system failures.</w:t>
      </w:r>
    </w:p>
    <w:p w14:paraId="0490EF2C" w14:textId="77777777" w:rsidR="00E1176F" w:rsidRPr="00E1176F" w:rsidRDefault="00E1176F" w:rsidP="00E1176F">
      <w:pPr>
        <w:numPr>
          <w:ilvl w:val="0"/>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Physical Controls:</w:t>
      </w:r>
    </w:p>
    <w:p w14:paraId="47340DC0"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Secure Premises:</w:t>
      </w:r>
      <w:r w:rsidRPr="00E1176F">
        <w:rPr>
          <w:rFonts w:ascii="Times New Roman" w:eastAsia="Times New Roman" w:hAnsi="Times New Roman" w:cs="Times New Roman"/>
          <w:lang w:eastAsia="en-GB"/>
        </w:rPr>
        <w:t xml:space="preserve"> Control physical access to offices and data centres (badges, locks, cameras) so that outsiders and unauthorised insiders cannot easily steal hardware or servers.</w:t>
      </w:r>
    </w:p>
    <w:p w14:paraId="33006361" w14:textId="77777777" w:rsidR="00E1176F" w:rsidRPr="00E1176F" w:rsidRDefault="00E1176F" w:rsidP="00E1176F">
      <w:pPr>
        <w:numPr>
          <w:ilvl w:val="1"/>
          <w:numId w:val="4"/>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Hardware Security:</w:t>
      </w:r>
      <w:r w:rsidRPr="00E1176F">
        <w:rPr>
          <w:rFonts w:ascii="Times New Roman" w:eastAsia="Times New Roman" w:hAnsi="Times New Roman" w:cs="Times New Roman"/>
          <w:lang w:eastAsia="en-GB"/>
        </w:rPr>
        <w:t xml:space="preserve"> Lock workstation consoles in public spaces; secure portable devices (laptops, USB drives) with cable locks or storage.</w:t>
      </w:r>
    </w:p>
    <w:p w14:paraId="30F157E8"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These measures aim to ensure the CIA triad (Confidentiality, Integrity, Availability) of FSL’s systems. The ICO stresses that security measures must achieve “confidentiality, integrity and availability” of data, and enable timely restoration of data if incidents occur</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[1]. In summary, FSL should adopt a layered (“</w:t>
      </w:r>
      <w:r w:rsidRPr="00E1176F">
        <w:rPr>
          <w:rFonts w:ascii="Times New Roman" w:eastAsia="Times New Roman" w:hAnsi="Times New Roman" w:cs="Times New Roman"/>
          <w:lang w:eastAsia="en-GB"/>
        </w:rPr>
        <w:t>defence</w:t>
      </w:r>
      <w:r w:rsidRPr="00E1176F">
        <w:rPr>
          <w:rFonts w:ascii="Times New Roman" w:eastAsia="Times New Roman" w:hAnsi="Times New Roman" w:cs="Times New Roman"/>
          <w:lang w:eastAsia="en-GB"/>
        </w:rPr>
        <w:t xml:space="preserve"> in depth”) approach: technical controls enforced by policy, backed by management processes and employee practices.</w:t>
      </w:r>
    </w:p>
    <w:p w14:paraId="35C626B0"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Monitoring and Response</w:t>
      </w:r>
    </w:p>
    <w:p w14:paraId="0DC70BC0"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Active monitoring and a planned response are critical. Continuous monitoring (e.g. log review, IDS alerts) helps detect breaches early, and a clear response plan limits damage. FSL should establish a Cyber Incident Response Plan (CIRP) that outlines steps and roles when an incident occurs.</w:t>
      </w:r>
    </w:p>
    <w:p w14:paraId="281A881D" w14:textId="77777777" w:rsidR="001A5DCE" w:rsidRDefault="00E1176F" w:rsidP="001A5DCE">
      <w:pPr>
        <w:rPr>
          <w:rFonts w:ascii="Times New Roman" w:eastAsia="Times New Roman" w:hAnsi="Times New Roman" w:cs="Times New Roman"/>
          <w:lang w:eastAsia="en-GB"/>
        </w:rPr>
      </w:pPr>
      <w:r w:rsidRPr="00E1176F">
        <w:rPr>
          <w:rFonts w:ascii="Times New Roman" w:eastAsia="Times New Roman" w:hAnsi="Times New Roman" w:cs="Times New Roman"/>
          <w:lang w:eastAsia="en-GB"/>
        </w:rPr>
        <w:lastRenderedPageBreak/>
        <w:fldChar w:fldCharType="begin"/>
      </w:r>
      <w:r w:rsidRPr="00E1176F">
        <w:rPr>
          <w:rFonts w:ascii="Times New Roman" w:eastAsia="Times New Roman" w:hAnsi="Times New Roman" w:cs="Times New Roman"/>
          <w:lang w:eastAsia="en-GB"/>
        </w:rPr>
        <w:instrText xml:space="preserve"> INCLUDEPICTURE "blob:https://chatgpt.com/79749b09-1396-4bf2-9a42-1d8e349da0df" \* MERGEFORMATINET </w:instrText>
      </w:r>
      <w:r w:rsidRPr="00E1176F">
        <w:rPr>
          <w:rFonts w:ascii="Times New Roman" w:eastAsia="Times New Roman" w:hAnsi="Times New Roman" w:cs="Times New Roman"/>
          <w:lang w:eastAsia="en-GB"/>
        </w:rPr>
        <w:fldChar w:fldCharType="separate"/>
      </w:r>
      <w:r w:rsidRPr="00E1176F">
        <w:rPr>
          <w:rFonts w:ascii="Times New Roman" w:eastAsia="Times New Roman" w:hAnsi="Times New Roman" w:cs="Times New Roman"/>
          <w:noProof/>
          <w:lang w:eastAsia="en-GB"/>
        </w:rPr>
        <mc:AlternateContent>
          <mc:Choice Requires="wps">
            <w:drawing>
              <wp:inline distT="0" distB="0" distL="0" distR="0" wp14:anchorId="2E9B1FEA" wp14:editId="102422E9">
                <wp:extent cx="304800" cy="304800"/>
                <wp:effectExtent l="0" t="0" r="0" b="0"/>
                <wp:docPr id="144331889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4F45C3"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E1176F">
        <w:rPr>
          <w:rFonts w:ascii="Times New Roman" w:eastAsia="Times New Roman" w:hAnsi="Times New Roman" w:cs="Times New Roman"/>
          <w:lang w:eastAsia="en-GB"/>
        </w:rPr>
        <w:fldChar w:fldCharType="end"/>
      </w:r>
    </w:p>
    <w:p w14:paraId="1CE47F54" w14:textId="77777777" w:rsidR="00E1176F" w:rsidRPr="00E1176F" w:rsidRDefault="001A5DCE" w:rsidP="001A5DCE">
      <w:pP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555C0262" wp14:editId="45D45D37">
            <wp:extent cx="1846729" cy="2770094"/>
            <wp:effectExtent l="0" t="0" r="0" b="0"/>
            <wp:docPr id="1376719338" name="Picture 4"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19338" name="Picture 4" descr="A diagram of a process&#10;&#10;AI-generated content may be incorrect."/>
                    <pic:cNvPicPr/>
                  </pic:nvPicPr>
                  <pic:blipFill>
                    <a:blip r:embed="rId8"/>
                    <a:stretch>
                      <a:fillRect/>
                    </a:stretch>
                  </pic:blipFill>
                  <pic:spPr>
                    <a:xfrm>
                      <a:off x="0" y="0"/>
                      <a:ext cx="1858735" cy="2788103"/>
                    </a:xfrm>
                    <a:prstGeom prst="rect">
                      <a:avLst/>
                    </a:prstGeom>
                  </pic:spPr>
                </pic:pic>
              </a:graphicData>
            </a:graphic>
          </wp:inline>
        </w:drawing>
      </w:r>
      <w:r w:rsidR="00E1176F" w:rsidRPr="00E1176F">
        <w:rPr>
          <w:rFonts w:ascii="Times New Roman" w:eastAsia="Times New Roman" w:hAnsi="Times New Roman" w:cs="Times New Roman"/>
          <w:lang w:eastAsia="en-GB"/>
        </w:rPr>
        <w:br/>
      </w:r>
      <w:r w:rsidR="00E1176F" w:rsidRPr="00E1176F">
        <w:rPr>
          <w:rFonts w:ascii="Times New Roman" w:eastAsia="Times New Roman" w:hAnsi="Times New Roman" w:cs="Times New Roman"/>
          <w:b/>
          <w:bCs/>
          <w:lang w:eastAsia="en-GB"/>
        </w:rPr>
        <w:t>Preparation</w:t>
      </w:r>
      <w:r w:rsidR="00E1176F" w:rsidRPr="00E1176F">
        <w:rPr>
          <w:rFonts w:ascii="Times New Roman" w:eastAsia="Times New Roman" w:hAnsi="Times New Roman" w:cs="Times New Roman"/>
          <w:lang w:eastAsia="en-GB"/>
        </w:rPr>
        <w:t xml:space="preserve">, </w:t>
      </w:r>
      <w:r w:rsidR="00E1176F" w:rsidRPr="00E1176F">
        <w:rPr>
          <w:rFonts w:ascii="Times New Roman" w:eastAsia="Times New Roman" w:hAnsi="Times New Roman" w:cs="Times New Roman"/>
          <w:b/>
          <w:bCs/>
          <w:lang w:eastAsia="en-GB"/>
        </w:rPr>
        <w:t>Detection &amp; Analysis</w:t>
      </w:r>
      <w:r w:rsidR="00E1176F" w:rsidRPr="00E1176F">
        <w:rPr>
          <w:rFonts w:ascii="Times New Roman" w:eastAsia="Times New Roman" w:hAnsi="Times New Roman" w:cs="Times New Roman"/>
          <w:lang w:eastAsia="en-GB"/>
        </w:rPr>
        <w:t xml:space="preserve">, </w:t>
      </w:r>
      <w:r w:rsidR="00E1176F" w:rsidRPr="00E1176F">
        <w:rPr>
          <w:rFonts w:ascii="Times New Roman" w:eastAsia="Times New Roman" w:hAnsi="Times New Roman" w:cs="Times New Roman"/>
          <w:b/>
          <w:bCs/>
          <w:lang w:eastAsia="en-GB"/>
        </w:rPr>
        <w:t>Containment, Eradication &amp; Recovery</w:t>
      </w:r>
      <w:r w:rsidR="00E1176F" w:rsidRPr="00E1176F">
        <w:rPr>
          <w:rFonts w:ascii="Times New Roman" w:eastAsia="Times New Roman" w:hAnsi="Times New Roman" w:cs="Times New Roman"/>
          <w:lang w:eastAsia="en-GB"/>
        </w:rPr>
        <w:t xml:space="preserve">, and </w:t>
      </w:r>
      <w:r w:rsidR="00E1176F" w:rsidRPr="00E1176F">
        <w:rPr>
          <w:rFonts w:ascii="Times New Roman" w:eastAsia="Times New Roman" w:hAnsi="Times New Roman" w:cs="Times New Roman"/>
          <w:b/>
          <w:bCs/>
          <w:lang w:eastAsia="en-GB"/>
        </w:rPr>
        <w:t>Post-Incident Review</w:t>
      </w:r>
      <w:r w:rsidR="00E1176F">
        <w:rPr>
          <w:rFonts w:ascii="Times New Roman" w:eastAsia="Times New Roman" w:hAnsi="Times New Roman" w:cs="Times New Roman"/>
          <w:b/>
          <w:bCs/>
          <w:lang w:eastAsia="en-GB"/>
        </w:rPr>
        <w:t xml:space="preserve"> </w:t>
      </w:r>
      <w:r w:rsidR="00E1176F" w:rsidRPr="00E1176F">
        <w:rPr>
          <w:rFonts w:ascii="Times New Roman" w:eastAsia="Times New Roman" w:hAnsi="Times New Roman" w:cs="Times New Roman"/>
          <w:lang w:eastAsia="en-GB"/>
        </w:rPr>
        <w:t>[3]</w:t>
      </w:r>
      <w:r w:rsidR="00E1176F" w:rsidRPr="00E1176F">
        <w:rPr>
          <w:rFonts w:ascii="Times New Roman" w:eastAsia="Times New Roman" w:hAnsi="Times New Roman" w:cs="Times New Roman"/>
          <w:lang w:eastAsia="en-GB"/>
        </w:rPr>
        <w:t xml:space="preserve">. In </w:t>
      </w:r>
      <w:r w:rsidR="00E1176F" w:rsidRPr="00E1176F">
        <w:rPr>
          <w:rFonts w:ascii="Times New Roman" w:eastAsia="Times New Roman" w:hAnsi="Times New Roman" w:cs="Times New Roman"/>
          <w:b/>
          <w:bCs/>
          <w:lang w:eastAsia="en-GB"/>
        </w:rPr>
        <w:t>Preparation</w:t>
      </w:r>
      <w:r w:rsidR="00E1176F" w:rsidRPr="00E1176F">
        <w:rPr>
          <w:rFonts w:ascii="Times New Roman" w:eastAsia="Times New Roman" w:hAnsi="Times New Roman" w:cs="Times New Roman"/>
          <w:lang w:eastAsia="en-GB"/>
        </w:rPr>
        <w:t xml:space="preserve">, FSL sets up an incident team, defines communication paths (hotlines, escalation), and ensures tools are ready (forensics kits, alternate sites). </w:t>
      </w:r>
      <w:r w:rsidR="00E1176F" w:rsidRPr="00E1176F">
        <w:rPr>
          <w:rFonts w:ascii="Times New Roman" w:eastAsia="Times New Roman" w:hAnsi="Times New Roman" w:cs="Times New Roman"/>
          <w:i/>
          <w:iCs/>
          <w:lang w:eastAsia="en-GB"/>
        </w:rPr>
        <w:t>Detection &amp; Analysis</w:t>
      </w:r>
      <w:r w:rsidR="00E1176F" w:rsidRPr="00E1176F">
        <w:rPr>
          <w:rFonts w:ascii="Times New Roman" w:eastAsia="Times New Roman" w:hAnsi="Times New Roman" w:cs="Times New Roman"/>
          <w:lang w:eastAsia="en-GB"/>
        </w:rPr>
        <w:t xml:space="preserve"> involves identifying a suspicious event (e.g. unusual login), triaging alerts, and confirming a security incident. During </w:t>
      </w:r>
      <w:r w:rsidR="00E1176F" w:rsidRPr="00E1176F">
        <w:rPr>
          <w:rFonts w:ascii="Times New Roman" w:eastAsia="Times New Roman" w:hAnsi="Times New Roman" w:cs="Times New Roman"/>
          <w:b/>
          <w:bCs/>
          <w:lang w:eastAsia="en-GB"/>
        </w:rPr>
        <w:t>Containment, Eradication &amp; Recovery</w:t>
      </w:r>
      <w:r w:rsidR="00E1176F" w:rsidRPr="00E1176F">
        <w:rPr>
          <w:rFonts w:ascii="Times New Roman" w:eastAsia="Times New Roman" w:hAnsi="Times New Roman" w:cs="Times New Roman"/>
          <w:lang w:eastAsia="en-GB"/>
        </w:rPr>
        <w:t xml:space="preserve">, the team isolates affected systems (containing malware), removes the threat (eradicating malware or closing a breached account), and restores systems (from backups or clean images). Finally, </w:t>
      </w:r>
      <w:r w:rsidR="00E1176F" w:rsidRPr="00E1176F">
        <w:rPr>
          <w:rFonts w:ascii="Times New Roman" w:eastAsia="Times New Roman" w:hAnsi="Times New Roman" w:cs="Times New Roman"/>
          <w:b/>
          <w:bCs/>
          <w:lang w:eastAsia="en-GB"/>
        </w:rPr>
        <w:t>Post-Incident Activity</w:t>
      </w:r>
      <w:r w:rsidR="00E1176F" w:rsidRPr="00E1176F">
        <w:rPr>
          <w:rFonts w:ascii="Times New Roman" w:eastAsia="Times New Roman" w:hAnsi="Times New Roman" w:cs="Times New Roman"/>
          <w:lang w:eastAsia="en-GB"/>
        </w:rPr>
        <w:t xml:space="preserve"> focuses on reporting the incident, documenting lessons learned, and updating policies and </w:t>
      </w:r>
      <w:r w:rsidR="00E1176F" w:rsidRPr="00E1176F">
        <w:rPr>
          <w:rFonts w:ascii="Times New Roman" w:eastAsia="Times New Roman" w:hAnsi="Times New Roman" w:cs="Times New Roman"/>
          <w:lang w:eastAsia="en-GB"/>
        </w:rPr>
        <w:t>defences</w:t>
      </w:r>
      <w:r w:rsidR="00E1176F" w:rsidRPr="00E1176F">
        <w:rPr>
          <w:rFonts w:ascii="Times New Roman" w:eastAsia="Times New Roman" w:hAnsi="Times New Roman" w:cs="Times New Roman"/>
          <w:lang w:eastAsia="en-GB"/>
        </w:rPr>
        <w:t xml:space="preserve"> to prevent recurrence</w:t>
      </w:r>
      <w:r w:rsidR="00E1176F">
        <w:rPr>
          <w:rFonts w:ascii="Times New Roman" w:eastAsia="Times New Roman" w:hAnsi="Times New Roman" w:cs="Times New Roman"/>
          <w:lang w:eastAsia="en-GB"/>
        </w:rPr>
        <w:t xml:space="preserve"> </w:t>
      </w:r>
      <w:r w:rsidR="00E1176F" w:rsidRPr="00E1176F">
        <w:rPr>
          <w:rFonts w:ascii="Times New Roman" w:eastAsia="Times New Roman" w:hAnsi="Times New Roman" w:cs="Times New Roman"/>
          <w:lang w:eastAsia="en-GB"/>
        </w:rPr>
        <w:t>[3].</w:t>
      </w:r>
    </w:p>
    <w:p w14:paraId="04F5753D"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Key points in this process include timely communication and evidence preservation. For instance, ISO 27035 (UK standard on incident response) requires that incidents be reported to management and (if data was involved) to the Information Commissioner’s Office within 72 hours (for GDPR breaches). FSL should also have a flowchart or checklist (as sketched above) that staff can follow during an incident, as recommended by the NCSC. The flowchart illustrates these steps and helps ensure the incident team doesn’t skip any critical action.</w:t>
      </w:r>
    </w:p>
    <w:p w14:paraId="579F4FB8"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 xml:space="preserve">For monitoring specifically, FSL should implement real-time log monitoring and anomaly detection. Automated alerts can flag, say, multiple failed </w:t>
      </w:r>
      <w:proofErr w:type="gramStart"/>
      <w:r w:rsidRPr="00E1176F">
        <w:rPr>
          <w:rFonts w:ascii="Times New Roman" w:eastAsia="Times New Roman" w:hAnsi="Times New Roman" w:cs="Times New Roman"/>
          <w:lang w:eastAsia="en-GB"/>
        </w:rPr>
        <w:t>login</w:t>
      </w:r>
      <w:proofErr w:type="gramEnd"/>
      <w:r w:rsidRPr="00E1176F">
        <w:rPr>
          <w:rFonts w:ascii="Times New Roman" w:eastAsia="Times New Roman" w:hAnsi="Times New Roman" w:cs="Times New Roman"/>
          <w:lang w:eastAsia="en-GB"/>
        </w:rPr>
        <w:t xml:space="preserve"> attempts or large data transfers. These alerts should feed into the incident response procedure (e.g. triggering the Detection/Analysis phase). Throughout all stages, documentation is vital: each incident report should record who discovered it, what actions were taken, and when. This aligns with best practices in NIST SP 800-61 (Incident Handling Guide) for post-incident analysis and lessons learned</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[3].</w:t>
      </w:r>
    </w:p>
    <w:p w14:paraId="15C22648"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Finally, flowcharts and diagrams should be tested in drills. Many organizations find that having a clear, visual plan (like the flowchart above) greatly improves coordination during the stress of a real incident.</w:t>
      </w:r>
    </w:p>
    <w:p w14:paraId="544342DD"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Training and Awareness</w:t>
      </w:r>
    </w:p>
    <w:p w14:paraId="336906A8"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 xml:space="preserve">Even the best policies and tools can fail if staff aren’t aware of them. FSL must invest in security awareness training so that all employees) understand threats and their role in </w:t>
      </w:r>
      <w:r w:rsidRPr="00E1176F">
        <w:rPr>
          <w:rFonts w:ascii="Times New Roman" w:eastAsia="Times New Roman" w:hAnsi="Times New Roman" w:cs="Times New Roman"/>
          <w:lang w:eastAsia="en-GB"/>
        </w:rPr>
        <w:t>defence</w:t>
      </w:r>
      <w:r w:rsidRPr="00E1176F">
        <w:rPr>
          <w:rFonts w:ascii="Times New Roman" w:eastAsia="Times New Roman" w:hAnsi="Times New Roman" w:cs="Times New Roman"/>
          <w:lang w:eastAsia="en-GB"/>
        </w:rPr>
        <w:t>. This training should cover:</w:t>
      </w:r>
    </w:p>
    <w:p w14:paraId="5F3123DC" w14:textId="77777777" w:rsidR="00E1176F" w:rsidRPr="00E1176F" w:rsidRDefault="00E1176F" w:rsidP="00E1176F">
      <w:pPr>
        <w:numPr>
          <w:ilvl w:val="0"/>
          <w:numId w:val="5"/>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Regular Phishing Simulations:</w:t>
      </w:r>
      <w:r w:rsidRPr="00E1176F">
        <w:rPr>
          <w:rFonts w:ascii="Times New Roman" w:eastAsia="Times New Roman" w:hAnsi="Times New Roman" w:cs="Times New Roman"/>
          <w:lang w:eastAsia="en-GB"/>
        </w:rPr>
        <w:t xml:space="preserve"> Send mock phishing emails to employees to test and reinforce correct handling. Follow up immediately with guidance if someone clicks a simulated attack.</w:t>
      </w:r>
    </w:p>
    <w:p w14:paraId="7B399E0A" w14:textId="77777777" w:rsidR="00E1176F" w:rsidRPr="00E1176F" w:rsidRDefault="00E1176F" w:rsidP="00E1176F">
      <w:pPr>
        <w:numPr>
          <w:ilvl w:val="0"/>
          <w:numId w:val="5"/>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lastRenderedPageBreak/>
        <w:t>Induction Training:</w:t>
      </w:r>
      <w:r w:rsidRPr="00E1176F">
        <w:rPr>
          <w:rFonts w:ascii="Times New Roman" w:eastAsia="Times New Roman" w:hAnsi="Times New Roman" w:cs="Times New Roman"/>
          <w:lang w:eastAsia="en-GB"/>
        </w:rPr>
        <w:t xml:space="preserve"> Every new hire should receive baseline security training (password hygiene, identifying phishing, device usage rules).</w:t>
      </w:r>
    </w:p>
    <w:p w14:paraId="6C70CDC8" w14:textId="77777777" w:rsidR="00E1176F" w:rsidRPr="00E1176F" w:rsidRDefault="00E1176F" w:rsidP="00E1176F">
      <w:pPr>
        <w:numPr>
          <w:ilvl w:val="0"/>
          <w:numId w:val="5"/>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Periodic Refreshers:</w:t>
      </w:r>
      <w:r w:rsidRPr="00E1176F">
        <w:rPr>
          <w:rFonts w:ascii="Times New Roman" w:eastAsia="Times New Roman" w:hAnsi="Times New Roman" w:cs="Times New Roman"/>
          <w:lang w:eastAsia="en-GB"/>
        </w:rPr>
        <w:t xml:space="preserve"> Annual or semi-annual modules on topics like data protection rules (GDPR basics), remote-work security, and updates on new scam trends.</w:t>
      </w:r>
    </w:p>
    <w:p w14:paraId="3E935DEE" w14:textId="77777777" w:rsidR="00E1176F" w:rsidRPr="00E1176F" w:rsidRDefault="00E1176F" w:rsidP="00E1176F">
      <w:pPr>
        <w:numPr>
          <w:ilvl w:val="0"/>
          <w:numId w:val="5"/>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Role-Based Training:</w:t>
      </w:r>
      <w:r w:rsidRPr="00E1176F">
        <w:rPr>
          <w:rFonts w:ascii="Times New Roman" w:eastAsia="Times New Roman" w:hAnsi="Times New Roman" w:cs="Times New Roman"/>
          <w:lang w:eastAsia="en-GB"/>
        </w:rPr>
        <w:t xml:space="preserve"> IT and security staff need deeper technical training (incident handling drills, secure coding, etc.), while management should understand their accountability (e.g. confirming compliance).</w:t>
      </w:r>
    </w:p>
    <w:p w14:paraId="36873912" w14:textId="77777777" w:rsidR="00E1176F" w:rsidRPr="00E1176F" w:rsidRDefault="00E1176F" w:rsidP="00E1176F">
      <w:pPr>
        <w:numPr>
          <w:ilvl w:val="0"/>
          <w:numId w:val="5"/>
        </w:num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b/>
          <w:bCs/>
          <w:lang w:eastAsia="en-GB"/>
        </w:rPr>
        <w:t>Clear Communication:</w:t>
      </w:r>
      <w:r w:rsidRPr="00E1176F">
        <w:rPr>
          <w:rFonts w:ascii="Times New Roman" w:eastAsia="Times New Roman" w:hAnsi="Times New Roman" w:cs="Times New Roman"/>
          <w:lang w:eastAsia="en-GB"/>
        </w:rPr>
        <w:t xml:space="preserve"> FSL should publish succinct policy summaries (posters, intranet notices) and report metrics (e.g. “X staff attended training, Y suspicious emails reported”) to keep security top-of-mind.</w:t>
      </w:r>
    </w:p>
    <w:p w14:paraId="7CA5378F"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 xml:space="preserve">By making training engaging and relevant (for instance, real-world banking scams, password managers, or even short awareness videos), FSL can empower employees to be part of the security team. The NCSC and ICO both emphasize that an </w:t>
      </w:r>
      <w:r w:rsidRPr="00E1176F">
        <w:rPr>
          <w:rFonts w:ascii="Times New Roman" w:eastAsia="Times New Roman" w:hAnsi="Times New Roman" w:cs="Times New Roman"/>
          <w:b/>
          <w:bCs/>
          <w:lang w:eastAsia="en-GB"/>
        </w:rPr>
        <w:t>“organisational measure”</w:t>
      </w:r>
      <w:r w:rsidRPr="00E1176F">
        <w:rPr>
          <w:rFonts w:ascii="Times New Roman" w:eastAsia="Times New Roman" w:hAnsi="Times New Roman" w:cs="Times New Roman"/>
          <w:lang w:eastAsia="en-GB"/>
        </w:rPr>
        <w:t xml:space="preserve"> like staff training is as crucial as any firewall</w:t>
      </w:r>
      <w:r>
        <w:rPr>
          <w:rFonts w:ascii="Times New Roman" w:eastAsia="Times New Roman" w:hAnsi="Times New Roman" w:cs="Times New Roman"/>
          <w:lang w:eastAsia="en-GB"/>
        </w:rPr>
        <w:t xml:space="preserve"> </w:t>
      </w:r>
      <w:r w:rsidRPr="00E1176F">
        <w:rPr>
          <w:rFonts w:ascii="Times New Roman" w:eastAsia="Times New Roman" w:hAnsi="Times New Roman" w:cs="Times New Roman"/>
          <w:lang w:eastAsia="en-GB"/>
        </w:rPr>
        <w:t>[1]. Ultimately, well-informed staff will follow policies more consistently and can act quickly to report incidents (feeding into the incident response process above).</w:t>
      </w:r>
    </w:p>
    <w:p w14:paraId="695168DA"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Conclusion</w:t>
      </w:r>
    </w:p>
    <w:p w14:paraId="73304F6E" w14:textId="77777777" w:rsidR="00E1176F" w:rsidRDefault="00E1176F" w:rsidP="00E1176F">
      <w:pPr>
        <w:spacing w:before="100" w:beforeAutospacing="1" w:after="100" w:afterAutospacing="1"/>
        <w:rPr>
          <w:rFonts w:ascii="Times New Roman" w:eastAsia="Times New Roman" w:hAnsi="Times New Roman" w:cs="Times New Roman"/>
          <w:lang w:eastAsia="en-GB"/>
        </w:rPr>
      </w:pPr>
      <w:proofErr w:type="spellStart"/>
      <w:r w:rsidRPr="00E1176F">
        <w:rPr>
          <w:rFonts w:ascii="Times New Roman" w:eastAsia="Times New Roman" w:hAnsi="Times New Roman" w:cs="Times New Roman"/>
          <w:lang w:eastAsia="en-GB"/>
        </w:rPr>
        <w:t>FinSecure</w:t>
      </w:r>
      <w:proofErr w:type="spellEnd"/>
      <w:r w:rsidRPr="00E1176F">
        <w:rPr>
          <w:rFonts w:ascii="Times New Roman" w:eastAsia="Times New Roman" w:hAnsi="Times New Roman" w:cs="Times New Roman"/>
          <w:lang w:eastAsia="en-GB"/>
        </w:rPr>
        <w:t xml:space="preserve"> Ltd operates in a high-risk space and must therefore adopt a structured approach to cybersecurity. This report has identified the main threats (cyberattacks from outside and misuse/accidents from inside) and proposed a layered set of policies and controls to address them. By aligning FSL’s policies with international standards (ISO 27001) and frameworks (NIST CSF) and by meeting UK/EU legal requirements (GDPR), the company ensures it covers technical, organizational, and legal bases. Preventive measures (firewalls, encryption, access controls) are supplemented by prepared incident response (with a clear flowchart) and continual user education. Finally, as both the ICO and NIST guidance stress, these policies and measures must be regularly reviewed and updated to remain effective. In short, a combination of well-defined policies, solid technical safeguards, proactive monitoring, and an informed workforce will give </w:t>
      </w:r>
      <w:proofErr w:type="spellStart"/>
      <w:r w:rsidRPr="00E1176F">
        <w:rPr>
          <w:rFonts w:ascii="Times New Roman" w:eastAsia="Times New Roman" w:hAnsi="Times New Roman" w:cs="Times New Roman"/>
          <w:lang w:eastAsia="en-GB"/>
        </w:rPr>
        <w:t>FinSecure</w:t>
      </w:r>
      <w:proofErr w:type="spellEnd"/>
      <w:r w:rsidRPr="00E1176F">
        <w:rPr>
          <w:rFonts w:ascii="Times New Roman" w:eastAsia="Times New Roman" w:hAnsi="Times New Roman" w:cs="Times New Roman"/>
          <w:lang w:eastAsia="en-GB"/>
        </w:rPr>
        <w:t xml:space="preserve"> a robust cyber-defence posture.</w:t>
      </w:r>
    </w:p>
    <w:p w14:paraId="1F641FCE"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5F24EA71"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2642CB44"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6B7CBDDA"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2B8C3F58"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3E66E311"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0C21E3B0"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0B28889E"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2D0DD949"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07558EBA"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78513ACD" w14:textId="77777777" w:rsidR="00E1176F" w:rsidRDefault="00E1176F" w:rsidP="00E1176F">
      <w:pPr>
        <w:spacing w:before="100" w:beforeAutospacing="1" w:after="100" w:afterAutospacing="1"/>
        <w:rPr>
          <w:rFonts w:ascii="Times New Roman" w:eastAsia="Times New Roman" w:hAnsi="Times New Roman" w:cs="Times New Roman"/>
          <w:lang w:eastAsia="en-GB"/>
        </w:rPr>
      </w:pPr>
    </w:p>
    <w:p w14:paraId="5F49C461" w14:textId="77777777" w:rsidR="00E1176F" w:rsidRPr="00E1176F" w:rsidRDefault="00E1176F" w:rsidP="00E1176F">
      <w:pPr>
        <w:spacing w:before="100" w:beforeAutospacing="1" w:after="100" w:afterAutospacing="1"/>
        <w:rPr>
          <w:rFonts w:ascii="Times New Roman" w:eastAsia="Times New Roman" w:hAnsi="Times New Roman" w:cs="Times New Roman"/>
          <w:lang w:eastAsia="en-GB"/>
        </w:rPr>
      </w:pPr>
    </w:p>
    <w:p w14:paraId="2BFFAB76" w14:textId="77777777" w:rsidR="00E1176F" w:rsidRPr="00E1176F" w:rsidRDefault="00E1176F" w:rsidP="00E1176F">
      <w:pPr>
        <w:spacing w:before="100" w:beforeAutospacing="1" w:after="100" w:afterAutospacing="1"/>
        <w:outlineLvl w:val="1"/>
        <w:rPr>
          <w:rFonts w:ascii="Times New Roman" w:eastAsia="Times New Roman" w:hAnsi="Times New Roman" w:cs="Times New Roman"/>
          <w:b/>
          <w:bCs/>
          <w:sz w:val="36"/>
          <w:szCs w:val="36"/>
          <w:lang w:eastAsia="en-GB"/>
        </w:rPr>
      </w:pPr>
      <w:r w:rsidRPr="00E1176F">
        <w:rPr>
          <w:rFonts w:ascii="Times New Roman" w:eastAsia="Times New Roman" w:hAnsi="Times New Roman" w:cs="Times New Roman"/>
          <w:b/>
          <w:bCs/>
          <w:sz w:val="36"/>
          <w:szCs w:val="36"/>
          <w:lang w:eastAsia="en-GB"/>
        </w:rPr>
        <w:t>References</w:t>
      </w:r>
    </w:p>
    <w:p w14:paraId="0A6188C4" w14:textId="77777777" w:rsidR="001A5DCE" w:rsidRDefault="00E1176F" w:rsidP="00E1176F">
      <w:pPr>
        <w:spacing w:before="100" w:beforeAutospacing="1" w:after="100" w:afterAutospacing="1"/>
        <w:rPr>
          <w:rFonts w:ascii="Times New Roman" w:eastAsia="Times New Roman" w:hAnsi="Times New Roman" w:cs="Times New Roman"/>
          <w:lang w:eastAsia="en-GB"/>
        </w:rPr>
      </w:pPr>
      <w:r w:rsidRPr="00E1176F">
        <w:rPr>
          <w:rFonts w:ascii="Times New Roman" w:eastAsia="Times New Roman" w:hAnsi="Times New Roman" w:cs="Times New Roman"/>
          <w:lang w:eastAsia="en-GB"/>
        </w:rPr>
        <w:t>[1] Information Commissioner’s Office, “A guide to data security,” UK GDPR guidance (May 2023).</w:t>
      </w:r>
      <w:r w:rsidRPr="00E1176F">
        <w:rPr>
          <w:rFonts w:ascii="Times New Roman" w:eastAsia="Times New Roman" w:hAnsi="Times New Roman" w:cs="Times New Roman"/>
          <w:lang w:eastAsia="en-GB"/>
        </w:rPr>
        <w:br/>
        <w:t xml:space="preserve">[2] Sean Craig, “A Comparison of Leading Security Frameworks: NIST, ISO 27001, and Zero Trust,” </w:t>
      </w:r>
      <w:r w:rsidRPr="00E1176F">
        <w:rPr>
          <w:rFonts w:ascii="Times New Roman" w:eastAsia="Times New Roman" w:hAnsi="Times New Roman" w:cs="Times New Roman"/>
          <w:i/>
          <w:iCs/>
          <w:lang w:eastAsia="en-GB"/>
        </w:rPr>
        <w:t>Quick and Dirty Tips</w:t>
      </w:r>
      <w:r w:rsidRPr="00E1176F">
        <w:rPr>
          <w:rFonts w:ascii="Times New Roman" w:eastAsia="Times New Roman" w:hAnsi="Times New Roman" w:cs="Times New Roman"/>
          <w:lang w:eastAsia="en-GB"/>
        </w:rPr>
        <w:t xml:space="preserve"> (2023).</w:t>
      </w:r>
      <w:r w:rsidRPr="00E1176F">
        <w:rPr>
          <w:rFonts w:ascii="Times New Roman" w:eastAsia="Times New Roman" w:hAnsi="Times New Roman" w:cs="Times New Roman"/>
          <w:lang w:eastAsia="en-GB"/>
        </w:rPr>
        <w:br/>
        <w:t xml:space="preserve">[3] National Institute of Standards and Technology, </w:t>
      </w:r>
      <w:r w:rsidRPr="00E1176F">
        <w:rPr>
          <w:rFonts w:ascii="Times New Roman" w:eastAsia="Times New Roman" w:hAnsi="Times New Roman" w:cs="Times New Roman"/>
          <w:i/>
          <w:iCs/>
          <w:lang w:eastAsia="en-GB"/>
        </w:rPr>
        <w:t>Cybersecurity Framework</w:t>
      </w:r>
      <w:r w:rsidRPr="00E1176F">
        <w:rPr>
          <w:rFonts w:ascii="Times New Roman" w:eastAsia="Times New Roman" w:hAnsi="Times New Roman" w:cs="Times New Roman"/>
          <w:lang w:eastAsia="en-GB"/>
        </w:rPr>
        <w:t>, NIST CSF 2.0 (2024).</w:t>
      </w:r>
      <w:r w:rsidRPr="00E1176F">
        <w:rPr>
          <w:rFonts w:ascii="Times New Roman" w:eastAsia="Times New Roman" w:hAnsi="Times New Roman" w:cs="Times New Roman"/>
          <w:lang w:eastAsia="en-GB"/>
        </w:rPr>
        <w:br/>
        <w:t xml:space="preserve">[4] N. Eide, “Cyberattacks hit financial services 300 times more than other sectors,” </w:t>
      </w:r>
      <w:r w:rsidRPr="00E1176F">
        <w:rPr>
          <w:rFonts w:ascii="Times New Roman" w:eastAsia="Times New Roman" w:hAnsi="Times New Roman" w:cs="Times New Roman"/>
          <w:i/>
          <w:iCs/>
          <w:lang w:eastAsia="en-GB"/>
        </w:rPr>
        <w:t>CIO Dive</w:t>
      </w:r>
      <w:r w:rsidRPr="00E1176F">
        <w:rPr>
          <w:rFonts w:ascii="Times New Roman" w:eastAsia="Times New Roman" w:hAnsi="Times New Roman" w:cs="Times New Roman"/>
          <w:lang w:eastAsia="en-GB"/>
        </w:rPr>
        <w:t>, 21 June 2019.</w:t>
      </w:r>
      <w:r w:rsidRPr="00E1176F">
        <w:rPr>
          <w:rFonts w:ascii="Times New Roman" w:eastAsia="Times New Roman" w:hAnsi="Times New Roman" w:cs="Times New Roman"/>
          <w:lang w:eastAsia="en-GB"/>
        </w:rPr>
        <w:br/>
        <w:t xml:space="preserve">[5] CYFOR, </w:t>
      </w:r>
      <w:r w:rsidRPr="00E1176F">
        <w:rPr>
          <w:rFonts w:ascii="Times New Roman" w:eastAsia="Times New Roman" w:hAnsi="Times New Roman" w:cs="Times New Roman"/>
          <w:i/>
          <w:iCs/>
          <w:lang w:eastAsia="en-GB"/>
        </w:rPr>
        <w:t>“Insider Threats within the Finance Industry,”</w:t>
      </w:r>
      <w:r w:rsidRPr="00E1176F">
        <w:rPr>
          <w:rFonts w:ascii="Times New Roman" w:eastAsia="Times New Roman" w:hAnsi="Times New Roman" w:cs="Times New Roman"/>
          <w:lang w:eastAsia="en-GB"/>
        </w:rPr>
        <w:t xml:space="preserve"> 2021.</w:t>
      </w:r>
      <w:r w:rsidRPr="00E1176F">
        <w:rPr>
          <w:rFonts w:ascii="Times New Roman" w:eastAsia="Times New Roman" w:hAnsi="Times New Roman" w:cs="Times New Roman"/>
          <w:lang w:eastAsia="en-GB"/>
        </w:rPr>
        <w:br/>
        <w:t xml:space="preserve">[6] P. </w:t>
      </w:r>
      <w:proofErr w:type="spellStart"/>
      <w:r w:rsidRPr="00E1176F">
        <w:rPr>
          <w:rFonts w:ascii="Times New Roman" w:eastAsia="Times New Roman" w:hAnsi="Times New Roman" w:cs="Times New Roman"/>
          <w:lang w:eastAsia="en-GB"/>
        </w:rPr>
        <w:t>Cichonski</w:t>
      </w:r>
      <w:proofErr w:type="spellEnd"/>
      <w:r w:rsidRPr="00E1176F">
        <w:rPr>
          <w:rFonts w:ascii="Times New Roman" w:eastAsia="Times New Roman" w:hAnsi="Times New Roman" w:cs="Times New Roman"/>
          <w:lang w:eastAsia="en-GB"/>
        </w:rPr>
        <w:t xml:space="preserve"> </w:t>
      </w:r>
      <w:r w:rsidRPr="00E1176F">
        <w:rPr>
          <w:rFonts w:ascii="Times New Roman" w:eastAsia="Times New Roman" w:hAnsi="Times New Roman" w:cs="Times New Roman"/>
          <w:i/>
          <w:iCs/>
          <w:lang w:eastAsia="en-GB"/>
        </w:rPr>
        <w:t>et al.</w:t>
      </w:r>
      <w:r w:rsidRPr="00E1176F">
        <w:rPr>
          <w:rFonts w:ascii="Times New Roman" w:eastAsia="Times New Roman" w:hAnsi="Times New Roman" w:cs="Times New Roman"/>
          <w:lang w:eastAsia="en-GB"/>
        </w:rPr>
        <w:t xml:space="preserve">, </w:t>
      </w:r>
      <w:r w:rsidRPr="00E1176F">
        <w:rPr>
          <w:rFonts w:ascii="Times New Roman" w:eastAsia="Times New Roman" w:hAnsi="Times New Roman" w:cs="Times New Roman"/>
          <w:i/>
          <w:iCs/>
          <w:lang w:eastAsia="en-GB"/>
        </w:rPr>
        <w:t>Computer Security Incident Handling Guide</w:t>
      </w:r>
      <w:r w:rsidRPr="00E1176F">
        <w:rPr>
          <w:rFonts w:ascii="Times New Roman" w:eastAsia="Times New Roman" w:hAnsi="Times New Roman" w:cs="Times New Roman"/>
          <w:lang w:eastAsia="en-GB"/>
        </w:rPr>
        <w:t>, NIST SP 800-61r2 (U.S. Dept. of Commerce, Aug. 2012)</w:t>
      </w:r>
      <w:r w:rsidR="001A5DCE">
        <w:rPr>
          <w:rFonts w:ascii="Times New Roman" w:eastAsia="Times New Roman" w:hAnsi="Times New Roman" w:cs="Times New Roman"/>
          <w:lang w:eastAsia="en-GB"/>
        </w:rPr>
        <w:t>.</w:t>
      </w:r>
    </w:p>
    <w:p w14:paraId="5AC871D6" w14:textId="77777777" w:rsidR="001A5DCE" w:rsidRDefault="001A5DCE" w:rsidP="00E1176F">
      <w:pPr>
        <w:spacing w:before="100" w:beforeAutospacing="1" w:after="100" w:afterAutospacing="1"/>
        <w:rPr>
          <w:rFonts w:ascii="Times New Roman" w:eastAsia="Times New Roman" w:hAnsi="Times New Roman" w:cs="Times New Roman"/>
          <w:lang w:eastAsia="en-GB"/>
        </w:rPr>
      </w:pPr>
    </w:p>
    <w:p w14:paraId="56C40624" w14:textId="77777777" w:rsidR="001A5DCE" w:rsidRDefault="001A5DCE" w:rsidP="00E1176F">
      <w:pPr>
        <w:spacing w:before="100" w:beforeAutospacing="1" w:after="100" w:afterAutospacing="1"/>
        <w:rPr>
          <w:rFonts w:ascii="Times New Roman" w:eastAsia="Times New Roman" w:hAnsi="Times New Roman" w:cs="Times New Roman"/>
          <w:lang w:eastAsia="en-GB"/>
        </w:rPr>
      </w:pPr>
    </w:p>
    <w:p w14:paraId="392C8665" w14:textId="77777777" w:rsidR="001A5DCE" w:rsidRDefault="001A5DCE" w:rsidP="001A5DCE">
      <w:pPr>
        <w:spacing w:before="100" w:beforeAutospacing="1" w:after="100" w:afterAutospacing="1"/>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Appendix</w:t>
      </w:r>
    </w:p>
    <w:p w14:paraId="7C2C9912" w14:textId="77777777" w:rsidR="000C726E" w:rsidRDefault="008A4CAF" w:rsidP="000C726E">
      <w:pPr>
        <w:spacing w:before="100" w:beforeAutospacing="1" w:after="100" w:afterAutospacing="1"/>
        <w:outlineLvl w:val="1"/>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Powerpoint</w:t>
      </w:r>
      <w:proofErr w:type="spellEnd"/>
      <w:r>
        <w:rPr>
          <w:rFonts w:ascii="Times New Roman" w:eastAsia="Times New Roman" w:hAnsi="Times New Roman" w:cs="Times New Roman"/>
          <w:lang w:eastAsia="en-GB"/>
        </w:rPr>
        <w:t>:</w:t>
      </w:r>
    </w:p>
    <w:p w14:paraId="55F93336" w14:textId="77777777" w:rsidR="000C726E" w:rsidRPr="00E1176F" w:rsidRDefault="000C726E" w:rsidP="000C726E">
      <w:pPr>
        <w:spacing w:before="100" w:beforeAutospacing="1" w:after="100" w:afterAutospacing="1"/>
        <w:outlineLvl w:val="1"/>
        <w:rPr>
          <w:rFonts w:ascii="Times New Roman" w:eastAsia="Times New Roman" w:hAnsi="Times New Roman" w:cs="Times New Roman"/>
          <w:sz w:val="36"/>
          <w:szCs w:val="36"/>
          <w:lang w:eastAsia="en-GB"/>
        </w:rPr>
      </w:pPr>
      <w:r>
        <w:rPr>
          <w:rFonts w:ascii="Times New Roman" w:eastAsia="Times New Roman" w:hAnsi="Times New Roman" w:cs="Times New Roman"/>
          <w:lang w:eastAsia="en-GB"/>
        </w:rPr>
        <w:t xml:space="preserve"> </w:t>
      </w:r>
      <w:hyperlink r:id="rId9" w:history="1">
        <w:r w:rsidRPr="00243AC6">
          <w:rPr>
            <w:rStyle w:val="Hyperlink"/>
            <w:rFonts w:ascii="Times New Roman" w:eastAsia="Times New Roman" w:hAnsi="Times New Roman" w:cs="Times New Roman"/>
            <w:lang w:eastAsia="en-GB"/>
          </w:rPr>
          <w:t>https://uowtsd-my.sharepoint.com/:p:/g/personal/2406098_student_uwtsd_ac_uk/EeP4FEk4IAFOrIogbz7jjfoBtKmAmsWeG9JHLlJGmA39dQ?e=Ramw</w:t>
        </w:r>
        <w:r w:rsidRPr="00243AC6">
          <w:rPr>
            <w:rStyle w:val="Hyperlink"/>
            <w:rFonts w:ascii="Times New Roman" w:eastAsia="Times New Roman" w:hAnsi="Times New Roman" w:cs="Times New Roman"/>
            <w:lang w:eastAsia="en-GB"/>
          </w:rPr>
          <w:t>v</w:t>
        </w:r>
        <w:r w:rsidRPr="00243AC6">
          <w:rPr>
            <w:rStyle w:val="Hyperlink"/>
            <w:rFonts w:ascii="Times New Roman" w:eastAsia="Times New Roman" w:hAnsi="Times New Roman" w:cs="Times New Roman"/>
            <w:lang w:eastAsia="en-GB"/>
          </w:rPr>
          <w:t>d</w:t>
        </w:r>
      </w:hyperlink>
      <w:r>
        <w:rPr>
          <w:rFonts w:ascii="Times New Roman" w:eastAsia="Times New Roman" w:hAnsi="Times New Roman" w:cs="Times New Roman"/>
          <w:lang w:eastAsia="en-GB"/>
        </w:rPr>
        <w:t xml:space="preserve"> </w:t>
      </w:r>
    </w:p>
    <w:p w14:paraId="542E7934" w14:textId="77777777" w:rsidR="000C726E" w:rsidRPr="00E1176F" w:rsidRDefault="000C726E" w:rsidP="000C726E">
      <w:pPr>
        <w:spacing w:before="100" w:beforeAutospacing="1" w:after="100" w:afterAutospacing="1"/>
        <w:outlineLvl w:val="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15ECB0E3" w14:textId="77777777" w:rsidR="001A5DCE" w:rsidRPr="00E1176F" w:rsidRDefault="001A5DCE" w:rsidP="00E1176F">
      <w:pPr>
        <w:spacing w:before="100" w:beforeAutospacing="1" w:after="100" w:afterAutospacing="1"/>
        <w:rPr>
          <w:rFonts w:ascii="Times New Roman" w:eastAsia="Times New Roman" w:hAnsi="Times New Roman" w:cs="Times New Roman"/>
          <w:lang w:eastAsia="en-GB"/>
        </w:rPr>
      </w:pPr>
    </w:p>
    <w:p w14:paraId="344AA4A5" w14:textId="77777777" w:rsidR="00EE7C8B" w:rsidRDefault="00EE7C8B"/>
    <w:sectPr w:rsidR="00EE7C8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8FF1D" w14:textId="77777777" w:rsidR="008C340B" w:rsidRDefault="008C340B" w:rsidP="008C340B">
      <w:pPr>
        <w:spacing w:after="0" w:line="240" w:lineRule="auto"/>
      </w:pPr>
      <w:r>
        <w:separator/>
      </w:r>
    </w:p>
  </w:endnote>
  <w:endnote w:type="continuationSeparator" w:id="0">
    <w:p w14:paraId="64AF8B33" w14:textId="77777777" w:rsidR="008C340B" w:rsidRDefault="008C340B" w:rsidP="008C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B85D1" w14:textId="77777777" w:rsidR="008C340B" w:rsidRDefault="008C340B" w:rsidP="008C340B">
      <w:pPr>
        <w:spacing w:after="0" w:line="240" w:lineRule="auto"/>
      </w:pPr>
      <w:r>
        <w:separator/>
      </w:r>
    </w:p>
  </w:footnote>
  <w:footnote w:type="continuationSeparator" w:id="0">
    <w:p w14:paraId="2F5F165F" w14:textId="77777777" w:rsidR="008C340B" w:rsidRDefault="008C340B" w:rsidP="008C3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76B2" w14:textId="77777777" w:rsidR="008C340B" w:rsidRDefault="008C340B">
    <w:pPr>
      <w:pStyle w:val="Header"/>
    </w:pPr>
    <w:r>
      <w:t>2406098 Jake Whitehouse</w:t>
    </w:r>
  </w:p>
  <w:p w14:paraId="08EE6F99" w14:textId="77777777" w:rsidR="008C340B" w:rsidRDefault="008C34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D1B65"/>
    <w:multiLevelType w:val="multilevel"/>
    <w:tmpl w:val="404A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63800"/>
    <w:multiLevelType w:val="multilevel"/>
    <w:tmpl w:val="4074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2020D1"/>
    <w:multiLevelType w:val="multilevel"/>
    <w:tmpl w:val="6D5C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C73120"/>
    <w:multiLevelType w:val="multilevel"/>
    <w:tmpl w:val="8A42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765586"/>
    <w:multiLevelType w:val="multilevel"/>
    <w:tmpl w:val="97286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507920">
    <w:abstractNumId w:val="1"/>
  </w:num>
  <w:num w:numId="2" w16cid:durableId="536040802">
    <w:abstractNumId w:val="0"/>
  </w:num>
  <w:num w:numId="3" w16cid:durableId="1100299951">
    <w:abstractNumId w:val="2"/>
  </w:num>
  <w:num w:numId="4" w16cid:durableId="1592812338">
    <w:abstractNumId w:val="4"/>
  </w:num>
  <w:num w:numId="5" w16cid:durableId="822431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6F"/>
    <w:rsid w:val="000C726E"/>
    <w:rsid w:val="001A5DCE"/>
    <w:rsid w:val="00234F8F"/>
    <w:rsid w:val="00580C02"/>
    <w:rsid w:val="005924CB"/>
    <w:rsid w:val="008A4CAF"/>
    <w:rsid w:val="008C340B"/>
    <w:rsid w:val="009E443E"/>
    <w:rsid w:val="009F0C32"/>
    <w:rsid w:val="009F59A0"/>
    <w:rsid w:val="00D342DC"/>
    <w:rsid w:val="00E1176F"/>
    <w:rsid w:val="00EE7C8B"/>
    <w:rsid w:val="00F25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7BFB3"/>
  <w15:chartTrackingRefBased/>
  <w15:docId w15:val="{21DF059E-389C-3F4B-BBA3-A2C712CE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76F"/>
  </w:style>
  <w:style w:type="paragraph" w:styleId="Heading1">
    <w:name w:val="heading 1"/>
    <w:basedOn w:val="Normal"/>
    <w:next w:val="Normal"/>
    <w:link w:val="Heading1Char"/>
    <w:uiPriority w:val="9"/>
    <w:qFormat/>
    <w:rsid w:val="00E1176F"/>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E1176F"/>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E1176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E1176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E1176F"/>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E1176F"/>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E1176F"/>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E1176F"/>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E1176F"/>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76F"/>
    <w:rPr>
      <w:smallCaps/>
      <w:spacing w:val="5"/>
      <w:sz w:val="32"/>
      <w:szCs w:val="32"/>
    </w:rPr>
  </w:style>
  <w:style w:type="character" w:customStyle="1" w:styleId="Heading2Char">
    <w:name w:val="Heading 2 Char"/>
    <w:basedOn w:val="DefaultParagraphFont"/>
    <w:link w:val="Heading2"/>
    <w:uiPriority w:val="9"/>
    <w:rsid w:val="00E1176F"/>
    <w:rPr>
      <w:smallCaps/>
      <w:spacing w:val="5"/>
      <w:sz w:val="28"/>
      <w:szCs w:val="28"/>
    </w:rPr>
  </w:style>
  <w:style w:type="character" w:customStyle="1" w:styleId="Heading3Char">
    <w:name w:val="Heading 3 Char"/>
    <w:basedOn w:val="DefaultParagraphFont"/>
    <w:link w:val="Heading3"/>
    <w:uiPriority w:val="9"/>
    <w:semiHidden/>
    <w:rsid w:val="00E1176F"/>
    <w:rPr>
      <w:smallCaps/>
      <w:spacing w:val="5"/>
      <w:sz w:val="24"/>
      <w:szCs w:val="24"/>
    </w:rPr>
  </w:style>
  <w:style w:type="character" w:customStyle="1" w:styleId="Heading4Char">
    <w:name w:val="Heading 4 Char"/>
    <w:basedOn w:val="DefaultParagraphFont"/>
    <w:link w:val="Heading4"/>
    <w:uiPriority w:val="9"/>
    <w:semiHidden/>
    <w:rsid w:val="00E1176F"/>
    <w:rPr>
      <w:smallCaps/>
      <w:spacing w:val="10"/>
      <w:sz w:val="22"/>
      <w:szCs w:val="22"/>
    </w:rPr>
  </w:style>
  <w:style w:type="character" w:customStyle="1" w:styleId="Heading5Char">
    <w:name w:val="Heading 5 Char"/>
    <w:basedOn w:val="DefaultParagraphFont"/>
    <w:link w:val="Heading5"/>
    <w:uiPriority w:val="9"/>
    <w:semiHidden/>
    <w:rsid w:val="00E1176F"/>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E1176F"/>
    <w:rPr>
      <w:smallCaps/>
      <w:color w:val="E97132" w:themeColor="accent2"/>
      <w:spacing w:val="5"/>
      <w:sz w:val="22"/>
    </w:rPr>
  </w:style>
  <w:style w:type="character" w:customStyle="1" w:styleId="Heading7Char">
    <w:name w:val="Heading 7 Char"/>
    <w:basedOn w:val="DefaultParagraphFont"/>
    <w:link w:val="Heading7"/>
    <w:uiPriority w:val="9"/>
    <w:semiHidden/>
    <w:rsid w:val="00E1176F"/>
    <w:rPr>
      <w:b/>
      <w:smallCaps/>
      <w:color w:val="E97132" w:themeColor="accent2"/>
      <w:spacing w:val="10"/>
    </w:rPr>
  </w:style>
  <w:style w:type="character" w:customStyle="1" w:styleId="Heading8Char">
    <w:name w:val="Heading 8 Char"/>
    <w:basedOn w:val="DefaultParagraphFont"/>
    <w:link w:val="Heading8"/>
    <w:uiPriority w:val="9"/>
    <w:semiHidden/>
    <w:rsid w:val="00E1176F"/>
    <w:rPr>
      <w:b/>
      <w:i/>
      <w:smallCaps/>
      <w:color w:val="BF4E14" w:themeColor="accent2" w:themeShade="BF"/>
    </w:rPr>
  </w:style>
  <w:style w:type="character" w:customStyle="1" w:styleId="Heading9Char">
    <w:name w:val="Heading 9 Char"/>
    <w:basedOn w:val="DefaultParagraphFont"/>
    <w:link w:val="Heading9"/>
    <w:uiPriority w:val="9"/>
    <w:semiHidden/>
    <w:rsid w:val="00E1176F"/>
    <w:rPr>
      <w:b/>
      <w:i/>
      <w:smallCaps/>
      <w:color w:val="7F340D" w:themeColor="accent2" w:themeShade="7F"/>
    </w:rPr>
  </w:style>
  <w:style w:type="paragraph" w:styleId="Title">
    <w:name w:val="Title"/>
    <w:basedOn w:val="Normal"/>
    <w:next w:val="Normal"/>
    <w:link w:val="TitleChar"/>
    <w:uiPriority w:val="10"/>
    <w:qFormat/>
    <w:rsid w:val="00E1176F"/>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E1176F"/>
    <w:rPr>
      <w:smallCaps/>
      <w:sz w:val="48"/>
      <w:szCs w:val="48"/>
    </w:rPr>
  </w:style>
  <w:style w:type="paragraph" w:styleId="Subtitle">
    <w:name w:val="Subtitle"/>
    <w:basedOn w:val="Normal"/>
    <w:next w:val="Normal"/>
    <w:link w:val="SubtitleChar"/>
    <w:uiPriority w:val="11"/>
    <w:qFormat/>
    <w:rsid w:val="00E1176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1176F"/>
    <w:rPr>
      <w:rFonts w:asciiTheme="majorHAnsi" w:eastAsiaTheme="majorEastAsia" w:hAnsiTheme="majorHAnsi" w:cstheme="majorBidi"/>
      <w:szCs w:val="22"/>
    </w:rPr>
  </w:style>
  <w:style w:type="paragraph" w:styleId="Quote">
    <w:name w:val="Quote"/>
    <w:basedOn w:val="Normal"/>
    <w:next w:val="Normal"/>
    <w:link w:val="QuoteChar"/>
    <w:uiPriority w:val="29"/>
    <w:qFormat/>
    <w:rsid w:val="00E1176F"/>
    <w:rPr>
      <w:i/>
    </w:rPr>
  </w:style>
  <w:style w:type="character" w:customStyle="1" w:styleId="QuoteChar">
    <w:name w:val="Quote Char"/>
    <w:basedOn w:val="DefaultParagraphFont"/>
    <w:link w:val="Quote"/>
    <w:uiPriority w:val="29"/>
    <w:rsid w:val="00E1176F"/>
    <w:rPr>
      <w:i/>
    </w:rPr>
  </w:style>
  <w:style w:type="paragraph" w:styleId="ListParagraph">
    <w:name w:val="List Paragraph"/>
    <w:basedOn w:val="Normal"/>
    <w:uiPriority w:val="34"/>
    <w:qFormat/>
    <w:rsid w:val="00E1176F"/>
    <w:pPr>
      <w:ind w:left="720"/>
      <w:contextualSpacing/>
    </w:pPr>
  </w:style>
  <w:style w:type="character" w:styleId="IntenseEmphasis">
    <w:name w:val="Intense Emphasis"/>
    <w:uiPriority w:val="21"/>
    <w:qFormat/>
    <w:rsid w:val="00E1176F"/>
    <w:rPr>
      <w:b/>
      <w:i/>
      <w:color w:val="E97132" w:themeColor="accent2"/>
      <w:spacing w:val="10"/>
    </w:rPr>
  </w:style>
  <w:style w:type="paragraph" w:styleId="IntenseQuote">
    <w:name w:val="Intense Quote"/>
    <w:basedOn w:val="Normal"/>
    <w:next w:val="Normal"/>
    <w:link w:val="IntenseQuoteChar"/>
    <w:uiPriority w:val="30"/>
    <w:qFormat/>
    <w:rsid w:val="00E1176F"/>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1176F"/>
    <w:rPr>
      <w:b/>
      <w:i/>
      <w:color w:val="FFFFFF" w:themeColor="background1"/>
      <w:shd w:val="clear" w:color="auto" w:fill="E97132" w:themeFill="accent2"/>
    </w:rPr>
  </w:style>
  <w:style w:type="character" w:styleId="IntenseReference">
    <w:name w:val="Intense Reference"/>
    <w:uiPriority w:val="32"/>
    <w:qFormat/>
    <w:rsid w:val="00E1176F"/>
    <w:rPr>
      <w:b/>
      <w:bCs/>
      <w:smallCaps/>
      <w:spacing w:val="5"/>
      <w:sz w:val="22"/>
      <w:szCs w:val="22"/>
      <w:u w:val="single"/>
    </w:rPr>
  </w:style>
  <w:style w:type="paragraph" w:styleId="NormalWeb">
    <w:name w:val="Normal (Web)"/>
    <w:basedOn w:val="Normal"/>
    <w:uiPriority w:val="99"/>
    <w:semiHidden/>
    <w:unhideWhenUsed/>
    <w:rsid w:val="00E1176F"/>
    <w:pPr>
      <w:spacing w:before="100" w:beforeAutospacing="1" w:after="100" w:afterAutospacing="1"/>
    </w:pPr>
    <w:rPr>
      <w:rFonts w:ascii="Times New Roman" w:eastAsia="Times New Roman" w:hAnsi="Times New Roman" w:cs="Times New Roman"/>
      <w:lang w:eastAsia="en-GB"/>
    </w:rPr>
  </w:style>
  <w:style w:type="character" w:customStyle="1" w:styleId="ms-1">
    <w:name w:val="ms-1"/>
    <w:basedOn w:val="DefaultParagraphFont"/>
    <w:rsid w:val="00E1176F"/>
  </w:style>
  <w:style w:type="character" w:customStyle="1" w:styleId="max-w-full">
    <w:name w:val="max-w-full"/>
    <w:basedOn w:val="DefaultParagraphFont"/>
    <w:rsid w:val="00E1176F"/>
  </w:style>
  <w:style w:type="character" w:styleId="Strong">
    <w:name w:val="Strong"/>
    <w:uiPriority w:val="22"/>
    <w:qFormat/>
    <w:rsid w:val="00E1176F"/>
    <w:rPr>
      <w:b/>
      <w:color w:val="E97132" w:themeColor="accent2"/>
    </w:rPr>
  </w:style>
  <w:style w:type="character" w:styleId="Emphasis">
    <w:name w:val="Emphasis"/>
    <w:uiPriority w:val="20"/>
    <w:qFormat/>
    <w:rsid w:val="00E1176F"/>
    <w:rPr>
      <w:b/>
      <w:i/>
      <w:spacing w:val="10"/>
    </w:rPr>
  </w:style>
  <w:style w:type="paragraph" w:styleId="Caption">
    <w:name w:val="caption"/>
    <w:basedOn w:val="Normal"/>
    <w:next w:val="Normal"/>
    <w:uiPriority w:val="35"/>
    <w:semiHidden/>
    <w:unhideWhenUsed/>
    <w:qFormat/>
    <w:rsid w:val="00E1176F"/>
    <w:rPr>
      <w:b/>
      <w:bCs/>
      <w:caps/>
      <w:sz w:val="16"/>
      <w:szCs w:val="18"/>
    </w:rPr>
  </w:style>
  <w:style w:type="paragraph" w:styleId="NoSpacing">
    <w:name w:val="No Spacing"/>
    <w:basedOn w:val="Normal"/>
    <w:link w:val="NoSpacingChar"/>
    <w:uiPriority w:val="1"/>
    <w:qFormat/>
    <w:rsid w:val="00E1176F"/>
    <w:pPr>
      <w:spacing w:after="0" w:line="240" w:lineRule="auto"/>
    </w:pPr>
  </w:style>
  <w:style w:type="character" w:styleId="SubtleEmphasis">
    <w:name w:val="Subtle Emphasis"/>
    <w:uiPriority w:val="19"/>
    <w:qFormat/>
    <w:rsid w:val="00E1176F"/>
    <w:rPr>
      <w:i/>
    </w:rPr>
  </w:style>
  <w:style w:type="character" w:styleId="SubtleReference">
    <w:name w:val="Subtle Reference"/>
    <w:uiPriority w:val="31"/>
    <w:qFormat/>
    <w:rsid w:val="00E1176F"/>
    <w:rPr>
      <w:b/>
    </w:rPr>
  </w:style>
  <w:style w:type="character" w:styleId="BookTitle">
    <w:name w:val="Book Title"/>
    <w:uiPriority w:val="33"/>
    <w:qFormat/>
    <w:rsid w:val="00E1176F"/>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E1176F"/>
    <w:pPr>
      <w:outlineLvl w:val="9"/>
    </w:pPr>
  </w:style>
  <w:style w:type="character" w:customStyle="1" w:styleId="NoSpacingChar">
    <w:name w:val="No Spacing Char"/>
    <w:basedOn w:val="DefaultParagraphFont"/>
    <w:link w:val="NoSpacing"/>
    <w:uiPriority w:val="1"/>
    <w:rsid w:val="00E1176F"/>
  </w:style>
  <w:style w:type="paragraph" w:styleId="Header">
    <w:name w:val="header"/>
    <w:basedOn w:val="Normal"/>
    <w:link w:val="HeaderChar"/>
    <w:uiPriority w:val="99"/>
    <w:unhideWhenUsed/>
    <w:rsid w:val="008C3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40B"/>
  </w:style>
  <w:style w:type="paragraph" w:styleId="Footer">
    <w:name w:val="footer"/>
    <w:basedOn w:val="Normal"/>
    <w:link w:val="FooterChar"/>
    <w:uiPriority w:val="99"/>
    <w:unhideWhenUsed/>
    <w:rsid w:val="008C3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40B"/>
  </w:style>
  <w:style w:type="character" w:styleId="Hyperlink">
    <w:name w:val="Hyperlink"/>
    <w:basedOn w:val="DefaultParagraphFont"/>
    <w:uiPriority w:val="99"/>
    <w:unhideWhenUsed/>
    <w:rsid w:val="000C726E"/>
    <w:rPr>
      <w:color w:val="467886" w:themeColor="hyperlink"/>
      <w:u w:val="single"/>
    </w:rPr>
  </w:style>
  <w:style w:type="character" w:styleId="UnresolvedMention">
    <w:name w:val="Unresolved Mention"/>
    <w:basedOn w:val="DefaultParagraphFont"/>
    <w:uiPriority w:val="99"/>
    <w:semiHidden/>
    <w:unhideWhenUsed/>
    <w:rsid w:val="000C726E"/>
    <w:rPr>
      <w:color w:val="605E5C"/>
      <w:shd w:val="clear" w:color="auto" w:fill="E1DFDD"/>
    </w:rPr>
  </w:style>
  <w:style w:type="character" w:styleId="FollowedHyperlink">
    <w:name w:val="FollowedHyperlink"/>
    <w:basedOn w:val="DefaultParagraphFont"/>
    <w:uiPriority w:val="99"/>
    <w:semiHidden/>
    <w:unhideWhenUsed/>
    <w:rsid w:val="000C726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10757">
      <w:bodyDiv w:val="1"/>
      <w:marLeft w:val="0"/>
      <w:marRight w:val="0"/>
      <w:marTop w:val="0"/>
      <w:marBottom w:val="0"/>
      <w:divBdr>
        <w:top w:val="none" w:sz="0" w:space="0" w:color="auto"/>
        <w:left w:val="none" w:sz="0" w:space="0" w:color="auto"/>
        <w:bottom w:val="none" w:sz="0" w:space="0" w:color="auto"/>
        <w:right w:val="none" w:sz="0" w:space="0" w:color="auto"/>
      </w:divBdr>
    </w:div>
    <w:div w:id="373964375">
      <w:bodyDiv w:val="1"/>
      <w:marLeft w:val="0"/>
      <w:marRight w:val="0"/>
      <w:marTop w:val="0"/>
      <w:marBottom w:val="0"/>
      <w:divBdr>
        <w:top w:val="none" w:sz="0" w:space="0" w:color="auto"/>
        <w:left w:val="none" w:sz="0" w:space="0" w:color="auto"/>
        <w:bottom w:val="none" w:sz="0" w:space="0" w:color="auto"/>
        <w:right w:val="none" w:sz="0" w:space="0" w:color="auto"/>
      </w:divBdr>
      <w:divsChild>
        <w:div w:id="1326475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owtsd-my.sharepoint.com/:p:/g/personal/2406098_student_uwtsd_ac_uk/EeP4FEk4IAFOrIogbz7jjfoBtKmAmsWeG9JHLlJGmA39dQ?e=Ramwv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20465-586D-A542-8E68-07E8B637F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Pages>
  <Words>2421</Words>
  <Characters>13801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Whitehouse (2406098)</dc:creator>
  <cp:keywords/>
  <dc:description/>
  <cp:lastModifiedBy>Jake Whitehouse (2406098)</cp:lastModifiedBy>
  <cp:revision>1</cp:revision>
  <dcterms:created xsi:type="dcterms:W3CDTF">2025-05-13T19:03:00Z</dcterms:created>
  <dcterms:modified xsi:type="dcterms:W3CDTF">2025-05-13T20:30:00Z</dcterms:modified>
</cp:coreProperties>
</file>