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46BC3B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73F6E">
              <w:rPr>
                <w:rFonts w:ascii="Times New Roman" w:hAnsi="Times New Roman" w:cs="Times New Roman"/>
                <w:b/>
                <w:color w:val="auto"/>
                <w:sz w:val="48"/>
              </w:rPr>
              <w:t>Rhian Wright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4EB5AB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73F6E">
              <w:rPr>
                <w:rFonts w:ascii="Times New Roman" w:hAnsi="Times New Roman" w:cs="Times New Roman"/>
                <w:b/>
                <w:color w:val="auto"/>
                <w:sz w:val="48"/>
              </w:rPr>
              <w:t xml:space="preserve"> R.Wright@npt.gov.uk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2F9C9B9" w:rsidR="0085230E" w:rsidRPr="005D3F07" w:rsidRDefault="004B542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2432433</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38EF70FB" w14:textId="77777777" w:rsidR="003859A6" w:rsidRPr="003859A6" w:rsidRDefault="003859A6" w:rsidP="003859A6">
            <w:pPr>
              <w:jc w:val="both"/>
              <w:rPr>
                <w:sz w:val="24"/>
                <w:szCs w:val="24"/>
              </w:rPr>
            </w:pPr>
            <w:r w:rsidRPr="003859A6">
              <w:rPr>
                <w:sz w:val="24"/>
                <w:szCs w:val="24"/>
              </w:rPr>
              <w:t>A strong set of UK and devolved laws protects children in Wales. The Children Act 1989 sets out important responsibilities for local authorities to investigate cases where there is a good reason to think that a child may be, or may be in danger of, serious harm. It also establishes important legal procedures, such as emergency protection and care orders (Legislation.gov.uk, 1989; Legislation.gov.uk, 2014). The Children Act 2004 improved accountability between agencies for keeping children safe. Section 28 made it their job to think about how to protect and promote children's welfare. The Social Services and Well-being (Wales) Act 2014 added further requirements specific to Wales (Legislation.gov.uk, 2004; Welsh Government, 2018).</w:t>
            </w:r>
          </w:p>
          <w:p w14:paraId="54CE25F9" w14:textId="77777777" w:rsidR="003859A6" w:rsidRPr="003859A6" w:rsidRDefault="003859A6" w:rsidP="003859A6">
            <w:pPr>
              <w:jc w:val="both"/>
              <w:rPr>
                <w:sz w:val="24"/>
                <w:szCs w:val="24"/>
              </w:rPr>
            </w:pPr>
            <w:r w:rsidRPr="003859A6">
              <w:rPr>
                <w:sz w:val="24"/>
                <w:szCs w:val="24"/>
              </w:rPr>
              <w:t xml:space="preserve">The Social Services and Well-being (Wales) Act 2014 (SSWBA) ascertains a distinctive social care framework for Wales, emphasising prevention, early intervention, well-being, and the empowerment of individuals. Part 7 has specific safety measures (Legislation.gov.uk, 2014; Social Care Wales, 2025). Part 7 states that Regional Safeguarding Children Boards must be established. These boards bring together local authorities, police, health boards, NHS Trusts, and probation providers to make policies, procedures, and training (Welsh Government, 2016; NSPCC Learning, 2024). </w:t>
            </w:r>
          </w:p>
          <w:p w14:paraId="0393A4AB" w14:textId="77777777" w:rsidR="003859A6" w:rsidRPr="003859A6" w:rsidRDefault="003859A6" w:rsidP="003859A6">
            <w:pPr>
              <w:jc w:val="both"/>
              <w:rPr>
                <w:sz w:val="24"/>
                <w:szCs w:val="24"/>
              </w:rPr>
            </w:pPr>
            <w:r w:rsidRPr="003859A6">
              <w:rPr>
                <w:sz w:val="24"/>
                <w:szCs w:val="24"/>
              </w:rPr>
              <w:t>The Wales Safeguarding Procedures, put in place in November 2019, ensured that everyone followed the same rules. They are now being used throughout Wales, replacing the All-Wales Child Protection Procedures (Social Care Wales, 2019; North Wales Safeguarding Board, 2020). The Children (Abolition of Defence of Reasonable Punishment) (Wales) Act 2020, which came into effect in March 2022, strengthens Wales's rights-based approach by removing the defence of reasonable punishment and introducing relevant practice guidance and monitoring (Legislation.gov.uk, 2020; Welsh Government, 2025a).</w:t>
            </w:r>
          </w:p>
          <w:p w14:paraId="5220D41D" w14:textId="77777777" w:rsidR="003859A6" w:rsidRPr="003859A6" w:rsidRDefault="003859A6" w:rsidP="003859A6">
            <w:pPr>
              <w:jc w:val="both"/>
              <w:rPr>
                <w:sz w:val="24"/>
                <w:szCs w:val="24"/>
              </w:rPr>
            </w:pPr>
          </w:p>
          <w:p w14:paraId="50764BE1" w14:textId="77777777" w:rsidR="003859A6" w:rsidRPr="003859A6" w:rsidRDefault="003859A6" w:rsidP="003859A6">
            <w:pPr>
              <w:jc w:val="both"/>
              <w:rPr>
                <w:sz w:val="24"/>
                <w:szCs w:val="24"/>
              </w:rPr>
            </w:pPr>
            <w:r w:rsidRPr="003859A6">
              <w:rPr>
                <w:sz w:val="24"/>
                <w:szCs w:val="24"/>
              </w:rPr>
              <w:t xml:space="preserve">The Wales Safeguarding Procedures were launched in 2019 to prescribe consistent practice. They provide a single set of procedures that were regionally adopted by April 2020, replacing the All-Wales Child Protection Procedures (Social Care Wales, 2019; North Wales Safeguarding Board, 2020). The rights-based approach of Wales has been further reinforced </w:t>
            </w:r>
            <w:r w:rsidRPr="003859A6">
              <w:rPr>
                <w:sz w:val="24"/>
                <w:szCs w:val="24"/>
              </w:rPr>
              <w:lastRenderedPageBreak/>
              <w:t>by the Children (Abolition of Defence of Reasonable Punishment) (Wales) Act 2020, which was effective from 21 March 2022. This eliminates the defence of reasonable punishment and includes relevant practice guidance and monitoring (Legislation.gov.uk, 2020; Welsh Government, 2025a). Other related frameworks interconnecting with safeguarding include the Violence Against Women, Domestic Abuse, and Sexual Violence (Wales) Act 2015 and its guidance for local strategies, highlighting the impact of domestic abuse in safeguarding children (Legislation.gov.uk, 2015; Welsh Government, 2018). Additionally, information-sharing and record-keeping are regulated by the Data Protection Act 2018 and UK GDPR, which define describe bases, create data minimisation principles, and ensure the safeguarding of sensitive data during multi-agency collaboration (Legislation.gov.uk, 2018; GOV.UK, 2018).</w:t>
            </w:r>
          </w:p>
          <w:p w14:paraId="6549CD6E" w14:textId="77777777" w:rsidR="003859A6" w:rsidRPr="003859A6" w:rsidRDefault="003859A6" w:rsidP="003859A6">
            <w:pPr>
              <w:jc w:val="both"/>
              <w:rPr>
                <w:sz w:val="24"/>
                <w:szCs w:val="24"/>
              </w:rPr>
            </w:pPr>
            <w:r w:rsidRPr="003859A6">
              <w:rPr>
                <w:sz w:val="24"/>
                <w:szCs w:val="24"/>
              </w:rPr>
              <w:t xml:space="preserve"> </w:t>
            </w:r>
          </w:p>
          <w:p w14:paraId="6D8CB8AF" w14:textId="40CDEE1C" w:rsidR="00FC0334" w:rsidRDefault="003859A6" w:rsidP="003859A6">
            <w:pPr>
              <w:jc w:val="both"/>
              <w:rPr>
                <w:sz w:val="24"/>
                <w:szCs w:val="24"/>
              </w:rPr>
            </w:pPr>
            <w:r>
              <w:rPr>
                <w:sz w:val="24"/>
                <w:szCs w:val="24"/>
              </w:rPr>
              <w:t>Locally</w:t>
            </w:r>
            <w:r w:rsidRPr="003859A6">
              <w:rPr>
                <w:sz w:val="24"/>
                <w:szCs w:val="24"/>
              </w:rPr>
              <w:t xml:space="preserve">, Regional Safeguarding Children Boards set and maintain quality standards for procedures, commission multi-agency training, and promote learning, developing a consistent, trauma-informed, and rights-based approach across agencies (NSPCC Learning, 2024; Welsh Government, 2026). At the organisational level, whether it’s local authorities, health, education, police, or third-sector agencies, internal safeguarding policies align with Welsh legislation and policies. These policies typically provide clear reporting </w:t>
            </w:r>
            <w:proofErr w:type="gramStart"/>
            <w:r w:rsidRPr="003859A6">
              <w:rPr>
                <w:sz w:val="24"/>
                <w:szCs w:val="24"/>
              </w:rPr>
              <w:t>pathways,  safeguarding</w:t>
            </w:r>
            <w:proofErr w:type="gramEnd"/>
            <w:r w:rsidRPr="003859A6">
              <w:rPr>
                <w:sz w:val="24"/>
                <w:szCs w:val="24"/>
              </w:rPr>
              <w:t xml:space="preserve"> leads, safer recruitment practices, supervision protocols, whistleblowing procedures, information-sharing regulations, and mandatory involvement in multi-agency processes (Welsh Government, 2018; Social Care Wales, 2025). Collectively, these legislative and procedural components prepare practitioners to understand their roles, work collaboratively, and respond in a timely manner to safeguard children throughout Wales (Welsh Government, 2016; Social Care Wales, 2025).</w:t>
            </w:r>
          </w:p>
          <w:p w14:paraId="57A39794" w14:textId="77777777" w:rsidR="00DD5CF1" w:rsidRDefault="00DD5CF1" w:rsidP="003859A6">
            <w:pPr>
              <w:jc w:val="both"/>
              <w:rPr>
                <w:sz w:val="24"/>
                <w:szCs w:val="24"/>
              </w:rPr>
            </w:pPr>
          </w:p>
          <w:p w14:paraId="6BFEC182" w14:textId="5D63CA2B" w:rsidR="00DD5CF1" w:rsidRDefault="00DD5CF1" w:rsidP="003859A6">
            <w:pPr>
              <w:jc w:val="both"/>
              <w:rPr>
                <w:sz w:val="24"/>
                <w:szCs w:val="24"/>
              </w:rPr>
            </w:pPr>
            <w:r>
              <w:rPr>
                <w:sz w:val="24"/>
                <w:szCs w:val="24"/>
              </w:rPr>
              <w:t>550</w:t>
            </w: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588E9604" w14:textId="77777777" w:rsidR="00E908E1" w:rsidRPr="00E908E1" w:rsidRDefault="00E908E1" w:rsidP="00E908E1">
            <w:pPr>
              <w:jc w:val="both"/>
              <w:rPr>
                <w:sz w:val="24"/>
                <w:szCs w:val="24"/>
              </w:rPr>
            </w:pPr>
            <w:r w:rsidRPr="00E908E1">
              <w:rPr>
                <w:sz w:val="24"/>
                <w:szCs w:val="24"/>
              </w:rPr>
              <w:t xml:space="preserve">While preventing harm, improving well-being, and promoting multi-agency coordination are common aims of both adult and child safeguarding, their views on autonomy, intervention thresholds, and the role of the public differ significantly. The legislative structure is protective in safeguarding children. Local authorities are required to conduct investigations. Also, if required, to take prompt action by issuing emergency protection, care, or supervision orders when there is a reasonable suspicion of serious harm (Legislation.gov.uk, 1989; Welsh Government, 2018). </w:t>
            </w:r>
            <w:proofErr w:type="spellStart"/>
            <w:r w:rsidRPr="00E908E1">
              <w:rPr>
                <w:sz w:val="24"/>
                <w:szCs w:val="24"/>
              </w:rPr>
              <w:t>Wales'</w:t>
            </w:r>
            <w:proofErr w:type="spellEnd"/>
            <w:r w:rsidRPr="00E908E1">
              <w:rPr>
                <w:sz w:val="24"/>
                <w:szCs w:val="24"/>
              </w:rPr>
              <w:t xml:space="preserve"> statutory guidance and national procedures mirror this approach.  As they prioritise the child's well-being and clearly centres practice on the child's rights (Welsh Government, 2016; Social Care Wales, 2019). Adult safeguarding under the SSWBA, on the other hand, emphasises a balanced approach to proportionality and autonomy while </w:t>
            </w:r>
            <w:r w:rsidRPr="00E908E1">
              <w:rPr>
                <w:sz w:val="24"/>
                <w:szCs w:val="24"/>
              </w:rPr>
              <w:lastRenderedPageBreak/>
              <w:t xml:space="preserve">prioritising the empowerment of </w:t>
            </w:r>
            <w:proofErr w:type="spellStart"/>
            <w:r w:rsidRPr="00E908E1">
              <w:rPr>
                <w:sz w:val="24"/>
                <w:szCs w:val="24"/>
              </w:rPr>
              <w:t>i</w:t>
            </w:r>
            <w:proofErr w:type="spellEnd"/>
            <w:r w:rsidRPr="00E908E1">
              <w:rPr>
                <w:sz w:val="24"/>
                <w:szCs w:val="24"/>
              </w:rPr>
              <w:t xml:space="preserve"> By contrast, adult safeguarding under the SSWBA emphasises empowerment, proportionality and the person’s voice and control: adults with capacity may decline support, requiring practitioners to balance risk with respect for autonomy (Legislation.gov.uk, 2014; Social Care Wales, 2025). Tools such as Adult Protection and Support Orders enable proportionate access to assess risk without conferring a power of removal, illustrating the different starting point for intervention compared with child protection powers (Welsh Government, 2016; Welsh Government, 2016b).</w:t>
            </w:r>
          </w:p>
          <w:p w14:paraId="711DF5B6" w14:textId="77777777" w:rsidR="00E908E1" w:rsidRPr="00E908E1" w:rsidRDefault="00E908E1" w:rsidP="00E908E1">
            <w:pPr>
              <w:jc w:val="both"/>
              <w:rPr>
                <w:sz w:val="24"/>
                <w:szCs w:val="24"/>
              </w:rPr>
            </w:pPr>
            <w:r w:rsidRPr="00E908E1">
              <w:rPr>
                <w:sz w:val="24"/>
                <w:szCs w:val="24"/>
              </w:rPr>
              <w:t>The role of family and consent also differs. In children’s safeguarding, parents/carers are central to assessment and change, but may also be sources of risk; agencies must therefore consider parenting capacity, family functioning and the child’s developmental needs within statutory processes (Welsh Government, 2018; NSPCC Learning, 2024). In adult safeguarding, family involvement depends on the adult’s wishes and capacity, with consent guiding information</w:t>
            </w:r>
            <w:r w:rsidRPr="00E908E1">
              <w:rPr>
                <w:rFonts w:ascii="Cambria Math" w:hAnsi="Cambria Math" w:cs="Cambria Math"/>
                <w:sz w:val="24"/>
                <w:szCs w:val="24"/>
              </w:rPr>
              <w:t>‑</w:t>
            </w:r>
            <w:r w:rsidRPr="00E908E1">
              <w:rPr>
                <w:sz w:val="24"/>
                <w:szCs w:val="24"/>
              </w:rPr>
              <w:t>sharing and participation unless coercion or impaired capacity is evident (Legislation.gov.uk, 2014; Welsh Government, 2016b).</w:t>
            </w:r>
          </w:p>
          <w:p w14:paraId="67E7ED72" w14:textId="2568344A" w:rsidR="00FC0334" w:rsidRDefault="00E908E1" w:rsidP="00E908E1">
            <w:pPr>
              <w:jc w:val="both"/>
              <w:rPr>
                <w:sz w:val="24"/>
                <w:szCs w:val="24"/>
              </w:rPr>
            </w:pPr>
            <w:r w:rsidRPr="00E908E1">
              <w:rPr>
                <w:sz w:val="24"/>
                <w:szCs w:val="24"/>
              </w:rPr>
              <w:t>Thresholds reflect these differences. For children, suspicion of significant harm triggers compulsory multi</w:t>
            </w:r>
            <w:r w:rsidRPr="00E908E1">
              <w:rPr>
                <w:rFonts w:ascii="Cambria Math" w:hAnsi="Cambria Math" w:cs="Cambria Math"/>
                <w:sz w:val="24"/>
                <w:szCs w:val="24"/>
              </w:rPr>
              <w:t>‑</w:t>
            </w:r>
            <w:r w:rsidRPr="00E908E1">
              <w:rPr>
                <w:sz w:val="24"/>
                <w:szCs w:val="24"/>
              </w:rPr>
              <w:t>agency action under Working Together and the Wales Safeguarding Procedures (Welsh Government, 2018; Social Care Wales, 2019). For adults, the social worker assesses whether the person is at risk of abuse or neglect. Then assess whether the intervention aligns with their personal outcomes, escalating proportionately while upholding their rights (Legislation.gov.uk, 2014; Social Care Wales, 2025). Overall, children’s safeguarding prioritises protective best</w:t>
            </w:r>
            <w:r w:rsidRPr="00E908E1">
              <w:rPr>
                <w:rFonts w:ascii="Cambria Math" w:hAnsi="Cambria Math" w:cs="Cambria Math"/>
                <w:sz w:val="24"/>
                <w:szCs w:val="24"/>
              </w:rPr>
              <w:t>‑</w:t>
            </w:r>
            <w:r w:rsidRPr="00E908E1">
              <w:rPr>
                <w:sz w:val="24"/>
                <w:szCs w:val="24"/>
              </w:rPr>
              <w:t>interest decision</w:t>
            </w:r>
            <w:r w:rsidRPr="00E908E1">
              <w:rPr>
                <w:rFonts w:ascii="Cambria Math" w:hAnsi="Cambria Math" w:cs="Cambria Math"/>
                <w:sz w:val="24"/>
                <w:szCs w:val="24"/>
              </w:rPr>
              <w:t>‑</w:t>
            </w:r>
            <w:r w:rsidRPr="00E908E1">
              <w:rPr>
                <w:sz w:val="24"/>
                <w:szCs w:val="24"/>
              </w:rPr>
              <w:t>making. In contrast, adult safeguarding prioritises autonomy and proportionality. The Welsh framework expects timely information</w:t>
            </w:r>
            <w:r w:rsidRPr="00E908E1">
              <w:rPr>
                <w:rFonts w:ascii="Cambria Math" w:hAnsi="Cambria Math" w:cs="Cambria Math"/>
                <w:sz w:val="24"/>
                <w:szCs w:val="24"/>
              </w:rPr>
              <w:t>‑</w:t>
            </w:r>
            <w:r w:rsidRPr="00E908E1">
              <w:rPr>
                <w:sz w:val="24"/>
                <w:szCs w:val="24"/>
              </w:rPr>
              <w:t>sharing and coordinated responses across agencies (Welsh Government, 2016; Welsh Government, 2026).</w:t>
            </w:r>
          </w:p>
          <w:p w14:paraId="478D2F84" w14:textId="77777777" w:rsidR="00FC0334" w:rsidRDefault="00FC0334" w:rsidP="00FC0334">
            <w:pPr>
              <w:jc w:val="both"/>
              <w:rPr>
                <w:sz w:val="24"/>
                <w:szCs w:val="24"/>
              </w:rPr>
            </w:pPr>
          </w:p>
          <w:p w14:paraId="4847C39E" w14:textId="314E3A8B" w:rsidR="00FC0334" w:rsidRDefault="00E908E1" w:rsidP="00FC0334">
            <w:pPr>
              <w:jc w:val="both"/>
              <w:rPr>
                <w:sz w:val="24"/>
                <w:szCs w:val="24"/>
              </w:rPr>
            </w:pPr>
            <w:r>
              <w:rPr>
                <w:sz w:val="24"/>
                <w:szCs w:val="24"/>
              </w:rPr>
              <w:t>380</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81C53" w14:textId="77777777" w:rsidR="00C5174F" w:rsidRDefault="00C5174F">
      <w:r>
        <w:separator/>
      </w:r>
    </w:p>
  </w:endnote>
  <w:endnote w:type="continuationSeparator" w:id="0">
    <w:p w14:paraId="0EE43B68" w14:textId="77777777" w:rsidR="00C5174F" w:rsidRDefault="00C517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C3CAD" w14:textId="77777777" w:rsidR="00C5174F" w:rsidRDefault="00C5174F">
      <w:r>
        <w:separator/>
      </w:r>
    </w:p>
  </w:footnote>
  <w:footnote w:type="continuationSeparator" w:id="0">
    <w:p w14:paraId="451C651B" w14:textId="77777777" w:rsidR="00C5174F" w:rsidRDefault="00C517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5AE"/>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12E3"/>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9A6"/>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420"/>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644"/>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3F6E"/>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74F"/>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2E5A"/>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5CF1"/>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8E1"/>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09FD"/>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1255</Words>
  <Characters>7156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Wright</cp:lastModifiedBy>
  <cp:revision>7</cp:revision>
  <cp:lastPrinted>2020-02-11T19:20:00Z</cp:lastPrinted>
  <dcterms:created xsi:type="dcterms:W3CDTF">2026-02-25T09:52:00Z</dcterms:created>
  <dcterms:modified xsi:type="dcterms:W3CDTF">2026-02-25T10:57:00Z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8a17223b-730d-4897-b397-3f1357dd5ebe</vt:lpwstr>
  </property>
</Properties>
</file>