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7" w14:textId="77777777" w:rsidR="00926950" w:rsidRDefault="00926950">
      <w:pPr>
        <w:spacing w:after="0" w:line="480" w:lineRule="auto"/>
        <w:rPr>
          <w:rFonts w:ascii="Times New Roman" w:eastAsia="Times New Roman" w:hAnsi="Times New Roman" w:cs="Times New Roman"/>
          <w:sz w:val="24"/>
          <w:szCs w:val="24"/>
        </w:rPr>
      </w:pPr>
    </w:p>
    <w:p w14:paraId="00000008" w14:textId="77777777" w:rsidR="00926950" w:rsidRDefault="00926950">
      <w:pPr>
        <w:spacing w:after="0" w:line="480" w:lineRule="auto"/>
        <w:rPr>
          <w:rFonts w:ascii="Times New Roman" w:eastAsia="Times New Roman" w:hAnsi="Times New Roman" w:cs="Times New Roman"/>
          <w:sz w:val="24"/>
          <w:szCs w:val="24"/>
        </w:rPr>
      </w:pPr>
    </w:p>
    <w:p w14:paraId="00000009" w14:textId="77777777" w:rsidR="00926950" w:rsidRDefault="00926950">
      <w:pPr>
        <w:spacing w:after="0" w:line="480" w:lineRule="auto"/>
        <w:rPr>
          <w:rFonts w:ascii="Times New Roman" w:eastAsia="Times New Roman" w:hAnsi="Times New Roman" w:cs="Times New Roman"/>
          <w:sz w:val="24"/>
          <w:szCs w:val="24"/>
        </w:rPr>
      </w:pPr>
    </w:p>
    <w:p w14:paraId="0000000B" w14:textId="77777777" w:rsidR="00926950" w:rsidRDefault="00926950">
      <w:pPr>
        <w:spacing w:after="0" w:line="480" w:lineRule="auto"/>
        <w:rPr>
          <w:rFonts w:ascii="Times New Roman" w:eastAsia="Times New Roman" w:hAnsi="Times New Roman" w:cs="Times New Roman"/>
          <w:sz w:val="24"/>
          <w:szCs w:val="24"/>
        </w:rPr>
      </w:pPr>
    </w:p>
    <w:p w14:paraId="0000000C" w14:textId="77777777" w:rsidR="00926950" w:rsidRPr="00F01DED" w:rsidRDefault="00000000">
      <w:pPr>
        <w:spacing w:after="0" w:line="480" w:lineRule="auto"/>
        <w:jc w:val="center"/>
        <w:rPr>
          <w:rFonts w:ascii="Times New Roman" w:eastAsia="Times New Roman" w:hAnsi="Times New Roman" w:cs="Times New Roman"/>
          <w:b/>
          <w:sz w:val="40"/>
          <w:szCs w:val="40"/>
        </w:rPr>
      </w:pPr>
      <w:r w:rsidRPr="00F01DED">
        <w:rPr>
          <w:rFonts w:ascii="Times New Roman" w:eastAsia="Times New Roman" w:hAnsi="Times New Roman" w:cs="Times New Roman"/>
          <w:b/>
          <w:sz w:val="40"/>
          <w:szCs w:val="40"/>
        </w:rPr>
        <w:t>Apple Inc.</w:t>
      </w:r>
    </w:p>
    <w:p w14:paraId="0000000D" w14:textId="77777777" w:rsidR="00926950" w:rsidRPr="00F01DED" w:rsidRDefault="00000000">
      <w:pPr>
        <w:spacing w:after="0" w:line="480" w:lineRule="auto"/>
        <w:jc w:val="center"/>
        <w:rPr>
          <w:rFonts w:ascii="Times New Roman" w:eastAsia="Times New Roman" w:hAnsi="Times New Roman" w:cs="Times New Roman"/>
          <w:b/>
          <w:sz w:val="32"/>
          <w:szCs w:val="32"/>
        </w:rPr>
      </w:pPr>
      <w:r w:rsidRPr="00F01DED">
        <w:rPr>
          <w:rFonts w:ascii="Times New Roman" w:eastAsia="Times New Roman" w:hAnsi="Times New Roman" w:cs="Times New Roman"/>
          <w:b/>
          <w:sz w:val="32"/>
          <w:szCs w:val="32"/>
        </w:rPr>
        <w:t xml:space="preserve">International Financial Management </w:t>
      </w:r>
    </w:p>
    <w:p w14:paraId="0000000E" w14:textId="77777777" w:rsidR="00926950" w:rsidRDefault="00926950">
      <w:pPr>
        <w:spacing w:after="0" w:line="480" w:lineRule="auto"/>
        <w:jc w:val="center"/>
        <w:rPr>
          <w:rFonts w:ascii="Times New Roman" w:eastAsia="Times New Roman" w:hAnsi="Times New Roman" w:cs="Times New Roman"/>
          <w:b/>
          <w:sz w:val="24"/>
          <w:szCs w:val="24"/>
        </w:rPr>
      </w:pPr>
    </w:p>
    <w:p w14:paraId="69971B9E" w14:textId="77777777" w:rsidR="00F01DED" w:rsidRDefault="00F01DED" w:rsidP="00F01DE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 TRINITY SAINT DAVID</w:t>
      </w:r>
    </w:p>
    <w:p w14:paraId="650B6239" w14:textId="77777777" w:rsidR="00F01DED" w:rsidRDefault="00F01DED" w:rsidP="00F01DE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Student’s Name: Anton </w:t>
      </w:r>
      <w:proofErr w:type="spellStart"/>
      <w:r>
        <w:rPr>
          <w:rFonts w:ascii="Times New Roman" w:eastAsia="Times New Roman" w:hAnsi="Times New Roman" w:cs="Times New Roman"/>
          <w:sz w:val="24"/>
          <w:szCs w:val="24"/>
        </w:rPr>
        <w:t>Mersinkov</w:t>
      </w:r>
      <w:proofErr w:type="spellEnd"/>
      <w:r>
        <w:rPr>
          <w:rFonts w:ascii="Times New Roman" w:eastAsia="Times New Roman" w:hAnsi="Times New Roman" w:cs="Times New Roman"/>
          <w:sz w:val="24"/>
          <w:szCs w:val="24"/>
        </w:rPr>
        <w:t xml:space="preserve"> </w:t>
      </w:r>
    </w:p>
    <w:p w14:paraId="00C41F25" w14:textId="77777777" w:rsidR="00F01DED" w:rsidRDefault="00F01DED" w:rsidP="00F01DE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ID: 2014039</w:t>
      </w:r>
    </w:p>
    <w:p w14:paraId="7EEB7A45" w14:textId="2B7B2EA2" w:rsidR="00F01DED" w:rsidRDefault="00F01DED" w:rsidP="00F01DED">
      <w:pPr>
        <w:spacing w:line="480" w:lineRule="auto"/>
        <w:jc w:val="center"/>
        <w:rPr>
          <w:rFonts w:ascii="Times New Roman" w:hAnsi="Times New Roman" w:cs="Times New Roman"/>
          <w:color w:val="242130"/>
          <w:sz w:val="24"/>
          <w:szCs w:val="24"/>
          <w:shd w:val="clear" w:color="auto" w:fill="FFFFFF"/>
        </w:rPr>
      </w:pPr>
      <w:r>
        <w:rPr>
          <w:rFonts w:ascii="Times New Roman" w:eastAsia="Times New Roman" w:hAnsi="Times New Roman" w:cs="Times New Roman"/>
          <w:sz w:val="24"/>
          <w:szCs w:val="24"/>
        </w:rPr>
        <w:t xml:space="preserve">Lecture Name: </w:t>
      </w:r>
      <w:proofErr w:type="spellStart"/>
      <w:r w:rsidR="002A01DC">
        <w:rPr>
          <w:rFonts w:ascii="Times New Roman" w:hAnsi="Times New Roman" w:cs="Times New Roman"/>
          <w:color w:val="242130"/>
          <w:sz w:val="24"/>
          <w:szCs w:val="24"/>
          <w:shd w:val="clear" w:color="auto" w:fill="FFFFFF"/>
        </w:rPr>
        <w:t>Rexon</w:t>
      </w:r>
      <w:proofErr w:type="spellEnd"/>
      <w:r w:rsidR="002A01DC">
        <w:rPr>
          <w:rFonts w:ascii="Times New Roman" w:hAnsi="Times New Roman" w:cs="Times New Roman"/>
          <w:color w:val="242130"/>
          <w:sz w:val="24"/>
          <w:szCs w:val="24"/>
          <w:shd w:val="clear" w:color="auto" w:fill="FFFFFF"/>
        </w:rPr>
        <w:t xml:space="preserve"> Nting</w:t>
      </w:r>
    </w:p>
    <w:p w14:paraId="2ABEB33D" w14:textId="3F33411C" w:rsidR="00F01DED" w:rsidRDefault="00F01DED" w:rsidP="00F01DED">
      <w:pPr>
        <w:spacing w:line="480" w:lineRule="auto"/>
        <w:jc w:val="center"/>
        <w:rPr>
          <w:rFonts w:ascii="Times New Roman" w:hAnsi="Times New Roman" w:cs="Times New Roman"/>
          <w:color w:val="242130"/>
          <w:sz w:val="24"/>
          <w:szCs w:val="24"/>
          <w:shd w:val="clear" w:color="auto" w:fill="FFFFFF"/>
        </w:rPr>
      </w:pPr>
      <w:r>
        <w:rPr>
          <w:rFonts w:ascii="Times New Roman" w:hAnsi="Times New Roman" w:cs="Times New Roman"/>
          <w:color w:val="242130"/>
          <w:sz w:val="24"/>
          <w:szCs w:val="24"/>
          <w:shd w:val="clear" w:color="auto" w:fill="FFFFFF"/>
        </w:rPr>
        <w:t>Module code: LCBB600</w:t>
      </w:r>
      <w:r>
        <w:rPr>
          <w:rFonts w:ascii="Times New Roman" w:hAnsi="Times New Roman" w:cs="Times New Roman"/>
          <w:color w:val="242130"/>
          <w:sz w:val="24"/>
          <w:szCs w:val="24"/>
          <w:shd w:val="clear" w:color="auto" w:fill="FFFFFF"/>
        </w:rPr>
        <w:t>2</w:t>
      </w:r>
    </w:p>
    <w:p w14:paraId="00000013" w14:textId="77777777" w:rsidR="00926950" w:rsidRDefault="00926950">
      <w:pPr>
        <w:spacing w:after="0" w:line="480" w:lineRule="auto"/>
        <w:rPr>
          <w:rFonts w:ascii="Times New Roman" w:eastAsia="Times New Roman" w:hAnsi="Times New Roman" w:cs="Times New Roman"/>
          <w:sz w:val="24"/>
          <w:szCs w:val="24"/>
        </w:rPr>
      </w:pPr>
    </w:p>
    <w:p w14:paraId="00000014" w14:textId="77777777" w:rsidR="00926950" w:rsidRDefault="00926950">
      <w:pPr>
        <w:spacing w:after="0" w:line="480" w:lineRule="auto"/>
        <w:rPr>
          <w:rFonts w:ascii="Times New Roman" w:eastAsia="Times New Roman" w:hAnsi="Times New Roman" w:cs="Times New Roman"/>
          <w:sz w:val="24"/>
          <w:szCs w:val="24"/>
        </w:rPr>
      </w:pPr>
    </w:p>
    <w:p w14:paraId="00000015" w14:textId="77777777" w:rsidR="00926950" w:rsidRDefault="00926950">
      <w:pPr>
        <w:spacing w:after="0" w:line="480" w:lineRule="auto"/>
        <w:rPr>
          <w:rFonts w:ascii="Times New Roman" w:eastAsia="Times New Roman" w:hAnsi="Times New Roman" w:cs="Times New Roman"/>
          <w:sz w:val="24"/>
          <w:szCs w:val="24"/>
        </w:rPr>
      </w:pPr>
    </w:p>
    <w:p w14:paraId="00000016" w14:textId="77777777" w:rsidR="00926950" w:rsidRDefault="00926950">
      <w:pPr>
        <w:spacing w:after="0" w:line="480" w:lineRule="auto"/>
        <w:rPr>
          <w:rFonts w:ascii="Times New Roman" w:eastAsia="Times New Roman" w:hAnsi="Times New Roman" w:cs="Times New Roman"/>
          <w:sz w:val="24"/>
          <w:szCs w:val="24"/>
        </w:rPr>
      </w:pPr>
    </w:p>
    <w:p w14:paraId="2E2473F0" w14:textId="77777777" w:rsidR="00F01DED" w:rsidRDefault="00F01DED">
      <w:pPr>
        <w:spacing w:after="0" w:line="480" w:lineRule="auto"/>
        <w:rPr>
          <w:rFonts w:ascii="Times New Roman" w:eastAsia="Times New Roman" w:hAnsi="Times New Roman" w:cs="Times New Roman"/>
          <w:sz w:val="24"/>
          <w:szCs w:val="24"/>
        </w:rPr>
      </w:pPr>
    </w:p>
    <w:p w14:paraId="2752E463" w14:textId="77777777" w:rsidR="00F01DED" w:rsidRDefault="00F01DED">
      <w:pPr>
        <w:spacing w:after="0" w:line="480" w:lineRule="auto"/>
        <w:rPr>
          <w:rFonts w:ascii="Times New Roman" w:eastAsia="Times New Roman" w:hAnsi="Times New Roman" w:cs="Times New Roman"/>
          <w:sz w:val="24"/>
          <w:szCs w:val="24"/>
        </w:rPr>
      </w:pPr>
    </w:p>
    <w:p w14:paraId="3ACED35A" w14:textId="77777777" w:rsidR="00F01DED" w:rsidRDefault="00F01DED">
      <w:pPr>
        <w:spacing w:after="0" w:line="480" w:lineRule="auto"/>
        <w:rPr>
          <w:rFonts w:ascii="Times New Roman" w:eastAsia="Times New Roman" w:hAnsi="Times New Roman" w:cs="Times New Roman"/>
          <w:sz w:val="24"/>
          <w:szCs w:val="24"/>
        </w:rPr>
      </w:pPr>
    </w:p>
    <w:p w14:paraId="243489E3" w14:textId="77777777" w:rsidR="00F01DED" w:rsidRDefault="00F01DED">
      <w:pPr>
        <w:spacing w:after="0" w:line="480" w:lineRule="auto"/>
        <w:rPr>
          <w:rFonts w:ascii="Times New Roman" w:eastAsia="Times New Roman" w:hAnsi="Times New Roman" w:cs="Times New Roman"/>
          <w:sz w:val="24"/>
          <w:szCs w:val="24"/>
        </w:rPr>
      </w:pPr>
    </w:p>
    <w:p w14:paraId="5C0AA96E" w14:textId="77777777" w:rsidR="00F01DED" w:rsidRDefault="00F01DED">
      <w:pPr>
        <w:spacing w:after="0" w:line="480" w:lineRule="auto"/>
        <w:rPr>
          <w:rFonts w:ascii="Times New Roman" w:eastAsia="Times New Roman" w:hAnsi="Times New Roman" w:cs="Times New Roman"/>
          <w:sz w:val="24"/>
          <w:szCs w:val="24"/>
        </w:rPr>
      </w:pPr>
    </w:p>
    <w:p w14:paraId="00000017" w14:textId="77777777" w:rsidR="00926950" w:rsidRDefault="00926950">
      <w:pPr>
        <w:spacing w:after="0" w:line="480" w:lineRule="auto"/>
        <w:rPr>
          <w:rFonts w:ascii="Times New Roman" w:eastAsia="Times New Roman" w:hAnsi="Times New Roman" w:cs="Times New Roman"/>
          <w:sz w:val="24"/>
          <w:szCs w:val="24"/>
        </w:rPr>
      </w:pPr>
    </w:p>
    <w:p w14:paraId="00000018" w14:textId="77777777" w:rsidR="00926950" w:rsidRDefault="00926950">
      <w:pPr>
        <w:spacing w:after="0" w:line="480" w:lineRule="auto"/>
        <w:rPr>
          <w:rFonts w:ascii="Times New Roman" w:eastAsia="Times New Roman" w:hAnsi="Times New Roman" w:cs="Times New Roman"/>
          <w:sz w:val="24"/>
          <w:szCs w:val="24"/>
        </w:rPr>
      </w:pPr>
    </w:p>
    <w:p w14:paraId="00000019" w14:textId="77777777" w:rsidR="00926950" w:rsidRDefault="00000000">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8"/>
          <w:szCs w:val="28"/>
        </w:rPr>
        <w:t>Contents</w:t>
      </w:r>
    </w:p>
    <w:sdt>
      <w:sdtPr>
        <w:id w:val="-974977792"/>
        <w:docPartObj>
          <w:docPartGallery w:val="Table of Contents"/>
          <w:docPartUnique/>
        </w:docPartObj>
      </w:sdtPr>
      <w:sdtContent>
        <w:p w14:paraId="0000001A" w14:textId="77777777" w:rsidR="00926950" w:rsidRDefault="00000000">
          <w:pPr>
            <w:widowControl w:val="0"/>
            <w:tabs>
              <w:tab w:val="right" w:pos="12000"/>
            </w:tabs>
            <w:spacing w:before="60" w:after="0" w:line="240" w:lineRule="auto"/>
            <w:rPr>
              <w:rFonts w:ascii="Times New Roman" w:eastAsia="Times New Roman" w:hAnsi="Times New Roman" w:cs="Times New Roman"/>
              <w:color w:val="000000"/>
            </w:rPr>
          </w:pPr>
          <w:r>
            <w:fldChar w:fldCharType="begin"/>
          </w:r>
          <w:r>
            <w:instrText xml:space="preserve"> TOC \h \u \z \t "Heading 1,1,Heading 2,2,Heading 3,3,Heading 4,4,Heading 5,5,Heading 6,6,"</w:instrText>
          </w:r>
          <w:r>
            <w:fldChar w:fldCharType="separate"/>
          </w:r>
          <w:hyperlink w:anchor="_heading=h.198s49elpa73">
            <w:r>
              <w:rPr>
                <w:rFonts w:ascii="Times New Roman" w:eastAsia="Times New Roman" w:hAnsi="Times New Roman" w:cs="Times New Roman"/>
                <w:color w:val="000000"/>
              </w:rPr>
              <w:t>Introduction</w:t>
            </w:r>
            <w:r>
              <w:rPr>
                <w:rFonts w:ascii="Times New Roman" w:eastAsia="Times New Roman" w:hAnsi="Times New Roman" w:cs="Times New Roman"/>
                <w:color w:val="000000"/>
              </w:rPr>
              <w:tab/>
              <w:t>3</w:t>
            </w:r>
          </w:hyperlink>
        </w:p>
        <w:p w14:paraId="0000001B" w14:textId="77777777" w:rsidR="00926950" w:rsidRDefault="00000000">
          <w:pPr>
            <w:widowControl w:val="0"/>
            <w:tabs>
              <w:tab w:val="right" w:pos="12000"/>
            </w:tabs>
            <w:spacing w:before="60" w:after="0" w:line="240" w:lineRule="auto"/>
            <w:rPr>
              <w:rFonts w:ascii="Times New Roman" w:eastAsia="Times New Roman" w:hAnsi="Times New Roman" w:cs="Times New Roman"/>
              <w:color w:val="000000"/>
            </w:rPr>
          </w:pPr>
          <w:hyperlink w:anchor="_heading=h.e358pzhb25ks">
            <w:r>
              <w:rPr>
                <w:rFonts w:ascii="Times New Roman" w:eastAsia="Times New Roman" w:hAnsi="Times New Roman" w:cs="Times New Roman"/>
                <w:color w:val="000000"/>
              </w:rPr>
              <w:t>Apple Inc’s Dividend Distribution Policy</w:t>
            </w:r>
            <w:r>
              <w:rPr>
                <w:rFonts w:ascii="Times New Roman" w:eastAsia="Times New Roman" w:hAnsi="Times New Roman" w:cs="Times New Roman"/>
                <w:color w:val="000000"/>
              </w:rPr>
              <w:tab/>
              <w:t>3</w:t>
            </w:r>
          </w:hyperlink>
        </w:p>
        <w:p w14:paraId="0000001C" w14:textId="77777777" w:rsidR="00926950" w:rsidRDefault="00000000">
          <w:pPr>
            <w:widowControl w:val="0"/>
            <w:tabs>
              <w:tab w:val="right" w:pos="12000"/>
            </w:tabs>
            <w:spacing w:before="60" w:after="0" w:line="240" w:lineRule="auto"/>
            <w:rPr>
              <w:rFonts w:ascii="Times New Roman" w:eastAsia="Times New Roman" w:hAnsi="Times New Roman" w:cs="Times New Roman"/>
              <w:color w:val="000000"/>
            </w:rPr>
          </w:pPr>
          <w:hyperlink w:anchor="_heading=h.nanl3nndvjnv">
            <w:r>
              <w:rPr>
                <w:rFonts w:ascii="Times New Roman" w:eastAsia="Times New Roman" w:hAnsi="Times New Roman" w:cs="Times New Roman"/>
                <w:color w:val="000000"/>
              </w:rPr>
              <w:t>The Efficient Market Hypothesis Theory in the Context of Apple Inc’s Operations</w:t>
            </w:r>
            <w:r>
              <w:rPr>
                <w:rFonts w:ascii="Times New Roman" w:eastAsia="Times New Roman" w:hAnsi="Times New Roman" w:cs="Times New Roman"/>
                <w:color w:val="000000"/>
              </w:rPr>
              <w:tab/>
              <w:t>5</w:t>
            </w:r>
          </w:hyperlink>
        </w:p>
        <w:p w14:paraId="0000001D" w14:textId="77777777" w:rsidR="00926950" w:rsidRDefault="00000000">
          <w:pPr>
            <w:widowControl w:val="0"/>
            <w:tabs>
              <w:tab w:val="right" w:pos="12000"/>
            </w:tabs>
            <w:spacing w:before="60" w:after="0" w:line="240" w:lineRule="auto"/>
            <w:rPr>
              <w:rFonts w:ascii="Times New Roman" w:eastAsia="Times New Roman" w:hAnsi="Times New Roman" w:cs="Times New Roman"/>
              <w:color w:val="000000"/>
            </w:rPr>
          </w:pPr>
          <w:hyperlink w:anchor="_heading=h.cafko7qx8wjs">
            <w:r>
              <w:rPr>
                <w:rFonts w:ascii="Times New Roman" w:eastAsia="Times New Roman" w:hAnsi="Times New Roman" w:cs="Times New Roman"/>
                <w:color w:val="000000"/>
              </w:rPr>
              <w:t>Apple Inc’s Methods of Appraising Projects</w:t>
            </w:r>
            <w:r>
              <w:rPr>
                <w:rFonts w:ascii="Times New Roman" w:eastAsia="Times New Roman" w:hAnsi="Times New Roman" w:cs="Times New Roman"/>
                <w:color w:val="000000"/>
              </w:rPr>
              <w:tab/>
              <w:t>7</w:t>
            </w:r>
          </w:hyperlink>
        </w:p>
        <w:p w14:paraId="0000001E" w14:textId="77777777" w:rsidR="00926950" w:rsidRDefault="00000000">
          <w:pPr>
            <w:widowControl w:val="0"/>
            <w:tabs>
              <w:tab w:val="right" w:pos="12000"/>
            </w:tabs>
            <w:spacing w:before="60" w:after="0" w:line="240" w:lineRule="auto"/>
            <w:rPr>
              <w:rFonts w:ascii="Times New Roman" w:eastAsia="Times New Roman" w:hAnsi="Times New Roman" w:cs="Times New Roman"/>
              <w:color w:val="000000"/>
            </w:rPr>
          </w:pPr>
          <w:hyperlink w:anchor="_heading=h.eeqcxgdw9vme">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8</w:t>
            </w:r>
          </w:hyperlink>
        </w:p>
        <w:p w14:paraId="0000001F" w14:textId="77777777" w:rsidR="00926950" w:rsidRDefault="00000000">
          <w:pPr>
            <w:widowControl w:val="0"/>
            <w:tabs>
              <w:tab w:val="right" w:pos="12000"/>
            </w:tabs>
            <w:spacing w:before="60" w:after="0" w:line="240" w:lineRule="auto"/>
            <w:rPr>
              <w:rFonts w:ascii="Times New Roman" w:eastAsia="Times New Roman" w:hAnsi="Times New Roman" w:cs="Times New Roman"/>
              <w:color w:val="000000"/>
            </w:rPr>
          </w:pPr>
          <w:hyperlink w:anchor="_heading=h.ocezdtisg878">
            <w:r>
              <w:rPr>
                <w:rFonts w:ascii="Times New Roman" w:eastAsia="Times New Roman" w:hAnsi="Times New Roman" w:cs="Times New Roman"/>
                <w:color w:val="000000"/>
              </w:rPr>
              <w:t>References List</w:t>
            </w:r>
            <w:r>
              <w:rPr>
                <w:rFonts w:ascii="Times New Roman" w:eastAsia="Times New Roman" w:hAnsi="Times New Roman" w:cs="Times New Roman"/>
                <w:color w:val="000000"/>
              </w:rPr>
              <w:tab/>
              <w:t>9</w:t>
            </w:r>
          </w:hyperlink>
          <w:r>
            <w:fldChar w:fldCharType="end"/>
          </w:r>
        </w:p>
      </w:sdtContent>
    </w:sdt>
    <w:p w14:paraId="00000020" w14:textId="77777777" w:rsidR="00926950" w:rsidRDefault="00926950">
      <w:pPr>
        <w:spacing w:after="0" w:line="480" w:lineRule="auto"/>
        <w:rPr>
          <w:rFonts w:ascii="Times New Roman" w:eastAsia="Times New Roman" w:hAnsi="Times New Roman" w:cs="Times New Roman"/>
          <w:sz w:val="24"/>
          <w:szCs w:val="24"/>
        </w:rPr>
      </w:pPr>
    </w:p>
    <w:p w14:paraId="00000021" w14:textId="77777777" w:rsidR="00926950" w:rsidRDefault="00926950">
      <w:pPr>
        <w:spacing w:after="0" w:line="480" w:lineRule="auto"/>
        <w:rPr>
          <w:rFonts w:ascii="Times New Roman" w:eastAsia="Times New Roman" w:hAnsi="Times New Roman" w:cs="Times New Roman"/>
          <w:sz w:val="24"/>
          <w:szCs w:val="24"/>
        </w:rPr>
      </w:pPr>
    </w:p>
    <w:p w14:paraId="00000022" w14:textId="77777777" w:rsidR="00926950" w:rsidRDefault="00926950">
      <w:pPr>
        <w:spacing w:after="0" w:line="480" w:lineRule="auto"/>
        <w:rPr>
          <w:rFonts w:ascii="Times New Roman" w:eastAsia="Times New Roman" w:hAnsi="Times New Roman" w:cs="Times New Roman"/>
          <w:sz w:val="24"/>
          <w:szCs w:val="24"/>
        </w:rPr>
      </w:pPr>
    </w:p>
    <w:p w14:paraId="00000023" w14:textId="77777777" w:rsidR="00926950" w:rsidRDefault="00926950">
      <w:pPr>
        <w:spacing w:after="0" w:line="480" w:lineRule="auto"/>
        <w:rPr>
          <w:rFonts w:ascii="Times New Roman" w:eastAsia="Times New Roman" w:hAnsi="Times New Roman" w:cs="Times New Roman"/>
          <w:sz w:val="24"/>
          <w:szCs w:val="24"/>
        </w:rPr>
      </w:pPr>
    </w:p>
    <w:p w14:paraId="00000024" w14:textId="77777777" w:rsidR="00926950" w:rsidRDefault="00926950">
      <w:pPr>
        <w:spacing w:after="0" w:line="480" w:lineRule="auto"/>
        <w:rPr>
          <w:rFonts w:ascii="Times New Roman" w:eastAsia="Times New Roman" w:hAnsi="Times New Roman" w:cs="Times New Roman"/>
          <w:sz w:val="24"/>
          <w:szCs w:val="24"/>
        </w:rPr>
      </w:pPr>
    </w:p>
    <w:p w14:paraId="00000025" w14:textId="77777777" w:rsidR="00926950" w:rsidRDefault="00926950">
      <w:pPr>
        <w:spacing w:after="0" w:line="480" w:lineRule="auto"/>
        <w:rPr>
          <w:rFonts w:ascii="Times New Roman" w:eastAsia="Times New Roman" w:hAnsi="Times New Roman" w:cs="Times New Roman"/>
          <w:sz w:val="24"/>
          <w:szCs w:val="24"/>
        </w:rPr>
      </w:pPr>
    </w:p>
    <w:p w14:paraId="00000026" w14:textId="77777777" w:rsidR="00926950" w:rsidRDefault="00926950">
      <w:pPr>
        <w:spacing w:after="0" w:line="480" w:lineRule="auto"/>
        <w:rPr>
          <w:rFonts w:ascii="Times New Roman" w:eastAsia="Times New Roman" w:hAnsi="Times New Roman" w:cs="Times New Roman"/>
          <w:sz w:val="24"/>
          <w:szCs w:val="24"/>
        </w:rPr>
      </w:pPr>
    </w:p>
    <w:p w14:paraId="00000027" w14:textId="77777777" w:rsidR="00926950" w:rsidRDefault="00926950">
      <w:pPr>
        <w:spacing w:after="0" w:line="480" w:lineRule="auto"/>
        <w:rPr>
          <w:rFonts w:ascii="Times New Roman" w:eastAsia="Times New Roman" w:hAnsi="Times New Roman" w:cs="Times New Roman"/>
          <w:sz w:val="24"/>
          <w:szCs w:val="24"/>
        </w:rPr>
      </w:pPr>
    </w:p>
    <w:p w14:paraId="00000028" w14:textId="77777777" w:rsidR="00926950" w:rsidRDefault="00926950">
      <w:pPr>
        <w:spacing w:after="0" w:line="480" w:lineRule="auto"/>
        <w:rPr>
          <w:rFonts w:ascii="Times New Roman" w:eastAsia="Times New Roman" w:hAnsi="Times New Roman" w:cs="Times New Roman"/>
          <w:sz w:val="24"/>
          <w:szCs w:val="24"/>
        </w:rPr>
      </w:pPr>
    </w:p>
    <w:p w14:paraId="00000029" w14:textId="77777777" w:rsidR="00926950" w:rsidRDefault="00926950">
      <w:pPr>
        <w:spacing w:after="0" w:line="480" w:lineRule="auto"/>
        <w:rPr>
          <w:rFonts w:ascii="Times New Roman" w:eastAsia="Times New Roman" w:hAnsi="Times New Roman" w:cs="Times New Roman"/>
          <w:sz w:val="24"/>
          <w:szCs w:val="24"/>
        </w:rPr>
      </w:pPr>
    </w:p>
    <w:p w14:paraId="0000002A" w14:textId="77777777" w:rsidR="00926950" w:rsidRDefault="00926950">
      <w:pPr>
        <w:spacing w:after="0" w:line="480" w:lineRule="auto"/>
        <w:rPr>
          <w:rFonts w:ascii="Times New Roman" w:eastAsia="Times New Roman" w:hAnsi="Times New Roman" w:cs="Times New Roman"/>
          <w:sz w:val="24"/>
          <w:szCs w:val="24"/>
        </w:rPr>
      </w:pPr>
    </w:p>
    <w:p w14:paraId="0000002B" w14:textId="77777777" w:rsidR="00926950" w:rsidRDefault="00926950">
      <w:pPr>
        <w:spacing w:after="0" w:line="480" w:lineRule="auto"/>
        <w:rPr>
          <w:rFonts w:ascii="Times New Roman" w:eastAsia="Times New Roman" w:hAnsi="Times New Roman" w:cs="Times New Roman"/>
          <w:sz w:val="24"/>
          <w:szCs w:val="24"/>
        </w:rPr>
      </w:pPr>
    </w:p>
    <w:p w14:paraId="0000002C" w14:textId="77777777" w:rsidR="00926950" w:rsidRDefault="00926950">
      <w:pPr>
        <w:spacing w:after="0" w:line="480" w:lineRule="auto"/>
        <w:rPr>
          <w:rFonts w:ascii="Times New Roman" w:eastAsia="Times New Roman" w:hAnsi="Times New Roman" w:cs="Times New Roman"/>
          <w:sz w:val="24"/>
          <w:szCs w:val="24"/>
        </w:rPr>
      </w:pPr>
    </w:p>
    <w:p w14:paraId="0000002D" w14:textId="77777777" w:rsidR="00926950" w:rsidRDefault="00926950">
      <w:pPr>
        <w:spacing w:after="0" w:line="480" w:lineRule="auto"/>
        <w:rPr>
          <w:rFonts w:ascii="Times New Roman" w:eastAsia="Times New Roman" w:hAnsi="Times New Roman" w:cs="Times New Roman"/>
          <w:sz w:val="24"/>
          <w:szCs w:val="24"/>
        </w:rPr>
      </w:pPr>
    </w:p>
    <w:p w14:paraId="0000002E" w14:textId="77777777" w:rsidR="00926950" w:rsidRDefault="00926950">
      <w:pPr>
        <w:spacing w:after="0" w:line="480" w:lineRule="auto"/>
        <w:rPr>
          <w:rFonts w:ascii="Times New Roman" w:eastAsia="Times New Roman" w:hAnsi="Times New Roman" w:cs="Times New Roman"/>
          <w:sz w:val="24"/>
          <w:szCs w:val="24"/>
        </w:rPr>
      </w:pPr>
    </w:p>
    <w:p w14:paraId="0000002F" w14:textId="77777777" w:rsidR="00926950" w:rsidRDefault="00926950">
      <w:pPr>
        <w:spacing w:after="0" w:line="480" w:lineRule="auto"/>
        <w:rPr>
          <w:rFonts w:ascii="Times New Roman" w:eastAsia="Times New Roman" w:hAnsi="Times New Roman" w:cs="Times New Roman"/>
          <w:sz w:val="24"/>
          <w:szCs w:val="24"/>
        </w:rPr>
      </w:pPr>
    </w:p>
    <w:p w14:paraId="00000030" w14:textId="77777777" w:rsidR="00926950" w:rsidRDefault="00926950">
      <w:pPr>
        <w:spacing w:after="0" w:line="480" w:lineRule="auto"/>
        <w:rPr>
          <w:rFonts w:ascii="Times New Roman" w:eastAsia="Times New Roman" w:hAnsi="Times New Roman" w:cs="Times New Roman"/>
          <w:sz w:val="24"/>
          <w:szCs w:val="24"/>
        </w:rPr>
      </w:pPr>
    </w:p>
    <w:p w14:paraId="00000031" w14:textId="77777777" w:rsidR="00926950" w:rsidRDefault="00926950">
      <w:pPr>
        <w:spacing w:after="0" w:line="480" w:lineRule="auto"/>
        <w:rPr>
          <w:rFonts w:ascii="Times New Roman" w:eastAsia="Times New Roman" w:hAnsi="Times New Roman" w:cs="Times New Roman"/>
          <w:sz w:val="24"/>
          <w:szCs w:val="24"/>
        </w:rPr>
      </w:pPr>
    </w:p>
    <w:p w14:paraId="00000032" w14:textId="77777777" w:rsidR="00926950" w:rsidRDefault="00926950">
      <w:pPr>
        <w:spacing w:after="0" w:line="480" w:lineRule="auto"/>
        <w:rPr>
          <w:rFonts w:ascii="Times New Roman" w:eastAsia="Times New Roman" w:hAnsi="Times New Roman" w:cs="Times New Roman"/>
          <w:sz w:val="24"/>
          <w:szCs w:val="24"/>
        </w:rPr>
      </w:pPr>
    </w:p>
    <w:p w14:paraId="00000033" w14:textId="2388C9D1" w:rsidR="00926950" w:rsidRDefault="00000000" w:rsidP="00F01DED">
      <w:pPr>
        <w:pStyle w:val="Heading1"/>
        <w:spacing w:after="0" w:line="480" w:lineRule="auto"/>
        <w:jc w:val="center"/>
        <w:rPr>
          <w:rFonts w:ascii="Times New Roman" w:eastAsia="Times New Roman" w:hAnsi="Times New Roman" w:cs="Times New Roman"/>
          <w:sz w:val="30"/>
          <w:szCs w:val="30"/>
        </w:rPr>
      </w:pPr>
      <w:bookmarkStart w:id="0" w:name="_heading=h.198s49elpa73" w:colFirst="0" w:colLast="0"/>
      <w:bookmarkEnd w:id="0"/>
      <w:r>
        <w:rPr>
          <w:rFonts w:ascii="Times New Roman" w:eastAsia="Times New Roman" w:hAnsi="Times New Roman" w:cs="Times New Roman"/>
          <w:sz w:val="28"/>
          <w:szCs w:val="28"/>
        </w:rPr>
        <w:t>Introduction</w:t>
      </w:r>
    </w:p>
    <w:p w14:paraId="00000034"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financial management (IFM) remains one of the crucial topics affecting multinationals. A company such as Apple Inc runs operations in different countries and continents and must always be on the lookout for the complex market dynamics and resultant pitfalls. In this report, the focus has been on the company’s dividend policy, Efficient Market Hypothesis (EMH), and project evaluation. The report provides an assessment and evaluation of the decisions the multinationals have implemented against the main theories under international financial management. </w:t>
      </w:r>
    </w:p>
    <w:p w14:paraId="00000035" w14:textId="77777777" w:rsidR="00926950" w:rsidRDefault="00926950" w:rsidP="00F01DED">
      <w:pPr>
        <w:spacing w:after="0" w:line="480" w:lineRule="auto"/>
        <w:ind w:firstLine="720"/>
        <w:jc w:val="both"/>
        <w:rPr>
          <w:rFonts w:ascii="Times New Roman" w:eastAsia="Times New Roman" w:hAnsi="Times New Roman" w:cs="Times New Roman"/>
          <w:sz w:val="24"/>
          <w:szCs w:val="24"/>
        </w:rPr>
      </w:pPr>
    </w:p>
    <w:p w14:paraId="00000036" w14:textId="77777777" w:rsidR="00926950" w:rsidRDefault="00000000" w:rsidP="00F01DED">
      <w:pPr>
        <w:pStyle w:val="Heading1"/>
        <w:spacing w:after="0" w:line="480" w:lineRule="auto"/>
        <w:jc w:val="center"/>
        <w:rPr>
          <w:rFonts w:ascii="Times New Roman" w:eastAsia="Times New Roman" w:hAnsi="Times New Roman" w:cs="Times New Roman"/>
          <w:sz w:val="28"/>
          <w:szCs w:val="28"/>
        </w:rPr>
      </w:pPr>
      <w:bookmarkStart w:id="1" w:name="_heading=h.e358pzhb25ks" w:colFirst="0" w:colLast="0"/>
      <w:bookmarkEnd w:id="1"/>
      <w:r>
        <w:rPr>
          <w:rFonts w:ascii="Times New Roman" w:eastAsia="Times New Roman" w:hAnsi="Times New Roman" w:cs="Times New Roman"/>
          <w:sz w:val="28"/>
          <w:szCs w:val="28"/>
        </w:rPr>
        <w:t>Apple Inc’s Dividend Distribution Policy</w:t>
      </w:r>
    </w:p>
    <w:p w14:paraId="00000037"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Ranked as the most innovative company worldwide, Apple Inc has defied the technology market trend to adopt an active dividend policy. It pays regular dividends. As of March 2023, </w:t>
      </w:r>
      <w:proofErr w:type="spellStart"/>
      <w:r>
        <w:rPr>
          <w:rFonts w:ascii="Times New Roman" w:eastAsia="Times New Roman" w:hAnsi="Times New Roman" w:cs="Times New Roman"/>
          <w:sz w:val="24"/>
          <w:szCs w:val="24"/>
        </w:rPr>
        <w:t>IndMoney</w:t>
      </w:r>
      <w:proofErr w:type="spellEnd"/>
      <w:r>
        <w:rPr>
          <w:rFonts w:ascii="Times New Roman" w:eastAsia="Times New Roman" w:hAnsi="Times New Roman" w:cs="Times New Roman"/>
          <w:sz w:val="24"/>
          <w:szCs w:val="24"/>
        </w:rPr>
        <w:t xml:space="preserve"> (2023) notes that the share price stood at $155.85 with a $2.42 trillion market capitalization. </w:t>
      </w:r>
      <w:proofErr w:type="spellStart"/>
      <w:r>
        <w:rPr>
          <w:rFonts w:ascii="Times New Roman" w:eastAsia="Times New Roman" w:hAnsi="Times New Roman" w:cs="Times New Roman"/>
          <w:sz w:val="24"/>
          <w:szCs w:val="24"/>
        </w:rPr>
        <w:t>IndMoney</w:t>
      </w:r>
      <w:proofErr w:type="spellEnd"/>
      <w:r>
        <w:rPr>
          <w:rFonts w:ascii="Times New Roman" w:eastAsia="Times New Roman" w:hAnsi="Times New Roman" w:cs="Times New Roman"/>
          <w:sz w:val="24"/>
          <w:szCs w:val="24"/>
        </w:rPr>
        <w:t xml:space="preserve"> (2023) further adds that the total declared dividend last year amounted to $1.13, which translates to 0.73% current dividend yield. In 2022 alone, the company declared dividends four times, one for each quarter. Apple has adopted this policy to keep the investors content. It is very aware that the shareholders can determine the desired dividend policy through their actions in the financial market. Shareholders can sell shares when they perceive dividend pay-out to be too low or purchase additional shares when pay-out is low. </w:t>
      </w:r>
      <w:proofErr w:type="spellStart"/>
      <w:r>
        <w:rPr>
          <w:rFonts w:ascii="Times New Roman" w:eastAsia="Times New Roman" w:hAnsi="Times New Roman" w:cs="Times New Roman"/>
          <w:sz w:val="24"/>
          <w:szCs w:val="24"/>
        </w:rPr>
        <w:t>Argandoña</w:t>
      </w:r>
      <w:proofErr w:type="spellEnd"/>
      <w:r>
        <w:rPr>
          <w:rFonts w:ascii="Times New Roman" w:eastAsia="Times New Roman" w:hAnsi="Times New Roman" w:cs="Times New Roman"/>
          <w:sz w:val="24"/>
          <w:szCs w:val="24"/>
        </w:rPr>
        <w:t xml:space="preserve"> (1998) states </w:t>
      </w:r>
      <w:r>
        <w:rPr>
          <w:rFonts w:ascii="Times New Roman" w:eastAsia="Times New Roman" w:hAnsi="Times New Roman" w:cs="Times New Roman"/>
          <w:sz w:val="24"/>
          <w:szCs w:val="24"/>
        </w:rPr>
        <w:lastRenderedPageBreak/>
        <w:t xml:space="preserve">that, under stakeholder theory, organisations have the responsibility to maximise profits and interests of the shareholders. For this reason, Apple has decided to adopt an active policy featuring frequent dividend declaration. To support this point, the market has been reeling from the effects of Covid-19. The uncertainty about the market’s future has influenced shareholders to prefer current dividends policy as opposed to capital gains. </w:t>
      </w:r>
    </w:p>
    <w:p w14:paraId="00000038"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decision to adopt this dividend policy arouses curiosity. The company ranks among the most profitable worldwide and does not need to resort to keeping the shareholders happy with frequent dividend pay-outs. However, there are several reasons underlying this decision. Glen (2013) states that dividend declaration comes against the backdrop of taxation. The adopted dividend policy is a well calculated move for Apple to exclude up to 70% of the dividend income from taxation. The company has made efforts to minimise taxation burden as opposed to the capital gain alternative. Madura (2008) adds that the tax burden emerges during dividend declaration or liquidation of investments. But this tax effect is only complementary to the main underlying point, which is financial signalling. </w:t>
      </w:r>
      <w:proofErr w:type="spellStart"/>
      <w:r>
        <w:rPr>
          <w:rFonts w:ascii="Times New Roman" w:eastAsia="Times New Roman" w:hAnsi="Times New Roman" w:cs="Times New Roman"/>
          <w:sz w:val="24"/>
          <w:szCs w:val="24"/>
        </w:rPr>
        <w:t>Bosse</w:t>
      </w:r>
      <w:proofErr w:type="spellEnd"/>
      <w:r>
        <w:rPr>
          <w:rFonts w:ascii="Times New Roman" w:eastAsia="Times New Roman" w:hAnsi="Times New Roman" w:cs="Times New Roman"/>
          <w:sz w:val="24"/>
          <w:szCs w:val="24"/>
        </w:rPr>
        <w:t xml:space="preserve"> and Phillips (2016) cites the agency theory where an organisation must act on behalf of its stakeholders to maximise their interest. Moving on, financial signalling explains that increase in dividend pay-out leads to a commensurate increase in excess stock return. Apple Inc’s shares rank among the best performing in the market. This has been occasioned by the constant dividend pay-out whereby the customers perceive the company to be relatively stable and seek to purchase the company’s shares. The excess demand for the company’s shares pushes the prices higher. </w:t>
      </w:r>
    </w:p>
    <w:p w14:paraId="00000039"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Apple’s dividend policy is not subject to capital impairment. The company boasts massive profitability and resources that a quarterly dividend declaration cannot harm its capital base. Its policy remains compliant to the undue retention of earnings rule. The company has sufficient </w:t>
      </w:r>
      <w:r>
        <w:rPr>
          <w:rFonts w:ascii="Times New Roman" w:eastAsia="Times New Roman" w:hAnsi="Times New Roman" w:cs="Times New Roman"/>
          <w:sz w:val="24"/>
          <w:szCs w:val="24"/>
        </w:rPr>
        <w:lastRenderedPageBreak/>
        <w:t xml:space="preserve">capital to finance its operations soon and does not need to retain additional earnings. In any case, the company remains </w:t>
      </w:r>
      <w:proofErr w:type="gramStart"/>
      <w:r>
        <w:rPr>
          <w:rFonts w:ascii="Times New Roman" w:eastAsia="Times New Roman" w:hAnsi="Times New Roman" w:cs="Times New Roman"/>
          <w:sz w:val="24"/>
          <w:szCs w:val="24"/>
        </w:rPr>
        <w:t>stable</w:t>
      </w:r>
      <w:proofErr w:type="gramEnd"/>
      <w:r>
        <w:rPr>
          <w:rFonts w:ascii="Times New Roman" w:eastAsia="Times New Roman" w:hAnsi="Times New Roman" w:cs="Times New Roman"/>
          <w:sz w:val="24"/>
          <w:szCs w:val="24"/>
        </w:rPr>
        <w:t xml:space="preserve"> and the growth of earnings supports such a policy. </w:t>
      </w:r>
    </w:p>
    <w:p w14:paraId="0000003A"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different perspective, Glen (2013) argues that the frequent dividend pay-out implies that the company becomes an unattractive investment destination for capital gain seekers. Such investors prefer wealth accumulation as opposed to frequent dividend declaration. </w:t>
      </w:r>
    </w:p>
    <w:p w14:paraId="0000003B" w14:textId="77777777" w:rsidR="00926950" w:rsidRDefault="00926950" w:rsidP="00F01DED">
      <w:pPr>
        <w:spacing w:after="0" w:line="480" w:lineRule="auto"/>
        <w:ind w:firstLine="720"/>
        <w:jc w:val="both"/>
        <w:rPr>
          <w:rFonts w:ascii="Times New Roman" w:eastAsia="Times New Roman" w:hAnsi="Times New Roman" w:cs="Times New Roman"/>
          <w:sz w:val="24"/>
          <w:szCs w:val="24"/>
        </w:rPr>
      </w:pPr>
    </w:p>
    <w:p w14:paraId="0000003C" w14:textId="77777777" w:rsidR="00926950" w:rsidRDefault="00000000" w:rsidP="00F01DED">
      <w:pPr>
        <w:pStyle w:val="Heading1"/>
        <w:spacing w:after="0" w:line="480" w:lineRule="auto"/>
        <w:jc w:val="center"/>
        <w:rPr>
          <w:rFonts w:ascii="Times New Roman" w:eastAsia="Times New Roman" w:hAnsi="Times New Roman" w:cs="Times New Roman"/>
          <w:sz w:val="28"/>
          <w:szCs w:val="28"/>
        </w:rPr>
      </w:pPr>
      <w:bookmarkStart w:id="2" w:name="_heading=h.nanl3nndvjnv" w:colFirst="0" w:colLast="0"/>
      <w:bookmarkEnd w:id="2"/>
      <w:r>
        <w:rPr>
          <w:rFonts w:ascii="Times New Roman" w:eastAsia="Times New Roman" w:hAnsi="Times New Roman" w:cs="Times New Roman"/>
          <w:sz w:val="28"/>
          <w:szCs w:val="28"/>
        </w:rPr>
        <w:t>The Efficient Market Hypothesis Theory in the Context of Apple Inc’s Operations</w:t>
      </w:r>
    </w:p>
    <w:p w14:paraId="0000003D"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Shadi</w:t>
      </w:r>
      <w:proofErr w:type="spellEnd"/>
      <w:r>
        <w:rPr>
          <w:rFonts w:ascii="Times New Roman" w:eastAsia="Times New Roman" w:hAnsi="Times New Roman" w:cs="Times New Roman"/>
          <w:sz w:val="24"/>
          <w:szCs w:val="24"/>
        </w:rPr>
        <w:t xml:space="preserve"> (2019) defines Efficient Market Hypothesis (EMH) as a theory explaining that the security prices are commensurate with all the information available in the public domain. As such, the prices of Apple Inc’s shares denote all the information shareholders possess in the market concerning the very same securities. Information remains a critical tool in the financial market in that it determines the movement in share prices with the emergence of new insights. For this reason, forecasts on favourable future performance will lead to favourable performance in the present and vice versa. Increased investors will be willing to acquire Apple’s shares when market experts predict favourable future performance. The reverse is true when the market experts predict dim market prospects for a particular company. Apple has been the beneficiary of favourable market prediction. The company boasts the most innovative products in its computers, smart phones, laptops, tablets, and recently smart watches. The market has always expected Apple to surpass competitors in terms of innovation thus pushing its share prices higher and higher. </w:t>
      </w:r>
    </w:p>
    <w:p w14:paraId="0000003E"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random walk theory suggests that share prices movements are independent and unpredictable. As mentioned, information remains the main factor influencing the movements in </w:t>
      </w:r>
      <w:r>
        <w:rPr>
          <w:rFonts w:ascii="Times New Roman" w:eastAsia="Times New Roman" w:hAnsi="Times New Roman" w:cs="Times New Roman"/>
          <w:sz w:val="24"/>
          <w:szCs w:val="24"/>
        </w:rPr>
        <w:lastRenderedPageBreak/>
        <w:t xml:space="preserve">share prices. The only catch is that new information is </w:t>
      </w:r>
      <w:proofErr w:type="gramStart"/>
      <w:r>
        <w:rPr>
          <w:rFonts w:ascii="Times New Roman" w:eastAsia="Times New Roman" w:hAnsi="Times New Roman" w:cs="Times New Roman"/>
          <w:sz w:val="24"/>
          <w:szCs w:val="24"/>
        </w:rPr>
        <w:t>unpredictable</w:t>
      </w:r>
      <w:proofErr w:type="gramEnd"/>
      <w:r>
        <w:rPr>
          <w:rFonts w:ascii="Times New Roman" w:eastAsia="Times New Roman" w:hAnsi="Times New Roman" w:cs="Times New Roman"/>
          <w:sz w:val="24"/>
          <w:szCs w:val="24"/>
        </w:rPr>
        <w:t xml:space="preserve"> and it is not always a guarantee the way new information will impact upon a given organisation’s share prices. This leads to the forms of efficient market hypothesis. In relation to Apple Inc, it exhibits a semi-strong form efficient market hypothesis. Madura (2016) explains this phenomenon by stating that the information available in the public domain has been used to calculate share prices. It is nearly impossible to spot either undervalued or overpriced securities in the market with fundamental or technical analyses. Therefore, only new information that is not available to the public can assist investors to reap returns higher than the current market rates. </w:t>
      </w:r>
    </w:p>
    <w:p w14:paraId="0000003F"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technology company, Apple is always undertaking new product development processes. Over the years, it has earned the reputation of churning out highly innovative products, some of which have gone ahead to pioneer new sectors such as the iPod, iPhone, iPad, and its recent line of smart watch upon their release. New information concerning product releases has been crucial in determining favourable market performance. Therefore, the company thrives on information scarcity. It always catches competitors flatfooted, which is also a strategy that has propelled it to market success and building an unassailable lead. </w:t>
      </w:r>
    </w:p>
    <w:p w14:paraId="00000040"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further support the semi-strong efficient market hypothesis, Apple has come under increased competition from worthy rivals such as Samsung. As a result, its share prices will also reflect the moves competitors make in the market in effort to match its level of value addition. This is also in line with the random walk theory where the emergence of new information will sway share prices in particular direction depending on the nature of information. </w:t>
      </w:r>
    </w:p>
    <w:p w14:paraId="00000041" w14:textId="77777777" w:rsidR="00926950" w:rsidRDefault="00926950" w:rsidP="00F01DED">
      <w:pPr>
        <w:spacing w:after="0" w:line="480" w:lineRule="auto"/>
        <w:ind w:firstLine="720"/>
        <w:jc w:val="both"/>
        <w:rPr>
          <w:rFonts w:ascii="Times New Roman" w:eastAsia="Times New Roman" w:hAnsi="Times New Roman" w:cs="Times New Roman"/>
          <w:sz w:val="24"/>
          <w:szCs w:val="24"/>
        </w:rPr>
      </w:pPr>
    </w:p>
    <w:p w14:paraId="00000042" w14:textId="77777777" w:rsidR="00926950" w:rsidRDefault="00000000" w:rsidP="00F01DED">
      <w:pPr>
        <w:pStyle w:val="Heading1"/>
        <w:spacing w:after="0" w:line="480" w:lineRule="auto"/>
        <w:jc w:val="center"/>
        <w:rPr>
          <w:rFonts w:ascii="Times New Roman" w:eastAsia="Times New Roman" w:hAnsi="Times New Roman" w:cs="Times New Roman"/>
          <w:sz w:val="28"/>
          <w:szCs w:val="28"/>
        </w:rPr>
      </w:pPr>
      <w:bookmarkStart w:id="3" w:name="_heading=h.cafko7qx8wjs" w:colFirst="0" w:colLast="0"/>
      <w:bookmarkEnd w:id="3"/>
      <w:r>
        <w:rPr>
          <w:rFonts w:ascii="Times New Roman" w:eastAsia="Times New Roman" w:hAnsi="Times New Roman" w:cs="Times New Roman"/>
          <w:sz w:val="28"/>
          <w:szCs w:val="28"/>
        </w:rPr>
        <w:lastRenderedPageBreak/>
        <w:t>Apple Inc’s Methods of Appraising Projects</w:t>
      </w:r>
    </w:p>
    <w:p w14:paraId="00000043"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 many other multinationals, Apple Inc relies on the Net Present Value (NPV) in project appraisals. This is a discounting method where the organisation considers the time value of money in the project evaluation process. Glen (2013) argues that the method involves calculating present value of cash flows emanating from an investment with the cost of capital as the discounting rate. Considering the value for money is critical since it changes with time. Money is subject to inflation, balance of payment, and GDP all which could have a negative impact on the purchasing power eventually. Glen (2013) also adds that this method calculates the present value of future cash flows to aid in the decision-making process. The financial managers will have to forecast the cash flows from a given project and calculate their present values. Afterward, this information will be critical to ascertain whether to proceed with the project or not. </w:t>
      </w:r>
    </w:p>
    <w:p w14:paraId="00000044"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formula for calculating present value PV is future value FV multiplied by the discounting rate (1/(1+</w:t>
      </w:r>
      <w:proofErr w:type="gramStart"/>
      <w:r>
        <w:rPr>
          <w:rFonts w:ascii="Times New Roman" w:eastAsia="Times New Roman" w:hAnsi="Times New Roman" w:cs="Times New Roman"/>
          <w:sz w:val="24"/>
          <w:szCs w:val="24"/>
        </w:rPr>
        <w:t>r)n</w:t>
      </w:r>
      <w:proofErr w:type="gramEnd"/>
      <w:r>
        <w:rPr>
          <w:rFonts w:ascii="Times New Roman" w:eastAsia="Times New Roman" w:hAnsi="Times New Roman" w:cs="Times New Roman"/>
          <w:sz w:val="24"/>
          <w:szCs w:val="24"/>
        </w:rPr>
        <w:t>)</w:t>
      </w:r>
    </w:p>
    <w:p w14:paraId="00000045" w14:textId="77777777" w:rsidR="00926950" w:rsidRDefault="00000000" w:rsidP="00F01D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PV = FV (1/(1+</w:t>
      </w:r>
      <w:proofErr w:type="gramStart"/>
      <w:r>
        <w:rPr>
          <w:rFonts w:ascii="Times New Roman" w:eastAsia="Times New Roman" w:hAnsi="Times New Roman" w:cs="Times New Roman"/>
          <w:sz w:val="24"/>
          <w:szCs w:val="24"/>
        </w:rPr>
        <w:t>r)n</w:t>
      </w:r>
      <w:proofErr w:type="gramEnd"/>
      <w:r>
        <w:rPr>
          <w:rFonts w:ascii="Times New Roman" w:eastAsia="Times New Roman" w:hAnsi="Times New Roman" w:cs="Times New Roman"/>
          <w:sz w:val="24"/>
          <w:szCs w:val="24"/>
        </w:rPr>
        <w:t>)</w:t>
      </w:r>
    </w:p>
    <w:p w14:paraId="00000046" w14:textId="77777777" w:rsidR="00926950" w:rsidRDefault="00000000" w:rsidP="00F01D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Where r=interest rate whereas n=number of years. </w:t>
      </w:r>
    </w:p>
    <w:p w14:paraId="00000047" w14:textId="77777777" w:rsidR="00926950" w:rsidRDefault="00000000" w:rsidP="00F01D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Before embarking upon a given project, the financial manager at Apple will consider the project along the net present value terms. They will calculate the NPV from the formula based upon the projected cash flows. The criteria for accepting a </w:t>
      </w:r>
      <w:proofErr w:type="gramStart"/>
      <w:r>
        <w:rPr>
          <w:rFonts w:ascii="Times New Roman" w:eastAsia="Times New Roman" w:hAnsi="Times New Roman" w:cs="Times New Roman"/>
          <w:sz w:val="24"/>
          <w:szCs w:val="24"/>
        </w:rPr>
        <w:t>project rests</w:t>
      </w:r>
      <w:proofErr w:type="gramEnd"/>
      <w:r>
        <w:rPr>
          <w:rFonts w:ascii="Times New Roman" w:eastAsia="Times New Roman" w:hAnsi="Times New Roman" w:cs="Times New Roman"/>
          <w:sz w:val="24"/>
          <w:szCs w:val="24"/>
        </w:rPr>
        <w:t xml:space="preserve"> with the value of the NPV. The rule is that the manager accepts projects with NPV values that are greater than zero. Those with NPV lower than zero imply that the investment is not worth since the projected future value of cash flows goes below the current investment outlay implying losses. Furthermore, Abreu, Cunha, and Barlow (2015, add that social responsibility could also be insightful in determining which projects to pursue within a given society and context. Still on this matter, Apple might be </w:t>
      </w:r>
      <w:r>
        <w:rPr>
          <w:rFonts w:ascii="Times New Roman" w:eastAsia="Times New Roman" w:hAnsi="Times New Roman" w:cs="Times New Roman"/>
          <w:sz w:val="24"/>
          <w:szCs w:val="24"/>
        </w:rPr>
        <w:lastRenderedPageBreak/>
        <w:t xml:space="preserve">torn between several investment projects. In other cases, the projects might have NPV values greater than zero. Therefore, in this case, the solution will be to settle upon the project with the highest NPV. </w:t>
      </w:r>
    </w:p>
    <w:p w14:paraId="00000048"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NPV method comes with numerous advantages. It relies on cash flow which is more reliable than earnings. As mentioned, it incorporates the time value of money which is critical for a multinational due to the project longevity associated with such entities. </w:t>
      </w:r>
    </w:p>
    <w:p w14:paraId="00000049" w14:textId="77777777" w:rsidR="00926950" w:rsidRDefault="00926950" w:rsidP="00F01DED">
      <w:pPr>
        <w:spacing w:after="0" w:line="480" w:lineRule="auto"/>
        <w:ind w:firstLine="720"/>
        <w:jc w:val="both"/>
        <w:rPr>
          <w:rFonts w:ascii="Times New Roman" w:eastAsia="Times New Roman" w:hAnsi="Times New Roman" w:cs="Times New Roman"/>
          <w:sz w:val="24"/>
          <w:szCs w:val="24"/>
        </w:rPr>
      </w:pPr>
    </w:p>
    <w:p w14:paraId="0000004A" w14:textId="05A4A147" w:rsidR="00926950" w:rsidRDefault="00000000" w:rsidP="00F01DED">
      <w:pPr>
        <w:pStyle w:val="Heading1"/>
        <w:spacing w:after="0" w:line="480" w:lineRule="auto"/>
        <w:jc w:val="center"/>
        <w:rPr>
          <w:rFonts w:ascii="Times New Roman" w:eastAsia="Times New Roman" w:hAnsi="Times New Roman" w:cs="Times New Roman"/>
          <w:sz w:val="28"/>
          <w:szCs w:val="28"/>
        </w:rPr>
      </w:pPr>
      <w:bookmarkStart w:id="4" w:name="_heading=h.eeqcxgdw9vme" w:colFirst="0" w:colLast="0"/>
      <w:bookmarkEnd w:id="4"/>
      <w:r>
        <w:rPr>
          <w:rFonts w:ascii="Times New Roman" w:eastAsia="Times New Roman" w:hAnsi="Times New Roman" w:cs="Times New Roman"/>
          <w:sz w:val="28"/>
          <w:szCs w:val="28"/>
        </w:rPr>
        <w:t>Conclusion</w:t>
      </w:r>
    </w:p>
    <w:p w14:paraId="0000004B" w14:textId="77777777" w:rsidR="00926950" w:rsidRDefault="00000000" w:rsidP="00F01DED">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Inc has implemented well formulated decisions concerning the dividend policy, Efficient Market Hypothesis (EMH), and project evaluation. The company relies on an active dividend policy with frequent dividend declaration to keep the shareholder’s content. The semi-strong efficient market hypothesis implies that Apple shares remain susceptible to price fluctuation with the emergence of new information. Therefore, it must make adequate plans to shield the shares from negative fluctuation. Finally, Apple also relies on NPV for project valuation to consider time value for money during investment decisions. </w:t>
      </w:r>
    </w:p>
    <w:p w14:paraId="0000004C" w14:textId="77777777" w:rsidR="00926950" w:rsidRDefault="00926950">
      <w:pPr>
        <w:spacing w:after="0" w:line="480" w:lineRule="auto"/>
        <w:rPr>
          <w:rFonts w:ascii="Times New Roman" w:eastAsia="Times New Roman" w:hAnsi="Times New Roman" w:cs="Times New Roman"/>
          <w:sz w:val="24"/>
          <w:szCs w:val="24"/>
        </w:rPr>
      </w:pPr>
    </w:p>
    <w:p w14:paraId="0000004D" w14:textId="77777777" w:rsidR="00926950" w:rsidRDefault="00926950">
      <w:pPr>
        <w:spacing w:after="0" w:line="480" w:lineRule="auto"/>
        <w:rPr>
          <w:rFonts w:ascii="Times New Roman" w:eastAsia="Times New Roman" w:hAnsi="Times New Roman" w:cs="Times New Roman"/>
          <w:sz w:val="24"/>
          <w:szCs w:val="24"/>
        </w:rPr>
      </w:pPr>
    </w:p>
    <w:p w14:paraId="0000004E" w14:textId="77777777" w:rsidR="00926950" w:rsidRDefault="00926950">
      <w:pPr>
        <w:spacing w:after="0" w:line="480" w:lineRule="auto"/>
        <w:rPr>
          <w:rFonts w:ascii="Times New Roman" w:eastAsia="Times New Roman" w:hAnsi="Times New Roman" w:cs="Times New Roman"/>
          <w:sz w:val="24"/>
          <w:szCs w:val="24"/>
        </w:rPr>
      </w:pPr>
    </w:p>
    <w:p w14:paraId="0000004F" w14:textId="77777777" w:rsidR="00926950" w:rsidRDefault="00926950">
      <w:pPr>
        <w:spacing w:after="0" w:line="480" w:lineRule="auto"/>
        <w:rPr>
          <w:rFonts w:ascii="Times New Roman" w:eastAsia="Times New Roman" w:hAnsi="Times New Roman" w:cs="Times New Roman"/>
          <w:sz w:val="24"/>
          <w:szCs w:val="24"/>
        </w:rPr>
      </w:pPr>
    </w:p>
    <w:p w14:paraId="00000050" w14:textId="77777777" w:rsidR="00926950" w:rsidRDefault="00926950">
      <w:pPr>
        <w:spacing w:after="0" w:line="480" w:lineRule="auto"/>
        <w:rPr>
          <w:rFonts w:ascii="Times New Roman" w:eastAsia="Times New Roman" w:hAnsi="Times New Roman" w:cs="Times New Roman"/>
          <w:sz w:val="24"/>
          <w:szCs w:val="24"/>
        </w:rPr>
      </w:pPr>
    </w:p>
    <w:p w14:paraId="00000051" w14:textId="77777777" w:rsidR="00926950" w:rsidRDefault="00926950">
      <w:pPr>
        <w:spacing w:after="0" w:line="480" w:lineRule="auto"/>
        <w:rPr>
          <w:rFonts w:ascii="Times New Roman" w:eastAsia="Times New Roman" w:hAnsi="Times New Roman" w:cs="Times New Roman"/>
          <w:sz w:val="24"/>
          <w:szCs w:val="24"/>
        </w:rPr>
      </w:pPr>
    </w:p>
    <w:p w14:paraId="00000052" w14:textId="77777777" w:rsidR="00926950" w:rsidRDefault="00926950">
      <w:pPr>
        <w:spacing w:after="0" w:line="480" w:lineRule="auto"/>
        <w:rPr>
          <w:rFonts w:ascii="Times New Roman" w:eastAsia="Times New Roman" w:hAnsi="Times New Roman" w:cs="Times New Roman"/>
          <w:sz w:val="24"/>
          <w:szCs w:val="24"/>
        </w:rPr>
      </w:pPr>
    </w:p>
    <w:p w14:paraId="00000053" w14:textId="7A0F4054" w:rsidR="00926950" w:rsidRDefault="00000000" w:rsidP="00F01DED">
      <w:pPr>
        <w:pStyle w:val="Heading1"/>
        <w:spacing w:after="0" w:line="480" w:lineRule="auto"/>
        <w:jc w:val="center"/>
        <w:rPr>
          <w:rFonts w:ascii="Times New Roman" w:eastAsia="Times New Roman" w:hAnsi="Times New Roman" w:cs="Times New Roman"/>
          <w:sz w:val="28"/>
          <w:szCs w:val="28"/>
        </w:rPr>
      </w:pPr>
      <w:bookmarkStart w:id="5" w:name="_heading=h.ocezdtisg878" w:colFirst="0" w:colLast="0"/>
      <w:bookmarkEnd w:id="5"/>
      <w:r>
        <w:rPr>
          <w:rFonts w:ascii="Times New Roman" w:eastAsia="Times New Roman" w:hAnsi="Times New Roman" w:cs="Times New Roman"/>
          <w:sz w:val="28"/>
          <w:szCs w:val="28"/>
        </w:rPr>
        <w:lastRenderedPageBreak/>
        <w:t>References List</w:t>
      </w:r>
    </w:p>
    <w:p w14:paraId="00000054" w14:textId="77777777" w:rsidR="00926950" w:rsidRDefault="00000000" w:rsidP="00F01DED">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Abreu, M.C.S.D., Cunha, L.T.D. and Barlow, C.Y., 2015. Institutional dynamics and organizations affecting the adoption of sustainable development in the U </w:t>
      </w:r>
      <w:proofErr w:type="spellStart"/>
      <w:r>
        <w:rPr>
          <w:rFonts w:ascii="Times New Roman" w:eastAsia="Times New Roman" w:hAnsi="Times New Roman" w:cs="Times New Roman"/>
          <w:sz w:val="24"/>
          <w:szCs w:val="24"/>
        </w:rPr>
        <w:t>nited</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ingdom</w:t>
      </w:r>
      <w:proofErr w:type="spellEnd"/>
      <w:r>
        <w:rPr>
          <w:rFonts w:ascii="Times New Roman" w:eastAsia="Times New Roman" w:hAnsi="Times New Roman" w:cs="Times New Roman"/>
          <w:sz w:val="24"/>
          <w:szCs w:val="24"/>
        </w:rPr>
        <w:t xml:space="preserve"> and B </w:t>
      </w:r>
      <w:proofErr w:type="spellStart"/>
      <w:r>
        <w:rPr>
          <w:rFonts w:ascii="Times New Roman" w:eastAsia="Times New Roman" w:hAnsi="Times New Roman" w:cs="Times New Roman"/>
          <w:sz w:val="24"/>
          <w:szCs w:val="24"/>
        </w:rPr>
        <w:t>razil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Business Ethics: A European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(1), pp.73-90.</w:t>
      </w:r>
    </w:p>
    <w:p w14:paraId="00000055" w14:textId="77777777" w:rsidR="00926950" w:rsidRDefault="00000000" w:rsidP="00F01DED">
      <w:pPr>
        <w:spacing w:after="0" w:line="48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Argandoña</w:t>
      </w:r>
      <w:proofErr w:type="spellEnd"/>
      <w:r>
        <w:rPr>
          <w:rFonts w:ascii="Times New Roman" w:eastAsia="Times New Roman" w:hAnsi="Times New Roman" w:cs="Times New Roman"/>
          <w:sz w:val="24"/>
          <w:szCs w:val="24"/>
        </w:rPr>
        <w:t xml:space="preserve">, A., 1998. The stakeholder theory and the common good. </w:t>
      </w:r>
      <w:r>
        <w:rPr>
          <w:rFonts w:ascii="Times New Roman" w:eastAsia="Times New Roman" w:hAnsi="Times New Roman" w:cs="Times New Roman"/>
          <w:i/>
          <w:sz w:val="24"/>
          <w:szCs w:val="24"/>
        </w:rPr>
        <w:t>Journal of business ethics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 pp.1093-1102.</w:t>
      </w:r>
    </w:p>
    <w:p w14:paraId="00000056" w14:textId="77777777" w:rsidR="00926950" w:rsidRDefault="00000000" w:rsidP="00F01DED">
      <w:pPr>
        <w:spacing w:after="0" w:line="48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Bosse</w:t>
      </w:r>
      <w:proofErr w:type="spellEnd"/>
      <w:r>
        <w:rPr>
          <w:rFonts w:ascii="Times New Roman" w:eastAsia="Times New Roman" w:hAnsi="Times New Roman" w:cs="Times New Roman"/>
          <w:sz w:val="24"/>
          <w:szCs w:val="24"/>
        </w:rPr>
        <w:t xml:space="preserve">, D.A. and Phillips, R.A., 2016. Agency theory and bounded self-interest. </w:t>
      </w:r>
      <w:r>
        <w:rPr>
          <w:rFonts w:ascii="Times New Roman" w:eastAsia="Times New Roman" w:hAnsi="Times New Roman" w:cs="Times New Roman"/>
          <w:i/>
          <w:sz w:val="24"/>
          <w:szCs w:val="24"/>
        </w:rPr>
        <w:t>Academy of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41</w:t>
      </w:r>
      <w:r>
        <w:rPr>
          <w:rFonts w:ascii="Times New Roman" w:eastAsia="Times New Roman" w:hAnsi="Times New Roman" w:cs="Times New Roman"/>
          <w:sz w:val="24"/>
          <w:szCs w:val="24"/>
        </w:rPr>
        <w:t>(2), pp.276-297.</w:t>
      </w:r>
    </w:p>
    <w:p w14:paraId="00000057" w14:textId="77777777" w:rsidR="00926950" w:rsidRDefault="00000000" w:rsidP="00F01D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Glen A. (2013a). Corporate Financial </w:t>
      </w:r>
      <w:proofErr w:type="gramStart"/>
      <w:r>
        <w:rPr>
          <w:rFonts w:ascii="Times New Roman" w:eastAsia="Times New Roman" w:hAnsi="Times New Roman" w:cs="Times New Roman"/>
          <w:sz w:val="24"/>
          <w:szCs w:val="24"/>
        </w:rPr>
        <w:t>Management .</w:t>
      </w:r>
      <w:proofErr w:type="gramEnd"/>
      <w:r>
        <w:rPr>
          <w:rFonts w:ascii="Times New Roman" w:eastAsia="Times New Roman" w:hAnsi="Times New Roman" w:cs="Times New Roman"/>
          <w:sz w:val="24"/>
          <w:szCs w:val="24"/>
        </w:rPr>
        <w:t xml:space="preserve"> Ft Prentice Hall, Harlow: Hoboken</w:t>
      </w:r>
    </w:p>
    <w:p w14:paraId="00000058" w14:textId="77777777" w:rsidR="00926950" w:rsidRDefault="00000000" w:rsidP="00F01DED">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Glen, A. (2013b). Essentials of CORPORATE FINANCIAL MANAGEMENT. Ft Prentice Hall, Harlow: Hoboken</w:t>
      </w:r>
    </w:p>
    <w:p w14:paraId="00000059" w14:textId="77777777" w:rsidR="00926950" w:rsidRDefault="00000000" w:rsidP="00F01DED">
      <w:pPr>
        <w:spacing w:after="0" w:line="48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IndMoney</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 xml:space="preserve">Apple, Inc. Dividend </w:t>
      </w:r>
      <w:proofErr w:type="gramStart"/>
      <w:r>
        <w:rPr>
          <w:rFonts w:ascii="Times New Roman" w:eastAsia="Times New Roman" w:hAnsi="Times New Roman" w:cs="Times New Roman"/>
          <w:i/>
          <w:sz w:val="24"/>
          <w:szCs w:val="24"/>
        </w:rPr>
        <w:t>2022 :</w:t>
      </w:r>
      <w:proofErr w:type="gramEnd"/>
      <w:r>
        <w:rPr>
          <w:rFonts w:ascii="Times New Roman" w:eastAsia="Times New Roman" w:hAnsi="Times New Roman" w:cs="Times New Roman"/>
          <w:i/>
          <w:sz w:val="24"/>
          <w:szCs w:val="24"/>
        </w:rPr>
        <w:t xml:space="preserve"> Should Apple, Inc. be a part of your dividend portfolio?</w:t>
      </w:r>
      <w:r>
        <w:rPr>
          <w:rFonts w:ascii="Times New Roman" w:eastAsia="Times New Roman" w:hAnsi="Times New Roman" w:cs="Times New Roman"/>
          <w:sz w:val="24"/>
          <w:szCs w:val="24"/>
        </w:rPr>
        <w:t xml:space="preserve"> [online] IND. Available at: https://www.indmoney.com/us-stocks/dividends/aapl-apple-inc-dividend [Accessed 18 Mar. 2023].</w:t>
      </w:r>
    </w:p>
    <w:p w14:paraId="0000005A" w14:textId="77777777" w:rsidR="00926950" w:rsidRDefault="00000000" w:rsidP="00F01DED">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Madura, J. (2008). International Financial Management, 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Edition. Thomson South-Western, Mason.  </w:t>
      </w:r>
    </w:p>
    <w:p w14:paraId="0000005B" w14:textId="77777777" w:rsidR="00926950" w:rsidRDefault="00000000" w:rsidP="00F01DED">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Madura, J. (2016). International Financial Management, 13</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Edition. Cengage Learning, Boston, MA. </w:t>
      </w:r>
    </w:p>
    <w:p w14:paraId="0000005C" w14:textId="77777777" w:rsidR="00926950" w:rsidRDefault="00000000" w:rsidP="00F01DED">
      <w:pPr>
        <w:spacing w:after="0" w:line="48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Shadi</w:t>
      </w:r>
      <w:proofErr w:type="spellEnd"/>
      <w:r>
        <w:rPr>
          <w:rFonts w:ascii="Times New Roman" w:eastAsia="Times New Roman" w:hAnsi="Times New Roman" w:cs="Times New Roman"/>
          <w:sz w:val="24"/>
          <w:szCs w:val="24"/>
        </w:rPr>
        <w:t xml:space="preserve">, O., 2019. FINANCIAL MARKET ANOMALIES: ARGUMENTS AGAINST EFFICIENT MARKET HYPOTHESIS. In </w:t>
      </w:r>
      <w:r>
        <w:rPr>
          <w:rFonts w:ascii="Times New Roman" w:eastAsia="Times New Roman" w:hAnsi="Times New Roman" w:cs="Times New Roman"/>
          <w:i/>
          <w:sz w:val="24"/>
          <w:szCs w:val="24"/>
        </w:rPr>
        <w:t>XXXII МЕЖДУНАРОДНЫЕ ПЛЕХАНОВСКИЕ ЧТЕНИЯ</w:t>
      </w:r>
      <w:r>
        <w:rPr>
          <w:rFonts w:ascii="Times New Roman" w:eastAsia="Times New Roman" w:hAnsi="Times New Roman" w:cs="Times New Roman"/>
          <w:sz w:val="24"/>
          <w:szCs w:val="24"/>
        </w:rPr>
        <w:t xml:space="preserve"> (pp. 114-118).</w:t>
      </w:r>
    </w:p>
    <w:p w14:paraId="0000005D" w14:textId="77777777" w:rsidR="00926950" w:rsidRDefault="00926950">
      <w:pPr>
        <w:spacing w:after="0" w:line="480" w:lineRule="auto"/>
        <w:rPr>
          <w:rFonts w:ascii="Times New Roman" w:eastAsia="Times New Roman" w:hAnsi="Times New Roman" w:cs="Times New Roman"/>
          <w:sz w:val="24"/>
          <w:szCs w:val="24"/>
        </w:rPr>
      </w:pPr>
    </w:p>
    <w:sectPr w:rsidR="00926950">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FB6F6" w14:textId="77777777" w:rsidR="00826B48" w:rsidRDefault="00826B48">
      <w:pPr>
        <w:spacing w:after="0" w:line="240" w:lineRule="auto"/>
      </w:pPr>
      <w:r>
        <w:separator/>
      </w:r>
    </w:p>
  </w:endnote>
  <w:endnote w:type="continuationSeparator" w:id="0">
    <w:p w14:paraId="3759E17C" w14:textId="77777777" w:rsidR="00826B48" w:rsidRDefault="00826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1C52D" w14:textId="77777777" w:rsidR="00826B48" w:rsidRDefault="00826B48">
      <w:pPr>
        <w:spacing w:after="0" w:line="240" w:lineRule="auto"/>
      </w:pPr>
      <w:r>
        <w:separator/>
      </w:r>
    </w:p>
  </w:footnote>
  <w:footnote w:type="continuationSeparator" w:id="0">
    <w:p w14:paraId="5CDACB24" w14:textId="77777777" w:rsidR="00826B48" w:rsidRDefault="00826B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E" w14:textId="47ABD702" w:rsidR="00926950"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01DED">
      <w:rPr>
        <w:noProof/>
        <w:color w:val="000000"/>
      </w:rPr>
      <w:t>1</w:t>
    </w:r>
    <w:r>
      <w:rPr>
        <w:color w:val="000000"/>
      </w:rPr>
      <w:fldChar w:fldCharType="end"/>
    </w:r>
  </w:p>
  <w:p w14:paraId="0000005F" w14:textId="77777777" w:rsidR="00926950" w:rsidRDefault="00926950">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950"/>
    <w:rsid w:val="002A01DC"/>
    <w:rsid w:val="00826B48"/>
    <w:rsid w:val="00926950"/>
    <w:rsid w:val="00F01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BB5EAC"/>
  <w15:docId w15:val="{3B532890-FC04-474B-88CB-B4E843FFE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BE1"/>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8915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15E5"/>
  </w:style>
  <w:style w:type="paragraph" w:styleId="Footer">
    <w:name w:val="footer"/>
    <w:basedOn w:val="Normal"/>
    <w:link w:val="FooterChar"/>
    <w:uiPriority w:val="99"/>
    <w:semiHidden/>
    <w:unhideWhenUsed/>
    <w:rsid w:val="008915E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915E5"/>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VRt1YFYeOtGpP7R0DsCJYj5OEZQ==">AMUW2mW+r8uG6xKZHf7j3X9Uh8iC48qK2c10wjtkdWS8IcKyW0sdFZxV6MbpjjdRnaLGKMiGa1EMibsAcg3Qen5o04mEQFQfDLQc8PLWyjETjgMN+TK2Cww0KiXZPPIFQHMHqnqFdxpj2e7QcOgB22kvYbi63NKNSjucxtjm8BreG5np2KI356QDD3WXH6Za1M+tbc27fQ43rbTNIJN8UTAHA33JoX4neWVI1HYiXwT2QK7u1rhoSvw=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1836</Words>
  <Characters>10471</Characters>
  <Application>Microsoft Office Word</Application>
  <DocSecurity>0</DocSecurity>
  <Lines>87</Lines>
  <Paragraphs>24</Paragraphs>
  <ScaleCrop>false</ScaleCrop>
  <Company/>
  <LinksUpToDate>false</LinksUpToDate>
  <CharactersWithSpaces>12283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Anton Zhivkov Mersinkov (2014039)</cp:lastModifiedBy>
  <cp:revision>3</cp:revision>
  <dcterms:created xsi:type="dcterms:W3CDTF">2023-03-19T04:13:00Z</dcterms:created>
  <dcterms:modified xsi:type="dcterms:W3CDTF">2023-04-20T20:32:00Z</dcterms:modified>
</cp:coreProperties>
</file>