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92392" w14:textId="77777777" w:rsidR="00C27AAA" w:rsidRPr="00C27AAA" w:rsidRDefault="00C27AAA" w:rsidP="00C27AAA">
      <w:pPr>
        <w:spacing w:after="0" w:line="360" w:lineRule="auto"/>
        <w:jc w:val="both"/>
        <w:rPr>
          <w:rFonts w:ascii="Arial" w:eastAsiaTheme="minorEastAsia" w:hAnsi="Arial" w:cs="Arial"/>
          <w:kern w:val="0"/>
          <w:sz w:val="32"/>
          <w:szCs w:val="32"/>
          <w:lang w:eastAsia="zh-CN"/>
          <w14:ligatures w14:val="none"/>
        </w:rPr>
      </w:pPr>
      <w:r w:rsidRPr="00C27AAA">
        <w:rPr>
          <w:rFonts w:ascii="Arial" w:eastAsiaTheme="minorEastAsia" w:hAnsi="Arial" w:cs="Arial"/>
          <w:kern w:val="0"/>
          <w:sz w:val="32"/>
          <w:szCs w:val="32"/>
          <w:lang w:eastAsia="zh-CN"/>
          <w14:ligatures w14:val="none"/>
        </w:rPr>
        <w:t>The role of Corporate social responsibility (CSR) in promoting sustainability within the hospitality industry</w:t>
      </w:r>
    </w:p>
    <w:p w14:paraId="55066810" w14:textId="77777777" w:rsidR="00C27AAA" w:rsidRPr="00C27AAA" w:rsidRDefault="00C27AAA" w:rsidP="00C27AAA">
      <w:pPr>
        <w:spacing w:after="0" w:line="360" w:lineRule="auto"/>
        <w:jc w:val="both"/>
        <w:rPr>
          <w:rFonts w:ascii="Arial" w:eastAsiaTheme="minorEastAsia" w:hAnsi="Arial" w:cs="Arial"/>
          <w:kern w:val="0"/>
          <w:sz w:val="32"/>
          <w:szCs w:val="32"/>
          <w:lang w:eastAsia="zh-CN"/>
          <w14:ligatures w14:val="none"/>
        </w:rPr>
      </w:pPr>
    </w:p>
    <w:p w14:paraId="71D30759" w14:textId="77777777" w:rsidR="00C27AAA" w:rsidRPr="00C27AAA" w:rsidRDefault="00C27AAA" w:rsidP="00C27AAA">
      <w:pPr>
        <w:spacing w:after="0" w:line="360" w:lineRule="auto"/>
        <w:jc w:val="both"/>
        <w:rPr>
          <w:rFonts w:ascii="Arial" w:eastAsiaTheme="minorEastAsia" w:hAnsi="Arial" w:cs="Arial"/>
          <w:kern w:val="0"/>
          <w:sz w:val="32"/>
          <w:szCs w:val="32"/>
          <w:lang w:eastAsia="zh-CN"/>
          <w14:ligatures w14:val="none"/>
        </w:rPr>
      </w:pPr>
    </w:p>
    <w:p w14:paraId="47CDE3DB" w14:textId="77777777" w:rsidR="00C27AAA" w:rsidRPr="00C27AAA" w:rsidRDefault="00C27AAA" w:rsidP="00C27AAA">
      <w:pPr>
        <w:shd w:val="clear" w:color="auto" w:fill="FFFFFF"/>
        <w:spacing w:after="100" w:afterAutospacing="1" w:line="240" w:lineRule="auto"/>
        <w:outlineLvl w:val="0"/>
        <w:rPr>
          <w:rFonts w:ascii="Arial" w:eastAsia="Times New Roman" w:hAnsi="Arial" w:cs="Arial"/>
          <w:b/>
          <w:bCs/>
          <w:color w:val="1D2125"/>
          <w:kern w:val="36"/>
          <w:sz w:val="32"/>
          <w:szCs w:val="32"/>
          <w:lang w:eastAsia="en-GB"/>
          <w14:ligatures w14:val="none"/>
        </w:rPr>
      </w:pPr>
    </w:p>
    <w:p w14:paraId="40AB3295" w14:textId="77777777" w:rsidR="00C27AAA" w:rsidRPr="00C27AAA" w:rsidRDefault="00C27AAA" w:rsidP="00C27AAA">
      <w:pPr>
        <w:shd w:val="clear" w:color="auto" w:fill="FFFFFF"/>
        <w:spacing w:after="100" w:afterAutospacing="1" w:line="240" w:lineRule="auto"/>
        <w:outlineLvl w:val="0"/>
        <w:rPr>
          <w:rFonts w:ascii="Arial" w:eastAsia="Times New Roman" w:hAnsi="Arial" w:cs="Arial"/>
          <w:b/>
          <w:bCs/>
          <w:color w:val="1D2125"/>
          <w:kern w:val="36"/>
          <w:sz w:val="32"/>
          <w:szCs w:val="32"/>
          <w:lang w:eastAsia="en-GB"/>
          <w14:ligatures w14:val="none"/>
        </w:rPr>
      </w:pPr>
    </w:p>
    <w:p w14:paraId="02C058CC" w14:textId="77777777" w:rsidR="00C27AAA" w:rsidRPr="00C27AAA" w:rsidRDefault="00C27AAA" w:rsidP="00C27AAA">
      <w:pPr>
        <w:shd w:val="clear" w:color="auto" w:fill="FFFFFF"/>
        <w:spacing w:after="100" w:afterAutospacing="1" w:line="240" w:lineRule="auto"/>
        <w:outlineLvl w:val="0"/>
        <w:rPr>
          <w:rFonts w:ascii="Arial" w:eastAsia="Times New Roman" w:hAnsi="Arial" w:cs="Arial"/>
          <w:b/>
          <w:bCs/>
          <w:color w:val="1D2125"/>
          <w:kern w:val="36"/>
          <w:sz w:val="32"/>
          <w:szCs w:val="32"/>
          <w:lang w:eastAsia="en-GB"/>
          <w14:ligatures w14:val="none"/>
        </w:rPr>
      </w:pPr>
    </w:p>
    <w:p w14:paraId="281B3558" w14:textId="77777777" w:rsidR="00C27AAA" w:rsidRPr="00C27AAA" w:rsidRDefault="00C27AAA" w:rsidP="00C27AAA">
      <w:pPr>
        <w:shd w:val="clear" w:color="auto" w:fill="FFFFFF"/>
        <w:spacing w:after="100" w:afterAutospacing="1" w:line="240" w:lineRule="auto"/>
        <w:outlineLvl w:val="0"/>
        <w:rPr>
          <w:rFonts w:ascii="Arial" w:eastAsia="Times New Roman" w:hAnsi="Arial" w:cs="Arial"/>
          <w:b/>
          <w:bCs/>
          <w:color w:val="1D2125"/>
          <w:kern w:val="36"/>
          <w:sz w:val="36"/>
          <w:szCs w:val="36"/>
          <w:lang w:eastAsia="en-GB"/>
          <w14:ligatures w14:val="none"/>
        </w:rPr>
      </w:pPr>
      <w:r w:rsidRPr="00C27AAA">
        <w:rPr>
          <w:rFonts w:ascii="Arial" w:eastAsia="Times New Roman" w:hAnsi="Arial" w:cs="Arial"/>
          <w:b/>
          <w:bCs/>
          <w:color w:val="1D2125"/>
          <w:kern w:val="36"/>
          <w:sz w:val="36"/>
          <w:szCs w:val="36"/>
          <w:lang w:eastAsia="en-GB"/>
          <w14:ligatures w14:val="none"/>
        </w:rPr>
        <w:t>Sustainable Hospitality &amp; Tourism Management (BMIH5006)</w:t>
      </w:r>
    </w:p>
    <w:p w14:paraId="36DA4365" w14:textId="77777777" w:rsidR="00C27AAA" w:rsidRPr="00C27AAA" w:rsidRDefault="00C27AAA" w:rsidP="00C27AAA">
      <w:pPr>
        <w:shd w:val="clear" w:color="auto" w:fill="FFFFFF"/>
        <w:spacing w:after="100" w:afterAutospacing="1" w:line="240" w:lineRule="auto"/>
        <w:outlineLvl w:val="0"/>
        <w:rPr>
          <w:rFonts w:ascii="Arial" w:eastAsia="Times New Roman" w:hAnsi="Arial" w:cs="Arial"/>
          <w:b/>
          <w:bCs/>
          <w:color w:val="1D2125"/>
          <w:kern w:val="36"/>
          <w:sz w:val="36"/>
          <w:szCs w:val="36"/>
          <w:lang w:eastAsia="en-GB"/>
          <w14:ligatures w14:val="none"/>
        </w:rPr>
      </w:pPr>
    </w:p>
    <w:p w14:paraId="6E583CAD" w14:textId="77777777" w:rsidR="00C27AAA" w:rsidRPr="00C27AAA" w:rsidRDefault="00C27AAA" w:rsidP="00C27AAA">
      <w:pPr>
        <w:shd w:val="clear" w:color="auto" w:fill="FFFFFF"/>
        <w:spacing w:after="100" w:afterAutospacing="1" w:line="240" w:lineRule="auto"/>
        <w:outlineLvl w:val="0"/>
        <w:rPr>
          <w:rFonts w:ascii="Arial" w:eastAsia="Times New Roman" w:hAnsi="Arial" w:cs="Arial"/>
          <w:b/>
          <w:bCs/>
          <w:color w:val="1D2125"/>
          <w:kern w:val="36"/>
          <w:sz w:val="32"/>
          <w:szCs w:val="32"/>
          <w:lang w:eastAsia="en-GB"/>
          <w14:ligatures w14:val="none"/>
        </w:rPr>
      </w:pPr>
    </w:p>
    <w:p w14:paraId="4A1CA186" w14:textId="77777777" w:rsidR="00C27AAA" w:rsidRPr="00C27AAA" w:rsidRDefault="00C27AAA" w:rsidP="00C27AAA">
      <w:pPr>
        <w:shd w:val="clear" w:color="auto" w:fill="FFFFFF"/>
        <w:spacing w:after="100" w:afterAutospacing="1" w:line="240" w:lineRule="auto"/>
        <w:outlineLvl w:val="0"/>
        <w:rPr>
          <w:rFonts w:ascii="Arial" w:eastAsia="Times New Roman" w:hAnsi="Arial" w:cs="Arial"/>
          <w:b/>
          <w:bCs/>
          <w:color w:val="1D2125"/>
          <w:kern w:val="36"/>
          <w:sz w:val="32"/>
          <w:szCs w:val="32"/>
          <w:lang w:eastAsia="en-GB"/>
          <w14:ligatures w14:val="none"/>
        </w:rPr>
      </w:pPr>
    </w:p>
    <w:p w14:paraId="476D6214" w14:textId="77777777" w:rsidR="00C27AAA" w:rsidRPr="00C27AAA" w:rsidRDefault="00C27AAA" w:rsidP="00C27AAA">
      <w:pPr>
        <w:shd w:val="clear" w:color="auto" w:fill="FFFFFF"/>
        <w:spacing w:after="100" w:afterAutospacing="1" w:line="240" w:lineRule="auto"/>
        <w:outlineLvl w:val="0"/>
        <w:rPr>
          <w:rFonts w:ascii="Arial" w:eastAsia="Times New Roman" w:hAnsi="Arial" w:cs="Arial"/>
          <w:b/>
          <w:bCs/>
          <w:color w:val="1D2125"/>
          <w:kern w:val="36"/>
          <w:sz w:val="32"/>
          <w:szCs w:val="32"/>
          <w:lang w:eastAsia="en-GB"/>
          <w14:ligatures w14:val="none"/>
        </w:rPr>
      </w:pPr>
    </w:p>
    <w:p w14:paraId="4A586F48" w14:textId="77777777" w:rsidR="00C27AAA" w:rsidRPr="00C27AAA" w:rsidRDefault="00C27AAA" w:rsidP="00C27AAA">
      <w:pPr>
        <w:shd w:val="clear" w:color="auto" w:fill="FFFFFF"/>
        <w:spacing w:after="100" w:afterAutospacing="1" w:line="240" w:lineRule="auto"/>
        <w:outlineLvl w:val="0"/>
        <w:rPr>
          <w:rFonts w:ascii="Arial" w:eastAsiaTheme="minorEastAsia" w:hAnsi="Arial" w:cs="Arial"/>
          <w:kern w:val="0"/>
          <w:sz w:val="32"/>
          <w:szCs w:val="32"/>
          <w:lang w:eastAsia="zh-CN"/>
          <w14:ligatures w14:val="none"/>
        </w:rPr>
      </w:pPr>
    </w:p>
    <w:p w14:paraId="3DB20B14" w14:textId="77777777" w:rsidR="00C27AAA" w:rsidRPr="00C27AAA" w:rsidRDefault="00C27AAA" w:rsidP="00C27AAA">
      <w:pPr>
        <w:shd w:val="clear" w:color="auto" w:fill="FFFFFF"/>
        <w:spacing w:after="100" w:afterAutospacing="1" w:line="240" w:lineRule="auto"/>
        <w:outlineLvl w:val="0"/>
        <w:rPr>
          <w:rFonts w:ascii="Arial" w:eastAsiaTheme="minorEastAsia" w:hAnsi="Arial" w:cs="Arial"/>
          <w:kern w:val="0"/>
          <w:sz w:val="32"/>
          <w:szCs w:val="32"/>
          <w:lang w:eastAsia="zh-CN"/>
          <w14:ligatures w14:val="none"/>
        </w:rPr>
      </w:pPr>
    </w:p>
    <w:p w14:paraId="725FC3A5" w14:textId="77777777" w:rsidR="00C27AAA" w:rsidRPr="00C27AAA" w:rsidRDefault="00C27AAA" w:rsidP="00C27AAA">
      <w:pPr>
        <w:shd w:val="clear" w:color="auto" w:fill="FFFFFF"/>
        <w:spacing w:after="100" w:afterAutospacing="1" w:line="240" w:lineRule="auto"/>
        <w:outlineLvl w:val="0"/>
        <w:rPr>
          <w:rFonts w:ascii="Arial" w:eastAsiaTheme="minorEastAsia" w:hAnsi="Arial" w:cs="Arial"/>
          <w:kern w:val="0"/>
          <w:sz w:val="32"/>
          <w:szCs w:val="32"/>
          <w:lang w:eastAsia="zh-CN"/>
          <w14:ligatures w14:val="none"/>
        </w:rPr>
      </w:pPr>
    </w:p>
    <w:p w14:paraId="5EE198C9" w14:textId="77777777" w:rsidR="00C27AAA" w:rsidRPr="00C27AAA" w:rsidRDefault="00C27AAA" w:rsidP="00C27AAA">
      <w:pPr>
        <w:shd w:val="clear" w:color="auto" w:fill="FFFFFF"/>
        <w:spacing w:after="100" w:afterAutospacing="1" w:line="240" w:lineRule="auto"/>
        <w:outlineLvl w:val="0"/>
        <w:rPr>
          <w:rFonts w:ascii="Arial" w:eastAsiaTheme="minorEastAsia" w:hAnsi="Arial" w:cs="Arial"/>
          <w:kern w:val="0"/>
          <w:sz w:val="32"/>
          <w:szCs w:val="32"/>
          <w:lang w:eastAsia="zh-CN"/>
          <w14:ligatures w14:val="none"/>
        </w:rPr>
      </w:pPr>
    </w:p>
    <w:p w14:paraId="0FAF3D00" w14:textId="77777777" w:rsidR="00C27AAA" w:rsidRPr="00C27AAA" w:rsidRDefault="00C27AAA" w:rsidP="00C27AAA">
      <w:pPr>
        <w:shd w:val="clear" w:color="auto" w:fill="FFFFFF"/>
        <w:spacing w:after="100" w:afterAutospacing="1" w:line="240" w:lineRule="auto"/>
        <w:outlineLvl w:val="0"/>
        <w:rPr>
          <w:rFonts w:ascii="Arial" w:eastAsiaTheme="minorEastAsia" w:hAnsi="Arial" w:cs="Arial"/>
          <w:kern w:val="0"/>
          <w:sz w:val="32"/>
          <w:szCs w:val="32"/>
          <w:lang w:eastAsia="zh-CN"/>
          <w14:ligatures w14:val="none"/>
        </w:rPr>
      </w:pPr>
      <w:r w:rsidRPr="00C27AAA">
        <w:rPr>
          <w:rFonts w:ascii="Arial" w:eastAsiaTheme="minorEastAsia" w:hAnsi="Arial" w:cs="Arial"/>
          <w:kern w:val="0"/>
          <w:sz w:val="32"/>
          <w:szCs w:val="32"/>
          <w:lang w:eastAsia="zh-CN"/>
          <w14:ligatures w14:val="none"/>
        </w:rPr>
        <w:t>GINA STEFANUTA -2120011</w:t>
      </w:r>
    </w:p>
    <w:p w14:paraId="50C3E4A4" w14:textId="77777777" w:rsidR="00C27AAA" w:rsidRPr="00C27AAA" w:rsidRDefault="00C27AAA" w:rsidP="00C27AAA">
      <w:pPr>
        <w:shd w:val="clear" w:color="auto" w:fill="FFFFFF"/>
        <w:spacing w:after="100" w:afterAutospacing="1" w:line="240" w:lineRule="auto"/>
        <w:outlineLvl w:val="0"/>
        <w:rPr>
          <w:rFonts w:ascii="Arial" w:eastAsiaTheme="minorEastAsia" w:hAnsi="Arial" w:cs="Arial"/>
          <w:kern w:val="0"/>
          <w:sz w:val="32"/>
          <w:szCs w:val="32"/>
          <w:lang w:eastAsia="zh-CN"/>
          <w14:ligatures w14:val="none"/>
        </w:rPr>
      </w:pPr>
      <w:r w:rsidRPr="00C27AAA">
        <w:rPr>
          <w:rFonts w:ascii="Arial" w:eastAsiaTheme="minorEastAsia" w:hAnsi="Arial" w:cs="Arial"/>
          <w:kern w:val="0"/>
          <w:sz w:val="32"/>
          <w:szCs w:val="32"/>
          <w:lang w:eastAsia="zh-CN"/>
          <w14:ligatures w14:val="none"/>
        </w:rPr>
        <w:t>LISA-MARIE BASSLER</w:t>
      </w:r>
    </w:p>
    <w:p w14:paraId="07755F2C" w14:textId="77777777" w:rsidR="00C27AAA" w:rsidRDefault="00C27AAA" w:rsidP="00C27AAA">
      <w:pPr>
        <w:shd w:val="clear" w:color="auto" w:fill="FFFFFF"/>
        <w:spacing w:after="100" w:afterAutospacing="1" w:line="240" w:lineRule="auto"/>
        <w:outlineLvl w:val="0"/>
        <w:rPr>
          <w:rFonts w:ascii="Arial" w:eastAsia="Times New Roman" w:hAnsi="Arial" w:cs="Arial"/>
          <w:b/>
          <w:bCs/>
          <w:color w:val="1D2125"/>
          <w:kern w:val="36"/>
          <w:sz w:val="32"/>
          <w:szCs w:val="32"/>
          <w:lang w:eastAsia="en-GB"/>
          <w14:ligatures w14:val="none"/>
        </w:rPr>
      </w:pPr>
      <w:r w:rsidRPr="00C27AAA">
        <w:rPr>
          <w:rFonts w:ascii="Arial" w:eastAsiaTheme="minorEastAsia" w:hAnsi="Arial" w:cs="Arial"/>
          <w:kern w:val="0"/>
          <w:sz w:val="32"/>
          <w:szCs w:val="32"/>
          <w:lang w:eastAsia="zh-CN"/>
          <w14:ligatures w14:val="none"/>
        </w:rPr>
        <w:t>WORD COUNT:1965</w:t>
      </w:r>
    </w:p>
    <w:p w14:paraId="2E63D0BF" w14:textId="6738C1F2" w:rsidR="00C27AAA" w:rsidRPr="00C27AAA" w:rsidRDefault="00C27AAA" w:rsidP="00C27AAA">
      <w:pPr>
        <w:shd w:val="clear" w:color="auto" w:fill="FFFFFF"/>
        <w:spacing w:after="100" w:afterAutospacing="1" w:line="240" w:lineRule="auto"/>
        <w:outlineLvl w:val="0"/>
        <w:rPr>
          <w:rFonts w:ascii="Arial" w:eastAsia="Times New Roman" w:hAnsi="Arial" w:cs="Arial"/>
          <w:b/>
          <w:bCs/>
          <w:color w:val="1D2125"/>
          <w:kern w:val="36"/>
          <w:sz w:val="32"/>
          <w:szCs w:val="32"/>
          <w:lang w:eastAsia="en-GB"/>
          <w14:ligatures w14:val="none"/>
        </w:rPr>
      </w:pPr>
      <w:r w:rsidRPr="00C27AAA">
        <w:rPr>
          <w:rFonts w:ascii="Arial" w:eastAsiaTheme="minorEastAsia" w:hAnsi="Arial" w:cs="Arial"/>
          <w:kern w:val="0"/>
          <w:sz w:val="24"/>
          <w:szCs w:val="24"/>
          <w:lang w:eastAsia="zh-CN"/>
          <w14:ligatures w14:val="none"/>
        </w:rPr>
        <w:lastRenderedPageBreak/>
        <w:t>Corporate Social Responsibility (CSR) is increasingly recognised as essential for sustainability and brand image within the hotel industry (Crane, Matten, &amp; Spence, 2019). CSR encompasses the practices that companies adopt to manage their business processes responsibly to produce an overall positive impact on society. Notably, leading hospitality firms such as Premier Inn leverage CSR to enhance brand reputation, foster customer loyalty, engage employees, and adhere to environmental regulations (Porter &amp; Kramer, 2006). Premier Inn's "Force for Good" program exemplifies a commitment to ecological protection, community engagement, and employee welfare, aiming to align business operations with sustainable and ethical standards (Premier Inn, 2023). However, the effectiveness of CSR initiatives can vary by geographical and cultural contexts, sometimes diluting their intended impacts. This essay critically explores these variations, questioning whether the perceived benefits of CSR align with actual outcomes and discussing their broader implications for the industry.</w:t>
      </w:r>
    </w:p>
    <w:p w14:paraId="464C0016"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p>
    <w:p w14:paraId="6CAC1784"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Corporate Social Responsibility (CSR) has emerged as a significant aspect of the hotel sector, influencing operational practices and firms' self-perception. The increasing importance of CSR in this industry is not just a trend but a necessity, as it has been proven to enhance a company's reputation, foster consumer loyalty, and attract and retain a committed workforce. Liu et al. (2019) emphasise the positive impact of CSR programs, particularly those focused on customer and staff engagement and social responsibility, on consumer loyalty and the overall company image in the hospitality industry, underscoring the urgency of incorporating CSR into business strategies.</w:t>
      </w:r>
    </w:p>
    <w:p w14:paraId="210F26C1"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Despite the upfront expense, Franco et al. (2020) state that CSR programs in the hotel sector can only pay off in the long run by strengthening ties between companies and their stakeholders. Stakeholders, including customers, employees, local communities, and regulatory bodies, play a crucial role in shaping and influencing CSR initiatives in the hospitality industry. Aligning CSR initiatives with stakeholder expectations is critical to optimise benefits across many domains, including environmental, employee, and customer relations (</w:t>
      </w:r>
      <w:proofErr w:type="spellStart"/>
      <w:r w:rsidRPr="00C27AAA">
        <w:rPr>
          <w:rFonts w:ascii="Arial" w:eastAsiaTheme="minorEastAsia" w:hAnsi="Arial" w:cs="Arial"/>
          <w:kern w:val="0"/>
          <w:sz w:val="24"/>
          <w:szCs w:val="24"/>
          <w:lang w:eastAsia="zh-CN"/>
          <w14:ligatures w14:val="none"/>
        </w:rPr>
        <w:t>Rhou</w:t>
      </w:r>
      <w:proofErr w:type="spellEnd"/>
      <w:r w:rsidRPr="00C27AAA">
        <w:rPr>
          <w:rFonts w:ascii="Arial" w:eastAsiaTheme="minorEastAsia" w:hAnsi="Arial" w:cs="Arial"/>
          <w:kern w:val="0"/>
          <w:sz w:val="24"/>
          <w:szCs w:val="24"/>
          <w:lang w:eastAsia="zh-CN"/>
          <w14:ligatures w14:val="none"/>
        </w:rPr>
        <w:t xml:space="preserve"> and Singal, 2020). Furthermore, the transition from a primary emphasis on finances to a customer-centric strategy in CSR has been noteworthy, as highlighted by Wut et al. (2021). It is recommended that hospitality organisations prioritise CSR efforts that directly benefit customers and improve their experience.</w:t>
      </w:r>
    </w:p>
    <w:p w14:paraId="5D4E8112"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However, </w:t>
      </w:r>
      <w:proofErr w:type="spellStart"/>
      <w:r w:rsidRPr="00C27AAA">
        <w:rPr>
          <w:rFonts w:ascii="Arial" w:eastAsiaTheme="minorEastAsia" w:hAnsi="Arial" w:cs="Arial"/>
          <w:kern w:val="0"/>
          <w:sz w:val="24"/>
          <w:szCs w:val="24"/>
          <w:lang w:eastAsia="zh-CN"/>
          <w14:ligatures w14:val="none"/>
        </w:rPr>
        <w:t>Medrado</w:t>
      </w:r>
      <w:proofErr w:type="spellEnd"/>
      <w:r w:rsidRPr="00C27AAA">
        <w:rPr>
          <w:rFonts w:ascii="Arial" w:eastAsiaTheme="minorEastAsia" w:hAnsi="Arial" w:cs="Arial"/>
          <w:kern w:val="0"/>
          <w:sz w:val="24"/>
          <w:szCs w:val="24"/>
          <w:lang w:eastAsia="zh-CN"/>
          <w14:ligatures w14:val="none"/>
        </w:rPr>
        <w:t xml:space="preserve"> and Jackson (2016) discovered that CSR in the hospitality industry is still in its early phases, especially regarding waste management and energy saving. This suggests much potential for growth and improvement in these areas but also highlights </w:t>
      </w:r>
      <w:r w:rsidRPr="00C27AAA">
        <w:rPr>
          <w:rFonts w:ascii="Arial" w:eastAsiaTheme="minorEastAsia" w:hAnsi="Arial" w:cs="Arial"/>
          <w:kern w:val="0"/>
          <w:sz w:val="24"/>
          <w:szCs w:val="24"/>
          <w:lang w:eastAsia="zh-CN"/>
          <w14:ligatures w14:val="none"/>
        </w:rPr>
        <w:lastRenderedPageBreak/>
        <w:t>the need for more research and innovation to overcome the challenges. Additionally, implementing CSR in the hotel business presents various challenges, particularly in global settings where the interaction between local norms and worldwide CSR requirements might create challenges in the implementation processes (Iyer and Jarvis, 2019).</w:t>
      </w:r>
    </w:p>
    <w:p w14:paraId="27BA69E8"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Compared to other industries, manufacturing and technology have integrated CSR into their operations differently, often focusing more on innovation and technological solutions to address CSR challenges. This divergence highlights that while the hospitality industry benefits significantly from CSR, a more rigorous, innovation-driven approach could enhance sustainability efforts (Altenburger, 2022). However, hospitality companies also have significant potential for collaboration and knowledge sharing in implementing CSR initiatives. By sharing best practices, lessons learned, and innovative solutions, companies can collectively accelerate their CSR efforts and amplify their impact, benefiting their operations and the </w:t>
      </w:r>
      <w:proofErr w:type="gramStart"/>
      <w:r w:rsidRPr="00C27AAA">
        <w:rPr>
          <w:rFonts w:ascii="Arial" w:eastAsiaTheme="minorEastAsia" w:hAnsi="Arial" w:cs="Arial"/>
          <w:kern w:val="0"/>
          <w:sz w:val="24"/>
          <w:szCs w:val="24"/>
          <w:lang w:eastAsia="zh-CN"/>
          <w14:ligatures w14:val="none"/>
        </w:rPr>
        <w:t>industry as a whole</w:t>
      </w:r>
      <w:proofErr w:type="gramEnd"/>
      <w:r w:rsidRPr="00C27AAA">
        <w:rPr>
          <w:rFonts w:ascii="Arial" w:eastAsiaTheme="minorEastAsia" w:hAnsi="Arial" w:cs="Arial"/>
          <w:kern w:val="0"/>
          <w:sz w:val="24"/>
          <w:szCs w:val="24"/>
          <w:lang w:eastAsia="zh-CN"/>
          <w14:ligatures w14:val="none"/>
        </w:rPr>
        <w:t>.</w:t>
      </w:r>
    </w:p>
    <w:p w14:paraId="357D9F01"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Leading UK hotel brand Premier Inn has been a beacon of commitment to CSR, focusing on lowering its carbon footprint, aiding local communities, and ensuring fair working practices. The successful execution of these projects not only demonstrates a dedication to the triple bottom line of people, planet, and profits, as detailed in their latest CSR report (Premier Inn, 2023) but also serves as an inspiration for other industry players to follow suit. Camilleri (2020) elaborates on how strategic CSR activities can enhance a hotel's operations by aligning economic goals with social and environmental responsibilities.</w:t>
      </w:r>
    </w:p>
    <w:p w14:paraId="2F49CC45" w14:textId="77777777" w:rsidR="00C27AAA" w:rsidRPr="00C27AAA" w:rsidRDefault="00C27AAA" w:rsidP="00C27AAA">
      <w:pPr>
        <w:spacing w:after="0" w:line="360" w:lineRule="auto"/>
        <w:jc w:val="both"/>
        <w:rPr>
          <w:rFonts w:ascii="Arial" w:eastAsiaTheme="minorEastAsia" w:hAnsi="Arial" w:cs="Arial"/>
          <w:b/>
          <w:bCs/>
          <w:kern w:val="0"/>
          <w:sz w:val="24"/>
          <w:szCs w:val="24"/>
          <w:lang w:eastAsia="zh-CN"/>
          <w14:ligatures w14:val="none"/>
        </w:rPr>
      </w:pPr>
    </w:p>
    <w:p w14:paraId="3D2E43EA"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Focusing on ethical governance, community involvement, and environmental stewardship, Premier Inn has deliberately incorporated Corporate Social Responsibility (CSR) into its operations. This multidimensional strategy underscores an industry realisation that CSR is beneficial and essential for long-term success. Premier Inn’s investment in energy-efficient technologies and waste reduction programs exemplifies its commitment to minimising its carbon footprint. Research by Zhang et al. (2022) highlights the role of CSR in promoting eco-friendly actions among staff, showing that CSR is a strong predictor of sustainable behaviours related to energy use, aligning with Premier Inn’s efforts to foster a sustainable culture among employees and customers.</w:t>
      </w:r>
    </w:p>
    <w:p w14:paraId="32F04179"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lastRenderedPageBreak/>
        <w:t>Premier Inn actively participates in local community initiatives and philanthropic endeavours, benefiting communities and enhancing the hotel’s local connections and brand reputation. Camilleri (2021) notes that effective CSR strategies encompass various stakeholders, significantly boosting a company's credibility and social impact. Moreover, Premier Inn ensures that its business practices are ethical and transparent, crucial for maintaining stakeholder trust (Uyar et al., 2020).</w:t>
      </w:r>
    </w:p>
    <w:p w14:paraId="460C9427"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The hotel industry prioritises employee well-being and development, acknowledging their crucial role in maintaining service quality. Khattak et al. (2021) discuss how CSR relates to employee well-being in the hospitality sector, suggesting that these initiatives promote environmentally friendly behaviours by aligning individual and organisational interests.</w:t>
      </w:r>
    </w:p>
    <w:p w14:paraId="6B9C63CC"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However, despite these efforts, there are challenges in fully realising environmental goals, such as significant discrepancies in sustainability reporting and achieving carbon reduction targets. </w:t>
      </w:r>
      <w:proofErr w:type="spellStart"/>
      <w:r w:rsidRPr="00C27AAA">
        <w:rPr>
          <w:rFonts w:ascii="Arial" w:eastAsiaTheme="minorEastAsia" w:hAnsi="Arial" w:cs="Arial"/>
          <w:kern w:val="0"/>
          <w:sz w:val="24"/>
          <w:szCs w:val="24"/>
          <w:lang w:eastAsia="zh-CN"/>
          <w14:ligatures w14:val="none"/>
        </w:rPr>
        <w:t>Medrado</w:t>
      </w:r>
      <w:proofErr w:type="spellEnd"/>
      <w:r w:rsidRPr="00C27AAA">
        <w:rPr>
          <w:rFonts w:ascii="Arial" w:eastAsiaTheme="minorEastAsia" w:hAnsi="Arial" w:cs="Arial"/>
          <w:kern w:val="0"/>
          <w:sz w:val="24"/>
          <w:szCs w:val="24"/>
          <w:lang w:eastAsia="zh-CN"/>
          <w14:ligatures w14:val="none"/>
        </w:rPr>
        <w:t xml:space="preserve"> and Jackson (2016) emphasise the importance of transparent disclosures in CSR practices, which could be improved by Premier Inn to reflect the actual impact of its initiatives better and enhance stakeholder trust. Comparatively, the hospitality sector often struggles with such transparency, which is less prevalent in industries like manufacturing, where environmental impacts are more directly measurable and reported (Pérez-Calderón, </w:t>
      </w:r>
      <w:proofErr w:type="spellStart"/>
      <w:r w:rsidRPr="00C27AAA">
        <w:rPr>
          <w:rFonts w:ascii="Arial" w:eastAsiaTheme="minorEastAsia" w:hAnsi="Arial" w:cs="Arial"/>
          <w:kern w:val="0"/>
          <w:sz w:val="24"/>
          <w:szCs w:val="24"/>
          <w:lang w:eastAsia="zh-CN"/>
          <w14:ligatures w14:val="none"/>
        </w:rPr>
        <w:t>Milanés</w:t>
      </w:r>
      <w:proofErr w:type="spellEnd"/>
      <w:r w:rsidRPr="00C27AAA">
        <w:rPr>
          <w:rFonts w:ascii="Arial" w:eastAsiaTheme="minorEastAsia" w:hAnsi="Arial" w:cs="Arial"/>
          <w:kern w:val="0"/>
          <w:sz w:val="24"/>
          <w:szCs w:val="24"/>
          <w:lang w:eastAsia="zh-CN"/>
          <w14:ligatures w14:val="none"/>
        </w:rPr>
        <w:t>-Montero &amp; Stone, 2014)</w:t>
      </w:r>
    </w:p>
    <w:p w14:paraId="69AD7BD3" w14:textId="77777777" w:rsidR="00C27AAA" w:rsidRPr="00C27AAA" w:rsidRDefault="00C27AAA" w:rsidP="00C27AAA">
      <w:pPr>
        <w:spacing w:after="0" w:line="360" w:lineRule="auto"/>
        <w:jc w:val="both"/>
        <w:rPr>
          <w:rFonts w:ascii="Arial" w:eastAsiaTheme="minorEastAsia" w:hAnsi="Arial" w:cs="Arial"/>
          <w:b/>
          <w:bCs/>
          <w:kern w:val="0"/>
          <w:sz w:val="24"/>
          <w:szCs w:val="24"/>
          <w:lang w:eastAsia="zh-CN"/>
          <w14:ligatures w14:val="none"/>
        </w:rPr>
      </w:pPr>
    </w:p>
    <w:p w14:paraId="3F742B17"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Premier Inn's CSR efforts have significantly enhanced company sustainability, focusing on environmental conservation, community engagement, and employee welfare. These initiatives are central to the company's sustainability strategy and contribute to social and economic development. While these efforts are commendable, a critical assessment of their long-term sustainability and real motivations is crucial, questioning whether they genuinely aim to effect change or primarily serve as PR tools to enhance the corporate image (Premier Inn, 2023). It's also important to acknowledge that despite these efforts, there are potential risks and criticisms associated with CSR in the hospitality industry, such as the potential for greenwashing, the challenge of measuring and reporting on CSR performance, and the need for ongoing commitment and investment to maintain and improve CSR initiatives.</w:t>
      </w:r>
    </w:p>
    <w:p w14:paraId="66A5D83C"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lastRenderedPageBreak/>
        <w:t xml:space="preserve">Premier Inn's commitment to environmental sustainability is evident in its efforts to reduce energy usage and waste and promote renewable energy sources. </w:t>
      </w:r>
      <w:proofErr w:type="spellStart"/>
      <w:r w:rsidRPr="00C27AAA">
        <w:rPr>
          <w:rFonts w:ascii="Arial" w:eastAsiaTheme="minorEastAsia" w:hAnsi="Arial" w:cs="Arial"/>
          <w:kern w:val="0"/>
          <w:sz w:val="24"/>
          <w:szCs w:val="24"/>
          <w:lang w:eastAsia="zh-CN"/>
          <w14:ligatures w14:val="none"/>
        </w:rPr>
        <w:t>Subarkah</w:t>
      </w:r>
      <w:proofErr w:type="spellEnd"/>
      <w:r w:rsidRPr="00C27AAA">
        <w:rPr>
          <w:rFonts w:ascii="Arial" w:eastAsiaTheme="minorEastAsia" w:hAnsi="Arial" w:cs="Arial"/>
          <w:kern w:val="0"/>
          <w:sz w:val="24"/>
          <w:szCs w:val="24"/>
          <w:lang w:eastAsia="zh-CN"/>
          <w14:ligatures w14:val="none"/>
        </w:rPr>
        <w:t xml:space="preserve"> et al. (2019) state that CSR actions can significantly bolster local micro-enterprises through environmental conservation programs, mirroring Premier Inn's approach to integrating local suppliers and sustainable practices. However, the scalability of these initiatives poses a challenge, with substantial regional variations in success.</w:t>
      </w:r>
    </w:p>
    <w:p w14:paraId="03656F8F"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The hotel's active participation in community initiatives, including support for local businesses and charities, strengthens community ties and benefits the local economy. Ferus-</w:t>
      </w:r>
      <w:proofErr w:type="spellStart"/>
      <w:r w:rsidRPr="00C27AAA">
        <w:rPr>
          <w:rFonts w:ascii="Arial" w:eastAsiaTheme="minorEastAsia" w:hAnsi="Arial" w:cs="Arial"/>
          <w:kern w:val="0"/>
          <w:sz w:val="24"/>
          <w:szCs w:val="24"/>
          <w:lang w:eastAsia="zh-CN"/>
          <w14:ligatures w14:val="none"/>
        </w:rPr>
        <w:t>Comelo</w:t>
      </w:r>
      <w:proofErr w:type="spellEnd"/>
      <w:r w:rsidRPr="00C27AAA">
        <w:rPr>
          <w:rFonts w:ascii="Arial" w:eastAsiaTheme="minorEastAsia" w:hAnsi="Arial" w:cs="Arial"/>
          <w:kern w:val="0"/>
          <w:sz w:val="24"/>
          <w:szCs w:val="24"/>
          <w:lang w:eastAsia="zh-CN"/>
          <w14:ligatures w14:val="none"/>
        </w:rPr>
        <w:t xml:space="preserve"> (2014) highlights that CSR in the hospitality industry, particularly in developing nations, often focuses on community-centric activities. While these efforts build goodwill, their impact on sustainable local development may sometimes be superficial.</w:t>
      </w:r>
    </w:p>
    <w:p w14:paraId="65757ACB"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Premier Inn also prioritises employee well-being, offering fair pay, job advancement opportunities, and a safe working environment. Nazir and Islam (2020) note that CSR activities can significantly improve employee engagement and satisfaction by fostering a sense of meaningfulness and compassion. Nonetheless, the effectiveness of these policies in genuinely enhancing staff welfare and retention requires ongoing evaluation to ensure they effect real change.</w:t>
      </w:r>
    </w:p>
    <w:p w14:paraId="66F4A046"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These interrelated areas—environmental conservation, community involvement, and employee well-being—collectively contribute to Premier Inn's sustainability. While adhering to ethical principles and aligning with broader sustainable development goals, it is vital to continuously evaluate and adapt these strategies to ensure they achieve their intended outcomes and benefit current and future generations.</w:t>
      </w:r>
    </w:p>
    <w:p w14:paraId="51B59829"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p>
    <w:p w14:paraId="3E9B4AF7"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Navigating multiple cultural, legal, and political situations is essential when implementing Corporate Social Responsibility (CSR) in a multinational context such as Premier Inn. Iyer and Jarvis (2019) discuss how these variances influence CSR adoption, emphasising the importance of a sophisticated approach that considers local conditions while adhering to global standards. Similarly, Franco et al. (2020) highlight the tension between the costs incurred by CSR programmes and the concrete benefits they provide, underscoring the need for a financial justification of CSR expenditures.</w:t>
      </w:r>
    </w:p>
    <w:p w14:paraId="6697B90C"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lastRenderedPageBreak/>
        <w:t>A particular challenge Premier Inn faced was implementing water conservation measures in regions with varying levels of water scarcity. Adapting these initiatives to local needs while aligning with corporate goals required a flexible strategy, demonstrating a significant learning curve in sustainable practices (Premier Inn, 2023).</w:t>
      </w:r>
    </w:p>
    <w:p w14:paraId="65A300F6"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Moreover, engaging staff and guests in CSR projects without making them feel like marketing ploys is another hurdle. Silva et al. (2014) </w:t>
      </w:r>
      <w:proofErr w:type="gramStart"/>
      <w:r w:rsidRPr="00C27AAA">
        <w:rPr>
          <w:rFonts w:ascii="Arial" w:eastAsiaTheme="minorEastAsia" w:hAnsi="Arial" w:cs="Arial"/>
          <w:kern w:val="0"/>
          <w:sz w:val="24"/>
          <w:szCs w:val="24"/>
          <w:lang w:eastAsia="zh-CN"/>
          <w14:ligatures w14:val="none"/>
        </w:rPr>
        <w:t>stress</w:t>
      </w:r>
      <w:proofErr w:type="gramEnd"/>
      <w:r w:rsidRPr="00C27AAA">
        <w:rPr>
          <w:rFonts w:ascii="Arial" w:eastAsiaTheme="minorEastAsia" w:hAnsi="Arial" w:cs="Arial"/>
          <w:kern w:val="0"/>
          <w:sz w:val="24"/>
          <w:szCs w:val="24"/>
          <w:lang w:eastAsia="zh-CN"/>
          <w14:ligatures w14:val="none"/>
        </w:rPr>
        <w:t xml:space="preserve"> the necessity of leadership in cultivating a culture that genuinely embraces CSR. An example of this is Premier Inn’s introduction of a scheme that involved employees in decision-making processes about community projects, which helped foster genuine engagement and support.</w:t>
      </w:r>
    </w:p>
    <w:p w14:paraId="3968C405"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CSR also offers Premier Inn significant opportunities to distinguish itself in a competitive market. Fawad and Pérez (2020) argue that CSR can enhance customer loyalty and brand reputation by aligning company values with those of its customers. Furthermore, robust CSR practices have improved employee satisfaction and retention, leading to a more creative and engaged workforce (Shao et al., 2022).</w:t>
      </w:r>
    </w:p>
    <w:p w14:paraId="0334C7D1"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These examples highlight the dynamic nature of CSR implementation, illustrating the challenges faced and innovative solutions that can lead to sustained competitive advantages.</w:t>
      </w:r>
    </w:p>
    <w:p w14:paraId="1AE241CB" w14:textId="77777777" w:rsidR="00C27AAA" w:rsidRPr="00C27AAA" w:rsidRDefault="00C27AAA" w:rsidP="00C27AAA">
      <w:pPr>
        <w:spacing w:after="0" w:line="360" w:lineRule="auto"/>
        <w:jc w:val="both"/>
        <w:rPr>
          <w:rFonts w:ascii="Arial" w:eastAsiaTheme="minorEastAsia" w:hAnsi="Arial" w:cs="Arial"/>
          <w:b/>
          <w:bCs/>
          <w:kern w:val="0"/>
          <w:sz w:val="24"/>
          <w:szCs w:val="24"/>
          <w:lang w:eastAsia="zh-CN"/>
          <w14:ligatures w14:val="none"/>
        </w:rPr>
      </w:pPr>
    </w:p>
    <w:p w14:paraId="7502CA4F"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Premier Inn has adopted circular thinking to enhance environmental sustainability and economic efficiency. This approach, rooted in concepts like cradle-to-cradle (</w:t>
      </w:r>
      <w:proofErr w:type="spellStart"/>
      <w:r w:rsidRPr="00C27AAA">
        <w:rPr>
          <w:rFonts w:ascii="Arial" w:eastAsiaTheme="minorEastAsia" w:hAnsi="Arial" w:cs="Arial"/>
          <w:kern w:val="0"/>
          <w:sz w:val="24"/>
          <w:szCs w:val="24"/>
          <w:lang w:eastAsia="zh-CN"/>
          <w14:ligatures w14:val="none"/>
        </w:rPr>
        <w:t>Braungart</w:t>
      </w:r>
      <w:proofErr w:type="spellEnd"/>
      <w:r w:rsidRPr="00C27AAA">
        <w:rPr>
          <w:rFonts w:ascii="Arial" w:eastAsiaTheme="minorEastAsia" w:hAnsi="Arial" w:cs="Arial"/>
          <w:kern w:val="0"/>
          <w:sz w:val="24"/>
          <w:szCs w:val="24"/>
          <w:lang w:eastAsia="zh-CN"/>
          <w14:ligatures w14:val="none"/>
        </w:rPr>
        <w:t xml:space="preserve"> &amp; McDonough, 2002) and biomimicry (Benyus, 1997), emphasises resource efficiency and waste reduction through recycling, energy savings, and waste minimisation initiatives. Premier Inn has embraced the principles of the circular economy (CE), which focuses on resource efficiency and waste reduction. Bux and </w:t>
      </w:r>
      <w:proofErr w:type="spellStart"/>
      <w:r w:rsidRPr="00C27AAA">
        <w:rPr>
          <w:rFonts w:ascii="Arial" w:eastAsiaTheme="minorEastAsia" w:hAnsi="Arial" w:cs="Arial"/>
          <w:kern w:val="0"/>
          <w:sz w:val="24"/>
          <w:szCs w:val="24"/>
          <w:lang w:eastAsia="zh-CN"/>
          <w14:ligatures w14:val="none"/>
        </w:rPr>
        <w:t>Amicarelli</w:t>
      </w:r>
      <w:proofErr w:type="spellEnd"/>
      <w:r w:rsidRPr="00C27AAA">
        <w:rPr>
          <w:rFonts w:ascii="Arial" w:eastAsiaTheme="minorEastAsia" w:hAnsi="Arial" w:cs="Arial"/>
          <w:kern w:val="0"/>
          <w:sz w:val="24"/>
          <w:szCs w:val="24"/>
          <w:lang w:eastAsia="zh-CN"/>
          <w14:ligatures w14:val="none"/>
        </w:rPr>
        <w:t xml:space="preserve"> (2022) highlight the importance of implementing CE practices, such as managing food waste and conserving energy, in the hospitality business—a strategy that Premier Inn actively pursues.</w:t>
      </w:r>
    </w:p>
    <w:p w14:paraId="07182713"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Furthermore, Premier Inn is committed to reducing its carbon footprint by implementing renewable energy sources and enhancing energy efficiency. Julião et al. (2018) noted that applying green practices and circular economy concepts significantly impacts the hotel sector by effectively reducing environmental footprints. Premier Inn has set specific </w:t>
      </w:r>
      <w:r w:rsidRPr="00C27AAA">
        <w:rPr>
          <w:rFonts w:ascii="Arial" w:eastAsiaTheme="minorEastAsia" w:hAnsi="Arial" w:cs="Arial"/>
          <w:kern w:val="0"/>
          <w:sz w:val="24"/>
          <w:szCs w:val="24"/>
          <w:lang w:eastAsia="zh-CN"/>
          <w14:ligatures w14:val="none"/>
        </w:rPr>
        <w:lastRenderedPageBreak/>
        <w:t>targets to decrease waste, particularly in food services and operational supplies, aligning with guests' growing expectations for sustainability (Bica et al., 2020).</w:t>
      </w:r>
    </w:p>
    <w:p w14:paraId="449FA672"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However, the adoption of circular economy principles involves challenges. The initial costs and complexity of integrating these practices into existing operations present significant hurdles. </w:t>
      </w:r>
      <w:proofErr w:type="spellStart"/>
      <w:r w:rsidRPr="00C27AAA">
        <w:rPr>
          <w:rFonts w:ascii="Arial" w:eastAsiaTheme="minorEastAsia" w:hAnsi="Arial" w:cs="Arial"/>
          <w:kern w:val="0"/>
          <w:sz w:val="24"/>
          <w:szCs w:val="24"/>
          <w:lang w:eastAsia="zh-CN"/>
          <w14:ligatures w14:val="none"/>
        </w:rPr>
        <w:t>Stombelli</w:t>
      </w:r>
      <w:proofErr w:type="spellEnd"/>
      <w:r w:rsidRPr="00C27AAA">
        <w:rPr>
          <w:rFonts w:ascii="Arial" w:eastAsiaTheme="minorEastAsia" w:hAnsi="Arial" w:cs="Arial"/>
          <w:kern w:val="0"/>
          <w:sz w:val="24"/>
          <w:szCs w:val="24"/>
          <w:lang w:eastAsia="zh-CN"/>
          <w14:ligatures w14:val="none"/>
        </w:rPr>
        <w:t xml:space="preserve"> (2020) argues that, despite these difficulties, the long-term benefits of such CSR endeavours, like enhanced sustainability and operational effectiveness, can outweigh the initial investments. Critically, while these strategies have made progress in reducing waste and improving efficiency, their economic viability and scalability remain areas for improvement. Unintended consequences, such as increased operational complexity and upfront costs, may impact profitability in the short term.</w:t>
      </w:r>
    </w:p>
    <w:p w14:paraId="3BC13323"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p>
    <w:p w14:paraId="7DD3A9BE"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Premier Inn has established itself as a leader in the hospitality industry by prioritising environmental conservation, community engagement, and employee welfare. This commitment meets regulatory demands and societal expectations and enhances operational effectiveness and customer satisfaction. While the company's CSR initiatives have strengthened its market position and improved stakeholder relations, integrating CSR across diverse cultural and operational contexts remains complex and costly.</w:t>
      </w:r>
    </w:p>
    <w:p w14:paraId="3C23CAAC"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Despite these challenges, Premier Inn's adoption of circular economy principles and ambitious sustainability standards showcases a forward-thinking approach that addresses current and future needs. For further advancement, Premier Inn could benefit from research focused on the tangible impacts of its CSR activities and more robust stakeholder engagement to align initiatives closely with community and environmental needs. Continued innovation and transparent reporting will be crucial for sustaining growth and maintaining a competitive edge in the global market. This approach underscores the importance of persistent evaluation and adaptation in CSR strategies to meet evolving international standards and expectations.</w:t>
      </w:r>
    </w:p>
    <w:p w14:paraId="4422EAA5"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p>
    <w:p w14:paraId="0A90A4B2"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p>
    <w:p w14:paraId="6A0AF197"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p>
    <w:p w14:paraId="40E31F26"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p>
    <w:p w14:paraId="642EC0DB"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p>
    <w:p w14:paraId="70A97968" w14:textId="77777777" w:rsidR="00C27AAA" w:rsidRPr="00C27AAA" w:rsidRDefault="00C27AAA" w:rsidP="00C27AAA">
      <w:pPr>
        <w:spacing w:after="0" w:line="360" w:lineRule="auto"/>
        <w:jc w:val="both"/>
        <w:rPr>
          <w:rFonts w:ascii="Arial" w:eastAsiaTheme="minorEastAsia" w:hAnsi="Arial" w:cs="Arial"/>
          <w:b/>
          <w:bCs/>
          <w:kern w:val="0"/>
          <w:sz w:val="24"/>
          <w:szCs w:val="24"/>
          <w:lang w:eastAsia="zh-CN"/>
          <w14:ligatures w14:val="none"/>
        </w:rPr>
      </w:pPr>
      <w:r w:rsidRPr="00C27AAA">
        <w:rPr>
          <w:rFonts w:ascii="Arial" w:eastAsiaTheme="minorEastAsia" w:hAnsi="Arial" w:cs="Arial"/>
          <w:b/>
          <w:bCs/>
          <w:kern w:val="0"/>
          <w:sz w:val="24"/>
          <w:szCs w:val="24"/>
          <w:lang w:eastAsia="zh-CN"/>
          <w14:ligatures w14:val="none"/>
        </w:rPr>
        <w:lastRenderedPageBreak/>
        <w:t>References</w:t>
      </w:r>
    </w:p>
    <w:p w14:paraId="30A3818B"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p>
    <w:p w14:paraId="0BAD8798" w14:textId="77777777" w:rsidR="00C27AAA" w:rsidRPr="00C27AAA" w:rsidRDefault="00C27AAA" w:rsidP="00C27AAA">
      <w:pPr>
        <w:numPr>
          <w:ilvl w:val="0"/>
          <w:numId w:val="1"/>
        </w:numPr>
        <w:spacing w:after="0" w:line="360" w:lineRule="auto"/>
        <w:contextualSpacing/>
        <w:jc w:val="both"/>
        <w:rPr>
          <w:rFonts w:ascii="Arial" w:eastAsiaTheme="minorEastAsia" w:hAnsi="Arial" w:cs="Arial"/>
          <w:vanish/>
          <w:kern w:val="0"/>
          <w:sz w:val="24"/>
          <w:szCs w:val="24"/>
          <w:lang w:eastAsia="zh-CN"/>
          <w14:ligatures w14:val="none"/>
        </w:rPr>
      </w:pPr>
      <w:r w:rsidRPr="00C27AAA">
        <w:rPr>
          <w:rFonts w:ascii="Arial" w:eastAsiaTheme="minorEastAsia" w:hAnsi="Arial" w:cs="Arial"/>
          <w:kern w:val="0"/>
          <w:sz w:val="24"/>
          <w:szCs w:val="24"/>
          <w:lang w:eastAsia="zh-CN"/>
          <w14:ligatures w14:val="none"/>
        </w:rPr>
        <w:t>Altenburger, R., 2018. Corporate social responsibility as a driver of innovation processes. </w:t>
      </w:r>
      <w:r w:rsidRPr="00C27AAA">
        <w:rPr>
          <w:rFonts w:ascii="Arial" w:eastAsiaTheme="minorEastAsia" w:hAnsi="Arial" w:cs="Arial"/>
          <w:i/>
          <w:iCs/>
          <w:kern w:val="0"/>
          <w:sz w:val="24"/>
          <w:szCs w:val="24"/>
          <w:lang w:eastAsia="zh-CN"/>
          <w14:ligatures w14:val="none"/>
        </w:rPr>
        <w:t>Innovation Management and Corporate Social Responsibility: Social Responsibility as Competitive Advantage</w:t>
      </w:r>
      <w:r w:rsidRPr="00C27AAA">
        <w:rPr>
          <w:rFonts w:ascii="Arial" w:eastAsiaTheme="minorEastAsia" w:hAnsi="Arial" w:cs="Arial"/>
          <w:kern w:val="0"/>
          <w:sz w:val="24"/>
          <w:szCs w:val="24"/>
          <w:lang w:eastAsia="zh-CN"/>
          <w14:ligatures w14:val="none"/>
        </w:rPr>
        <w:t>, pp.112.</w:t>
      </w:r>
    </w:p>
    <w:p w14:paraId="1B377A62"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Benyus, J.M., 1997. </w:t>
      </w:r>
      <w:r w:rsidRPr="00C27AAA">
        <w:rPr>
          <w:rFonts w:ascii="Arial" w:eastAsiaTheme="minorEastAsia" w:hAnsi="Arial" w:cs="Arial"/>
          <w:i/>
          <w:iCs/>
          <w:kern w:val="0"/>
          <w:sz w:val="24"/>
          <w:szCs w:val="24"/>
          <w:lang w:eastAsia="zh-CN"/>
          <w14:ligatures w14:val="none"/>
        </w:rPr>
        <w:t>Biomimicry: Innovation Inspired by Nature</w:t>
      </w:r>
      <w:r w:rsidRPr="00C27AAA">
        <w:rPr>
          <w:rFonts w:ascii="Arial" w:eastAsiaTheme="minorEastAsia" w:hAnsi="Arial" w:cs="Arial"/>
          <w:kern w:val="0"/>
          <w:sz w:val="24"/>
          <w:szCs w:val="24"/>
          <w:lang w:eastAsia="zh-CN"/>
          <w14:ligatures w14:val="none"/>
        </w:rPr>
        <w:t>. New York: William Morrow.</w:t>
      </w:r>
      <w:hyperlink r:id="rId5" w:history="1">
        <w:r w:rsidRPr="00C27AAA">
          <w:rPr>
            <w:rFonts w:ascii="Arial" w:eastAsiaTheme="minorEastAsia" w:hAnsi="Arial" w:cs="Arial"/>
            <w:color w:val="0000FF"/>
            <w:kern w:val="0"/>
            <w:sz w:val="24"/>
            <w:szCs w:val="24"/>
            <w:u w:val="single"/>
            <w:lang w:eastAsia="zh-CN"/>
            <w14:ligatures w14:val="none"/>
          </w:rPr>
          <w:t>https://www.academia.edu/38300413/Janine_M_Benyus_Biomimicry_Innovation_Inspired_by_Nature_2002_Harper_Perennial_1_</w:t>
        </w:r>
      </w:hyperlink>
      <w:r w:rsidRPr="00C27AAA">
        <w:rPr>
          <w:rFonts w:ascii="Arial" w:eastAsiaTheme="minorEastAsia" w:hAnsi="Arial" w:cs="Arial"/>
          <w:kern w:val="0"/>
          <w:sz w:val="24"/>
          <w:szCs w:val="24"/>
          <w:lang w:eastAsia="zh-CN"/>
          <w14:ligatures w14:val="none"/>
        </w:rPr>
        <w:t xml:space="preserve"> </w:t>
      </w:r>
    </w:p>
    <w:p w14:paraId="3A5EC2DD" w14:textId="77777777" w:rsidR="00C27AAA" w:rsidRPr="00C27AAA" w:rsidRDefault="00C27AAA" w:rsidP="00C27AAA">
      <w:pPr>
        <w:numPr>
          <w:ilvl w:val="0"/>
          <w:numId w:val="1"/>
        </w:num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Benyus, J.M., 1997. Biomimicry: Innovation Inspired by Nature. New York: William Morrow. Available at: </w:t>
      </w:r>
      <w:hyperlink r:id="rId6" w:tgtFrame="_new" w:history="1">
        <w:r w:rsidRPr="00C27AAA">
          <w:rPr>
            <w:rFonts w:ascii="Arial" w:eastAsiaTheme="minorEastAsia" w:hAnsi="Arial" w:cs="Arial"/>
            <w:color w:val="0000FF"/>
            <w:kern w:val="0"/>
            <w:sz w:val="24"/>
            <w:szCs w:val="24"/>
            <w:u w:val="single"/>
            <w:lang w:eastAsia="zh-CN"/>
            <w14:ligatures w14:val="none"/>
          </w:rPr>
          <w:t>https://www.academia.edu/38300413</w:t>
        </w:r>
      </w:hyperlink>
      <w:r w:rsidRPr="00C27AAA">
        <w:rPr>
          <w:rFonts w:ascii="Arial" w:eastAsiaTheme="minorEastAsia" w:hAnsi="Arial" w:cs="Arial"/>
          <w:kern w:val="0"/>
          <w:sz w:val="24"/>
          <w:szCs w:val="24"/>
          <w:lang w:eastAsia="zh-CN"/>
          <w14:ligatures w14:val="none"/>
        </w:rPr>
        <w:t xml:space="preserve"> [Accessed 9 May 2024].</w:t>
      </w:r>
    </w:p>
    <w:p w14:paraId="60667A24"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Bica, J., Julião, J., &amp; Gaspar, M. (2020). Applicability of Circular Economy in the Hospitality Industry. Available at: </w:t>
      </w:r>
      <w:hyperlink r:id="rId7" w:history="1">
        <w:r w:rsidRPr="00C27AAA">
          <w:rPr>
            <w:rFonts w:ascii="Arial" w:eastAsiaTheme="minorEastAsia" w:hAnsi="Arial" w:cs="Arial"/>
            <w:color w:val="0000FF"/>
            <w:kern w:val="0"/>
            <w:sz w:val="24"/>
            <w:szCs w:val="24"/>
            <w:u w:val="single"/>
            <w:lang w:eastAsia="zh-CN"/>
            <w14:ligatures w14:val="none"/>
          </w:rPr>
          <w:t>https://www.igi-global.com/gateway/chapter/239011</w:t>
        </w:r>
      </w:hyperlink>
      <w:r w:rsidRPr="00C27AAA">
        <w:rPr>
          <w:rFonts w:ascii="Arial" w:eastAsiaTheme="minorEastAsia" w:hAnsi="Arial" w:cs="Arial"/>
          <w:kern w:val="0"/>
          <w:sz w:val="24"/>
          <w:szCs w:val="24"/>
          <w:lang w:eastAsia="zh-CN"/>
          <w14:ligatures w14:val="none"/>
        </w:rPr>
        <w:t xml:space="preserve">  </w:t>
      </w:r>
    </w:p>
    <w:p w14:paraId="56689975"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proofErr w:type="spellStart"/>
      <w:r w:rsidRPr="00C27AAA">
        <w:rPr>
          <w:rFonts w:ascii="Arial" w:eastAsiaTheme="minorEastAsia" w:hAnsi="Arial" w:cs="Arial"/>
          <w:kern w:val="0"/>
          <w:sz w:val="24"/>
          <w:szCs w:val="24"/>
          <w:lang w:eastAsia="zh-CN"/>
          <w14:ligatures w14:val="none"/>
        </w:rPr>
        <w:t>Braungart</w:t>
      </w:r>
      <w:proofErr w:type="spellEnd"/>
      <w:r w:rsidRPr="00C27AAA">
        <w:rPr>
          <w:rFonts w:ascii="Arial" w:eastAsiaTheme="minorEastAsia" w:hAnsi="Arial" w:cs="Arial"/>
          <w:kern w:val="0"/>
          <w:sz w:val="24"/>
          <w:szCs w:val="24"/>
          <w:lang w:eastAsia="zh-CN"/>
          <w14:ligatures w14:val="none"/>
        </w:rPr>
        <w:t xml:space="preserve">, M. and McDonough, W., 2002. </w:t>
      </w:r>
      <w:r w:rsidRPr="00C27AAA">
        <w:rPr>
          <w:rFonts w:ascii="Arial" w:eastAsiaTheme="minorEastAsia" w:hAnsi="Arial" w:cs="Arial"/>
          <w:i/>
          <w:iCs/>
          <w:kern w:val="0"/>
          <w:sz w:val="24"/>
          <w:szCs w:val="24"/>
          <w:lang w:eastAsia="zh-CN"/>
          <w14:ligatures w14:val="none"/>
        </w:rPr>
        <w:t>Cradle to Cradle: Remaking the Way We Make Things</w:t>
      </w:r>
      <w:r w:rsidRPr="00C27AAA">
        <w:rPr>
          <w:rFonts w:ascii="Arial" w:eastAsiaTheme="minorEastAsia" w:hAnsi="Arial" w:cs="Arial"/>
          <w:kern w:val="0"/>
          <w:sz w:val="24"/>
          <w:szCs w:val="24"/>
          <w:lang w:eastAsia="zh-CN"/>
          <w14:ligatures w14:val="none"/>
        </w:rPr>
        <w:t>. New York: NorthPointPress.</w:t>
      </w:r>
      <w:hyperlink r:id="rId8" w:history="1">
        <w:r w:rsidRPr="00C27AAA">
          <w:rPr>
            <w:rFonts w:ascii="Arial" w:eastAsiaTheme="minorEastAsia" w:hAnsi="Arial" w:cs="Arial"/>
            <w:color w:val="0000FF"/>
            <w:kern w:val="0"/>
            <w:sz w:val="24"/>
            <w:szCs w:val="24"/>
            <w:u w:val="single"/>
            <w:lang w:eastAsia="zh-CN"/>
            <w14:ligatures w14:val="none"/>
          </w:rPr>
          <w:t>https://www.researchgate.net/publication/240457059_Book_Review_Cradle_to_Cradle_Remaking_the_Way_We_Make_Things_William_McDonough_and_Michael_Braungart_2002_North_Point_Press_New_York_208_pp_2750_paperback_978-0-86547-587-8</w:t>
        </w:r>
      </w:hyperlink>
      <w:r w:rsidRPr="00C27AAA">
        <w:rPr>
          <w:rFonts w:ascii="Arial" w:eastAsiaTheme="minorEastAsia" w:hAnsi="Arial" w:cs="Arial"/>
          <w:kern w:val="0"/>
          <w:sz w:val="24"/>
          <w:szCs w:val="24"/>
          <w:lang w:eastAsia="zh-CN"/>
          <w14:ligatures w14:val="none"/>
        </w:rPr>
        <w:t xml:space="preserve"> </w:t>
      </w:r>
    </w:p>
    <w:p w14:paraId="05D40A4E"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Bux, C., &amp; </w:t>
      </w:r>
      <w:proofErr w:type="spellStart"/>
      <w:r w:rsidRPr="00C27AAA">
        <w:rPr>
          <w:rFonts w:ascii="Arial" w:eastAsiaTheme="minorEastAsia" w:hAnsi="Arial" w:cs="Arial"/>
          <w:kern w:val="0"/>
          <w:sz w:val="24"/>
          <w:szCs w:val="24"/>
          <w:lang w:eastAsia="zh-CN"/>
          <w14:ligatures w14:val="none"/>
        </w:rPr>
        <w:t>Amicarelli</w:t>
      </w:r>
      <w:proofErr w:type="spellEnd"/>
      <w:r w:rsidRPr="00C27AAA">
        <w:rPr>
          <w:rFonts w:ascii="Arial" w:eastAsiaTheme="minorEastAsia" w:hAnsi="Arial" w:cs="Arial"/>
          <w:kern w:val="0"/>
          <w:sz w:val="24"/>
          <w:szCs w:val="24"/>
          <w:lang w:eastAsia="zh-CN"/>
          <w14:ligatures w14:val="none"/>
        </w:rPr>
        <w:t xml:space="preserve">, V. (2022). Circular economy and sustainable strategies in the hospitality industry: Current trends and empirical implications. Tourism and Hospitality Research, 23, 624-636. Available at: </w:t>
      </w:r>
      <w:hyperlink r:id="rId9" w:history="1">
        <w:r w:rsidRPr="00C27AAA">
          <w:rPr>
            <w:rFonts w:ascii="Arial" w:eastAsiaTheme="minorEastAsia" w:hAnsi="Arial" w:cs="Arial"/>
            <w:color w:val="0000FF"/>
            <w:kern w:val="0"/>
            <w:sz w:val="24"/>
            <w:szCs w:val="24"/>
            <w:u w:val="single"/>
            <w:lang w:eastAsia="zh-CN"/>
            <w14:ligatures w14:val="none"/>
          </w:rPr>
          <w:t>https://doi.org/10.1177/14673584221119581</w:t>
        </w:r>
      </w:hyperlink>
      <w:r w:rsidRPr="00C27AAA">
        <w:rPr>
          <w:rFonts w:ascii="Arial" w:eastAsiaTheme="minorEastAsia" w:hAnsi="Arial" w:cs="Arial"/>
          <w:kern w:val="0"/>
          <w:sz w:val="24"/>
          <w:szCs w:val="24"/>
          <w:lang w:eastAsia="zh-CN"/>
          <w14:ligatures w14:val="none"/>
        </w:rPr>
        <w:t xml:space="preserve"> </w:t>
      </w:r>
    </w:p>
    <w:p w14:paraId="329BFBEC"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Camilleri, M. (2021). Special issue: Corporate sustainability and stakeholder management in tourism and hospitality. Sustainable Development. Available at: </w:t>
      </w:r>
      <w:hyperlink r:id="rId10" w:history="1">
        <w:r w:rsidRPr="00C27AAA">
          <w:rPr>
            <w:rFonts w:ascii="Arial" w:eastAsiaTheme="minorEastAsia" w:hAnsi="Arial" w:cs="Arial"/>
            <w:color w:val="0000FF"/>
            <w:kern w:val="0"/>
            <w:sz w:val="24"/>
            <w:szCs w:val="24"/>
            <w:u w:val="single"/>
            <w:lang w:eastAsia="zh-CN"/>
            <w14:ligatures w14:val="none"/>
          </w:rPr>
          <w:t>https://doi.org/10.1002/sd.2255</w:t>
        </w:r>
      </w:hyperlink>
      <w:r w:rsidRPr="00C27AAA">
        <w:rPr>
          <w:rFonts w:ascii="Arial" w:eastAsiaTheme="minorEastAsia" w:hAnsi="Arial" w:cs="Arial"/>
          <w:kern w:val="0"/>
          <w:sz w:val="24"/>
          <w:szCs w:val="24"/>
          <w:lang w:eastAsia="zh-CN"/>
          <w14:ligatures w14:val="none"/>
        </w:rPr>
        <w:t xml:space="preserve"> </w:t>
      </w:r>
    </w:p>
    <w:p w14:paraId="251C5F4F"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Camilleri, M., 2020. Strategic CSR in Tourism and Hospitality. SRPN: Consumer Ethics Issues (Topic). </w:t>
      </w:r>
      <w:hyperlink r:id="rId11" w:history="1">
        <w:r w:rsidRPr="00C27AAA">
          <w:rPr>
            <w:rFonts w:ascii="Arial" w:eastAsiaTheme="minorEastAsia" w:hAnsi="Arial" w:cs="Arial"/>
            <w:color w:val="0000FF"/>
            <w:kern w:val="0"/>
            <w:sz w:val="24"/>
            <w:szCs w:val="24"/>
            <w:u w:val="single"/>
            <w:lang w:eastAsia="zh-CN"/>
            <w14:ligatures w14:val="none"/>
          </w:rPr>
          <w:t>https://doi.org/10.1002/sd.2059</w:t>
        </w:r>
      </w:hyperlink>
      <w:r w:rsidRPr="00C27AAA">
        <w:rPr>
          <w:rFonts w:ascii="Arial" w:eastAsiaTheme="minorEastAsia" w:hAnsi="Arial" w:cs="Arial"/>
          <w:kern w:val="0"/>
          <w:sz w:val="24"/>
          <w:szCs w:val="24"/>
          <w:lang w:eastAsia="zh-CN"/>
          <w14:ligatures w14:val="none"/>
        </w:rPr>
        <w:t xml:space="preserve">.  </w:t>
      </w:r>
    </w:p>
    <w:p w14:paraId="4C81139E" w14:textId="77777777" w:rsidR="00C27AAA" w:rsidRPr="00C27AAA" w:rsidRDefault="00C27AAA" w:rsidP="00C27AAA">
      <w:pPr>
        <w:numPr>
          <w:ilvl w:val="0"/>
          <w:numId w:val="1"/>
        </w:num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Crane, A., Matten, D., &amp; Spence, L. J. (2019). </w:t>
      </w:r>
      <w:r w:rsidRPr="00C27AAA">
        <w:rPr>
          <w:rFonts w:ascii="Arial" w:eastAsiaTheme="minorEastAsia" w:hAnsi="Arial" w:cs="Arial"/>
          <w:i/>
          <w:iCs/>
          <w:kern w:val="0"/>
          <w:sz w:val="24"/>
          <w:szCs w:val="24"/>
          <w:lang w:eastAsia="zh-CN"/>
          <w14:ligatures w14:val="none"/>
        </w:rPr>
        <w:t>Corporate Social Responsibility: Readings and Cases in a Global Context</w:t>
      </w:r>
      <w:r w:rsidRPr="00C27AAA">
        <w:rPr>
          <w:rFonts w:ascii="Arial" w:eastAsiaTheme="minorEastAsia" w:hAnsi="Arial" w:cs="Arial"/>
          <w:kern w:val="0"/>
          <w:sz w:val="24"/>
          <w:szCs w:val="24"/>
          <w:lang w:eastAsia="zh-CN"/>
          <w14:ligatures w14:val="none"/>
        </w:rPr>
        <w:t xml:space="preserve">. </w:t>
      </w:r>
      <w:r w:rsidRPr="00C27AAA">
        <w:rPr>
          <w:rFonts w:ascii="Arial" w:eastAsiaTheme="minorEastAsia" w:hAnsi="Arial" w:cs="Arial"/>
          <w:kern w:val="0"/>
          <w:sz w:val="24"/>
          <w:szCs w:val="24"/>
          <w:lang w:eastAsia="zh-CN"/>
          <w14:ligatures w14:val="none"/>
        </w:rPr>
        <w:lastRenderedPageBreak/>
        <w:t>Routledge.</w:t>
      </w:r>
      <w:hyperlink r:id="rId12" w:history="1">
        <w:r w:rsidRPr="00C27AAA">
          <w:rPr>
            <w:rFonts w:ascii="Arial" w:eastAsiaTheme="minorEastAsia" w:hAnsi="Arial" w:cs="Arial"/>
            <w:color w:val="0000FF"/>
            <w:kern w:val="0"/>
            <w:sz w:val="24"/>
            <w:szCs w:val="24"/>
            <w:u w:val="single"/>
            <w:lang w:eastAsia="zh-CN"/>
            <w14:ligatures w14:val="none"/>
          </w:rPr>
          <w:t>https://www.researchgate.net/publication/228123773_Corporate_Social_Responsibility_In_Global_Context</w:t>
        </w:r>
      </w:hyperlink>
      <w:r w:rsidRPr="00C27AAA">
        <w:rPr>
          <w:rFonts w:ascii="Arial" w:eastAsiaTheme="minorEastAsia" w:hAnsi="Arial" w:cs="Arial"/>
          <w:kern w:val="0"/>
          <w:sz w:val="24"/>
          <w:szCs w:val="24"/>
          <w:lang w:eastAsia="zh-CN"/>
          <w14:ligatures w14:val="none"/>
        </w:rPr>
        <w:t xml:space="preserve">  </w:t>
      </w:r>
    </w:p>
    <w:p w14:paraId="0EDA7DE7"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Ferus-</w:t>
      </w:r>
      <w:proofErr w:type="spellStart"/>
      <w:r w:rsidRPr="00C27AAA">
        <w:rPr>
          <w:rFonts w:ascii="Arial" w:eastAsiaTheme="minorEastAsia" w:hAnsi="Arial" w:cs="Arial"/>
          <w:kern w:val="0"/>
          <w:sz w:val="24"/>
          <w:szCs w:val="24"/>
          <w:lang w:eastAsia="zh-CN"/>
          <w14:ligatures w14:val="none"/>
        </w:rPr>
        <w:t>Comelo</w:t>
      </w:r>
      <w:proofErr w:type="spellEnd"/>
      <w:r w:rsidRPr="00C27AAA">
        <w:rPr>
          <w:rFonts w:ascii="Arial" w:eastAsiaTheme="minorEastAsia" w:hAnsi="Arial" w:cs="Arial"/>
          <w:kern w:val="0"/>
          <w:sz w:val="24"/>
          <w:szCs w:val="24"/>
          <w:lang w:eastAsia="zh-CN"/>
          <w14:ligatures w14:val="none"/>
        </w:rPr>
        <w:t xml:space="preserve">, A. (2014). CSR as corporate self-reporting in India's tourism industry. Social Responsibility Journal, 10, 53-67. Available at: </w:t>
      </w:r>
      <w:hyperlink r:id="rId13" w:history="1">
        <w:r w:rsidRPr="00C27AAA">
          <w:rPr>
            <w:rFonts w:ascii="Arial" w:eastAsiaTheme="minorEastAsia" w:hAnsi="Arial" w:cs="Arial"/>
            <w:color w:val="0000FF"/>
            <w:kern w:val="0"/>
            <w:sz w:val="24"/>
            <w:szCs w:val="24"/>
            <w:u w:val="single"/>
            <w:lang w:eastAsia="zh-CN"/>
            <w14:ligatures w14:val="none"/>
          </w:rPr>
          <w:t>https://doi.org/10.1108/SRJ-11-2012-0144</w:t>
        </w:r>
      </w:hyperlink>
      <w:r w:rsidRPr="00C27AAA">
        <w:rPr>
          <w:rFonts w:ascii="Arial" w:eastAsiaTheme="minorEastAsia" w:hAnsi="Arial" w:cs="Arial"/>
          <w:kern w:val="0"/>
          <w:sz w:val="24"/>
          <w:szCs w:val="24"/>
          <w:lang w:eastAsia="zh-CN"/>
          <w14:ligatures w14:val="none"/>
        </w:rPr>
        <w:t xml:space="preserve"> </w:t>
      </w:r>
    </w:p>
    <w:p w14:paraId="6F1CB0CD"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Franco, S., Caroli, M., Cappa, F., &amp; Chiappa, G. (2020). Are you good enough? CSR, quality management and corporate financial performance in the hospitality industry. International Journal of Hospitality Management, 88, 102395. Available at: </w:t>
      </w:r>
      <w:hyperlink r:id="rId14" w:history="1">
        <w:r w:rsidRPr="00C27AAA">
          <w:rPr>
            <w:rFonts w:ascii="Arial" w:eastAsiaTheme="minorEastAsia" w:hAnsi="Arial" w:cs="Arial"/>
            <w:color w:val="0000FF"/>
            <w:kern w:val="0"/>
            <w:sz w:val="24"/>
            <w:szCs w:val="24"/>
            <w:u w:val="single"/>
            <w:lang w:eastAsia="zh-CN"/>
            <w14:ligatures w14:val="none"/>
          </w:rPr>
          <w:t>https://doi.org/10.1016/j.ijhm.2019.102395</w:t>
        </w:r>
      </w:hyperlink>
      <w:r w:rsidRPr="00C27AAA">
        <w:rPr>
          <w:rFonts w:ascii="Arial" w:eastAsiaTheme="minorEastAsia" w:hAnsi="Arial" w:cs="Arial"/>
          <w:kern w:val="0"/>
          <w:sz w:val="24"/>
          <w:szCs w:val="24"/>
          <w:lang w:eastAsia="zh-CN"/>
          <w14:ligatures w14:val="none"/>
        </w:rPr>
        <w:t xml:space="preserve"> </w:t>
      </w:r>
    </w:p>
    <w:p w14:paraId="3AB796EB"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Iyer, G., &amp; Jarvis, L. (2019). CSR adoption in the multinational hospitality context. International Journal of Contemporary Hospitality Management. Available at: </w:t>
      </w:r>
      <w:hyperlink r:id="rId15" w:history="1">
        <w:r w:rsidRPr="00C27AAA">
          <w:rPr>
            <w:rFonts w:ascii="Arial" w:eastAsiaTheme="minorEastAsia" w:hAnsi="Arial" w:cs="Arial"/>
            <w:color w:val="0000FF"/>
            <w:kern w:val="0"/>
            <w:sz w:val="24"/>
            <w:szCs w:val="24"/>
            <w:u w:val="single"/>
            <w:lang w:eastAsia="zh-CN"/>
            <w14:ligatures w14:val="none"/>
          </w:rPr>
          <w:t>https://doi.org/10.1108/IJCHM-06-2018-0451</w:t>
        </w:r>
      </w:hyperlink>
      <w:r w:rsidRPr="00C27AAA">
        <w:rPr>
          <w:rFonts w:ascii="Arial" w:eastAsiaTheme="minorEastAsia" w:hAnsi="Arial" w:cs="Arial"/>
          <w:kern w:val="0"/>
          <w:sz w:val="24"/>
          <w:szCs w:val="24"/>
          <w:lang w:eastAsia="zh-CN"/>
          <w14:ligatures w14:val="none"/>
        </w:rPr>
        <w:t xml:space="preserve"> </w:t>
      </w:r>
    </w:p>
    <w:p w14:paraId="30258552" w14:textId="77777777" w:rsidR="00C27AAA" w:rsidRPr="00C27AAA" w:rsidRDefault="00C27AAA" w:rsidP="00C27AAA">
      <w:pPr>
        <w:numPr>
          <w:ilvl w:val="0"/>
          <w:numId w:val="1"/>
        </w:numPr>
        <w:tabs>
          <w:tab w:val="left" w:pos="720"/>
        </w:tabs>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Julião, J., Gaspar, M., &amp; </w:t>
      </w:r>
      <w:proofErr w:type="spellStart"/>
      <w:r w:rsidRPr="00C27AAA">
        <w:rPr>
          <w:rFonts w:ascii="Arial" w:eastAsiaTheme="minorEastAsia" w:hAnsi="Arial" w:cs="Arial"/>
          <w:kern w:val="0"/>
          <w:sz w:val="24"/>
          <w:szCs w:val="24"/>
          <w:lang w:eastAsia="zh-CN"/>
          <w14:ligatures w14:val="none"/>
        </w:rPr>
        <w:t>Tjahjono</w:t>
      </w:r>
      <w:proofErr w:type="spellEnd"/>
      <w:r w:rsidRPr="00C27AAA">
        <w:rPr>
          <w:rFonts w:ascii="Arial" w:eastAsiaTheme="minorEastAsia" w:hAnsi="Arial" w:cs="Arial"/>
          <w:kern w:val="0"/>
          <w:sz w:val="24"/>
          <w:szCs w:val="24"/>
          <w:lang w:eastAsia="zh-CN"/>
          <w14:ligatures w14:val="none"/>
        </w:rPr>
        <w:t xml:space="preserve">, B. (2018). Exploring Circular Economy in the Hospitality Industry. </w:t>
      </w:r>
      <w:r w:rsidRPr="00C27AAA">
        <w:rPr>
          <w:rFonts w:ascii="Arial" w:eastAsiaTheme="minorEastAsia" w:hAnsi="Arial" w:cs="Arial"/>
          <w:i/>
          <w:iCs/>
          <w:kern w:val="0"/>
          <w:sz w:val="24"/>
          <w:szCs w:val="24"/>
          <w:lang w:eastAsia="zh-CN"/>
          <w14:ligatures w14:val="none"/>
        </w:rPr>
        <w:t>Journal of Cleaner Production, 195</w:t>
      </w:r>
      <w:r w:rsidRPr="00C27AAA">
        <w:rPr>
          <w:rFonts w:ascii="Arial" w:eastAsiaTheme="minorEastAsia" w:hAnsi="Arial" w:cs="Arial"/>
          <w:kern w:val="0"/>
          <w:sz w:val="24"/>
          <w:szCs w:val="24"/>
          <w:lang w:eastAsia="zh-CN"/>
          <w14:ligatures w14:val="none"/>
        </w:rPr>
        <w:t>, 1337-1343</w:t>
      </w:r>
      <w:proofErr w:type="gramStart"/>
      <w:r w:rsidRPr="00C27AAA">
        <w:rPr>
          <w:rFonts w:ascii="Arial" w:eastAsiaTheme="minorEastAsia" w:hAnsi="Arial" w:cs="Arial"/>
          <w:kern w:val="0"/>
          <w:sz w:val="24"/>
          <w:szCs w:val="24"/>
          <w:lang w:eastAsia="zh-CN"/>
          <w14:ligatures w14:val="none"/>
        </w:rPr>
        <w:t>. .</w:t>
      </w:r>
      <w:proofErr w:type="gramEnd"/>
      <w:r w:rsidRPr="00C27AAA">
        <w:rPr>
          <w:rFonts w:ascii="Arial" w:eastAsiaTheme="minorEastAsia" w:hAnsi="Arial" w:cs="Arial"/>
          <w:kern w:val="0"/>
          <w:sz w:val="24"/>
          <w:szCs w:val="24"/>
          <w:lang w:eastAsia="zh-CN"/>
          <w14:ligatures w14:val="none"/>
        </w:rPr>
        <w:t xml:space="preserve"> Available at: </w:t>
      </w:r>
      <w:hyperlink r:id="rId16" w:history="1">
        <w:r w:rsidRPr="00C27AAA">
          <w:rPr>
            <w:rFonts w:ascii="Arial" w:eastAsiaTheme="minorEastAsia" w:hAnsi="Arial" w:cs="Arial"/>
            <w:color w:val="0000FF"/>
            <w:kern w:val="0"/>
            <w:sz w:val="24"/>
            <w:szCs w:val="24"/>
            <w:u w:val="single"/>
            <w:lang w:eastAsia="zh-CN"/>
            <w14:ligatures w14:val="none"/>
          </w:rPr>
          <w:t>https://www.researchgate.net/publication/325541436_Exploring_Circular_Economy_in_the_Hospitality_Industry</w:t>
        </w:r>
      </w:hyperlink>
    </w:p>
    <w:p w14:paraId="2A786D5D"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Khattak, S., Nouman, M., Fayaz, M., </w:t>
      </w:r>
      <w:proofErr w:type="spellStart"/>
      <w:r w:rsidRPr="00C27AAA">
        <w:rPr>
          <w:rFonts w:ascii="Arial" w:eastAsiaTheme="minorEastAsia" w:hAnsi="Arial" w:cs="Arial"/>
          <w:kern w:val="0"/>
          <w:sz w:val="24"/>
          <w:szCs w:val="24"/>
          <w:lang w:eastAsia="zh-CN"/>
          <w14:ligatures w14:val="none"/>
        </w:rPr>
        <w:t>Cismaș</w:t>
      </w:r>
      <w:proofErr w:type="spellEnd"/>
      <w:r w:rsidRPr="00C27AAA">
        <w:rPr>
          <w:rFonts w:ascii="Arial" w:eastAsiaTheme="minorEastAsia" w:hAnsi="Arial" w:cs="Arial"/>
          <w:kern w:val="0"/>
          <w:sz w:val="24"/>
          <w:szCs w:val="24"/>
          <w:lang w:eastAsia="zh-CN"/>
          <w14:ligatures w14:val="none"/>
        </w:rPr>
        <w:t xml:space="preserve">, L., </w:t>
      </w:r>
      <w:proofErr w:type="spellStart"/>
      <w:r w:rsidRPr="00C27AAA">
        <w:rPr>
          <w:rFonts w:ascii="Arial" w:eastAsiaTheme="minorEastAsia" w:hAnsi="Arial" w:cs="Arial"/>
          <w:kern w:val="0"/>
          <w:sz w:val="24"/>
          <w:szCs w:val="24"/>
          <w:lang w:eastAsia="zh-CN"/>
          <w14:ligatures w14:val="none"/>
        </w:rPr>
        <w:t>Negruț</w:t>
      </w:r>
      <w:proofErr w:type="spellEnd"/>
      <w:r w:rsidRPr="00C27AAA">
        <w:rPr>
          <w:rFonts w:ascii="Arial" w:eastAsiaTheme="minorEastAsia" w:hAnsi="Arial" w:cs="Arial"/>
          <w:kern w:val="0"/>
          <w:sz w:val="24"/>
          <w:szCs w:val="24"/>
          <w:lang w:eastAsia="zh-CN"/>
          <w14:ligatures w14:val="none"/>
        </w:rPr>
        <w:t xml:space="preserve">, L., </w:t>
      </w:r>
      <w:proofErr w:type="spellStart"/>
      <w:r w:rsidRPr="00C27AAA">
        <w:rPr>
          <w:rFonts w:ascii="Arial" w:eastAsiaTheme="minorEastAsia" w:hAnsi="Arial" w:cs="Arial"/>
          <w:kern w:val="0"/>
          <w:sz w:val="24"/>
          <w:szCs w:val="24"/>
          <w:lang w:eastAsia="zh-CN"/>
          <w14:ligatures w14:val="none"/>
        </w:rPr>
        <w:t>Negruț</w:t>
      </w:r>
      <w:proofErr w:type="spellEnd"/>
      <w:r w:rsidRPr="00C27AAA">
        <w:rPr>
          <w:rFonts w:ascii="Arial" w:eastAsiaTheme="minorEastAsia" w:hAnsi="Arial" w:cs="Arial"/>
          <w:kern w:val="0"/>
          <w:sz w:val="24"/>
          <w:szCs w:val="24"/>
          <w:lang w:eastAsia="zh-CN"/>
          <w14:ligatures w14:val="none"/>
        </w:rPr>
        <w:t xml:space="preserve">, C., &amp; Salem, S. (2021). CSR and Employee Green </w:t>
      </w:r>
      <w:proofErr w:type="spellStart"/>
      <w:r w:rsidRPr="00C27AAA">
        <w:rPr>
          <w:rFonts w:ascii="Arial" w:eastAsiaTheme="minorEastAsia" w:hAnsi="Arial" w:cs="Arial"/>
          <w:kern w:val="0"/>
          <w:sz w:val="24"/>
          <w:szCs w:val="24"/>
          <w:lang w:eastAsia="zh-CN"/>
          <w14:ligatures w14:val="none"/>
        </w:rPr>
        <w:t>Behavior</w:t>
      </w:r>
      <w:proofErr w:type="spellEnd"/>
      <w:r w:rsidRPr="00C27AAA">
        <w:rPr>
          <w:rFonts w:ascii="Arial" w:eastAsiaTheme="minorEastAsia" w:hAnsi="Arial" w:cs="Arial"/>
          <w:kern w:val="0"/>
          <w:sz w:val="24"/>
          <w:szCs w:val="24"/>
          <w:lang w:eastAsia="zh-CN"/>
          <w14:ligatures w14:val="none"/>
        </w:rPr>
        <w:t xml:space="preserve"> in the Hospitality Industry: A Cross-Country Study. Sustainability. Available at: </w:t>
      </w:r>
      <w:hyperlink r:id="rId17" w:history="1">
        <w:r w:rsidRPr="00C27AAA">
          <w:rPr>
            <w:rFonts w:ascii="Arial" w:eastAsiaTheme="minorEastAsia" w:hAnsi="Arial" w:cs="Arial"/>
            <w:color w:val="0000FF"/>
            <w:kern w:val="0"/>
            <w:sz w:val="24"/>
            <w:szCs w:val="24"/>
            <w:u w:val="single"/>
            <w:lang w:eastAsia="zh-CN"/>
            <w14:ligatures w14:val="none"/>
          </w:rPr>
          <w:t>https://doi.org/10.3390/su131910534</w:t>
        </w:r>
      </w:hyperlink>
      <w:r w:rsidRPr="00C27AAA">
        <w:rPr>
          <w:rFonts w:ascii="Arial" w:eastAsiaTheme="minorEastAsia" w:hAnsi="Arial" w:cs="Arial"/>
          <w:kern w:val="0"/>
          <w:sz w:val="24"/>
          <w:szCs w:val="24"/>
          <w:lang w:eastAsia="zh-CN"/>
          <w14:ligatures w14:val="none"/>
        </w:rPr>
        <w:t xml:space="preserve"> </w:t>
      </w:r>
    </w:p>
    <w:p w14:paraId="690842B4" w14:textId="77777777" w:rsidR="00C27AAA" w:rsidRPr="00C27AAA" w:rsidRDefault="00C27AAA" w:rsidP="00C27AAA">
      <w:pPr>
        <w:numPr>
          <w:ilvl w:val="0"/>
          <w:numId w:val="1"/>
        </w:numPr>
        <w:tabs>
          <w:tab w:val="left" w:pos="720"/>
        </w:tabs>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Latif, Fawad &amp; Pérez, Andrea, (2020). </w:t>
      </w:r>
      <w:proofErr w:type="gramStart"/>
      <w:r w:rsidRPr="00C27AAA">
        <w:rPr>
          <w:rFonts w:ascii="Arial" w:eastAsiaTheme="minorEastAsia" w:hAnsi="Arial" w:cs="Arial"/>
          <w:kern w:val="0"/>
          <w:sz w:val="24"/>
          <w:szCs w:val="24"/>
          <w:lang w:eastAsia="zh-CN"/>
          <w14:ligatures w14:val="none"/>
        </w:rPr>
        <w:t>CSR  and</w:t>
      </w:r>
      <w:proofErr w:type="gramEnd"/>
      <w:r w:rsidRPr="00C27AAA">
        <w:rPr>
          <w:rFonts w:ascii="Arial" w:eastAsiaTheme="minorEastAsia" w:hAnsi="Arial" w:cs="Arial"/>
          <w:kern w:val="0"/>
          <w:sz w:val="24"/>
          <w:szCs w:val="24"/>
          <w:lang w:eastAsia="zh-CN"/>
          <w14:ligatures w14:val="none"/>
        </w:rPr>
        <w:t xml:space="preserve"> customer loyalty in the hotel industry: A cross-country study. International Journal of Hospitality Management. </w:t>
      </w:r>
      <w:hyperlink r:id="rId18" w:history="1">
        <w:r w:rsidRPr="00C27AAA">
          <w:rPr>
            <w:rFonts w:ascii="Arial" w:eastAsiaTheme="minorEastAsia" w:hAnsi="Arial" w:cs="Arial"/>
            <w:color w:val="0000FF"/>
            <w:kern w:val="0"/>
            <w:sz w:val="24"/>
            <w:szCs w:val="24"/>
            <w:u w:val="single"/>
            <w:lang w:eastAsia="zh-CN"/>
            <w14:ligatures w14:val="none"/>
          </w:rPr>
          <w:t>https://www.researchgate.net/publication/341460466_Corporate_Social_Responsibility_CSR_and_customer_loyalty_in_the_hotel_industry_A_cross-country_study</w:t>
        </w:r>
      </w:hyperlink>
      <w:r w:rsidRPr="00C27AAA">
        <w:rPr>
          <w:rFonts w:ascii="Arial" w:eastAsiaTheme="minorEastAsia" w:hAnsi="Arial" w:cs="Arial"/>
          <w:kern w:val="0"/>
          <w:sz w:val="24"/>
          <w:szCs w:val="24"/>
          <w:lang w:eastAsia="zh-CN"/>
          <w14:ligatures w14:val="none"/>
        </w:rPr>
        <w:t xml:space="preserve"> </w:t>
      </w:r>
    </w:p>
    <w:p w14:paraId="7CF3DCE3"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Liu, M., Liu, Y., Mo, Z., Zhao, Z., &amp; Zhu, Z., 2019. How CSR influences customer behavioural loyalty in the Chinese hotel industry. Asia Pacific Journal of Marketing and Logistics. </w:t>
      </w:r>
      <w:hyperlink r:id="rId19" w:history="1">
        <w:r w:rsidRPr="00C27AAA">
          <w:rPr>
            <w:rFonts w:ascii="Arial" w:eastAsiaTheme="minorEastAsia" w:hAnsi="Arial" w:cs="Arial"/>
            <w:color w:val="0000FF"/>
            <w:kern w:val="0"/>
            <w:sz w:val="24"/>
            <w:szCs w:val="24"/>
            <w:u w:val="single"/>
            <w:lang w:eastAsia="zh-CN"/>
            <w14:ligatures w14:val="none"/>
          </w:rPr>
          <w:t>https://repository.um.edu.mo/bitstream/10692/23922/1/APJML%202020%20Vol%2032%20No%201%20pp%201-22.pdf</w:t>
        </w:r>
      </w:hyperlink>
      <w:r w:rsidRPr="00C27AAA">
        <w:rPr>
          <w:rFonts w:ascii="Arial" w:eastAsiaTheme="minorEastAsia" w:hAnsi="Arial" w:cs="Arial"/>
          <w:kern w:val="0"/>
          <w:sz w:val="24"/>
          <w:szCs w:val="24"/>
          <w:lang w:eastAsia="zh-CN"/>
          <w14:ligatures w14:val="none"/>
        </w:rPr>
        <w:t xml:space="preserve">  </w:t>
      </w:r>
    </w:p>
    <w:p w14:paraId="326DE714"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proofErr w:type="spellStart"/>
      <w:r w:rsidRPr="00C27AAA">
        <w:rPr>
          <w:rFonts w:ascii="Arial" w:eastAsiaTheme="minorEastAsia" w:hAnsi="Arial" w:cs="Arial"/>
          <w:kern w:val="0"/>
          <w:sz w:val="24"/>
          <w:szCs w:val="24"/>
          <w:lang w:eastAsia="zh-CN"/>
          <w14:ligatures w14:val="none"/>
        </w:rPr>
        <w:t>Medrado</w:t>
      </w:r>
      <w:proofErr w:type="spellEnd"/>
      <w:r w:rsidRPr="00C27AAA">
        <w:rPr>
          <w:rFonts w:ascii="Arial" w:eastAsiaTheme="minorEastAsia" w:hAnsi="Arial" w:cs="Arial"/>
          <w:kern w:val="0"/>
          <w:sz w:val="24"/>
          <w:szCs w:val="24"/>
          <w:lang w:eastAsia="zh-CN"/>
          <w14:ligatures w14:val="none"/>
        </w:rPr>
        <w:t xml:space="preserve">, L., &amp; Jackson, L. (2016). Corporate nonfinancial disclosures: An illuminating look at the </w:t>
      </w:r>
      <w:proofErr w:type="spellStart"/>
      <w:r w:rsidRPr="00C27AAA">
        <w:rPr>
          <w:rFonts w:ascii="Arial" w:eastAsiaTheme="minorEastAsia" w:hAnsi="Arial" w:cs="Arial"/>
          <w:kern w:val="0"/>
          <w:sz w:val="24"/>
          <w:szCs w:val="24"/>
          <w:lang w:eastAsia="zh-CN"/>
          <w14:ligatures w14:val="none"/>
        </w:rPr>
        <w:t>CSRand</w:t>
      </w:r>
      <w:proofErr w:type="spellEnd"/>
      <w:r w:rsidRPr="00C27AAA">
        <w:rPr>
          <w:rFonts w:ascii="Arial" w:eastAsiaTheme="minorEastAsia" w:hAnsi="Arial" w:cs="Arial"/>
          <w:kern w:val="0"/>
          <w:sz w:val="24"/>
          <w:szCs w:val="24"/>
          <w:lang w:eastAsia="zh-CN"/>
          <w14:ligatures w14:val="none"/>
        </w:rPr>
        <w:t xml:space="preserve"> sustainability reporting practices of hospitality and </w:t>
      </w:r>
      <w:r w:rsidRPr="00C27AAA">
        <w:rPr>
          <w:rFonts w:ascii="Arial" w:eastAsiaTheme="minorEastAsia" w:hAnsi="Arial" w:cs="Arial"/>
          <w:kern w:val="0"/>
          <w:sz w:val="24"/>
          <w:szCs w:val="24"/>
          <w:lang w:eastAsia="zh-CN"/>
          <w14:ligatures w14:val="none"/>
        </w:rPr>
        <w:lastRenderedPageBreak/>
        <w:t xml:space="preserve">tourism firms. Tourism and Hospitality Research, 16, 116-132. Available at: </w:t>
      </w:r>
      <w:hyperlink r:id="rId20" w:history="1">
        <w:r w:rsidRPr="00C27AAA">
          <w:rPr>
            <w:rFonts w:ascii="Arial" w:eastAsiaTheme="minorEastAsia" w:hAnsi="Arial" w:cs="Arial"/>
            <w:color w:val="0000FF"/>
            <w:kern w:val="0"/>
            <w:sz w:val="24"/>
            <w:szCs w:val="24"/>
            <w:u w:val="single"/>
            <w:lang w:eastAsia="zh-CN"/>
            <w14:ligatures w14:val="none"/>
          </w:rPr>
          <w:t>https://doi.org/10.1177/1467358415600210</w:t>
        </w:r>
      </w:hyperlink>
      <w:r w:rsidRPr="00C27AAA">
        <w:rPr>
          <w:rFonts w:ascii="Arial" w:eastAsiaTheme="minorEastAsia" w:hAnsi="Arial" w:cs="Arial"/>
          <w:kern w:val="0"/>
          <w:sz w:val="24"/>
          <w:szCs w:val="24"/>
          <w:lang w:eastAsia="zh-CN"/>
          <w14:ligatures w14:val="none"/>
        </w:rPr>
        <w:t xml:space="preserve"> </w:t>
      </w:r>
    </w:p>
    <w:p w14:paraId="3D46B26C"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Nazir, O., &amp; Islam, J. (2020). Effect of CSR activities on meaningfulness, compassion, and employee engagement: A sense-making theoretical approach. International Journal of Hospitality Management, 90, 102630. Available at: </w:t>
      </w:r>
      <w:hyperlink r:id="rId21" w:history="1">
        <w:r w:rsidRPr="00C27AAA">
          <w:rPr>
            <w:rFonts w:ascii="Arial" w:eastAsiaTheme="minorEastAsia" w:hAnsi="Arial" w:cs="Arial"/>
            <w:color w:val="0000FF"/>
            <w:kern w:val="0"/>
            <w:sz w:val="24"/>
            <w:szCs w:val="24"/>
            <w:u w:val="single"/>
            <w:lang w:eastAsia="zh-CN"/>
            <w14:ligatures w14:val="none"/>
          </w:rPr>
          <w:t>https://doi.org/10.1016/j.ijhm.2020.102630</w:t>
        </w:r>
      </w:hyperlink>
    </w:p>
    <w:p w14:paraId="5C37B000"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color w:val="222222"/>
          <w:kern w:val="0"/>
          <w:sz w:val="24"/>
          <w:szCs w:val="24"/>
          <w:shd w:val="clear" w:color="auto" w:fill="FFFFFF"/>
          <w:lang w:eastAsia="zh-CN"/>
          <w14:ligatures w14:val="none"/>
        </w:rPr>
        <w:t xml:space="preserve">Omar, H.A.M.B.B., Ali, M. and </w:t>
      </w:r>
      <w:proofErr w:type="spellStart"/>
      <w:r w:rsidRPr="00C27AAA">
        <w:rPr>
          <w:rFonts w:ascii="Arial" w:eastAsiaTheme="minorEastAsia" w:hAnsi="Arial" w:cs="Arial"/>
          <w:color w:val="222222"/>
          <w:kern w:val="0"/>
          <w:sz w:val="24"/>
          <w:szCs w:val="24"/>
          <w:shd w:val="clear" w:color="auto" w:fill="FFFFFF"/>
          <w:lang w:eastAsia="zh-CN"/>
          <w14:ligatures w14:val="none"/>
        </w:rPr>
        <w:t>Jaharadak</w:t>
      </w:r>
      <w:proofErr w:type="spellEnd"/>
      <w:r w:rsidRPr="00C27AAA">
        <w:rPr>
          <w:rFonts w:ascii="Arial" w:eastAsiaTheme="minorEastAsia" w:hAnsi="Arial" w:cs="Arial"/>
          <w:color w:val="222222"/>
          <w:kern w:val="0"/>
          <w:sz w:val="24"/>
          <w:szCs w:val="24"/>
          <w:shd w:val="clear" w:color="auto" w:fill="FFFFFF"/>
          <w:lang w:eastAsia="zh-CN"/>
          <w14:ligatures w14:val="none"/>
        </w:rPr>
        <w:t>, A.A.B.B., 2019. Green supply chain integrations and corporate sustainability. </w:t>
      </w:r>
      <w:r w:rsidRPr="00C27AAA">
        <w:rPr>
          <w:rFonts w:ascii="Arial" w:eastAsiaTheme="minorEastAsia" w:hAnsi="Arial" w:cs="Arial"/>
          <w:i/>
          <w:iCs/>
          <w:color w:val="222222"/>
          <w:kern w:val="0"/>
          <w:sz w:val="24"/>
          <w:szCs w:val="24"/>
          <w:shd w:val="clear" w:color="auto" w:fill="FFFFFF"/>
          <w:lang w:eastAsia="zh-CN"/>
          <w14:ligatures w14:val="none"/>
        </w:rPr>
        <w:t>Uncertain Supply Chain Management</w:t>
      </w:r>
      <w:r w:rsidRPr="00C27AAA">
        <w:rPr>
          <w:rFonts w:ascii="Arial" w:eastAsiaTheme="minorEastAsia" w:hAnsi="Arial" w:cs="Arial"/>
          <w:color w:val="222222"/>
          <w:kern w:val="0"/>
          <w:sz w:val="24"/>
          <w:szCs w:val="24"/>
          <w:shd w:val="clear" w:color="auto" w:fill="FFFFFF"/>
          <w:lang w:eastAsia="zh-CN"/>
          <w14:ligatures w14:val="none"/>
        </w:rPr>
        <w:t>, </w:t>
      </w:r>
      <w:r w:rsidRPr="00C27AAA">
        <w:rPr>
          <w:rFonts w:ascii="Arial" w:eastAsiaTheme="minorEastAsia" w:hAnsi="Arial" w:cs="Arial"/>
          <w:i/>
          <w:iCs/>
          <w:color w:val="222222"/>
          <w:kern w:val="0"/>
          <w:sz w:val="24"/>
          <w:szCs w:val="24"/>
          <w:shd w:val="clear" w:color="auto" w:fill="FFFFFF"/>
          <w:lang w:eastAsia="zh-CN"/>
          <w14:ligatures w14:val="none"/>
        </w:rPr>
        <w:t>7</w:t>
      </w:r>
      <w:r w:rsidRPr="00C27AAA">
        <w:rPr>
          <w:rFonts w:ascii="Arial" w:eastAsiaTheme="minorEastAsia" w:hAnsi="Arial" w:cs="Arial"/>
          <w:color w:val="222222"/>
          <w:kern w:val="0"/>
          <w:sz w:val="24"/>
          <w:szCs w:val="24"/>
          <w:shd w:val="clear" w:color="auto" w:fill="FFFFFF"/>
          <w:lang w:eastAsia="zh-CN"/>
          <w14:ligatures w14:val="none"/>
        </w:rPr>
        <w:t xml:space="preserve">(4), pp.713-726. </w:t>
      </w:r>
      <w:hyperlink r:id="rId22" w:history="1">
        <w:r w:rsidRPr="00C27AAA">
          <w:rPr>
            <w:rFonts w:ascii="Arial" w:eastAsiaTheme="minorEastAsia" w:hAnsi="Arial" w:cs="Arial"/>
            <w:color w:val="0000FF"/>
            <w:kern w:val="0"/>
            <w:sz w:val="24"/>
            <w:szCs w:val="24"/>
            <w:u w:val="single"/>
            <w:shd w:val="clear" w:color="auto" w:fill="FFFFFF"/>
            <w:lang w:eastAsia="zh-CN"/>
            <w14:ligatures w14:val="none"/>
          </w:rPr>
          <w:t>https://m.growingscience.com/uscm/Vol7/uscm_2019_7.pdf</w:t>
        </w:r>
      </w:hyperlink>
      <w:r w:rsidRPr="00C27AAA">
        <w:rPr>
          <w:rFonts w:ascii="Arial" w:eastAsiaTheme="minorEastAsia" w:hAnsi="Arial" w:cs="Arial"/>
          <w:color w:val="222222"/>
          <w:kern w:val="0"/>
          <w:sz w:val="24"/>
          <w:szCs w:val="24"/>
          <w:shd w:val="clear" w:color="auto" w:fill="FFFFFF"/>
          <w:lang w:eastAsia="zh-CN"/>
          <w14:ligatures w14:val="none"/>
        </w:rPr>
        <w:t xml:space="preserve"> </w:t>
      </w:r>
    </w:p>
    <w:p w14:paraId="5F67D6E0"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Pérez-Calderón, E., </w:t>
      </w:r>
      <w:proofErr w:type="spellStart"/>
      <w:r w:rsidRPr="00C27AAA">
        <w:rPr>
          <w:rFonts w:ascii="Arial" w:eastAsiaTheme="minorEastAsia" w:hAnsi="Arial" w:cs="Arial"/>
          <w:kern w:val="0"/>
          <w:sz w:val="24"/>
          <w:szCs w:val="24"/>
          <w:lang w:eastAsia="zh-CN"/>
          <w14:ligatures w14:val="none"/>
        </w:rPr>
        <w:t>Milanés</w:t>
      </w:r>
      <w:proofErr w:type="spellEnd"/>
      <w:r w:rsidRPr="00C27AAA">
        <w:rPr>
          <w:rFonts w:ascii="Arial" w:eastAsiaTheme="minorEastAsia" w:hAnsi="Arial" w:cs="Arial"/>
          <w:kern w:val="0"/>
          <w:sz w:val="24"/>
          <w:szCs w:val="24"/>
          <w:lang w:eastAsia="zh-CN"/>
          <w14:ligatures w14:val="none"/>
        </w:rPr>
        <w:t xml:space="preserve">-Montero, P. and Stone, C., 2014. Environmental reporting in the hospitality industry: an international analysis. Environmental Engineering and Management Journal, 13, pp.2531-2540. Available at: </w:t>
      </w:r>
      <w:hyperlink r:id="rId23" w:history="1">
        <w:r w:rsidRPr="00C27AAA">
          <w:rPr>
            <w:rFonts w:ascii="Arial" w:eastAsiaTheme="minorEastAsia" w:hAnsi="Arial" w:cs="Arial"/>
            <w:color w:val="0000FF"/>
            <w:kern w:val="0"/>
            <w:sz w:val="24"/>
            <w:szCs w:val="24"/>
            <w:u w:val="single"/>
            <w:lang w:eastAsia="zh-CN"/>
            <w14:ligatures w14:val="none"/>
          </w:rPr>
          <w:t>https://www.researchgate.net/profile/Esteban-Perez-Calderon/publication/295592129_Environmental_Reporting_in_the_Hospitality_Industry_An_International_Analysis/links/5b125595a6fdcc4611dc191f/Environmental-Reporting-in-the-Hospitality-Industry-An-International-Analysis.pdf</w:t>
        </w:r>
      </w:hyperlink>
      <w:r w:rsidRPr="00C27AAA">
        <w:rPr>
          <w:rFonts w:ascii="Arial" w:eastAsiaTheme="minorEastAsia" w:hAnsi="Arial" w:cs="Arial"/>
          <w:kern w:val="0"/>
          <w:sz w:val="24"/>
          <w:szCs w:val="24"/>
          <w:lang w:eastAsia="zh-CN"/>
          <w14:ligatures w14:val="none"/>
        </w:rPr>
        <w:t xml:space="preserve">  [Accessed 13 May 2024].</w:t>
      </w:r>
    </w:p>
    <w:p w14:paraId="2DAB3847" w14:textId="77777777" w:rsidR="00C27AAA" w:rsidRPr="00C27AAA" w:rsidRDefault="00C27AAA" w:rsidP="00C27AAA">
      <w:pPr>
        <w:numPr>
          <w:ilvl w:val="0"/>
          <w:numId w:val="1"/>
        </w:num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Porter, M.E., &amp; Kramer, M.R. (2006). Strategy and Society: The Link Between Competitive Advantage and Corporate Social Responsibility. </w:t>
      </w:r>
      <w:r w:rsidRPr="00C27AAA">
        <w:rPr>
          <w:rFonts w:ascii="Arial" w:eastAsiaTheme="minorEastAsia" w:hAnsi="Arial" w:cs="Arial"/>
          <w:i/>
          <w:iCs/>
          <w:kern w:val="0"/>
          <w:sz w:val="24"/>
          <w:szCs w:val="24"/>
          <w:lang w:eastAsia="zh-CN"/>
          <w14:ligatures w14:val="none"/>
        </w:rPr>
        <w:t>Harvard Business Review</w:t>
      </w:r>
      <w:r w:rsidRPr="00C27AAA">
        <w:rPr>
          <w:rFonts w:ascii="Arial" w:eastAsiaTheme="minorEastAsia" w:hAnsi="Arial" w:cs="Arial"/>
          <w:kern w:val="0"/>
          <w:sz w:val="24"/>
          <w:szCs w:val="24"/>
          <w:lang w:eastAsia="zh-CN"/>
          <w14:ligatures w14:val="none"/>
        </w:rPr>
        <w:t>, 84(12), 78-92.</w:t>
      </w:r>
      <w:hyperlink r:id="rId24" w:history="1">
        <w:r w:rsidRPr="00C27AAA">
          <w:rPr>
            <w:rFonts w:ascii="Arial" w:eastAsiaTheme="minorEastAsia" w:hAnsi="Arial" w:cs="Arial"/>
            <w:color w:val="0000FF"/>
            <w:kern w:val="0"/>
            <w:sz w:val="24"/>
            <w:szCs w:val="24"/>
            <w:u w:val="single"/>
            <w:lang w:eastAsia="zh-CN"/>
            <w14:ligatures w14:val="none"/>
          </w:rPr>
          <w:t>https://hazrevista.org/wp-content/uploads/strategy-society.pdf</w:t>
        </w:r>
      </w:hyperlink>
      <w:r w:rsidRPr="00C27AAA">
        <w:rPr>
          <w:rFonts w:ascii="Arial" w:eastAsiaTheme="minorEastAsia" w:hAnsi="Arial" w:cs="Arial"/>
          <w:kern w:val="0"/>
          <w:sz w:val="24"/>
          <w:szCs w:val="24"/>
          <w:lang w:eastAsia="zh-CN"/>
          <w14:ligatures w14:val="none"/>
        </w:rPr>
        <w:t xml:space="preserve"> </w:t>
      </w:r>
    </w:p>
    <w:p w14:paraId="1C9ABAA9"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Premier Inn. (2023). </w:t>
      </w:r>
      <w:proofErr w:type="spellStart"/>
      <w:r w:rsidRPr="00C27AAA">
        <w:rPr>
          <w:rFonts w:ascii="Arial" w:eastAsiaTheme="minorEastAsia" w:hAnsi="Arial" w:cs="Arial"/>
          <w:kern w:val="0"/>
          <w:sz w:val="24"/>
          <w:szCs w:val="24"/>
          <w:lang w:eastAsia="zh-CN"/>
          <w14:ligatures w14:val="none"/>
        </w:rPr>
        <w:t>CSRReport</w:t>
      </w:r>
      <w:proofErr w:type="spellEnd"/>
      <w:r w:rsidRPr="00C27AAA">
        <w:rPr>
          <w:rFonts w:ascii="Arial" w:eastAsiaTheme="minorEastAsia" w:hAnsi="Arial" w:cs="Arial"/>
          <w:kern w:val="0"/>
          <w:sz w:val="24"/>
          <w:szCs w:val="24"/>
          <w:lang w:eastAsia="zh-CN"/>
          <w14:ligatures w14:val="none"/>
        </w:rPr>
        <w:t xml:space="preserve">. Whitbread PLC. </w:t>
      </w:r>
      <w:hyperlink r:id="rId25" w:history="1">
        <w:r w:rsidRPr="00C27AAA">
          <w:rPr>
            <w:rFonts w:ascii="Arial" w:eastAsiaTheme="minorEastAsia" w:hAnsi="Arial" w:cs="Arial"/>
            <w:color w:val="0000FF"/>
            <w:kern w:val="0"/>
            <w:sz w:val="24"/>
            <w:szCs w:val="24"/>
            <w:u w:val="single"/>
            <w:lang w:eastAsia="zh-CN"/>
            <w14:ligatures w14:val="none"/>
          </w:rPr>
          <w:t>https://cdn.whitbread.co.uk/media/2023/05/Whitbread_ESG_Report_FY22_23.pdf</w:t>
        </w:r>
      </w:hyperlink>
      <w:r w:rsidRPr="00C27AAA">
        <w:rPr>
          <w:rFonts w:ascii="Arial" w:eastAsiaTheme="minorEastAsia" w:hAnsi="Arial" w:cs="Arial"/>
          <w:kern w:val="0"/>
          <w:sz w:val="24"/>
          <w:szCs w:val="24"/>
          <w:lang w:eastAsia="zh-CN"/>
          <w14:ligatures w14:val="none"/>
        </w:rPr>
        <w:t xml:space="preserve">  </w:t>
      </w:r>
    </w:p>
    <w:p w14:paraId="76F7A814" w14:textId="77777777" w:rsidR="00C27AAA" w:rsidRPr="00C27AAA" w:rsidRDefault="00C27AAA" w:rsidP="00C27AAA">
      <w:pPr>
        <w:numPr>
          <w:ilvl w:val="0"/>
          <w:numId w:val="1"/>
        </w:numPr>
        <w:spacing w:after="0" w:line="360" w:lineRule="auto"/>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Premier Inn. (2023). </w:t>
      </w:r>
      <w:r w:rsidRPr="00C27AAA">
        <w:rPr>
          <w:rFonts w:ascii="Arial" w:eastAsiaTheme="minorEastAsia" w:hAnsi="Arial" w:cs="Arial"/>
          <w:i/>
          <w:iCs/>
          <w:kern w:val="0"/>
          <w:sz w:val="24"/>
          <w:szCs w:val="24"/>
          <w:lang w:eastAsia="zh-CN"/>
          <w14:ligatures w14:val="none"/>
        </w:rPr>
        <w:t>Force for Good: Corporate Social Responsibility Report</w:t>
      </w:r>
      <w:r w:rsidRPr="00C27AAA">
        <w:rPr>
          <w:rFonts w:ascii="Arial" w:eastAsiaTheme="minorEastAsia" w:hAnsi="Arial" w:cs="Arial"/>
          <w:kern w:val="0"/>
          <w:sz w:val="24"/>
          <w:szCs w:val="24"/>
          <w:lang w:eastAsia="zh-CN"/>
          <w14:ligatures w14:val="none"/>
        </w:rPr>
        <w:t xml:space="preserve">. [Online] Available </w:t>
      </w:r>
      <w:proofErr w:type="spellStart"/>
      <w:r w:rsidRPr="00C27AAA">
        <w:rPr>
          <w:rFonts w:ascii="Arial" w:eastAsiaTheme="minorEastAsia" w:hAnsi="Arial" w:cs="Arial"/>
          <w:kern w:val="0"/>
          <w:sz w:val="24"/>
          <w:szCs w:val="24"/>
          <w:lang w:eastAsia="zh-CN"/>
          <w14:ligatures w14:val="none"/>
        </w:rPr>
        <w:t>at:</w:t>
      </w:r>
      <w:hyperlink r:id="rId26" w:history="1">
        <w:r w:rsidRPr="00C27AAA">
          <w:rPr>
            <w:rFonts w:ascii="Arial" w:eastAsiaTheme="minorEastAsia" w:hAnsi="Arial" w:cs="Arial"/>
            <w:color w:val="0000FF"/>
            <w:kern w:val="0"/>
            <w:sz w:val="24"/>
            <w:szCs w:val="24"/>
            <w:u w:val="single"/>
            <w:lang w:eastAsia="zh-CN"/>
            <w14:ligatures w14:val="none"/>
          </w:rPr>
          <w:t>https</w:t>
        </w:r>
        <w:proofErr w:type="spellEnd"/>
        <w:r w:rsidRPr="00C27AAA">
          <w:rPr>
            <w:rFonts w:ascii="Arial" w:eastAsiaTheme="minorEastAsia" w:hAnsi="Arial" w:cs="Arial"/>
            <w:color w:val="0000FF"/>
            <w:kern w:val="0"/>
            <w:sz w:val="24"/>
            <w:szCs w:val="24"/>
            <w:u w:val="single"/>
            <w:lang w:eastAsia="zh-CN"/>
            <w14:ligatures w14:val="none"/>
          </w:rPr>
          <w:t>://www.premierinn.com/gb/en/why/force-for-good.html</w:t>
        </w:r>
      </w:hyperlink>
      <w:proofErr w:type="gramStart"/>
      <w:r w:rsidRPr="00C27AAA">
        <w:rPr>
          <w:rFonts w:ascii="Arial" w:eastAsiaTheme="minorEastAsia" w:hAnsi="Arial" w:cs="Arial"/>
          <w:kern w:val="0"/>
          <w:sz w:val="24"/>
          <w:szCs w:val="24"/>
          <w:lang w:eastAsia="zh-CN"/>
          <w14:ligatures w14:val="none"/>
        </w:rPr>
        <w:t xml:space="preserve">   [</w:t>
      </w:r>
      <w:proofErr w:type="gramEnd"/>
      <w:r w:rsidRPr="00C27AAA">
        <w:rPr>
          <w:rFonts w:ascii="Arial" w:eastAsiaTheme="minorEastAsia" w:hAnsi="Arial" w:cs="Arial"/>
          <w:kern w:val="0"/>
          <w:sz w:val="24"/>
          <w:szCs w:val="24"/>
          <w:lang w:eastAsia="zh-CN"/>
          <w14:ligatures w14:val="none"/>
        </w:rPr>
        <w:t>Accessed 8 May 2024].</w:t>
      </w:r>
    </w:p>
    <w:p w14:paraId="15F7FA6F"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proofErr w:type="spellStart"/>
      <w:r w:rsidRPr="00C27AAA">
        <w:rPr>
          <w:rFonts w:ascii="Arial" w:eastAsiaTheme="minorEastAsia" w:hAnsi="Arial" w:cs="Arial"/>
          <w:kern w:val="0"/>
          <w:sz w:val="24"/>
          <w:szCs w:val="24"/>
          <w:lang w:eastAsia="zh-CN"/>
          <w14:ligatures w14:val="none"/>
        </w:rPr>
        <w:t>Rhou</w:t>
      </w:r>
      <w:proofErr w:type="spellEnd"/>
      <w:r w:rsidRPr="00C27AAA">
        <w:rPr>
          <w:rFonts w:ascii="Arial" w:eastAsiaTheme="minorEastAsia" w:hAnsi="Arial" w:cs="Arial"/>
          <w:kern w:val="0"/>
          <w:sz w:val="24"/>
          <w:szCs w:val="24"/>
          <w:lang w:eastAsia="zh-CN"/>
          <w14:ligatures w14:val="none"/>
        </w:rPr>
        <w:t xml:space="preserve">, Y., &amp; Singal, M. (2020). A review of the business case for CSR in the hospitality industry. International Journal of Hospitality Management, 84, 102330. Available at: </w:t>
      </w:r>
      <w:hyperlink r:id="rId27" w:history="1">
        <w:r w:rsidRPr="00C27AAA">
          <w:rPr>
            <w:rFonts w:ascii="Arial" w:eastAsiaTheme="minorEastAsia" w:hAnsi="Arial" w:cs="Arial"/>
            <w:color w:val="0000FF"/>
            <w:kern w:val="0"/>
            <w:sz w:val="24"/>
            <w:szCs w:val="24"/>
            <w:u w:val="single"/>
            <w:lang w:eastAsia="zh-CN"/>
            <w14:ligatures w14:val="none"/>
          </w:rPr>
          <w:t>https://doi.org/10.1016/j.ijhm.2019.102330</w:t>
        </w:r>
      </w:hyperlink>
      <w:r w:rsidRPr="00C27AAA">
        <w:rPr>
          <w:rFonts w:ascii="Arial" w:eastAsiaTheme="minorEastAsia" w:hAnsi="Arial" w:cs="Arial"/>
          <w:kern w:val="0"/>
          <w:sz w:val="24"/>
          <w:szCs w:val="24"/>
          <w:lang w:eastAsia="zh-CN"/>
          <w14:ligatures w14:val="none"/>
        </w:rPr>
        <w:t xml:space="preserve"> </w:t>
      </w:r>
    </w:p>
    <w:p w14:paraId="654F2ED7"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lastRenderedPageBreak/>
        <w:t xml:space="preserve">Shao, J., Cherian, J., Xu, L., Zaheer, M., Samad, S., </w:t>
      </w:r>
      <w:proofErr w:type="spellStart"/>
      <w:r w:rsidRPr="00C27AAA">
        <w:rPr>
          <w:rFonts w:ascii="Arial" w:eastAsiaTheme="minorEastAsia" w:hAnsi="Arial" w:cs="Arial"/>
          <w:kern w:val="0"/>
          <w:sz w:val="24"/>
          <w:szCs w:val="24"/>
          <w:lang w:eastAsia="zh-CN"/>
          <w14:ligatures w14:val="none"/>
        </w:rPr>
        <w:t>Comite</w:t>
      </w:r>
      <w:proofErr w:type="spellEnd"/>
      <w:r w:rsidRPr="00C27AAA">
        <w:rPr>
          <w:rFonts w:ascii="Arial" w:eastAsiaTheme="minorEastAsia" w:hAnsi="Arial" w:cs="Arial"/>
          <w:kern w:val="0"/>
          <w:sz w:val="24"/>
          <w:szCs w:val="24"/>
          <w:lang w:eastAsia="zh-CN"/>
          <w14:ligatures w14:val="none"/>
        </w:rPr>
        <w:t xml:space="preserve">, U., </w:t>
      </w:r>
      <w:proofErr w:type="spellStart"/>
      <w:r w:rsidRPr="00C27AAA">
        <w:rPr>
          <w:rFonts w:ascii="Arial" w:eastAsiaTheme="minorEastAsia" w:hAnsi="Arial" w:cs="Arial"/>
          <w:kern w:val="0"/>
          <w:sz w:val="24"/>
          <w:szCs w:val="24"/>
          <w:lang w:eastAsia="zh-CN"/>
          <w14:ligatures w14:val="none"/>
        </w:rPr>
        <w:t>Meșter</w:t>
      </w:r>
      <w:proofErr w:type="spellEnd"/>
      <w:r w:rsidRPr="00C27AAA">
        <w:rPr>
          <w:rFonts w:ascii="Arial" w:eastAsiaTheme="minorEastAsia" w:hAnsi="Arial" w:cs="Arial"/>
          <w:kern w:val="0"/>
          <w:sz w:val="24"/>
          <w:szCs w:val="24"/>
          <w:lang w:eastAsia="zh-CN"/>
          <w14:ligatures w14:val="none"/>
        </w:rPr>
        <w:t xml:space="preserve">, L., &amp; </w:t>
      </w:r>
      <w:proofErr w:type="spellStart"/>
      <w:r w:rsidRPr="00C27AAA">
        <w:rPr>
          <w:rFonts w:ascii="Arial" w:eastAsiaTheme="minorEastAsia" w:hAnsi="Arial" w:cs="Arial"/>
          <w:kern w:val="0"/>
          <w:sz w:val="24"/>
          <w:szCs w:val="24"/>
          <w:lang w:eastAsia="zh-CN"/>
          <w14:ligatures w14:val="none"/>
        </w:rPr>
        <w:t>Badulescu</w:t>
      </w:r>
      <w:proofErr w:type="spellEnd"/>
      <w:r w:rsidRPr="00C27AAA">
        <w:rPr>
          <w:rFonts w:ascii="Arial" w:eastAsiaTheme="minorEastAsia" w:hAnsi="Arial" w:cs="Arial"/>
          <w:kern w:val="0"/>
          <w:sz w:val="24"/>
          <w:szCs w:val="24"/>
          <w:lang w:eastAsia="zh-CN"/>
          <w14:ligatures w14:val="none"/>
        </w:rPr>
        <w:t xml:space="preserve">, D. (2022). A CSR Perspective to Drive Employee Creativity in the Hospitality Sector: A Moderated Mediation Mechanism of Inclusive Leadership and </w:t>
      </w:r>
      <w:proofErr w:type="spellStart"/>
      <w:r w:rsidRPr="00C27AAA">
        <w:rPr>
          <w:rFonts w:ascii="Arial" w:eastAsiaTheme="minorEastAsia" w:hAnsi="Arial" w:cs="Arial"/>
          <w:kern w:val="0"/>
          <w:sz w:val="24"/>
          <w:szCs w:val="24"/>
          <w:lang w:eastAsia="zh-CN"/>
          <w14:ligatures w14:val="none"/>
        </w:rPr>
        <w:t>Polychronicity</w:t>
      </w:r>
      <w:proofErr w:type="spellEnd"/>
      <w:r w:rsidRPr="00C27AAA">
        <w:rPr>
          <w:rFonts w:ascii="Arial" w:eastAsiaTheme="minorEastAsia" w:hAnsi="Arial" w:cs="Arial"/>
          <w:kern w:val="0"/>
          <w:sz w:val="24"/>
          <w:szCs w:val="24"/>
          <w:lang w:eastAsia="zh-CN"/>
          <w14:ligatures w14:val="none"/>
        </w:rPr>
        <w:t xml:space="preserve">. Sustainability. Available at: </w:t>
      </w:r>
      <w:hyperlink r:id="rId28" w:history="1">
        <w:r w:rsidRPr="00C27AAA">
          <w:rPr>
            <w:rFonts w:ascii="Arial" w:eastAsiaTheme="minorEastAsia" w:hAnsi="Arial" w:cs="Arial"/>
            <w:color w:val="0000FF"/>
            <w:kern w:val="0"/>
            <w:sz w:val="24"/>
            <w:szCs w:val="24"/>
            <w:u w:val="single"/>
            <w:lang w:eastAsia="zh-CN"/>
            <w14:ligatures w14:val="none"/>
          </w:rPr>
          <w:t>https://doi.org/10.3390/su14106273</w:t>
        </w:r>
      </w:hyperlink>
      <w:r w:rsidRPr="00C27AAA">
        <w:rPr>
          <w:rFonts w:ascii="Arial" w:eastAsiaTheme="minorEastAsia" w:hAnsi="Arial" w:cs="Arial"/>
          <w:kern w:val="0"/>
          <w:sz w:val="24"/>
          <w:szCs w:val="24"/>
          <w:lang w:eastAsia="zh-CN"/>
          <w14:ligatures w14:val="none"/>
        </w:rPr>
        <w:t xml:space="preserve"> </w:t>
      </w:r>
    </w:p>
    <w:p w14:paraId="29C4E8FD"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Silva, D., Ferreira, L., &amp; Andrade, D. (2014). </w:t>
      </w:r>
      <w:proofErr w:type="gramStart"/>
      <w:r w:rsidRPr="00C27AAA">
        <w:rPr>
          <w:rFonts w:ascii="Arial" w:eastAsiaTheme="minorEastAsia" w:hAnsi="Arial" w:cs="Arial"/>
          <w:kern w:val="0"/>
          <w:sz w:val="24"/>
          <w:szCs w:val="24"/>
          <w:lang w:eastAsia="zh-CN"/>
          <w14:ligatures w14:val="none"/>
        </w:rPr>
        <w:t>CSR  in</w:t>
      </w:r>
      <w:proofErr w:type="gramEnd"/>
      <w:r w:rsidRPr="00C27AAA">
        <w:rPr>
          <w:rFonts w:ascii="Arial" w:eastAsiaTheme="minorEastAsia" w:hAnsi="Arial" w:cs="Arial"/>
          <w:kern w:val="0"/>
          <w:sz w:val="24"/>
          <w:szCs w:val="24"/>
          <w:lang w:eastAsia="zh-CN"/>
          <w14:ligatures w14:val="none"/>
        </w:rPr>
        <w:t xml:space="preserve"> the Hospitality Industry: Challenges and Practices in São Luís, Maranhão, Brazil. Tourism hospitality management, 2. Available at: </w:t>
      </w:r>
      <w:hyperlink r:id="rId29" w:history="1">
        <w:r w:rsidRPr="00C27AAA">
          <w:rPr>
            <w:rFonts w:ascii="Arial" w:eastAsiaTheme="minorEastAsia" w:hAnsi="Arial" w:cs="Arial"/>
            <w:color w:val="0000FF"/>
            <w:kern w:val="0"/>
            <w:sz w:val="24"/>
            <w:szCs w:val="24"/>
            <w:u w:val="single"/>
            <w:lang w:eastAsia="zh-CN"/>
            <w14:ligatures w14:val="none"/>
          </w:rPr>
          <w:t>https://www.davidpublisher.com/Public/uploads/Contribute/550b9810e97fe.pdf</w:t>
        </w:r>
      </w:hyperlink>
      <w:r w:rsidRPr="00C27AAA">
        <w:rPr>
          <w:rFonts w:ascii="Arial" w:eastAsiaTheme="minorEastAsia" w:hAnsi="Arial" w:cs="Arial"/>
          <w:kern w:val="0"/>
          <w:sz w:val="24"/>
          <w:szCs w:val="24"/>
          <w:lang w:eastAsia="zh-CN"/>
          <w14:ligatures w14:val="none"/>
        </w:rPr>
        <w:t xml:space="preserve"> </w:t>
      </w:r>
    </w:p>
    <w:p w14:paraId="022B078F"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proofErr w:type="spellStart"/>
      <w:r w:rsidRPr="00C27AAA">
        <w:rPr>
          <w:rFonts w:ascii="Arial" w:eastAsiaTheme="minorEastAsia" w:hAnsi="Arial" w:cs="Arial"/>
          <w:kern w:val="0"/>
          <w:sz w:val="24"/>
          <w:szCs w:val="24"/>
          <w:lang w:eastAsia="zh-CN"/>
          <w14:ligatures w14:val="none"/>
        </w:rPr>
        <w:t>Stombelli</w:t>
      </w:r>
      <w:proofErr w:type="spellEnd"/>
      <w:r w:rsidRPr="00C27AAA">
        <w:rPr>
          <w:rFonts w:ascii="Arial" w:eastAsiaTheme="minorEastAsia" w:hAnsi="Arial" w:cs="Arial"/>
          <w:kern w:val="0"/>
          <w:sz w:val="24"/>
          <w:szCs w:val="24"/>
          <w:lang w:eastAsia="zh-CN"/>
          <w14:ligatures w14:val="none"/>
        </w:rPr>
        <w:t xml:space="preserve">, V. (2020). CSRin hospitality: are sustainability initiatives </w:t>
      </w:r>
      <w:proofErr w:type="gramStart"/>
      <w:r w:rsidRPr="00C27AAA">
        <w:rPr>
          <w:rFonts w:ascii="Arial" w:eastAsiaTheme="minorEastAsia" w:hAnsi="Arial" w:cs="Arial"/>
          <w:kern w:val="0"/>
          <w:sz w:val="24"/>
          <w:szCs w:val="24"/>
          <w:lang w:eastAsia="zh-CN"/>
          <w14:ligatures w14:val="none"/>
        </w:rPr>
        <w:t>really sustainable</w:t>
      </w:r>
      <w:proofErr w:type="gramEnd"/>
      <w:r w:rsidRPr="00C27AAA">
        <w:rPr>
          <w:rFonts w:ascii="Arial" w:eastAsiaTheme="minorEastAsia" w:hAnsi="Arial" w:cs="Arial"/>
          <w:kern w:val="0"/>
          <w:sz w:val="24"/>
          <w:szCs w:val="24"/>
          <w:lang w:eastAsia="zh-CN"/>
          <w14:ligatures w14:val="none"/>
        </w:rPr>
        <w:t xml:space="preserve">? Case examples from </w:t>
      </w:r>
      <w:proofErr w:type="spellStart"/>
      <w:r w:rsidRPr="00C27AAA">
        <w:rPr>
          <w:rFonts w:ascii="Arial" w:eastAsiaTheme="minorEastAsia" w:hAnsi="Arial" w:cs="Arial"/>
          <w:kern w:val="0"/>
          <w:sz w:val="24"/>
          <w:szCs w:val="24"/>
          <w:lang w:eastAsia="zh-CN"/>
          <w14:ligatures w14:val="none"/>
        </w:rPr>
        <w:t>CitizenM</w:t>
      </w:r>
      <w:proofErr w:type="spellEnd"/>
      <w:r w:rsidRPr="00C27AAA">
        <w:rPr>
          <w:rFonts w:ascii="Arial" w:eastAsiaTheme="minorEastAsia" w:hAnsi="Arial" w:cs="Arial"/>
          <w:kern w:val="0"/>
          <w:sz w:val="24"/>
          <w:szCs w:val="24"/>
          <w:lang w:eastAsia="zh-CN"/>
          <w14:ligatures w14:val="none"/>
        </w:rPr>
        <w:t xml:space="preserve">, </w:t>
      </w:r>
      <w:proofErr w:type="spellStart"/>
      <w:r w:rsidRPr="00C27AAA">
        <w:rPr>
          <w:rFonts w:ascii="Arial" w:eastAsiaTheme="minorEastAsia" w:hAnsi="Arial" w:cs="Arial"/>
          <w:kern w:val="0"/>
          <w:sz w:val="24"/>
          <w:szCs w:val="24"/>
          <w:lang w:eastAsia="zh-CN"/>
          <w14:ligatures w14:val="none"/>
        </w:rPr>
        <w:t>Lefay</w:t>
      </w:r>
      <w:proofErr w:type="spellEnd"/>
      <w:r w:rsidRPr="00C27AAA">
        <w:rPr>
          <w:rFonts w:ascii="Arial" w:eastAsiaTheme="minorEastAsia" w:hAnsi="Arial" w:cs="Arial"/>
          <w:kern w:val="0"/>
          <w:sz w:val="24"/>
          <w:szCs w:val="24"/>
          <w:lang w:eastAsia="zh-CN"/>
          <w14:ligatures w14:val="none"/>
        </w:rPr>
        <w:t xml:space="preserve"> and Six Senses. Worldwide Hospitality and Tourism Themes, 12, 525-545. Available at: </w:t>
      </w:r>
      <w:hyperlink r:id="rId30" w:history="1">
        <w:r w:rsidRPr="00C27AAA">
          <w:rPr>
            <w:rFonts w:ascii="Arial" w:eastAsiaTheme="minorEastAsia" w:hAnsi="Arial" w:cs="Arial"/>
            <w:color w:val="0000FF"/>
            <w:kern w:val="0"/>
            <w:sz w:val="24"/>
            <w:szCs w:val="24"/>
            <w:u w:val="single"/>
            <w:lang w:eastAsia="zh-CN"/>
            <w14:ligatures w14:val="none"/>
          </w:rPr>
          <w:t>https://doi.org/10.1108/WHATT-06-2020-0041</w:t>
        </w:r>
      </w:hyperlink>
      <w:r w:rsidRPr="00C27AAA">
        <w:rPr>
          <w:rFonts w:ascii="Arial" w:eastAsiaTheme="minorEastAsia" w:hAnsi="Arial" w:cs="Arial"/>
          <w:kern w:val="0"/>
          <w:sz w:val="24"/>
          <w:szCs w:val="24"/>
          <w:lang w:eastAsia="zh-CN"/>
          <w14:ligatures w14:val="none"/>
        </w:rPr>
        <w:t xml:space="preserve"> </w:t>
      </w:r>
    </w:p>
    <w:p w14:paraId="47CD9DAA"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proofErr w:type="spellStart"/>
      <w:r w:rsidRPr="00C27AAA">
        <w:rPr>
          <w:rFonts w:ascii="Arial" w:eastAsiaTheme="minorEastAsia" w:hAnsi="Arial" w:cs="Arial"/>
          <w:kern w:val="0"/>
          <w:sz w:val="24"/>
          <w:szCs w:val="24"/>
          <w:lang w:eastAsia="zh-CN"/>
          <w14:ligatures w14:val="none"/>
        </w:rPr>
        <w:t>Subarkah</w:t>
      </w:r>
      <w:proofErr w:type="spellEnd"/>
      <w:r w:rsidRPr="00C27AAA">
        <w:rPr>
          <w:rFonts w:ascii="Arial" w:eastAsiaTheme="minorEastAsia" w:hAnsi="Arial" w:cs="Arial"/>
          <w:kern w:val="0"/>
          <w:sz w:val="24"/>
          <w:szCs w:val="24"/>
          <w:lang w:eastAsia="zh-CN"/>
          <w14:ligatures w14:val="none"/>
        </w:rPr>
        <w:t xml:space="preserve">, J., </w:t>
      </w:r>
      <w:proofErr w:type="spellStart"/>
      <w:r w:rsidRPr="00C27AAA">
        <w:rPr>
          <w:rFonts w:ascii="Arial" w:eastAsiaTheme="minorEastAsia" w:hAnsi="Arial" w:cs="Arial"/>
          <w:kern w:val="0"/>
          <w:sz w:val="24"/>
          <w:szCs w:val="24"/>
          <w:lang w:eastAsia="zh-CN"/>
          <w14:ligatures w14:val="none"/>
        </w:rPr>
        <w:t>Karsidi</w:t>
      </w:r>
      <w:proofErr w:type="spellEnd"/>
      <w:r w:rsidRPr="00C27AAA">
        <w:rPr>
          <w:rFonts w:ascii="Arial" w:eastAsiaTheme="minorEastAsia" w:hAnsi="Arial" w:cs="Arial"/>
          <w:kern w:val="0"/>
          <w:sz w:val="24"/>
          <w:szCs w:val="24"/>
          <w:lang w:eastAsia="zh-CN"/>
          <w14:ligatures w14:val="none"/>
        </w:rPr>
        <w:t xml:space="preserve">, R., </w:t>
      </w:r>
      <w:proofErr w:type="spellStart"/>
      <w:r w:rsidRPr="00C27AAA">
        <w:rPr>
          <w:rFonts w:ascii="Arial" w:eastAsiaTheme="minorEastAsia" w:hAnsi="Arial" w:cs="Arial"/>
          <w:kern w:val="0"/>
          <w:sz w:val="24"/>
          <w:szCs w:val="24"/>
          <w:lang w:eastAsia="zh-CN"/>
          <w14:ligatures w14:val="none"/>
        </w:rPr>
        <w:t>Diharjo</w:t>
      </w:r>
      <w:proofErr w:type="spellEnd"/>
      <w:r w:rsidRPr="00C27AAA">
        <w:rPr>
          <w:rFonts w:ascii="Arial" w:eastAsiaTheme="minorEastAsia" w:hAnsi="Arial" w:cs="Arial"/>
          <w:kern w:val="0"/>
          <w:sz w:val="24"/>
          <w:szCs w:val="24"/>
          <w:lang w:eastAsia="zh-CN"/>
          <w14:ligatures w14:val="none"/>
        </w:rPr>
        <w:t xml:space="preserve">, K., &amp; Kartono, D. (2019). THE EFFECT OF CSR HOTEL DEVELOPMENT ON MICRO BUSINESS POTENTIAL IN ENVIRONMENTAL CONSERVATION. International Journal of Economics, Business and Accounting Research (IJEBAR). Available at: </w:t>
      </w:r>
      <w:hyperlink r:id="rId31" w:history="1">
        <w:r w:rsidRPr="00C27AAA">
          <w:rPr>
            <w:rFonts w:ascii="Arial" w:eastAsiaTheme="minorEastAsia" w:hAnsi="Arial" w:cs="Arial"/>
            <w:color w:val="0000FF"/>
            <w:kern w:val="0"/>
            <w:sz w:val="24"/>
            <w:szCs w:val="24"/>
            <w:u w:val="single"/>
            <w:lang w:eastAsia="zh-CN"/>
            <w14:ligatures w14:val="none"/>
          </w:rPr>
          <w:t>https://jurnal.stie-aas.ac.id/index.php/IJEBAR/article/view/446/258</w:t>
        </w:r>
      </w:hyperlink>
      <w:r w:rsidRPr="00C27AAA">
        <w:rPr>
          <w:rFonts w:ascii="Arial" w:eastAsiaTheme="minorEastAsia" w:hAnsi="Arial" w:cs="Arial"/>
          <w:kern w:val="0"/>
          <w:sz w:val="24"/>
          <w:szCs w:val="24"/>
          <w:lang w:eastAsia="zh-CN"/>
          <w14:ligatures w14:val="none"/>
        </w:rPr>
        <w:t xml:space="preserve"> </w:t>
      </w:r>
    </w:p>
    <w:p w14:paraId="36265CC0"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Uyar, A., Kılıç, M., </w:t>
      </w:r>
      <w:proofErr w:type="spellStart"/>
      <w:r w:rsidRPr="00C27AAA">
        <w:rPr>
          <w:rFonts w:ascii="Arial" w:eastAsiaTheme="minorEastAsia" w:hAnsi="Arial" w:cs="Arial"/>
          <w:kern w:val="0"/>
          <w:sz w:val="24"/>
          <w:szCs w:val="24"/>
          <w:lang w:eastAsia="zh-CN"/>
          <w14:ligatures w14:val="none"/>
        </w:rPr>
        <w:t>Koseoglu</w:t>
      </w:r>
      <w:proofErr w:type="spellEnd"/>
      <w:r w:rsidRPr="00C27AAA">
        <w:rPr>
          <w:rFonts w:ascii="Arial" w:eastAsiaTheme="minorEastAsia" w:hAnsi="Arial" w:cs="Arial"/>
          <w:kern w:val="0"/>
          <w:sz w:val="24"/>
          <w:szCs w:val="24"/>
          <w:lang w:eastAsia="zh-CN"/>
          <w14:ligatures w14:val="none"/>
        </w:rPr>
        <w:t xml:space="preserve">, M., Kuzey, C., &amp; Karaman, A. (2020). The link among board characteristics, </w:t>
      </w:r>
      <w:proofErr w:type="spellStart"/>
      <w:r w:rsidRPr="00C27AAA">
        <w:rPr>
          <w:rFonts w:ascii="Arial" w:eastAsiaTheme="minorEastAsia" w:hAnsi="Arial" w:cs="Arial"/>
          <w:kern w:val="0"/>
          <w:sz w:val="24"/>
          <w:szCs w:val="24"/>
          <w:lang w:eastAsia="zh-CN"/>
          <w14:ligatures w14:val="none"/>
        </w:rPr>
        <w:t>CSRperformance</w:t>
      </w:r>
      <w:proofErr w:type="spellEnd"/>
      <w:r w:rsidRPr="00C27AAA">
        <w:rPr>
          <w:rFonts w:ascii="Arial" w:eastAsiaTheme="minorEastAsia" w:hAnsi="Arial" w:cs="Arial"/>
          <w:kern w:val="0"/>
          <w:sz w:val="24"/>
          <w:szCs w:val="24"/>
          <w:lang w:eastAsia="zh-CN"/>
          <w14:ligatures w14:val="none"/>
        </w:rPr>
        <w:t xml:space="preserve">, and financial performance: Evidence from the hospitality and tourism industry. Tourism Management Perspectives, 35, 100714. Available at: </w:t>
      </w:r>
      <w:hyperlink r:id="rId32" w:history="1">
        <w:r w:rsidRPr="00C27AAA">
          <w:rPr>
            <w:rFonts w:ascii="Arial" w:eastAsiaTheme="minorEastAsia" w:hAnsi="Arial" w:cs="Arial"/>
            <w:color w:val="0000FF"/>
            <w:kern w:val="0"/>
            <w:sz w:val="24"/>
            <w:szCs w:val="24"/>
            <w:u w:val="single"/>
            <w:lang w:eastAsia="zh-CN"/>
            <w14:ligatures w14:val="none"/>
          </w:rPr>
          <w:t>https://doi.org/10.1016/j.tmp.2020.100714</w:t>
        </w:r>
      </w:hyperlink>
      <w:r w:rsidRPr="00C27AAA">
        <w:rPr>
          <w:rFonts w:ascii="Arial" w:eastAsiaTheme="minorEastAsia" w:hAnsi="Arial" w:cs="Arial"/>
          <w:kern w:val="0"/>
          <w:sz w:val="24"/>
          <w:szCs w:val="24"/>
          <w:lang w:eastAsia="zh-CN"/>
          <w14:ligatures w14:val="none"/>
        </w:rPr>
        <w:t xml:space="preserve"> </w:t>
      </w:r>
    </w:p>
    <w:p w14:paraId="78C101FF"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Wut, T., Xu, B., &amp; Wong, H. (2021). A 15-year Review of “</w:t>
      </w:r>
      <w:proofErr w:type="spellStart"/>
      <w:r w:rsidRPr="00C27AAA">
        <w:rPr>
          <w:rFonts w:ascii="Arial" w:eastAsiaTheme="minorEastAsia" w:hAnsi="Arial" w:cs="Arial"/>
          <w:kern w:val="0"/>
          <w:sz w:val="24"/>
          <w:szCs w:val="24"/>
          <w:lang w:eastAsia="zh-CN"/>
          <w14:ligatures w14:val="none"/>
        </w:rPr>
        <w:t>CSRPractices</w:t>
      </w:r>
      <w:proofErr w:type="spellEnd"/>
      <w:r w:rsidRPr="00C27AAA">
        <w:rPr>
          <w:rFonts w:ascii="Arial" w:eastAsiaTheme="minorEastAsia" w:hAnsi="Arial" w:cs="Arial"/>
          <w:kern w:val="0"/>
          <w:sz w:val="24"/>
          <w:szCs w:val="24"/>
          <w:lang w:eastAsia="zh-CN"/>
          <w14:ligatures w14:val="none"/>
        </w:rPr>
        <w:t xml:space="preserve">” Research in the Hospitality and Tourism Industry. Journal of Quality Assurance in Hospitality &amp; Tourism, 23, 240-274. Available at: </w:t>
      </w:r>
      <w:hyperlink r:id="rId33" w:history="1">
        <w:r w:rsidRPr="00C27AAA">
          <w:rPr>
            <w:rFonts w:ascii="Arial" w:eastAsiaTheme="minorEastAsia" w:hAnsi="Arial" w:cs="Arial"/>
            <w:color w:val="0000FF"/>
            <w:kern w:val="0"/>
            <w:sz w:val="24"/>
            <w:szCs w:val="24"/>
            <w:u w:val="single"/>
            <w:lang w:eastAsia="zh-CN"/>
            <w14:ligatures w14:val="none"/>
          </w:rPr>
          <w:t>https://doi.org/10.1080/1528008X.2020.1864566</w:t>
        </w:r>
      </w:hyperlink>
      <w:r w:rsidRPr="00C27AAA">
        <w:rPr>
          <w:rFonts w:ascii="Arial" w:eastAsiaTheme="minorEastAsia" w:hAnsi="Arial" w:cs="Arial"/>
          <w:kern w:val="0"/>
          <w:sz w:val="24"/>
          <w:szCs w:val="24"/>
          <w:lang w:eastAsia="zh-CN"/>
          <w14:ligatures w14:val="none"/>
        </w:rPr>
        <w:t xml:space="preserve"> </w:t>
      </w:r>
    </w:p>
    <w:p w14:paraId="1F768215" w14:textId="77777777" w:rsidR="00C27AAA" w:rsidRPr="00C27AAA" w:rsidRDefault="00C27AAA" w:rsidP="00C27AAA">
      <w:pPr>
        <w:numPr>
          <w:ilvl w:val="0"/>
          <w:numId w:val="1"/>
        </w:numPr>
        <w:spacing w:after="0" w:line="360" w:lineRule="auto"/>
        <w:contextualSpacing/>
        <w:jc w:val="both"/>
        <w:rPr>
          <w:rFonts w:ascii="Arial" w:eastAsiaTheme="minorEastAsia" w:hAnsi="Arial" w:cs="Arial"/>
          <w:kern w:val="0"/>
          <w:sz w:val="24"/>
          <w:szCs w:val="24"/>
          <w:lang w:eastAsia="zh-CN"/>
          <w14:ligatures w14:val="none"/>
        </w:rPr>
      </w:pPr>
      <w:r w:rsidRPr="00C27AAA">
        <w:rPr>
          <w:rFonts w:ascii="Arial" w:eastAsiaTheme="minorEastAsia" w:hAnsi="Arial" w:cs="Arial"/>
          <w:kern w:val="0"/>
          <w:sz w:val="24"/>
          <w:szCs w:val="24"/>
          <w:lang w:eastAsia="zh-CN"/>
          <w14:ligatures w14:val="none"/>
        </w:rPr>
        <w:t xml:space="preserve">Zhang, H., </w:t>
      </w:r>
      <w:proofErr w:type="spellStart"/>
      <w:r w:rsidRPr="00C27AAA">
        <w:rPr>
          <w:rFonts w:ascii="Arial" w:eastAsiaTheme="minorEastAsia" w:hAnsi="Arial" w:cs="Arial"/>
          <w:kern w:val="0"/>
          <w:sz w:val="24"/>
          <w:szCs w:val="24"/>
          <w:lang w:eastAsia="zh-CN"/>
          <w14:ligatures w14:val="none"/>
        </w:rPr>
        <w:t>Omhand</w:t>
      </w:r>
      <w:proofErr w:type="spellEnd"/>
      <w:r w:rsidRPr="00C27AAA">
        <w:rPr>
          <w:rFonts w:ascii="Arial" w:eastAsiaTheme="minorEastAsia" w:hAnsi="Arial" w:cs="Arial"/>
          <w:kern w:val="0"/>
          <w:sz w:val="24"/>
          <w:szCs w:val="24"/>
          <w:lang w:eastAsia="zh-CN"/>
          <w14:ligatures w14:val="none"/>
        </w:rPr>
        <w:t xml:space="preserve">, K., Li, H., Ahmad, A., Samad, S., </w:t>
      </w:r>
      <w:proofErr w:type="spellStart"/>
      <w:r w:rsidRPr="00C27AAA">
        <w:rPr>
          <w:rFonts w:ascii="Arial" w:eastAsiaTheme="minorEastAsia" w:hAnsi="Arial" w:cs="Arial"/>
          <w:kern w:val="0"/>
          <w:sz w:val="24"/>
          <w:szCs w:val="24"/>
          <w:lang w:eastAsia="zh-CN"/>
          <w14:ligatures w14:val="none"/>
        </w:rPr>
        <w:t>Gavrilut</w:t>
      </w:r>
      <w:proofErr w:type="spellEnd"/>
      <w:r w:rsidRPr="00C27AAA">
        <w:rPr>
          <w:rFonts w:ascii="Arial" w:eastAsiaTheme="minorEastAsia" w:hAnsi="Arial" w:cs="Arial"/>
          <w:kern w:val="0"/>
          <w:sz w:val="24"/>
          <w:szCs w:val="24"/>
          <w:lang w:eastAsia="zh-CN"/>
          <w14:ligatures w14:val="none"/>
        </w:rPr>
        <w:t xml:space="preserve">, D., &amp; </w:t>
      </w:r>
      <w:proofErr w:type="spellStart"/>
      <w:r w:rsidRPr="00C27AAA">
        <w:rPr>
          <w:rFonts w:ascii="Arial" w:eastAsiaTheme="minorEastAsia" w:hAnsi="Arial" w:cs="Arial"/>
          <w:kern w:val="0"/>
          <w:sz w:val="24"/>
          <w:szCs w:val="24"/>
          <w:lang w:eastAsia="zh-CN"/>
          <w14:ligatures w14:val="none"/>
        </w:rPr>
        <w:t>Badulescu</w:t>
      </w:r>
      <w:proofErr w:type="spellEnd"/>
      <w:r w:rsidRPr="00C27AAA">
        <w:rPr>
          <w:rFonts w:ascii="Arial" w:eastAsiaTheme="minorEastAsia" w:hAnsi="Arial" w:cs="Arial"/>
          <w:kern w:val="0"/>
          <w:sz w:val="24"/>
          <w:szCs w:val="24"/>
          <w:lang w:eastAsia="zh-CN"/>
          <w14:ligatures w14:val="none"/>
        </w:rPr>
        <w:t xml:space="preserve">, D. (2022). </w:t>
      </w:r>
      <w:proofErr w:type="spellStart"/>
      <w:r w:rsidRPr="00C27AAA">
        <w:rPr>
          <w:rFonts w:ascii="Arial" w:eastAsiaTheme="minorEastAsia" w:hAnsi="Arial" w:cs="Arial"/>
          <w:kern w:val="0"/>
          <w:sz w:val="24"/>
          <w:szCs w:val="24"/>
          <w:lang w:eastAsia="zh-CN"/>
          <w14:ligatures w14:val="none"/>
        </w:rPr>
        <w:t>CSRand</w:t>
      </w:r>
      <w:proofErr w:type="spellEnd"/>
      <w:r w:rsidRPr="00C27AAA">
        <w:rPr>
          <w:rFonts w:ascii="Arial" w:eastAsiaTheme="minorEastAsia" w:hAnsi="Arial" w:cs="Arial"/>
          <w:kern w:val="0"/>
          <w:sz w:val="24"/>
          <w:szCs w:val="24"/>
          <w:lang w:eastAsia="zh-CN"/>
          <w14:ligatures w14:val="none"/>
        </w:rPr>
        <w:t xml:space="preserve"> Energy-Related Pro-Environmental Behaviour of Employees in Hospitality Industry. International Journal of Environmental Research and Public Health, 19. Available at: </w:t>
      </w:r>
      <w:hyperlink r:id="rId34" w:history="1">
        <w:r w:rsidRPr="00C27AAA">
          <w:rPr>
            <w:rFonts w:ascii="Arial" w:eastAsiaTheme="minorEastAsia" w:hAnsi="Arial" w:cs="Arial"/>
            <w:color w:val="0000FF"/>
            <w:kern w:val="0"/>
            <w:sz w:val="24"/>
            <w:szCs w:val="24"/>
            <w:u w:val="single"/>
            <w:lang w:eastAsia="zh-CN"/>
            <w14:ligatures w14:val="none"/>
          </w:rPr>
          <w:t>https://doi.org/10.3390/ijerph192316141</w:t>
        </w:r>
      </w:hyperlink>
      <w:r w:rsidRPr="00C27AAA">
        <w:rPr>
          <w:rFonts w:ascii="Arial" w:eastAsiaTheme="minorEastAsia" w:hAnsi="Arial" w:cs="Arial"/>
          <w:kern w:val="0"/>
          <w:sz w:val="24"/>
          <w:szCs w:val="24"/>
          <w:lang w:eastAsia="zh-CN"/>
          <w14:ligatures w14:val="none"/>
        </w:rPr>
        <w:t xml:space="preserve"> </w:t>
      </w:r>
    </w:p>
    <w:p w14:paraId="20692F94"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p>
    <w:p w14:paraId="7E531355"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p>
    <w:p w14:paraId="5419AA86"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p>
    <w:p w14:paraId="77AFC040"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p>
    <w:p w14:paraId="2C6F54D5"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p>
    <w:p w14:paraId="46163357" w14:textId="77777777" w:rsidR="00C27AAA" w:rsidRPr="00C27AAA" w:rsidRDefault="00C27AAA" w:rsidP="00C27AAA">
      <w:pPr>
        <w:spacing w:after="0" w:line="360" w:lineRule="auto"/>
        <w:jc w:val="both"/>
        <w:rPr>
          <w:rFonts w:ascii="Arial" w:eastAsiaTheme="minorEastAsia" w:hAnsi="Arial" w:cs="Arial"/>
          <w:kern w:val="0"/>
          <w:sz w:val="24"/>
          <w:szCs w:val="24"/>
          <w:lang w:eastAsia="zh-CN"/>
          <w14:ligatures w14:val="none"/>
        </w:rPr>
      </w:pPr>
    </w:p>
    <w:p w14:paraId="288A8030" w14:textId="77777777" w:rsidR="002D254F" w:rsidRDefault="002D254F"/>
    <w:sectPr w:rsidR="002D254F" w:rsidSect="00C27A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8B4599"/>
    <w:multiLevelType w:val="hybridMultilevel"/>
    <w:tmpl w:val="9FA634AC"/>
    <w:lvl w:ilvl="0" w:tplc="0809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58462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FF9"/>
    <w:rsid w:val="002D254F"/>
    <w:rsid w:val="00637FF9"/>
    <w:rsid w:val="00A37B95"/>
    <w:rsid w:val="00C27AAA"/>
    <w:rsid w:val="00E73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6F3F8"/>
  <w15:chartTrackingRefBased/>
  <w15:docId w15:val="{207FC1B5-A360-428C-9037-528E2A4B8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7F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7F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7F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7F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7F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7F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7F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7F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7F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F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7F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7F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7F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7F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7F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7F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7F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7FF9"/>
    <w:rPr>
      <w:rFonts w:eastAsiaTheme="majorEastAsia" w:cstheme="majorBidi"/>
      <w:color w:val="272727" w:themeColor="text1" w:themeTint="D8"/>
    </w:rPr>
  </w:style>
  <w:style w:type="paragraph" w:styleId="Title">
    <w:name w:val="Title"/>
    <w:basedOn w:val="Normal"/>
    <w:next w:val="Normal"/>
    <w:link w:val="TitleChar"/>
    <w:uiPriority w:val="10"/>
    <w:qFormat/>
    <w:rsid w:val="00637F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7F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7F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7F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7FF9"/>
    <w:pPr>
      <w:spacing w:before="160"/>
      <w:jc w:val="center"/>
    </w:pPr>
    <w:rPr>
      <w:i/>
      <w:iCs/>
      <w:color w:val="404040" w:themeColor="text1" w:themeTint="BF"/>
    </w:rPr>
  </w:style>
  <w:style w:type="character" w:customStyle="1" w:styleId="QuoteChar">
    <w:name w:val="Quote Char"/>
    <w:basedOn w:val="DefaultParagraphFont"/>
    <w:link w:val="Quote"/>
    <w:uiPriority w:val="29"/>
    <w:rsid w:val="00637FF9"/>
    <w:rPr>
      <w:i/>
      <w:iCs/>
      <w:color w:val="404040" w:themeColor="text1" w:themeTint="BF"/>
    </w:rPr>
  </w:style>
  <w:style w:type="paragraph" w:styleId="ListParagraph">
    <w:name w:val="List Paragraph"/>
    <w:basedOn w:val="Normal"/>
    <w:uiPriority w:val="34"/>
    <w:qFormat/>
    <w:rsid w:val="00637FF9"/>
    <w:pPr>
      <w:ind w:left="720"/>
      <w:contextualSpacing/>
    </w:pPr>
  </w:style>
  <w:style w:type="character" w:styleId="IntenseEmphasis">
    <w:name w:val="Intense Emphasis"/>
    <w:basedOn w:val="DefaultParagraphFont"/>
    <w:uiPriority w:val="21"/>
    <w:qFormat/>
    <w:rsid w:val="00637FF9"/>
    <w:rPr>
      <w:i/>
      <w:iCs/>
      <w:color w:val="0F4761" w:themeColor="accent1" w:themeShade="BF"/>
    </w:rPr>
  </w:style>
  <w:style w:type="paragraph" w:styleId="IntenseQuote">
    <w:name w:val="Intense Quote"/>
    <w:basedOn w:val="Normal"/>
    <w:next w:val="Normal"/>
    <w:link w:val="IntenseQuoteChar"/>
    <w:uiPriority w:val="30"/>
    <w:qFormat/>
    <w:rsid w:val="00637F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7FF9"/>
    <w:rPr>
      <w:i/>
      <w:iCs/>
      <w:color w:val="0F4761" w:themeColor="accent1" w:themeShade="BF"/>
    </w:rPr>
  </w:style>
  <w:style w:type="character" w:styleId="IntenseReference">
    <w:name w:val="Intense Reference"/>
    <w:basedOn w:val="DefaultParagraphFont"/>
    <w:uiPriority w:val="32"/>
    <w:qFormat/>
    <w:rsid w:val="00637FF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SRJ-11-2012-0144" TargetMode="External"/><Relationship Id="rId18" Type="http://schemas.openxmlformats.org/officeDocument/2006/relationships/hyperlink" Target="https://www.researchgate.net/publication/341460466_Corporate_Social_Responsibility_CSR_and_customer_loyalty_in_the_hotel_industry_A_cross-country_study" TargetMode="External"/><Relationship Id="rId26" Type="http://schemas.openxmlformats.org/officeDocument/2006/relationships/hyperlink" Target="https://www.premierinn.com/gb/en/why/force-for-good.html" TargetMode="External"/><Relationship Id="rId3" Type="http://schemas.openxmlformats.org/officeDocument/2006/relationships/settings" Target="settings.xml"/><Relationship Id="rId21" Type="http://schemas.openxmlformats.org/officeDocument/2006/relationships/hyperlink" Target="https://doi.org/10.1016/j.ijhm.2020.102630" TargetMode="External"/><Relationship Id="rId34" Type="http://schemas.openxmlformats.org/officeDocument/2006/relationships/hyperlink" Target="https://doi.org/10.3390/ijerph192316141" TargetMode="External"/><Relationship Id="rId7" Type="http://schemas.openxmlformats.org/officeDocument/2006/relationships/hyperlink" Target="https://www.igi-global.com/gateway/chapter/239011" TargetMode="External"/><Relationship Id="rId12" Type="http://schemas.openxmlformats.org/officeDocument/2006/relationships/hyperlink" Target="https://www.researchgate.net/publication/228123773_Corporate_Social_Responsibility_In_Global_Context" TargetMode="External"/><Relationship Id="rId17" Type="http://schemas.openxmlformats.org/officeDocument/2006/relationships/hyperlink" Target="https://doi.org/10.3390/su131910534" TargetMode="External"/><Relationship Id="rId25" Type="http://schemas.openxmlformats.org/officeDocument/2006/relationships/hyperlink" Target="https://cdn.whitbread.co.uk/media/2023/05/Whitbread_ESG_Report_FY22_23.pdf" TargetMode="External"/><Relationship Id="rId33" Type="http://schemas.openxmlformats.org/officeDocument/2006/relationships/hyperlink" Target="https://doi.org/10.1080/1528008X.2020.1864566" TargetMode="External"/><Relationship Id="rId2" Type="http://schemas.openxmlformats.org/officeDocument/2006/relationships/styles" Target="styles.xml"/><Relationship Id="rId16" Type="http://schemas.openxmlformats.org/officeDocument/2006/relationships/hyperlink" Target="https://www.researchgate.net/publication/325541436_Exploring_Circular_Economy_in_the_Hospitality_Industry" TargetMode="External"/><Relationship Id="rId20" Type="http://schemas.openxmlformats.org/officeDocument/2006/relationships/hyperlink" Target="https://doi.org/10.1177/1467358415600210" TargetMode="External"/><Relationship Id="rId29" Type="http://schemas.openxmlformats.org/officeDocument/2006/relationships/hyperlink" Target="https://www.davidpublisher.com/Public/uploads/Contribute/550b9810e97fe.pdf" TargetMode="External"/><Relationship Id="rId1" Type="http://schemas.openxmlformats.org/officeDocument/2006/relationships/numbering" Target="numbering.xml"/><Relationship Id="rId6" Type="http://schemas.openxmlformats.org/officeDocument/2006/relationships/hyperlink" Target="https://www.academia.edu/38300413" TargetMode="External"/><Relationship Id="rId11" Type="http://schemas.openxmlformats.org/officeDocument/2006/relationships/hyperlink" Target="https://doi.org/10.1002/sd.2059" TargetMode="External"/><Relationship Id="rId24" Type="http://schemas.openxmlformats.org/officeDocument/2006/relationships/hyperlink" Target="https://hazrevista.org/wp-content/uploads/strategy-society.pdf" TargetMode="External"/><Relationship Id="rId32" Type="http://schemas.openxmlformats.org/officeDocument/2006/relationships/hyperlink" Target="https://doi.org/10.1016/j.tmp.2020.100714" TargetMode="External"/><Relationship Id="rId5" Type="http://schemas.openxmlformats.org/officeDocument/2006/relationships/hyperlink" Target="https://www.academia.edu/38300413/Janine_M_Benyus_Biomimicry_Innovation_Inspired_by_Nature_2002_Harper_Perennial_1_" TargetMode="External"/><Relationship Id="rId15" Type="http://schemas.openxmlformats.org/officeDocument/2006/relationships/hyperlink" Target="https://doi.org/10.1108/IJCHM-06-2018-0451" TargetMode="External"/><Relationship Id="rId23" Type="http://schemas.openxmlformats.org/officeDocument/2006/relationships/hyperlink" Target="https://www.researchgate.net/profile/Esteban-Perez-Calderon/publication/295592129_Environmental_Reporting_in_the_Hospitality_Industry_An_International_Analysis/links/5b125595a6fdcc4611dc191f/Environmental-Reporting-in-the-Hospitality-Industry-An-International-Analysis.pdf" TargetMode="External"/><Relationship Id="rId28" Type="http://schemas.openxmlformats.org/officeDocument/2006/relationships/hyperlink" Target="https://doi.org/10.3390/su14106273" TargetMode="External"/><Relationship Id="rId36" Type="http://schemas.openxmlformats.org/officeDocument/2006/relationships/theme" Target="theme/theme1.xml"/><Relationship Id="rId10" Type="http://schemas.openxmlformats.org/officeDocument/2006/relationships/hyperlink" Target="https://doi.org/10.1002/sd.2255" TargetMode="External"/><Relationship Id="rId19" Type="http://schemas.openxmlformats.org/officeDocument/2006/relationships/hyperlink" Target="https://repository.um.edu.mo/bitstream/10692/23922/1/APJML%202020%20Vol%2032%20No%201%20pp%201-22.pdf" TargetMode="External"/><Relationship Id="rId31" Type="http://schemas.openxmlformats.org/officeDocument/2006/relationships/hyperlink" Target="https://jurnal.stie-aas.ac.id/index.php/IJEBAR/article/view/446/258" TargetMode="External"/><Relationship Id="rId4" Type="http://schemas.openxmlformats.org/officeDocument/2006/relationships/webSettings" Target="webSettings.xml"/><Relationship Id="rId9" Type="http://schemas.openxmlformats.org/officeDocument/2006/relationships/hyperlink" Target="https://doi.org/10.1177/14673584221119581" TargetMode="External"/><Relationship Id="rId14" Type="http://schemas.openxmlformats.org/officeDocument/2006/relationships/hyperlink" Target="https://doi.org/10.1016/j.ijhm.2019.102395" TargetMode="External"/><Relationship Id="rId22" Type="http://schemas.openxmlformats.org/officeDocument/2006/relationships/hyperlink" Target="https://m.growingscience.com/uscm/Vol7/uscm_2019_7.pdf" TargetMode="External"/><Relationship Id="rId27" Type="http://schemas.openxmlformats.org/officeDocument/2006/relationships/hyperlink" Target="https://doi.org/10.1016/j.ijhm.2019.102330" TargetMode="External"/><Relationship Id="rId30" Type="http://schemas.openxmlformats.org/officeDocument/2006/relationships/hyperlink" Target="https://doi.org/10.1108/WHATT-06-2020-0041" TargetMode="External"/><Relationship Id="rId35" Type="http://schemas.openxmlformats.org/officeDocument/2006/relationships/fontTable" Target="fontTable.xml"/><Relationship Id="rId8" Type="http://schemas.openxmlformats.org/officeDocument/2006/relationships/hyperlink" Target="https://www.researchgate.net/publication/240457059_Book_Review_Cradle_to_Cradle_Remaking_the_Way_We_Make_Things_William_McDonough_and_Michael_Braungart_2002_North_Point_Press_New_York_208_pp_2750_paperback_978-0-86547-58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3762</Words>
  <Characters>21449</Characters>
  <Application>Microsoft Office Word</Application>
  <DocSecurity>0</DocSecurity>
  <Lines>178</Lines>
  <Paragraphs>50</Paragraphs>
  <ScaleCrop>false</ScaleCrop>
  <Company/>
  <LinksUpToDate>false</LinksUpToDate>
  <CharactersWithSpaces>25161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Stefanuta</dc:creator>
  <cp:keywords/>
  <dc:description/>
  <cp:lastModifiedBy>Gina Stefanuta</cp:lastModifiedBy>
  <cp:revision>2</cp:revision>
  <dcterms:created xsi:type="dcterms:W3CDTF">2024-05-13T18:43:00Z</dcterms:created>
  <dcterms:modified xsi:type="dcterms:W3CDTF">2024-05-13T18:44:00Z</dcterms:modified>
</cp:coreProperties>
</file>