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8D9870" w14:textId="7092582F" w:rsidR="00BF2AB8" w:rsidRPr="00B06A38" w:rsidRDefault="00E6299F" w:rsidP="00E460B9">
      <w:pPr>
        <w:spacing w:after="240" w:line="360" w:lineRule="auto"/>
        <w:jc w:val="both"/>
      </w:pPr>
      <w:r w:rsidRPr="00B06A38">
        <w:t xml:space="preserve">This assignment aims to critically reflect on the concept of </w:t>
      </w:r>
      <w:r w:rsidR="00BD3942" w:rsidRPr="00B06A38">
        <w:t>Person-centred</w:t>
      </w:r>
      <w:r w:rsidRPr="00B06A38">
        <w:t xml:space="preserve"> Practice</w:t>
      </w:r>
      <w:r w:rsidR="001928EE" w:rsidRPr="00B06A38">
        <w:t>s</w:t>
      </w:r>
      <w:r w:rsidRPr="00B06A38">
        <w:t xml:space="preserve"> (PCP) within Health and Social Care and its implication for service users. The assignment plans to understand the ideology relating to advocacy by making general comparisons to different types of advocacy and their applications in different service settings with different client groups. The role of the advocate in assisting vulnerable individuals is reflected on alongside the role of </w:t>
      </w:r>
      <w:r w:rsidR="00BD3942" w:rsidRPr="00B06A38">
        <w:t>Person-centred</w:t>
      </w:r>
      <w:r w:rsidRPr="00B06A38">
        <w:t xml:space="preserve"> approaches in socially inclusive practice. </w:t>
      </w:r>
    </w:p>
    <w:p w14:paraId="2B1DD1DF" w14:textId="2B168AFB" w:rsidR="00BF2AB8" w:rsidRPr="00B06A38" w:rsidRDefault="00E6299F" w:rsidP="00E460B9">
      <w:pPr>
        <w:spacing w:before="240" w:after="240" w:line="360" w:lineRule="auto"/>
        <w:jc w:val="both"/>
      </w:pPr>
      <w:r w:rsidRPr="00B06A38">
        <w:t xml:space="preserve">The assignment gives definitions for PCP, how that translates into Health and Social Care and what precisely this means for service users. The history of PCP in terms of its origin, development and usage in advocacy is considered within a specific area, examining </w:t>
      </w:r>
      <w:r w:rsidR="00FB2367" w:rsidRPr="00B06A38">
        <w:t>several</w:t>
      </w:r>
      <w:r w:rsidRPr="00B06A38">
        <w:t xml:space="preserve"> issues including the theories of empowerment and oppression, and the concept of critical consciousness is considered throughout the assignment, linking to relevant policy and practice.</w:t>
      </w:r>
    </w:p>
    <w:p w14:paraId="32090FAF" w14:textId="21CDC359" w:rsidR="00BF2AB8" w:rsidRPr="00B06A38" w:rsidRDefault="00E6299F" w:rsidP="00E460B9">
      <w:pPr>
        <w:spacing w:before="240" w:after="240" w:line="360" w:lineRule="auto"/>
        <w:jc w:val="both"/>
      </w:pPr>
      <w:r w:rsidRPr="00B06A38">
        <w:t xml:space="preserve">According to </w:t>
      </w:r>
      <w:r w:rsidR="005047C5" w:rsidRPr="00B06A38">
        <w:t xml:space="preserve">The </w:t>
      </w:r>
      <w:r w:rsidRPr="00B06A38">
        <w:t xml:space="preserve">Health Foundation (2016), there is no singular all-encompassing definition of the concept of PCP because it is still 'emerging and evolving' (The Health Foundation, 2016, p. 6). </w:t>
      </w:r>
    </w:p>
    <w:p w14:paraId="20AB84D8" w14:textId="6651277E" w:rsidR="00BF2AB8" w:rsidRPr="00B06A38" w:rsidRDefault="00E6299F" w:rsidP="00E460B9">
      <w:pPr>
        <w:spacing w:before="240" w:after="240" w:line="360" w:lineRule="auto"/>
        <w:jc w:val="both"/>
      </w:pPr>
      <w:r w:rsidRPr="00B06A38">
        <w:t xml:space="preserve">Additionally, this foundation states that the practice of care that individuals receive is </w:t>
      </w:r>
      <w:r w:rsidR="00FB2367" w:rsidRPr="00B06A38">
        <w:t>most</w:t>
      </w:r>
      <w:r w:rsidRPr="00B06A38">
        <w:t xml:space="preserve">ly dependent on their individual needs at any given time; therefore, one size does not fit all. </w:t>
      </w:r>
    </w:p>
    <w:p w14:paraId="6F1404E5" w14:textId="1F076178" w:rsidR="00BF2AB8" w:rsidRPr="00B06A38" w:rsidRDefault="00E6299F" w:rsidP="00E460B9">
      <w:pPr>
        <w:spacing w:before="240" w:after="240" w:line="360" w:lineRule="auto"/>
        <w:jc w:val="both"/>
      </w:pPr>
      <w:r w:rsidRPr="00B06A38">
        <w:t xml:space="preserve">Highlighted in the foundation's quick guide on </w:t>
      </w:r>
      <w:r w:rsidR="00BD3942" w:rsidRPr="00B06A38">
        <w:t>Person-centred</w:t>
      </w:r>
      <w:r w:rsidRPr="00B06A38">
        <w:t xml:space="preserve"> Care there are four principles; 'personalised, coordinated, enabling care' that also comprises 'dignity, compassion and respect for an individual' (</w:t>
      </w:r>
      <w:r w:rsidR="002A01AB" w:rsidRPr="00B06A38">
        <w:t>The Health Foundation, 2016,</w:t>
      </w:r>
      <w:r w:rsidRPr="00B06A38">
        <w:t xml:space="preserve"> p. 6). It is also pointed out in the guide why this approach to care is so important not just ethically but practically where service us</w:t>
      </w:r>
      <w:r w:rsidR="007E56CD" w:rsidRPr="00B06A38">
        <w:t>ers can share decision making. Therefore, s</w:t>
      </w:r>
      <w:r w:rsidRPr="00B06A38">
        <w:t>elf-management can improve the outcomes that individuals within health and social care settings wish to reach. There is a consensus that health care settings primarily focus</w:t>
      </w:r>
      <w:r w:rsidR="00FB2367" w:rsidRPr="00B06A38">
        <w:t xml:space="preserve"> </w:t>
      </w:r>
      <w:r w:rsidRPr="00B06A38">
        <w:t>on 'physical and functional' needs of service users (Bölenius</w:t>
      </w:r>
      <w:r w:rsidR="002A01AB" w:rsidRPr="00B06A38">
        <w:t xml:space="preserve"> </w:t>
      </w:r>
      <w:r w:rsidR="002A01AB" w:rsidRPr="00B06A38">
        <w:rPr>
          <w:i/>
        </w:rPr>
        <w:t>et al.</w:t>
      </w:r>
      <w:r w:rsidRPr="00B06A38">
        <w:rPr>
          <w:i/>
        </w:rPr>
        <w:t>,</w:t>
      </w:r>
      <w:r w:rsidRPr="00B06A38">
        <w:t xml:space="preserve"> 2017, p.57) and this assignment aims to appreciate why this is the case. </w:t>
      </w:r>
    </w:p>
    <w:p w14:paraId="6E0CA865" w14:textId="039D20EE" w:rsidR="00BF2AB8" w:rsidRPr="00B06A38" w:rsidRDefault="00E6299F" w:rsidP="00E460B9">
      <w:pPr>
        <w:spacing w:before="240" w:after="240" w:line="360" w:lineRule="auto"/>
        <w:jc w:val="both"/>
      </w:pPr>
      <w:r w:rsidRPr="00B06A38">
        <w:t xml:space="preserve">It seems logical to explain where PCP originated and how it has developed. Between the 1940s to 1960s, Carl Rogers was at the centre of developing PCP initially for use in psychotherapy and counselling approaches (Wilkins, 2010), which subsequently has found usage and application in a </w:t>
      </w:r>
      <w:r w:rsidRPr="00B06A38">
        <w:lastRenderedPageBreak/>
        <w:t xml:space="preserve">range of other disciplines, for example, management, education and patient care (The </w:t>
      </w:r>
      <w:r w:rsidR="001928EE" w:rsidRPr="00B06A38">
        <w:t>Person C</w:t>
      </w:r>
      <w:r w:rsidR="00BD3942" w:rsidRPr="00B06A38">
        <w:t>entred</w:t>
      </w:r>
      <w:r w:rsidRPr="00B06A38">
        <w:t xml:space="preserve"> Association, 2018). </w:t>
      </w:r>
    </w:p>
    <w:p w14:paraId="76A51769" w14:textId="77777777" w:rsidR="00BF2AB8" w:rsidRPr="00B06A38" w:rsidRDefault="00E6299F" w:rsidP="00E460B9">
      <w:pPr>
        <w:spacing w:before="240" w:after="240" w:line="360" w:lineRule="auto"/>
        <w:jc w:val="both"/>
      </w:pPr>
      <w:r w:rsidRPr="00B06A38">
        <w:t>Rogers embraced Maslow's ideas surrounding self-actualisation within the hierarchy of needs model and developed his approach at a similar time that Maslow developed his theory (Pichére, 2015, p. 6). Although Maslow and Rogers' theories differ, self-actualisation from a therapeutic perspective or in humanistic terms means that an individual has the ability to reach fulfilment in one's life and Rogers introduced ideas such as empathy and unconditional positive regard that can lead to this fulfilment (Proctor, Tweed &amp; Morris, 2020).</w:t>
      </w:r>
    </w:p>
    <w:p w14:paraId="36800690" w14:textId="3A5E4E3C" w:rsidR="00BF2AB8" w:rsidRPr="00B06A38" w:rsidRDefault="00E6299F" w:rsidP="00E460B9">
      <w:pPr>
        <w:spacing w:before="240" w:after="240" w:line="360" w:lineRule="auto"/>
        <w:jc w:val="both"/>
      </w:pPr>
      <w:r w:rsidRPr="00B06A38">
        <w:t>As the assignment considers Rogers' approaches, subsequent developments of PCP and Maslow's theory, it seems appropriate to begin a discourse around the person. Critical consciousness or conscientisation, an idea developed by Freire based on post-Marxist critical theory, is the process of how one 'develops a critical understanding of their social reality through reflection and action' (Hist</w:t>
      </w:r>
      <w:r w:rsidR="00982F9E" w:rsidRPr="00B06A38">
        <w:t>ory of Social Work, 2009).</w:t>
      </w:r>
      <w:r w:rsidR="00FB2367" w:rsidRPr="00B06A38">
        <w:t xml:space="preserve"> Critical consciousness specifically means critically understanding </w:t>
      </w:r>
      <w:r w:rsidRPr="00B06A38">
        <w:t xml:space="preserve">the influences of the wider society and being able to make a difference as opposed to being told what to do by a competent individual (Kumagai and Lypson, 2009), an approach commonly termed the banking model. Freire's criticisms of the traditional banking model of education where the student is the empty vessel to be filled by the knowledgeable teacher (Halman, Baker and Ng, 2017, p. 13) led him to believe that this model of learning 'was shaped and constrained by power relations' (Halman </w:t>
      </w:r>
      <w:r w:rsidRPr="00B06A38">
        <w:rPr>
          <w:i/>
          <w:iCs/>
        </w:rPr>
        <w:t>et al.</w:t>
      </w:r>
      <w:r w:rsidRPr="00B06A38">
        <w:t xml:space="preserve">, 2017, p. 13). The teacher is seen as the one holding knowledge and therefore has power over an individual. The inequities that subsequently exist within society's constructs have led to the marginalisation of some groups. One group that is considered to be underserving of social participation, and therefore marginalised, is people living with </w:t>
      </w:r>
      <w:r w:rsidR="00FB2367" w:rsidRPr="00B06A38">
        <w:t>d</w:t>
      </w:r>
      <w:r w:rsidR="00071666" w:rsidRPr="00B06A38">
        <w:t>ementia</w:t>
      </w:r>
      <w:r w:rsidRPr="00B06A38">
        <w:t xml:space="preserve"> (Brannelly, 2011). Halman </w:t>
      </w:r>
      <w:r w:rsidRPr="00B06A38">
        <w:rPr>
          <w:i/>
          <w:iCs/>
        </w:rPr>
        <w:t xml:space="preserve">et al. </w:t>
      </w:r>
      <w:r w:rsidRPr="00B06A38">
        <w:t xml:space="preserve">(2017) argue that </w:t>
      </w:r>
      <w:r w:rsidR="00BD3942" w:rsidRPr="00B06A38">
        <w:t>person-centred</w:t>
      </w:r>
      <w:r w:rsidRPr="00B06A38">
        <w:t xml:space="preserve"> care is linked to critical consciousness</w:t>
      </w:r>
      <w:r w:rsidR="00FB2367" w:rsidRPr="00B06A38">
        <w:t xml:space="preserve"> as it allows individuals to have power, not only to consider relative influences on them but being allowed to contribute to resolving them. </w:t>
      </w:r>
      <w:r w:rsidRPr="00B06A38">
        <w:t xml:space="preserve">Asserting that, although unproven, this practice is invaluable in health profession education as the present focus appears to be how compassionately care is delivered, and whether that delivery is equitable for all service users. The focus on PCP is apparent under many policies and legislation, particularly the Welsh Government </w:t>
      </w:r>
      <w:r w:rsidRPr="00B06A38">
        <w:lastRenderedPageBreak/>
        <w:t>(</w:t>
      </w:r>
      <w:r w:rsidRPr="00B06A38">
        <w:rPr>
          <w:i/>
          <w:iCs/>
        </w:rPr>
        <w:t xml:space="preserve">Social Services and Well-being (Wales) Act 2014). </w:t>
      </w:r>
      <w:r w:rsidRPr="00B06A38">
        <w:t xml:space="preserve">Therefore, it suggests that an advocate's role is essential to assist the service user in finding a voice and feeling empowered through active participation and, to make a conscious move away from being a passive recipient. </w:t>
      </w:r>
    </w:p>
    <w:p w14:paraId="6888A00C" w14:textId="52583DA6" w:rsidR="00BF2AB8" w:rsidRPr="00B06A38" w:rsidRDefault="00E6299F" w:rsidP="00E460B9">
      <w:pPr>
        <w:spacing w:before="240" w:after="240" w:line="360" w:lineRule="auto"/>
        <w:jc w:val="both"/>
      </w:pPr>
      <w:r w:rsidRPr="00B06A38">
        <w:t xml:space="preserve">The assignment now considers some terms of language in the context of a Health and Social Care setting in order to clarify implications for service users and organisations using </w:t>
      </w:r>
      <w:r w:rsidR="00BD3942" w:rsidRPr="00B06A38">
        <w:t>Person-centred</w:t>
      </w:r>
      <w:r w:rsidRPr="00B06A38">
        <w:t xml:space="preserve"> practices. </w:t>
      </w:r>
    </w:p>
    <w:p w14:paraId="5C70CF1D" w14:textId="6D67DD81" w:rsidR="00BF2AB8" w:rsidRPr="00B06A38" w:rsidRDefault="00E6299F" w:rsidP="00E460B9">
      <w:pPr>
        <w:spacing w:before="240" w:after="240" w:line="360" w:lineRule="auto"/>
        <w:jc w:val="both"/>
      </w:pPr>
      <w:r w:rsidRPr="00B06A38">
        <w:t>Empowerment</w:t>
      </w:r>
      <w:r w:rsidR="00877AAD" w:rsidRPr="00B06A38">
        <w:t>, as argued by McClelland</w:t>
      </w:r>
      <w:r w:rsidR="001766BB" w:rsidRPr="00B06A38">
        <w:t xml:space="preserve"> (1975, </w:t>
      </w:r>
      <w:r w:rsidR="001766BB" w:rsidRPr="00B06A38">
        <w:rPr>
          <w:i/>
          <w:iCs/>
        </w:rPr>
        <w:t>cited in</w:t>
      </w:r>
      <w:r w:rsidR="001766BB" w:rsidRPr="00B06A38">
        <w:t xml:space="preserve"> Lord and Hutchinson, 1993, p. 3)</w:t>
      </w:r>
      <w:r w:rsidR="00877AAD" w:rsidRPr="00B06A38">
        <w:t>,</w:t>
      </w:r>
      <w:r w:rsidRPr="00B06A38">
        <w:t xml:space="preserve"> in basic terms means gaining power but in order for an individual to do this one needs to gain knowledge or information and work with others </w:t>
      </w:r>
      <w:r w:rsidR="001766BB" w:rsidRPr="00B06A38">
        <w:t>to facilitate change</w:t>
      </w:r>
      <w:r w:rsidRPr="00B06A38">
        <w:t>. In contrast, powerlessness can be seen in 'economic inequities and oppressive control exercised by syst</w:t>
      </w:r>
      <w:r w:rsidR="00F04A84" w:rsidRPr="00B06A38">
        <w:t>ems and other people' (Lord and</w:t>
      </w:r>
      <w:r w:rsidR="001766BB" w:rsidRPr="00B06A38">
        <w:t xml:space="preserve"> </w:t>
      </w:r>
      <w:r w:rsidRPr="00B06A38">
        <w:t xml:space="preserve">Hutchinson, 1993, p. 2) and Asch (1986, </w:t>
      </w:r>
      <w:r w:rsidRPr="00B06A38">
        <w:rPr>
          <w:i/>
          <w:iCs/>
        </w:rPr>
        <w:t>cited in</w:t>
      </w:r>
      <w:r w:rsidRPr="00B06A38">
        <w:t xml:space="preserve"> Martin, 2005) notes that this powerlessness is generally seen in people with disabilities. This powerlessness or disadvantage is demonstrated in the Medical and Social Models of Disability (Hiranandani, 2005). According to Disability Wales (2020), the Medical model concentrates on what the person cannot do ra</w:t>
      </w:r>
      <w:r w:rsidR="001928EE" w:rsidRPr="00B06A38">
        <w:t xml:space="preserve">ther than what one can and, sends </w:t>
      </w:r>
      <w:r w:rsidRPr="00B06A38">
        <w:t>out a negative or oppressive message to the disabled person that affects their ability to gain control over their life, feel empowered and excludes them from society.</w:t>
      </w:r>
    </w:p>
    <w:p w14:paraId="6EC674CF" w14:textId="62BEFC93" w:rsidR="00BF2AB8" w:rsidRPr="00B06A38" w:rsidRDefault="00E6299F" w:rsidP="00E460B9">
      <w:pPr>
        <w:spacing w:before="240" w:after="240" w:line="360" w:lineRule="auto"/>
        <w:jc w:val="both"/>
      </w:pPr>
      <w:r w:rsidRPr="00B06A38">
        <w:t xml:space="preserve">In comparison, the Social Model (Disability Wales, 2020) shows that problems the disabled face are created by society and solutions are seen in examples such as automatic doors and giving disabled better access to buildings via ramps and lifts. Disability organisations continue to campaign and work to remove not just the physical barriers but also society's attitudes in order for disabled individuals to participate equally in decisions concerning them (Disability Rights UK, 2020). One can argue from these examples that power imbalances exist for many within Health and Social Care settings. Perhaps by using </w:t>
      </w:r>
      <w:r w:rsidR="00BD3942" w:rsidRPr="00B06A38">
        <w:t>person-centred</w:t>
      </w:r>
      <w:r w:rsidRPr="00B06A38">
        <w:t xml:space="preserve"> approaches, the power imbalances can be adjusted to better support, not only the disabled but all service users across health and social care.</w:t>
      </w:r>
    </w:p>
    <w:p w14:paraId="4E7C0AE8" w14:textId="14FFF43F" w:rsidR="00BF2AB8" w:rsidRPr="00B06A38" w:rsidRDefault="00E6299F" w:rsidP="00E460B9">
      <w:pPr>
        <w:spacing w:before="240" w:after="240" w:line="360" w:lineRule="auto"/>
        <w:jc w:val="both"/>
      </w:pPr>
      <w:r w:rsidRPr="00B06A38">
        <w:t>The term service user can be perceived as derogatory as, according to the Social Care Institute for Excellence (</w:t>
      </w:r>
      <w:r w:rsidR="001766BB" w:rsidRPr="00B06A38">
        <w:t xml:space="preserve">SCIE, </w:t>
      </w:r>
      <w:r w:rsidRPr="00B06A38">
        <w:t>2020</w:t>
      </w:r>
      <w:r w:rsidR="00C1651D" w:rsidRPr="00B06A38">
        <w:t>a</w:t>
      </w:r>
      <w:r w:rsidRPr="00B06A38">
        <w:t xml:space="preserve">) it is not inclusive vocabulary. Within Health and Social Care settings, </w:t>
      </w:r>
      <w:r w:rsidRPr="00B06A38">
        <w:lastRenderedPageBreak/>
        <w:t xml:space="preserve">it is paramount that the service user remains at the centre of the planning, development, monitoring and most importantly, the decision-making processes. The service user needs to be seen as an equal partner, and the </w:t>
      </w:r>
      <w:r w:rsidR="00BD3942" w:rsidRPr="00B06A38">
        <w:t>person-centred</w:t>
      </w:r>
      <w:r w:rsidRPr="00B06A38">
        <w:t xml:space="preserve"> approach allows this to happen. According to Potts and Hunt (2008, p.4), individuals’ participation is </w:t>
      </w:r>
      <w:r w:rsidR="00FB2367" w:rsidRPr="00B06A38">
        <w:t>critical</w:t>
      </w:r>
      <w:r w:rsidRPr="00B06A38">
        <w:t xml:space="preserve"> in people's rights to the highest possible standard of both mental an</w:t>
      </w:r>
      <w:r w:rsidR="00C1651D" w:rsidRPr="00B06A38">
        <w:t>d physical health. However, Potts and Hunt (2008, p. 4)</w:t>
      </w:r>
      <w:r w:rsidRPr="00B06A38">
        <w:t xml:space="preserve"> point out that participation can be constrained by 'personal, interpersonal and ins</w:t>
      </w:r>
      <w:r w:rsidR="00C1651D" w:rsidRPr="00B06A38">
        <w:t>titutional dynamics'. This suggests</w:t>
      </w:r>
      <w:r w:rsidRPr="00B06A38">
        <w:t xml:space="preserve"> boundaries need to be set and the appointment of a facilitator, such as an advocate, can ensure all parties are heard</w:t>
      </w:r>
      <w:r w:rsidR="00487C57" w:rsidRPr="00B06A38">
        <w:t>.  Appointing an advocate indicate</w:t>
      </w:r>
      <w:r w:rsidR="00323303" w:rsidRPr="00B06A38">
        <w:t xml:space="preserve">s </w:t>
      </w:r>
      <w:r w:rsidRPr="00B06A38">
        <w:t xml:space="preserve">that transparency is also </w:t>
      </w:r>
      <w:r w:rsidR="00323303" w:rsidRPr="00B06A38">
        <w:t>essential</w:t>
      </w:r>
      <w:r w:rsidRPr="00B06A38">
        <w:t xml:space="preserve"> to ensure in terms of accessibility and availability of information for the service user, that the best possible decisions are reached for the service user. A Mental Capacity advocate (IMCA) is an independent advocate for a person who is assumed to lack capacity as outlined in the UK Government (</w:t>
      </w:r>
      <w:r w:rsidRPr="00B06A38">
        <w:rPr>
          <w:i/>
          <w:iCs/>
        </w:rPr>
        <w:t>Mental Capacity Act 2005</w:t>
      </w:r>
      <w:r w:rsidRPr="00B06A38">
        <w:t xml:space="preserve">). IMCAs may work in partnership with service users who are unable to make </w:t>
      </w:r>
      <w:r w:rsidR="00FB2367" w:rsidRPr="00B06A38">
        <w:t>crucial</w:t>
      </w:r>
      <w:r w:rsidRPr="00B06A38">
        <w:t xml:space="preserve"> decisions that affect their lives in situations, including care reviews or adult protection cases (Mental Health Matters Wales, 2020). This type of advocacy is called non-instructed. It is recognised in society that there are people, such as individuals with additional learning needs, </w:t>
      </w:r>
      <w:r w:rsidR="00FB2367" w:rsidRPr="00B06A38">
        <w:t>d</w:t>
      </w:r>
      <w:r w:rsidR="00071666" w:rsidRPr="00B06A38">
        <w:t>ementia</w:t>
      </w:r>
      <w:r w:rsidRPr="00B06A38">
        <w:t xml:space="preserve"> or mental health problems, who are unable to instruct an advocate (Empowerment Matters, 2015) and evidence from Olsson </w:t>
      </w:r>
      <w:r w:rsidRPr="00B06A38">
        <w:rPr>
          <w:i/>
          <w:iCs/>
        </w:rPr>
        <w:t>et al.</w:t>
      </w:r>
      <w:r w:rsidRPr="00B06A38">
        <w:t xml:space="preserve"> (2012) suggests using </w:t>
      </w:r>
      <w:r w:rsidR="00BD3942" w:rsidRPr="00B06A38">
        <w:t>Person-centred</w:t>
      </w:r>
      <w:r w:rsidRPr="00B06A38">
        <w:t xml:space="preserve"> approaches in these circumstances can help to support individuals regarding making decisions about their future. </w:t>
      </w:r>
    </w:p>
    <w:p w14:paraId="07BB3ABB" w14:textId="72B72F2A" w:rsidR="00BF2AB8" w:rsidRPr="00B06A38" w:rsidRDefault="00E6299F" w:rsidP="00E460B9">
      <w:pPr>
        <w:spacing w:before="240" w:after="240" w:line="360" w:lineRule="auto"/>
        <w:jc w:val="both"/>
      </w:pPr>
      <w:r w:rsidRPr="00B06A38">
        <w:t>There is potential, according to the Health Innovation Network (2016), that PCP can encourage individuals to be more active in taking care of themselves and therefore decrease demand on health and social care services. One could suggest that this would benefit everyone as people live longer today but have age-related conditions that stretch the limited resources of health services</w:t>
      </w:r>
      <w:r w:rsidR="00C1651D" w:rsidRPr="00B06A38">
        <w:t xml:space="preserve"> (Health Innovation Network, 2016</w:t>
      </w:r>
      <w:r w:rsidRPr="00B06A38">
        <w:t>). Government policy sets out guidelines with a movement towards more holistic approaches for service users</w:t>
      </w:r>
      <w:r w:rsidR="00FB2367" w:rsidRPr="00B06A38">
        <w:t xml:space="preserve">, </w:t>
      </w:r>
      <w:r w:rsidRPr="00B06A38">
        <w:t xml:space="preserve">exhibited in the </w:t>
      </w:r>
      <w:r w:rsidRPr="00B06A38">
        <w:rPr>
          <w:i/>
          <w:iCs/>
        </w:rPr>
        <w:t>Factsheet B3 Health and Social Care Act 2012</w:t>
      </w:r>
      <w:r w:rsidRPr="00B06A38">
        <w:t xml:space="preserve"> explaining the features where the quote "no decision about me, without me" is used to reinforce ideas surrounding better empowerment for individuals. One could argue that the latest government policy, </w:t>
      </w:r>
      <w:r w:rsidRPr="00B06A38">
        <w:rPr>
          <w:i/>
          <w:iCs/>
        </w:rPr>
        <w:t>LPS factsheet 1 from the Department of Health and Social Care</w:t>
      </w:r>
      <w:r w:rsidR="005047C5" w:rsidRPr="00B06A38">
        <w:rPr>
          <w:i/>
          <w:iCs/>
        </w:rPr>
        <w:t xml:space="preserve"> </w:t>
      </w:r>
      <w:r w:rsidR="005047C5" w:rsidRPr="00B06A38">
        <w:t>(2020)</w:t>
      </w:r>
      <w:r w:rsidRPr="00B06A38">
        <w:t>,</w:t>
      </w:r>
      <w:r w:rsidRPr="00B06A38">
        <w:rPr>
          <w:i/>
          <w:iCs/>
        </w:rPr>
        <w:t xml:space="preserve"> </w:t>
      </w:r>
      <w:r w:rsidRPr="00B06A38">
        <w:t>that is to replace the Depriva</w:t>
      </w:r>
      <w:r w:rsidR="0074128E" w:rsidRPr="00B06A38">
        <w:t>tion of Liberty safeguards (DoLS</w:t>
      </w:r>
      <w:r w:rsidRPr="00B06A38">
        <w:t xml:space="preserve">) currently in place has arisen from a </w:t>
      </w:r>
      <w:r w:rsidRPr="00B06A38">
        <w:lastRenderedPageBreak/>
        <w:t xml:space="preserve">lack of </w:t>
      </w:r>
      <w:r w:rsidR="00BD3942" w:rsidRPr="00B06A38">
        <w:t>Person-centred</w:t>
      </w:r>
      <w:r w:rsidRPr="00B06A38">
        <w:t xml:space="preserve"> care in the first instance. The Liberty Protection Safeguards policy introduces some </w:t>
      </w:r>
      <w:r w:rsidR="00323303" w:rsidRPr="00B06A38">
        <w:t>fundamental</w:t>
      </w:r>
      <w:r w:rsidRPr="00B06A38">
        <w:t xml:space="preserve"> changes which include a more targeted approach and one that considers restrictions of people's liberties within an individual's care package (Carehome, 2020). </w:t>
      </w:r>
    </w:p>
    <w:p w14:paraId="34C8C03F" w14:textId="45649055" w:rsidR="00BF2AB8" w:rsidRPr="00B06A38" w:rsidRDefault="00E6299F" w:rsidP="00E460B9">
      <w:pPr>
        <w:spacing w:before="240" w:after="240" w:line="360" w:lineRule="auto"/>
        <w:jc w:val="both"/>
      </w:pPr>
      <w:r w:rsidRPr="00B06A38">
        <w:t xml:space="preserve">The assignment now explores the ageing population in Wales and how those with age-related illnesses such as </w:t>
      </w:r>
      <w:r w:rsidR="00FB2367" w:rsidRPr="00B06A38">
        <w:t>d</w:t>
      </w:r>
      <w:r w:rsidR="00071666" w:rsidRPr="00B06A38">
        <w:t>ementia</w:t>
      </w:r>
      <w:r w:rsidRPr="00B06A38">
        <w:t xml:space="preserve"> are treated within health and social care settings. According to Collins and Hughes (2014), </w:t>
      </w:r>
      <w:r w:rsidR="00FB2367" w:rsidRPr="00B06A38">
        <w:t>d</w:t>
      </w:r>
      <w:r w:rsidR="00071666" w:rsidRPr="00B06A38">
        <w:t>ementia</w:t>
      </w:r>
      <w:r w:rsidRPr="00B06A38">
        <w:t xml:space="preserve"> is one of the biggest challenges in health and social care across the UK with statistics showing that 42,000 people are living with </w:t>
      </w:r>
      <w:r w:rsidR="0003268A" w:rsidRPr="00B06A38">
        <w:t>d</w:t>
      </w:r>
      <w:r w:rsidR="00071666" w:rsidRPr="00B06A38">
        <w:t>ementia</w:t>
      </w:r>
      <w:r w:rsidRPr="00B06A38">
        <w:t xml:space="preserve"> in Wales and it is most common in older people (Health in Wales, 2020). In a report (Collins, 2015), there are </w:t>
      </w:r>
      <w:r w:rsidR="00FB2367" w:rsidRPr="00B06A38">
        <w:t>several</w:t>
      </w:r>
      <w:r w:rsidRPr="00B06A38">
        <w:t xml:space="preserve"> barriers and inequalities that the elderly face to access and receive high-quality care. According to the report, barriers include a delayed diagnosis by an appropriate health professional which is required before any support plan is implemented for an individual. Prompt diagnosis is essential as </w:t>
      </w:r>
      <w:r w:rsidR="00FB2367" w:rsidRPr="00B06A38">
        <w:t>d</w:t>
      </w:r>
      <w:r w:rsidR="00071666" w:rsidRPr="00B06A38">
        <w:t>ementia</w:t>
      </w:r>
      <w:r w:rsidRPr="00B06A38">
        <w:t xml:space="preserve"> is a degenerative condition and the individual's mental capacity can fluctuate over a short period, therefore, </w:t>
      </w:r>
      <w:r w:rsidR="00FB2367" w:rsidRPr="00B06A38">
        <w:t xml:space="preserve">compromising </w:t>
      </w:r>
      <w:r w:rsidRPr="00B06A38">
        <w:t>the ability to make informed decisions</w:t>
      </w:r>
      <w:r w:rsidR="00FB2367" w:rsidRPr="00B06A38">
        <w:t xml:space="preserve"> </w:t>
      </w:r>
      <w:r w:rsidRPr="00B06A38">
        <w:t>(Alzheimer's Society, 2020). The individual's non-acceptance of their condition can be problematic in connection with the end of life care and the positioning of a power of attorney. In some circumstances, these decisions may reside with a healthcare professional who can create tensions between the individual's family and healthcare professionals (Collins and Hughes, 2014). The Welsh Government (</w:t>
      </w:r>
      <w:r w:rsidR="00071666" w:rsidRPr="00B06A38">
        <w:t>Dementia</w:t>
      </w:r>
      <w:r w:rsidRPr="00B06A38">
        <w:t xml:space="preserve"> Action Plan for Wales 2018-2022) outlines a plan to develop a support system. This plan includes community support which will allow people to live independently as long as possible. </w:t>
      </w:r>
      <w:r w:rsidR="001076EE" w:rsidRPr="00B06A38">
        <w:t>The plan also includes f</w:t>
      </w:r>
      <w:r w:rsidRPr="00B06A38">
        <w:t xml:space="preserve">lexible and individualised approaches around the person and their needs; support that meets specific needs where </w:t>
      </w:r>
      <w:r w:rsidR="00071666" w:rsidRPr="00B06A38">
        <w:t>dementia</w:t>
      </w:r>
      <w:r w:rsidRPr="00B06A38">
        <w:t xml:space="preserve"> impacts on those living with a sensory loss and communication difficulties; support in the early onset of </w:t>
      </w:r>
      <w:r w:rsidR="00FB2367" w:rsidRPr="00B06A38">
        <w:t>d</w:t>
      </w:r>
      <w:r w:rsidR="00071666" w:rsidRPr="00B06A38">
        <w:t>ementia</w:t>
      </w:r>
      <w:r w:rsidRPr="00B06A38">
        <w:t xml:space="preserve"> to make decisions about future care and lasting powers of attorney; and access to advocacy support. Therefore, the overarching principle of this support system appears to be that those living with </w:t>
      </w:r>
      <w:r w:rsidR="00FB2367" w:rsidRPr="00B06A38">
        <w:t>d</w:t>
      </w:r>
      <w:r w:rsidR="00071666" w:rsidRPr="00B06A38">
        <w:t>ementia</w:t>
      </w:r>
      <w:r w:rsidRPr="00B06A38">
        <w:t xml:space="preserve"> should be supported through </w:t>
      </w:r>
      <w:r w:rsidR="00BD3942" w:rsidRPr="00B06A38">
        <w:t>person-centred</w:t>
      </w:r>
      <w:r w:rsidRPr="00B06A38">
        <w:t xml:space="preserve"> approaches. </w:t>
      </w:r>
    </w:p>
    <w:p w14:paraId="14840017" w14:textId="29BDACA8" w:rsidR="00BF2AB8" w:rsidRPr="00B06A38" w:rsidRDefault="00E6299F" w:rsidP="00E460B9">
      <w:pPr>
        <w:spacing w:before="240" w:after="240" w:line="360" w:lineRule="auto"/>
        <w:jc w:val="both"/>
      </w:pPr>
      <w:r w:rsidRPr="00B06A38">
        <w:t xml:space="preserve">Despite there being no known cure for </w:t>
      </w:r>
      <w:r w:rsidR="00FB2367" w:rsidRPr="00B06A38">
        <w:t>d</w:t>
      </w:r>
      <w:r w:rsidR="00071666" w:rsidRPr="00B06A38">
        <w:t>ementia</w:t>
      </w:r>
      <w:r w:rsidRPr="00B06A38">
        <w:t xml:space="preserve">, with medication and some lifestyle changes, many people lead fulfilling lives (Alzheimer's Society, 2020). Social care services assess people's needs, set up a care plan and support individuals to work out what is the best way to deliver that </w:t>
      </w:r>
      <w:r w:rsidRPr="00B06A38">
        <w:lastRenderedPageBreak/>
        <w:t>care package. The package also considers the needs of a carer which may be a family member. Individuals are supported to reside in their own home for as long as possible, but when their condition deteriorates, or there is no family support, they may move to a residential setting (The Care Worker's Charity, 2018). Deterioration in the individual's condition may be seen as being unable to make informed decisions, and this is termed</w:t>
      </w:r>
      <w:r w:rsidR="00E21050" w:rsidRPr="00B06A38">
        <w:t>,</w:t>
      </w:r>
      <w:r w:rsidRPr="00B06A38">
        <w:t xml:space="preserve"> lacking capacity. Under the UK Government (</w:t>
      </w:r>
      <w:r w:rsidRPr="00B06A38">
        <w:rPr>
          <w:i/>
          <w:iCs/>
        </w:rPr>
        <w:t>Mental Capacity Act 2005</w:t>
      </w:r>
      <w:r w:rsidRPr="00B06A38">
        <w:t>)</w:t>
      </w:r>
      <w:r w:rsidR="00E21050" w:rsidRPr="00B06A38">
        <w:t>,</w:t>
      </w:r>
      <w:r w:rsidRPr="00B06A38">
        <w:t xml:space="preserve"> that applies to people living</w:t>
      </w:r>
      <w:r w:rsidR="00156527" w:rsidRPr="00B06A38">
        <w:t xml:space="preserve"> in England and Wales, the act outlines the legislation associated with people’s care and treatment. </w:t>
      </w:r>
      <w:r w:rsidR="00E21050" w:rsidRPr="00B06A38">
        <w:t xml:space="preserve">It acknowledges that everyone can be supported to make their own decisions, unwise or not. </w:t>
      </w:r>
      <w:r w:rsidR="001076EE" w:rsidRPr="00B06A38">
        <w:t>The legislation also ensures</w:t>
      </w:r>
      <w:r w:rsidRPr="00B06A38">
        <w:t xml:space="preserve"> that </w:t>
      </w:r>
      <w:r w:rsidR="00E21050" w:rsidRPr="00B06A38">
        <w:t xml:space="preserve">if </w:t>
      </w:r>
      <w:r w:rsidRPr="00B06A38">
        <w:t xml:space="preserve">decisions </w:t>
      </w:r>
      <w:r w:rsidR="00E21050" w:rsidRPr="00B06A38">
        <w:t xml:space="preserve">are </w:t>
      </w:r>
      <w:r w:rsidRPr="00B06A38">
        <w:t>made by others</w:t>
      </w:r>
      <w:r w:rsidR="00E21050" w:rsidRPr="00B06A38">
        <w:t xml:space="preserve"> that these</w:t>
      </w:r>
      <w:r w:rsidRPr="00B06A38">
        <w:t xml:space="preserve"> are in the indi</w:t>
      </w:r>
      <w:r w:rsidR="00E21050" w:rsidRPr="00B06A38">
        <w:t xml:space="preserve">vidual's best interests, and the </w:t>
      </w:r>
      <w:r w:rsidRPr="00B06A38">
        <w:t>least restrictive to the individual in terms of their rights and freedoms. In cases where an individual has no family to represent them in decision-making processes, an Independent Mental Capacity Advocate (IMCA) can be instructed, and the IMCA ensures that the legislation around the UK Government (</w:t>
      </w:r>
      <w:r w:rsidRPr="00B06A38">
        <w:rPr>
          <w:i/>
          <w:iCs/>
        </w:rPr>
        <w:t>Mental Capacity Act 2005</w:t>
      </w:r>
      <w:r w:rsidRPr="00B06A38">
        <w:t xml:space="preserve">) is </w:t>
      </w:r>
      <w:r w:rsidR="00E21050" w:rsidRPr="00B06A38">
        <w:t>adhered</w:t>
      </w:r>
      <w:r w:rsidRPr="00B06A38">
        <w:t xml:space="preserve"> to. The</w:t>
      </w:r>
      <w:r w:rsidR="00E21050" w:rsidRPr="00B06A38">
        <w:t xml:space="preserve">refore, the </w:t>
      </w:r>
      <w:r w:rsidRPr="00B06A38">
        <w:t>key principles of the act are that people are involved with decisions concerning their care and support (SCIE, 2020</w:t>
      </w:r>
      <w:r w:rsidR="00C1651D" w:rsidRPr="00B06A38">
        <w:t>b</w:t>
      </w:r>
      <w:r w:rsidRPr="00B06A38">
        <w:t>). Morgan and Williams</w:t>
      </w:r>
      <w:r w:rsidR="009E58E2" w:rsidRPr="00B06A38">
        <w:t>on</w:t>
      </w:r>
      <w:r w:rsidRPr="00B06A38">
        <w:t xml:space="preserve"> (2014) assert that allowing individuals to take risks around decisions about their care but acknowledging that occasionally things can go wrong, still benefits the individual in the long term. Therefore, actively involving the person in decisions can improve overall outcomes, including better health, wellbeing and autonomy for the service user, underpinning the key principles of the Welsh Government (</w:t>
      </w:r>
      <w:r w:rsidRPr="00B06A38">
        <w:rPr>
          <w:i/>
          <w:iCs/>
        </w:rPr>
        <w:t>Social Services Well-being Wales Act 2014)</w:t>
      </w:r>
      <w:r w:rsidRPr="00B06A38">
        <w:t xml:space="preserve">. Actively involving people or putting individuals at the centre of processes is appropriately termed </w:t>
      </w:r>
      <w:r w:rsidR="00BD3942" w:rsidRPr="00B06A38">
        <w:t>person-centred</w:t>
      </w:r>
      <w:r w:rsidRPr="00B06A38">
        <w:t xml:space="preserve"> approaches. A service user's involvement in their care and support plan means that professionals work in partnership with the individual, communicating as equals through a holistic or whole-person approach that gives control or power to the individual because the plan belongs to the individual (SCIE, 2020</w:t>
      </w:r>
      <w:r w:rsidR="00C1651D" w:rsidRPr="00B06A38">
        <w:t>b</w:t>
      </w:r>
      <w:r w:rsidRPr="00B06A38">
        <w:t>).</w:t>
      </w:r>
    </w:p>
    <w:p w14:paraId="2704259C" w14:textId="3D0ABDD5" w:rsidR="00BF2AB8" w:rsidRPr="00B06A38" w:rsidRDefault="00E6299F" w:rsidP="00E460B9">
      <w:pPr>
        <w:spacing w:before="240" w:after="240" w:line="360" w:lineRule="auto"/>
        <w:jc w:val="both"/>
      </w:pPr>
      <w:r w:rsidRPr="00B06A38">
        <w:t xml:space="preserve">According to Neill </w:t>
      </w:r>
      <w:r w:rsidRPr="00B06A38">
        <w:rPr>
          <w:i/>
          <w:iCs/>
        </w:rPr>
        <w:t>et al.</w:t>
      </w:r>
      <w:r w:rsidRPr="00B06A38">
        <w:t xml:space="preserve"> (2009), traditionally, people accessing health and social care services are perceived as objects or prob</w:t>
      </w:r>
      <w:r w:rsidR="006907F7" w:rsidRPr="00B06A38">
        <w:t>lems that require managing. I</w:t>
      </w:r>
      <w:r w:rsidRPr="00B06A38">
        <w:t>n reality,</w:t>
      </w:r>
      <w:r w:rsidR="006907F7" w:rsidRPr="00B06A38">
        <w:t xml:space="preserve"> it can be argued that</w:t>
      </w:r>
      <w:r w:rsidRPr="00B06A38">
        <w:t xml:space="preserve"> every individual needs to be treated as an agentic human being with the same rights, choices and ambitions as everyone else in society. Under Maslow's theory, everyone can reach the top of the hierarchy of needs model, but one could argue that there must be an opportunity to do so. Within </w:t>
      </w:r>
      <w:r w:rsidRPr="00B06A38">
        <w:lastRenderedPageBreak/>
        <w:t>Arnstein's ladder of participation, the theory is that participation is key to redistributing power and control to the citizen or service user. It is illustrated through rungs of a ladder where the top rung is labelled citizen control, and this is depicted as the point where the service user is able to claim power for themselves. However, Tritter and McCallum (2005) argue that Arnstein's model is linear and static and does not allow for the dynamic pr</w:t>
      </w:r>
      <w:r w:rsidR="006907F7" w:rsidRPr="00B06A38">
        <w:t>ocesses that one could suggest</w:t>
      </w:r>
      <w:r w:rsidRPr="00B06A38">
        <w:t xml:space="preserve"> need to happen in health and social care settings. Additionally, </w:t>
      </w:r>
      <w:r w:rsidR="006907F7" w:rsidRPr="00B06A38">
        <w:t xml:space="preserve">according to Tritter and McCallum (2005, </w:t>
      </w:r>
      <w:r w:rsidR="006907F7" w:rsidRPr="00B06A38">
        <w:rPr>
          <w:i/>
          <w:iCs/>
        </w:rPr>
        <w:t>cited in</w:t>
      </w:r>
      <w:r w:rsidR="006907F7" w:rsidRPr="00B06A38">
        <w:t xml:space="preserve"> Collins and Ison, 2006), </w:t>
      </w:r>
      <w:r w:rsidRPr="00B06A38">
        <w:t>it does not acknowledge that individuals require 'different methods</w:t>
      </w:r>
      <w:r w:rsidR="006907F7" w:rsidRPr="00B06A38">
        <w:t xml:space="preserve"> of involvement'</w:t>
      </w:r>
      <w:r w:rsidRPr="00B06A38">
        <w:t xml:space="preserve"> or indeed, that one may not wish to be involved at all.</w:t>
      </w:r>
    </w:p>
    <w:p w14:paraId="65238E70" w14:textId="49571C39" w:rsidR="00BF2AB8" w:rsidRPr="00B06A38" w:rsidRDefault="00E6299F" w:rsidP="00E460B9">
      <w:pPr>
        <w:spacing w:before="240" w:after="240" w:line="360" w:lineRule="auto"/>
        <w:jc w:val="both"/>
      </w:pPr>
      <w:r w:rsidRPr="00B06A38">
        <w:t xml:space="preserve">According to the World Alzheimer Report (2016), the aim is that service users are 'living well with </w:t>
      </w:r>
      <w:r w:rsidR="00071666" w:rsidRPr="00B06A38">
        <w:t>dementia</w:t>
      </w:r>
      <w:r w:rsidRPr="00B06A38">
        <w:t xml:space="preserve">' and this ideal is achievable through </w:t>
      </w:r>
      <w:r w:rsidR="00BD3942" w:rsidRPr="00B06A38">
        <w:t>person-centred</w:t>
      </w:r>
      <w:r w:rsidRPr="00B06A38">
        <w:t xml:space="preserve"> practice. The assignment will consider </w:t>
      </w:r>
      <w:r w:rsidR="00FB2367" w:rsidRPr="00B06A38">
        <w:t>some</w:t>
      </w:r>
      <w:r w:rsidRPr="00B06A38">
        <w:t xml:space="preserve"> case studies within the community and care homes in the UK and consider how PCP is applied. </w:t>
      </w:r>
      <w:r w:rsidR="00071666" w:rsidRPr="00B06A38">
        <w:t>Dementia</w:t>
      </w:r>
      <w:r w:rsidR="009E58E2" w:rsidRPr="00B06A38">
        <w:t xml:space="preserve"> Concern (2020</w:t>
      </w:r>
      <w:r w:rsidRPr="00B06A38">
        <w:t xml:space="preserve">) work directly with the NHS and local GPs and operates in West London, supporting individuals with </w:t>
      </w:r>
      <w:r w:rsidR="00FB2367" w:rsidRPr="00B06A38">
        <w:t>d</w:t>
      </w:r>
      <w:r w:rsidR="00071666" w:rsidRPr="00B06A38">
        <w:t>ementia</w:t>
      </w:r>
      <w:r w:rsidRPr="00B06A38">
        <w:t xml:space="preserve"> and their carers through </w:t>
      </w:r>
      <w:r w:rsidR="00BD3942" w:rsidRPr="00B06A38">
        <w:t>person-centred</w:t>
      </w:r>
      <w:r w:rsidRPr="00B06A38">
        <w:t xml:space="preserve"> approaches. The website reveals the stories of two individuals living with </w:t>
      </w:r>
      <w:r w:rsidR="00FB2367" w:rsidRPr="00B06A38">
        <w:t>d</w:t>
      </w:r>
      <w:r w:rsidR="00071666" w:rsidRPr="00B06A38">
        <w:t>ementia</w:t>
      </w:r>
      <w:r w:rsidRPr="00B06A38">
        <w:t xml:space="preserve">. The first is a gentleman called Ali, who is cared for by his wife as he has Parkinson's disease as well as </w:t>
      </w:r>
      <w:r w:rsidR="00FB2367" w:rsidRPr="00B06A38">
        <w:t>d</w:t>
      </w:r>
      <w:r w:rsidR="00071666" w:rsidRPr="00B06A38">
        <w:t>ementia</w:t>
      </w:r>
      <w:r w:rsidRPr="00B06A38">
        <w:t>. Once diagnosed, Ali and his wife contacted the charity and comment that staff are "cheerful and friendly" (</w:t>
      </w:r>
      <w:r w:rsidR="00071666" w:rsidRPr="00B06A38">
        <w:t>Dementia</w:t>
      </w:r>
      <w:r w:rsidRPr="00B06A38">
        <w:t xml:space="preserve"> Concern, 2020). The couple were </w:t>
      </w:r>
      <w:r w:rsidR="00FB2367" w:rsidRPr="00B06A38">
        <w:t>advised</w:t>
      </w:r>
      <w:r w:rsidRPr="00B06A38">
        <w:t xml:space="preserve"> about benefits they could claim, assisting them to fill in paperwork and gave them information about the facilities they could access. Facilities the charity offers are a befriending service and </w:t>
      </w:r>
      <w:r w:rsidR="00FB2367" w:rsidRPr="00B06A38">
        <w:t>d</w:t>
      </w:r>
      <w:r w:rsidR="00071666" w:rsidRPr="00B06A38">
        <w:t>ementia</w:t>
      </w:r>
      <w:r w:rsidR="00A023DA" w:rsidRPr="00B06A38">
        <w:t xml:space="preserve"> c</w:t>
      </w:r>
      <w:r w:rsidRPr="00B06A38">
        <w:t>af</w:t>
      </w:r>
      <w:r w:rsidR="00A023DA" w:rsidRPr="00B06A38">
        <w:t>é</w:t>
      </w:r>
      <w:r w:rsidRPr="00B06A38">
        <w:t xml:space="preserve">s and Ali's wife welcomes the weekly meetings and support from other carers as it gives her opportunity to share experiences and realise that no one is on their own. Despite the lockdowns of 2020, Ali's wife states that </w:t>
      </w:r>
      <w:r w:rsidR="00071666" w:rsidRPr="00B06A38">
        <w:t>Dementia</w:t>
      </w:r>
      <w:r w:rsidRPr="00B06A38">
        <w:t xml:space="preserve"> Concern (2020) continue to remain supportive by keeping in contact with the couple. </w:t>
      </w:r>
      <w:r w:rsidR="00BD3942" w:rsidRPr="00B06A38">
        <w:t>In this example, person-centred</w:t>
      </w:r>
      <w:r w:rsidRPr="00B06A38">
        <w:t xml:space="preserve"> practice is evident as the couple receive continuous support through communication from t</w:t>
      </w:r>
      <w:r w:rsidR="00242F2D" w:rsidRPr="00B06A38">
        <w:t xml:space="preserve">he organisation and the charity </w:t>
      </w:r>
      <w:r w:rsidRPr="00B06A38">
        <w:t xml:space="preserve">initiated support with other carers. </w:t>
      </w:r>
      <w:r w:rsidR="00071666" w:rsidRPr="00B06A38">
        <w:t>Dementia</w:t>
      </w:r>
      <w:r w:rsidRPr="00B06A38">
        <w:t xml:space="preserve"> Concern (2020) state that they 'provide the tools for the service user to be able to navigate the social care system' empowering them to make decisions about the support individuals would like to receive and the charity signposts them to available services. Helen Sanderson Associates (no date) work with organisations including charities and equip them w</w:t>
      </w:r>
      <w:r w:rsidR="00BD3942" w:rsidRPr="00B06A38">
        <w:t>ith the tools to be more person-centred</w:t>
      </w:r>
      <w:r w:rsidRPr="00B06A38">
        <w:t xml:space="preserve">. </w:t>
      </w:r>
    </w:p>
    <w:p w14:paraId="201C4471" w14:textId="527921BA" w:rsidR="00BF2AB8" w:rsidRPr="00B06A38" w:rsidRDefault="00E6299F" w:rsidP="00E460B9">
      <w:pPr>
        <w:spacing w:before="240" w:after="240" w:line="360" w:lineRule="auto"/>
        <w:jc w:val="both"/>
      </w:pPr>
      <w:r w:rsidRPr="00B06A38">
        <w:lastRenderedPageBreak/>
        <w:t xml:space="preserve">One-page profiles are an easy to use tool, detailed on Helen Sanderson Associates (no date) webpage. They can highlight important information about an individual in three simple headings so that organisations can appreciate the person as a whole being, what is important to them and how best to support them. </w:t>
      </w:r>
      <w:r w:rsidR="00071666" w:rsidRPr="00B06A38">
        <w:t>Dementia</w:t>
      </w:r>
      <w:r w:rsidRPr="00B06A38">
        <w:t xml:space="preserve"> Concern (2020) does not state that a One Page Profile is used in this case study; however, it may have been useful. Toolkits similar to the One Page Profiles exampled by Helen Sanderson Associates (no date) are used within health and social care settings, including advocacy. Age Cymru (2019) designed a toolkit to support the application of the Framework for Commissioning Independent Professional Advocacy for Adults. The toolkit seeks to ensure that people's voices are heard when they are accessing care and support underpinning principles of the Advocacy Charter including 'promoting social inclusion, equality and social justice' (National Development Team for Inclusion, 2018). In Ali and his wife's case formal advocacy takes place as the role of the professionals at </w:t>
      </w:r>
      <w:r w:rsidR="00071666" w:rsidRPr="00B06A38">
        <w:t>Dementia</w:t>
      </w:r>
      <w:r w:rsidRPr="00B06A38">
        <w:t xml:space="preserve"> Concern (2020) are required to consider service users' wishes and feelings and respond accordingly (Age Cymru, 2019). Ali's wife also demonstrates peer advocacy as Ali is unable to communicate his needs or preferences adequately to complete a One Page Profile. This type of advocacy can apply to other individuals who may have friends who can act as peer advocates in similar situations.</w:t>
      </w:r>
    </w:p>
    <w:p w14:paraId="777A7026" w14:textId="45A5B735" w:rsidR="00BF2AB8" w:rsidRPr="00B06A38" w:rsidRDefault="00E6299F" w:rsidP="00E460B9">
      <w:pPr>
        <w:spacing w:before="240" w:after="240" w:line="360" w:lineRule="auto"/>
        <w:jc w:val="both"/>
      </w:pPr>
      <w:r w:rsidRPr="00B06A38">
        <w:t xml:space="preserve">Helen Sanderson Associates (no date) created a MAPS (Map Action Planning System) tool to support individuals in planning for the future. For individuals and their carers living with </w:t>
      </w:r>
      <w:r w:rsidR="00FB2367" w:rsidRPr="00B06A38">
        <w:t>d</w:t>
      </w:r>
      <w:r w:rsidR="00071666" w:rsidRPr="00B06A38">
        <w:t>ementia</w:t>
      </w:r>
      <w:r w:rsidRPr="00B06A38">
        <w:t>, it is difficult to comprehend what the future looks like as the disease progresses at different rates for everyone and in the early stages some individuals may still drive, socialise or work (Alzheimer's Association, 2020). The MAPS process includes 'dreaming' which allows individuals to share something important to them and gives professionals and carers a focus, something to work towards in preparation for the future. Another case study tells the story of Mary, a retired teacher and a very social person (</w:t>
      </w:r>
      <w:r w:rsidR="00071666" w:rsidRPr="00B06A38">
        <w:t>Dementia</w:t>
      </w:r>
      <w:r w:rsidRPr="00B06A38">
        <w:t xml:space="preserve"> Concern, 2020). </w:t>
      </w:r>
      <w:r w:rsidR="00071666" w:rsidRPr="00B06A38">
        <w:t>Dementia</w:t>
      </w:r>
      <w:r w:rsidRPr="00B06A38">
        <w:t xml:space="preserve"> has changed Mary's life to the point that she can no longer complete simple tasks; however, she continues to live in her own home</w:t>
      </w:r>
      <w:r w:rsidR="00FB2367" w:rsidRPr="00B06A38">
        <w:t>,</w:t>
      </w:r>
      <w:r w:rsidRPr="00B06A38">
        <w:t xml:space="preserve"> supported by close family. In Mary's case, family know her well enough to appreciate her individual preferences and the charity arranges full-day outings where Mary socialises with others. </w:t>
      </w:r>
    </w:p>
    <w:p w14:paraId="2F2D5E7D" w14:textId="60657709" w:rsidR="00BF2AB8" w:rsidRPr="00B06A38" w:rsidRDefault="00E6299F" w:rsidP="00E460B9">
      <w:pPr>
        <w:spacing w:before="240" w:after="240" w:line="360" w:lineRule="auto"/>
        <w:jc w:val="both"/>
      </w:pPr>
      <w:r w:rsidRPr="00B06A38">
        <w:lastRenderedPageBreak/>
        <w:t>Although the char</w:t>
      </w:r>
      <w:r w:rsidR="006907F7" w:rsidRPr="00B06A38">
        <w:t>ity does not mention that a MAPS</w:t>
      </w:r>
      <w:r w:rsidRPr="00B06A38">
        <w:t xml:space="preserve"> tool is used, in this example, it may have been useful especially where alterations need to be made to someone's care and support when the individual's capacity deteriorates. However, some individuals do not have the family support that Mary has and therefore, have to live in care homes. </w:t>
      </w:r>
    </w:p>
    <w:p w14:paraId="7A8E9E79" w14:textId="772BAF13" w:rsidR="00BF2AB8" w:rsidRPr="00B06A38" w:rsidRDefault="00E6299F" w:rsidP="00E460B9">
      <w:pPr>
        <w:spacing w:before="240" w:after="240" w:line="360" w:lineRule="auto"/>
        <w:jc w:val="both"/>
      </w:pPr>
      <w:r w:rsidRPr="00B06A38">
        <w:t xml:space="preserve">According to Baker </w:t>
      </w:r>
      <w:r w:rsidRPr="00B06A38">
        <w:rPr>
          <w:i/>
          <w:iCs/>
        </w:rPr>
        <w:t>et al.</w:t>
      </w:r>
      <w:r w:rsidRPr="00B06A38">
        <w:t xml:space="preserve"> (2015), 80% of residents are living with </w:t>
      </w:r>
      <w:r w:rsidR="00FB2367" w:rsidRPr="00B06A38">
        <w:t>d</w:t>
      </w:r>
      <w:r w:rsidR="00071666" w:rsidRPr="00B06A38">
        <w:t>ementia</w:t>
      </w:r>
      <w:r w:rsidRPr="00B06A38">
        <w:t xml:space="preserve"> in care homes in the United Kingdom, and they say that nursing is one of the most stressful jobs because of heavy workloads and insufficient resources. Additionally, where philosophies or care home agendas demand more </w:t>
      </w:r>
      <w:r w:rsidR="00BD3942" w:rsidRPr="00B06A38">
        <w:t>person-centred</w:t>
      </w:r>
      <w:r w:rsidRPr="00B06A38">
        <w:t xml:space="preserve"> approaches, many care professionals may leave the occupation because of added stresses of fulfilling these philosophies. One could suggest that adopting </w:t>
      </w:r>
      <w:r w:rsidR="00BD3942" w:rsidRPr="00B06A38">
        <w:t>person-centred</w:t>
      </w:r>
      <w:r w:rsidRPr="00B06A38">
        <w:t xml:space="preserve"> approaches are, therefore, restrictive for those working in care home settings, especially where employees are managing time constraints. Kitwood (1997) states that in order to be truly </w:t>
      </w:r>
      <w:r w:rsidR="00BD3942" w:rsidRPr="00B06A38">
        <w:t>person-centred</w:t>
      </w:r>
      <w:r w:rsidRPr="00B06A38">
        <w:t xml:space="preserve">, people need to be given choices as opposed to professionals making choices for them because it is 'easier or quicker' for the professionals (Kitwood, </w:t>
      </w:r>
      <w:r w:rsidRPr="00B06A38">
        <w:rPr>
          <w:i/>
          <w:iCs/>
        </w:rPr>
        <w:t>cited in</w:t>
      </w:r>
      <w:r w:rsidRPr="00B06A38">
        <w:t xml:space="preserve"> Baker, 2017). Kitwood (1997) argues that behaving in this manner enforces the Medical Model approach (Disability Wales, 2020) where the focus is on the condition instead of the person as an individual (Devon County Council, 2020). </w:t>
      </w:r>
    </w:p>
    <w:p w14:paraId="4C628995" w14:textId="108622A9" w:rsidR="00BF2AB8" w:rsidRPr="00B06A38" w:rsidRDefault="00E6299F" w:rsidP="00E460B9">
      <w:pPr>
        <w:spacing w:before="240" w:after="240" w:line="360" w:lineRule="auto"/>
        <w:jc w:val="both"/>
      </w:pPr>
      <w:r w:rsidRPr="00B06A38">
        <w:t xml:space="preserve">According to Macdonald (2018), </w:t>
      </w:r>
      <w:r w:rsidR="00FB2367" w:rsidRPr="00B06A38">
        <w:t>d</w:t>
      </w:r>
      <w:r w:rsidR="00071666" w:rsidRPr="00B06A38">
        <w:t>ementia</w:t>
      </w:r>
      <w:r w:rsidRPr="00B06A38">
        <w:t xml:space="preserve"> heightens negativity. It changes social norms because people living with </w:t>
      </w:r>
      <w:r w:rsidR="00FB2367" w:rsidRPr="00B06A38">
        <w:t>d</w:t>
      </w:r>
      <w:r w:rsidR="00071666" w:rsidRPr="00B06A38">
        <w:t>ementia</w:t>
      </w:r>
      <w:r w:rsidRPr="00B06A38">
        <w:t xml:space="preserve"> are often seen as being 'robbed of life' (Macdonald, </w:t>
      </w:r>
      <w:r w:rsidR="001F738B" w:rsidRPr="00B06A38">
        <w:t xml:space="preserve">2018, </w:t>
      </w:r>
      <w:r w:rsidRPr="00B06A38">
        <w:t>p.290) and medicine serves to 'keep the body functioning' (Macdonald,</w:t>
      </w:r>
      <w:r w:rsidR="002A01AB" w:rsidRPr="00B06A38">
        <w:t xml:space="preserve"> 2018,</w:t>
      </w:r>
      <w:r w:rsidRPr="00B06A38">
        <w:t xml:space="preserve"> p.292) with little regard for the wellbeing of the individual. The changes in the brain that </w:t>
      </w:r>
      <w:r w:rsidR="00FB2367" w:rsidRPr="00B06A38">
        <w:t>d</w:t>
      </w:r>
      <w:r w:rsidR="00071666" w:rsidRPr="00B06A38">
        <w:t>ementia</w:t>
      </w:r>
      <w:r w:rsidRPr="00B06A38">
        <w:t xml:space="preserve"> produces cause many to suffer confusion, unpredictability and poor communication. However, Macdonald (2018) states that behaviours associated with the disease arise because of inefficient care. Therefore, it can be suggested that what anyone living with </w:t>
      </w:r>
      <w:r w:rsidR="00FB2367" w:rsidRPr="00B06A38">
        <w:t>d</w:t>
      </w:r>
      <w:r w:rsidR="00071666" w:rsidRPr="00B06A38">
        <w:t>ementia</w:t>
      </w:r>
      <w:r w:rsidRPr="00B06A38">
        <w:t xml:space="preserve"> wants is to die with dignity, surrounded by people who care. </w:t>
      </w:r>
    </w:p>
    <w:p w14:paraId="7B44FC41" w14:textId="2770DB1A" w:rsidR="00BF2AB8" w:rsidRPr="00B06A38" w:rsidRDefault="00E6299F" w:rsidP="00E460B9">
      <w:pPr>
        <w:spacing w:before="240" w:after="240" w:line="360" w:lineRule="auto"/>
        <w:jc w:val="both"/>
      </w:pPr>
      <w:r w:rsidRPr="00B06A38">
        <w:t xml:space="preserve">Many relatives of service users resort to care homes because they are unable to cope with the demands </w:t>
      </w:r>
      <w:r w:rsidR="00071666" w:rsidRPr="00B06A38">
        <w:t>dementia</w:t>
      </w:r>
      <w:r w:rsidRPr="00B06A38">
        <w:t xml:space="preserve"> brings. Macdonald (2018) argues that care staff are low-paid and with an increasing desire to adopt </w:t>
      </w:r>
      <w:r w:rsidR="00BD3942" w:rsidRPr="00B06A38">
        <w:t>person-centred</w:t>
      </w:r>
      <w:r w:rsidRPr="00B06A38">
        <w:t xml:space="preserve"> approaches, it is no surprise that PCP is becoming a cliché. Techniques and toolkits designed to record people's lives and ways to deal with </w:t>
      </w:r>
      <w:r w:rsidRPr="00B06A38">
        <w:lastRenderedPageBreak/>
        <w:t xml:space="preserve">unpredictable behaviours may be seen as tokenistic. A review written by Ocloo and Matthews (2016) examines patient and public involvement in healthcare. They draw conclusions that many organisations do not address empowerment or equality in approaches to involvement and, the power balances that generally exist favour organisations rather than the partnerships with service users. The review argues that co-production is essential to address power imbalances and suggests using a collaborative framework that empowers people in their care and support plans. Also, decision-making tools allow for processes for managing care packages based on service users' preferences. Ocloo and Matthews (2016) suggest that to be able to deliver a more </w:t>
      </w:r>
      <w:r w:rsidR="00323303" w:rsidRPr="00B06A38">
        <w:t>dynamic</w:t>
      </w:r>
      <w:r w:rsidRPr="00B06A38">
        <w:t xml:space="preserve"> approach, partnership working needs to be embedded in practice before there can be a move away from tokenism to equity for all, whether service users or service providers. </w:t>
      </w:r>
    </w:p>
    <w:p w14:paraId="208E55BB" w14:textId="6507BA1C" w:rsidR="00BF2AB8" w:rsidRPr="00B06A38" w:rsidRDefault="00E6299F" w:rsidP="00E460B9">
      <w:pPr>
        <w:spacing w:before="240" w:after="240" w:line="360" w:lineRule="auto"/>
        <w:jc w:val="both"/>
      </w:pPr>
      <w:r w:rsidRPr="00B06A38">
        <w:t xml:space="preserve">In conclusion, the assignment explored PCP in health and social care settings in general, and specifically with the elderly living with </w:t>
      </w:r>
      <w:r w:rsidR="00FB2367" w:rsidRPr="00B06A38">
        <w:t>d</w:t>
      </w:r>
      <w:r w:rsidR="00071666" w:rsidRPr="00B06A38">
        <w:t>ementia</w:t>
      </w:r>
      <w:r w:rsidRPr="00B06A38">
        <w:t xml:space="preserve">. Power differences have been examined, and the role of advocates in supporting service users to adjust the power imbalances the assignment acknowledged that exist, suggesting that these need to be addressed before appropriate care for service users can be provided. The role of an IMCA was explored and how important PCP is to an individual who lacks capacity, despite the risks associated with allowing individuals to be at the centre of decision-making processes. PCP is arguably the best philosophy when the aim is to empower individuals to be more agentic. Two case studies from the charity </w:t>
      </w:r>
      <w:r w:rsidR="00071666" w:rsidRPr="00B06A38">
        <w:t>Dementia</w:t>
      </w:r>
      <w:r w:rsidRPr="00B06A38">
        <w:t xml:space="preserve"> Concern (2020) were included to demonstrate the positive outcomes of using </w:t>
      </w:r>
      <w:r w:rsidR="00BD3942" w:rsidRPr="00B06A38">
        <w:t>person-centred</w:t>
      </w:r>
      <w:r w:rsidRPr="00B06A38">
        <w:t xml:space="preserve"> approaches, not only for service users but </w:t>
      </w:r>
      <w:r w:rsidR="0055343C" w:rsidRPr="00B06A38">
        <w:t xml:space="preserve">also </w:t>
      </w:r>
      <w:r w:rsidRPr="00B06A38">
        <w:t xml:space="preserve">the individuals who care for them. Additionally, PCP tools were introduced to show how beneficial these can be to both service users and all practitioners within health and social care settings. </w:t>
      </w:r>
    </w:p>
    <w:p w14:paraId="0F7BB430" w14:textId="5DD53B63" w:rsidR="00BF2AB8" w:rsidRPr="00B06A38" w:rsidRDefault="00E6299F" w:rsidP="00E460B9">
      <w:pPr>
        <w:spacing w:before="240" w:after="240" w:line="360" w:lineRule="auto"/>
        <w:jc w:val="both"/>
      </w:pPr>
      <w:r w:rsidRPr="00B06A38">
        <w:t xml:space="preserve">The assignment addressed the challenges that staff face adopting PCP in residential settings whilst caring for the elderly with </w:t>
      </w:r>
      <w:r w:rsidR="00FB2367" w:rsidRPr="00B06A38">
        <w:t>d</w:t>
      </w:r>
      <w:r w:rsidR="00071666" w:rsidRPr="00B06A38">
        <w:t>ementia</w:t>
      </w:r>
      <w:r w:rsidRPr="00B06A38">
        <w:t xml:space="preserve">. It is suggested that for low paid staff dealing with time constraints and trying to juggle the physical and practical needs of service users, PCP is low down on the list of priority. However, </w:t>
      </w:r>
      <w:r w:rsidR="001928EE" w:rsidRPr="00B06A38">
        <w:t xml:space="preserve">if one </w:t>
      </w:r>
      <w:r w:rsidRPr="00B06A38">
        <w:t>suppose</w:t>
      </w:r>
      <w:r w:rsidR="001928EE" w:rsidRPr="00B06A38">
        <w:t>s</w:t>
      </w:r>
      <w:r w:rsidRPr="00B06A38">
        <w:t xml:space="preserve"> PCP is used at the planning process of the</w:t>
      </w:r>
      <w:r w:rsidR="001928EE" w:rsidRPr="00B06A38">
        <w:t xml:space="preserve"> service user's care package, in</w:t>
      </w:r>
      <w:r w:rsidRPr="00B06A38">
        <w:t xml:space="preserve"> that case, one could argue that there should be rudimentary problems in the delivery of an effective service provided it is embedded into practice. The assignment highlights </w:t>
      </w:r>
      <w:r w:rsidRPr="00B06A38">
        <w:lastRenderedPageBreak/>
        <w:t xml:space="preserve">the fact that many employees leave the caring profession because of heavy workloads and insufficient resources (Baker </w:t>
      </w:r>
      <w:r w:rsidRPr="00B06A38">
        <w:rPr>
          <w:i/>
          <w:iCs/>
        </w:rPr>
        <w:t>et al.</w:t>
      </w:r>
      <w:r w:rsidRPr="00B06A38">
        <w:t xml:space="preserve">, 2015). Therefore, it seems logical to suggest that specific training is essential, especially with staff caring for </w:t>
      </w:r>
      <w:r w:rsidR="00071666" w:rsidRPr="00B06A38">
        <w:t>dementia</w:t>
      </w:r>
      <w:r w:rsidRPr="00B06A38">
        <w:t xml:space="preserve"> patients. Appropriate PCP training would allow for an appreciation of the Social Model of Disability in contrast to the Medical Model, where the focus should be on what the service user can achieve (Disability Wales, 2020). </w:t>
      </w:r>
    </w:p>
    <w:p w14:paraId="17BC5355" w14:textId="77777777" w:rsidR="00BF2AB8" w:rsidRPr="00B06A38" w:rsidRDefault="00E6299F" w:rsidP="00E460B9">
      <w:pPr>
        <w:spacing w:before="240" w:after="240" w:line="360" w:lineRule="auto"/>
        <w:jc w:val="both"/>
      </w:pPr>
      <w:r w:rsidRPr="00B06A38">
        <w:t xml:space="preserve">Therefore, individuals must be placed at the centre of the decisions around their care and support in order for everyone to appreciate the service user as a unique human being. It can also be suggested that staff need to reflect on their behaviour and recognise if things are not working in practice. </w:t>
      </w:r>
    </w:p>
    <w:p w14:paraId="2ED598B4" w14:textId="77777777" w:rsidR="00BF2AB8" w:rsidRPr="00B06A38" w:rsidRDefault="00E6299F" w:rsidP="00E460B9">
      <w:pPr>
        <w:spacing w:before="240" w:after="240" w:line="360" w:lineRule="auto"/>
        <w:jc w:val="both"/>
      </w:pPr>
      <w:r w:rsidRPr="00B06A38">
        <w:t xml:space="preserve">Addressing and reflecting on problems early on, particularly within residential care, allows managers to reassess situations for service users and staff. This is important when, arguably, as suggested by Ocloo and Matthews (2016), everyone needs to be invested in PCP for it to work. </w:t>
      </w:r>
    </w:p>
    <w:p w14:paraId="53500D67" w14:textId="3ACDB3A1" w:rsidR="00BF2AB8" w:rsidRPr="00B06A38" w:rsidRDefault="00E6299F" w:rsidP="00E460B9">
      <w:pPr>
        <w:spacing w:before="240" w:after="240" w:line="360" w:lineRule="auto"/>
        <w:jc w:val="both"/>
      </w:pPr>
      <w:r w:rsidRPr="00B06A38">
        <w:t xml:space="preserve">Therefore, reflection should be part of the monitoring process, especially in </w:t>
      </w:r>
      <w:r w:rsidR="00071666" w:rsidRPr="00B06A38">
        <w:t>dementia</w:t>
      </w:r>
      <w:r w:rsidRPr="00B06A38">
        <w:t xml:space="preserve"> cases, as an individual's condition, according to the Alzheimer's Society (2020), can deteriorate considerably over a short time. </w:t>
      </w:r>
    </w:p>
    <w:p w14:paraId="411F045B" w14:textId="77777777" w:rsidR="001035BF" w:rsidRPr="00B06A38" w:rsidRDefault="001035BF" w:rsidP="00E460B9">
      <w:pPr>
        <w:spacing w:before="240" w:after="240" w:line="360" w:lineRule="auto"/>
        <w:jc w:val="both"/>
      </w:pPr>
    </w:p>
    <w:p w14:paraId="5DF6EC07" w14:textId="77777777" w:rsidR="001035BF" w:rsidRPr="00B06A38" w:rsidRDefault="001035BF" w:rsidP="00E460B9">
      <w:pPr>
        <w:spacing w:before="240" w:after="240" w:line="360" w:lineRule="auto"/>
        <w:jc w:val="both"/>
      </w:pPr>
    </w:p>
    <w:p w14:paraId="64C9A1A1" w14:textId="77777777" w:rsidR="001035BF" w:rsidRPr="00B06A38" w:rsidRDefault="001035BF" w:rsidP="00E460B9">
      <w:pPr>
        <w:spacing w:before="240" w:after="240" w:line="360" w:lineRule="auto"/>
        <w:jc w:val="both"/>
      </w:pPr>
    </w:p>
    <w:p w14:paraId="264A9C92" w14:textId="77777777" w:rsidR="001035BF" w:rsidRPr="00B06A38" w:rsidRDefault="001035BF" w:rsidP="00E460B9">
      <w:pPr>
        <w:spacing w:before="240" w:after="240" w:line="360" w:lineRule="auto"/>
        <w:jc w:val="both"/>
      </w:pPr>
    </w:p>
    <w:p w14:paraId="176542EA" w14:textId="77777777" w:rsidR="001035BF" w:rsidRPr="00B06A38" w:rsidRDefault="001035BF" w:rsidP="00E460B9">
      <w:pPr>
        <w:spacing w:before="240" w:after="240" w:line="360" w:lineRule="auto"/>
        <w:jc w:val="both"/>
      </w:pPr>
    </w:p>
    <w:p w14:paraId="22C4D57D" w14:textId="77777777" w:rsidR="001035BF" w:rsidRPr="00B06A38" w:rsidRDefault="001035BF" w:rsidP="00E460B9">
      <w:pPr>
        <w:spacing w:before="240" w:after="240" w:line="360" w:lineRule="auto"/>
        <w:jc w:val="both"/>
      </w:pPr>
    </w:p>
    <w:p w14:paraId="743EE503" w14:textId="77777777" w:rsidR="001035BF" w:rsidRPr="00B06A38" w:rsidRDefault="001035BF" w:rsidP="00E460B9">
      <w:pPr>
        <w:spacing w:before="240" w:after="240" w:line="360" w:lineRule="auto"/>
        <w:jc w:val="both"/>
      </w:pPr>
    </w:p>
    <w:p w14:paraId="2BE4A4AB" w14:textId="77777777" w:rsidR="007A5998" w:rsidRPr="00B06A38" w:rsidRDefault="007A5998" w:rsidP="00E460B9">
      <w:pPr>
        <w:jc w:val="both"/>
      </w:pPr>
    </w:p>
    <w:p w14:paraId="7D8E0245" w14:textId="77777777" w:rsidR="007A5998" w:rsidRPr="00B06A38" w:rsidRDefault="007A5998" w:rsidP="00E460B9">
      <w:pPr>
        <w:jc w:val="both"/>
      </w:pPr>
    </w:p>
    <w:p w14:paraId="4BF9FC37" w14:textId="77777777" w:rsidR="001035BF" w:rsidRPr="00B06A38" w:rsidRDefault="001035BF" w:rsidP="00E460B9">
      <w:pPr>
        <w:jc w:val="both"/>
        <w:rPr>
          <w:u w:val="single"/>
        </w:rPr>
      </w:pPr>
      <w:r w:rsidRPr="00B06A38">
        <w:rPr>
          <w:u w:val="single"/>
        </w:rPr>
        <w:lastRenderedPageBreak/>
        <w:t>References</w:t>
      </w:r>
    </w:p>
    <w:p w14:paraId="504D9A3A" w14:textId="77777777" w:rsidR="008F723A" w:rsidRPr="00B06A38" w:rsidRDefault="008F723A" w:rsidP="00E460B9">
      <w:pPr>
        <w:jc w:val="both"/>
        <w:rPr>
          <w:u w:val="single"/>
        </w:rPr>
      </w:pPr>
    </w:p>
    <w:p w14:paraId="4C229184" w14:textId="77777777" w:rsidR="001035BF" w:rsidRPr="00B06A38" w:rsidRDefault="001035BF" w:rsidP="00E460B9">
      <w:pPr>
        <w:spacing w:line="360" w:lineRule="auto"/>
        <w:ind w:left="720" w:hanging="720"/>
        <w:jc w:val="both"/>
      </w:pPr>
      <w:r w:rsidRPr="00B06A38">
        <w:t xml:space="preserve">Age Cymru (2019) </w:t>
      </w:r>
      <w:r w:rsidRPr="00B06A38">
        <w:rPr>
          <w:i/>
        </w:rPr>
        <w:t>A toolkit to support the application of the Framework for the Commissioning Independent Advocacy for Adults under the Social Services and Well-being (Wales) Act 2014.</w:t>
      </w:r>
      <w:r w:rsidRPr="00B06A38">
        <w:t xml:space="preserve"> Available at: </w:t>
      </w:r>
      <w:hyperlink r:id="rId6" w:history="1">
        <w:r w:rsidRPr="00B06A38">
          <w:rPr>
            <w:rStyle w:val="Hyperlink"/>
            <w:color w:val="auto"/>
            <w:u w:val="none"/>
          </w:rPr>
          <w:t>https://www.ageuk.org.uk/globalassets/age-cymru/documents/golden-thread-advocacy-programme/programme-documents/commissioning-ipa-toolkit-english-oct-19.pdf</w:t>
        </w:r>
      </w:hyperlink>
      <w:r w:rsidRPr="00B06A38">
        <w:t xml:space="preserve"> (Accessed: 24 October 2020).</w:t>
      </w:r>
    </w:p>
    <w:p w14:paraId="653544C0" w14:textId="48223023" w:rsidR="001035BF" w:rsidRPr="00B06A38" w:rsidRDefault="001035BF" w:rsidP="00E460B9">
      <w:pPr>
        <w:spacing w:line="360" w:lineRule="auto"/>
        <w:ind w:left="720" w:hanging="720"/>
        <w:jc w:val="both"/>
      </w:pPr>
      <w:r w:rsidRPr="00B06A38">
        <w:t>Alzheimer’s Association (2020)</w:t>
      </w:r>
      <w:r w:rsidRPr="00B06A38">
        <w:rPr>
          <w:b/>
          <w:bCs/>
          <w:lang w:eastAsia="en-GB"/>
        </w:rPr>
        <w:t xml:space="preserve"> </w:t>
      </w:r>
      <w:r w:rsidRPr="00B06A38">
        <w:rPr>
          <w:bCs/>
          <w:i/>
          <w:lang w:eastAsia="en-GB"/>
        </w:rPr>
        <w:t>Alzheimer's </w:t>
      </w:r>
      <w:r w:rsidRPr="00B06A38">
        <w:rPr>
          <w:bCs/>
          <w:i/>
          <w:color w:val="252525"/>
          <w:lang w:eastAsia="en-GB"/>
        </w:rPr>
        <w:t>and </w:t>
      </w:r>
      <w:r w:rsidR="00071666" w:rsidRPr="00B06A38">
        <w:rPr>
          <w:bCs/>
          <w:i/>
          <w:color w:val="252525"/>
          <w:lang w:eastAsia="en-GB"/>
        </w:rPr>
        <w:t>Dementia</w:t>
      </w:r>
      <w:r w:rsidRPr="00B06A38">
        <w:rPr>
          <w:bCs/>
          <w:i/>
          <w:color w:val="252525"/>
          <w:lang w:eastAsia="en-GB"/>
        </w:rPr>
        <w:t> in the United Kingdom</w:t>
      </w:r>
      <w:r w:rsidRPr="00B06A38">
        <w:rPr>
          <w:bCs/>
          <w:color w:val="252525"/>
          <w:lang w:eastAsia="en-GB"/>
        </w:rPr>
        <w:t xml:space="preserve">. Available at: </w:t>
      </w:r>
      <w:hyperlink r:id="rId7" w:anchor=":~:text=According%20to%20the%20Alzheimer%27s%20Society%2C%20there%20are%20670%2C000,the%20UK%20more%20than%20%C2%A38%20billion%20a%20year" w:history="1">
        <w:r w:rsidRPr="00B06A38">
          <w:rPr>
            <w:rStyle w:val="Hyperlink"/>
            <w:bCs/>
            <w:color w:val="auto"/>
            <w:u w:val="none"/>
            <w:lang w:eastAsia="en-GB"/>
          </w:rPr>
          <w:t>https://www.alz.org/uk/</w:t>
        </w:r>
        <w:r w:rsidR="00071666" w:rsidRPr="00B06A38">
          <w:rPr>
            <w:rStyle w:val="Hyperlink"/>
            <w:bCs/>
            <w:color w:val="auto"/>
            <w:u w:val="none"/>
            <w:lang w:eastAsia="en-GB"/>
          </w:rPr>
          <w:t>dementia</w:t>
        </w:r>
        <w:r w:rsidRPr="00B06A38">
          <w:rPr>
            <w:rStyle w:val="Hyperlink"/>
            <w:bCs/>
            <w:color w:val="auto"/>
            <w:u w:val="none"/>
            <w:lang w:eastAsia="en-GB"/>
          </w:rPr>
          <w:t>-alzheimers-uk.asp#:~:text=According%20to%20the%20Alzheimer%27s%20Society%2C%20there%20are%20670%2C000,the%20UK%20more%20than%20%C2%A38%20billion%20a%20year</w:t>
        </w:r>
      </w:hyperlink>
      <w:r w:rsidRPr="00B06A38">
        <w:rPr>
          <w:bCs/>
          <w:lang w:eastAsia="en-GB"/>
        </w:rPr>
        <w:t xml:space="preserve">. </w:t>
      </w:r>
      <w:r w:rsidRPr="00B06A38">
        <w:rPr>
          <w:bCs/>
          <w:color w:val="252525"/>
          <w:lang w:eastAsia="en-GB"/>
        </w:rPr>
        <w:t>(Accessed: 26 October 2020).</w:t>
      </w:r>
    </w:p>
    <w:p w14:paraId="479B64BF" w14:textId="77777777" w:rsidR="001035BF" w:rsidRPr="00B06A38" w:rsidRDefault="001035BF" w:rsidP="00E460B9">
      <w:pPr>
        <w:spacing w:line="360" w:lineRule="auto"/>
        <w:ind w:left="720" w:hanging="720"/>
        <w:jc w:val="both"/>
      </w:pPr>
      <w:r w:rsidRPr="00B06A38">
        <w:t xml:space="preserve">Alzheimer’s Society (2020) </w:t>
      </w:r>
      <w:r w:rsidRPr="00B06A38">
        <w:rPr>
          <w:i/>
        </w:rPr>
        <w:t>Decision-making and mental capacity</w:t>
      </w:r>
      <w:r w:rsidRPr="00B06A38">
        <w:t xml:space="preserve">. Available at:  </w:t>
      </w:r>
      <w:hyperlink r:id="rId8" w:history="1">
        <w:r w:rsidRPr="00B06A38">
          <w:rPr>
            <w:rStyle w:val="Hyperlink"/>
            <w:color w:val="auto"/>
            <w:u w:val="none"/>
          </w:rPr>
          <w:t>https://www.alzheimers.org.uk/get-support/legal-financial/decision-making-and-mental-capacity</w:t>
        </w:r>
      </w:hyperlink>
      <w:r w:rsidRPr="00B06A38">
        <w:t xml:space="preserve"> (Accessed: 18 October 2020).</w:t>
      </w:r>
    </w:p>
    <w:p w14:paraId="2F74DBEA" w14:textId="49789190" w:rsidR="001035BF" w:rsidRPr="00B06A38" w:rsidRDefault="001035BF" w:rsidP="00E460B9">
      <w:pPr>
        <w:spacing w:line="360" w:lineRule="auto"/>
        <w:ind w:left="720" w:hanging="720"/>
        <w:jc w:val="both"/>
      </w:pPr>
      <w:r w:rsidRPr="00B06A38">
        <w:t>Baker, C. (2017) ‘</w:t>
      </w:r>
      <w:r w:rsidRPr="00B06A38">
        <w:rPr>
          <w:color w:val="000000"/>
          <w:kern w:val="36"/>
          <w:bdr w:val="none" w:sz="0" w:space="0" w:color="auto" w:frame="1"/>
          <w:lang w:eastAsia="en-GB"/>
        </w:rPr>
        <w:t xml:space="preserve">Enhancing wellbeing of residents with </w:t>
      </w:r>
      <w:r w:rsidR="00071666" w:rsidRPr="00B06A38">
        <w:rPr>
          <w:color w:val="000000"/>
          <w:kern w:val="36"/>
          <w:bdr w:val="none" w:sz="0" w:space="0" w:color="auto" w:frame="1"/>
          <w:lang w:eastAsia="en-GB"/>
        </w:rPr>
        <w:t>dementia</w:t>
      </w:r>
      <w:r w:rsidRPr="00B06A38">
        <w:rPr>
          <w:color w:val="000000"/>
          <w:kern w:val="36"/>
          <w:bdr w:val="none" w:sz="0" w:space="0" w:color="auto" w:frame="1"/>
          <w:lang w:eastAsia="en-GB"/>
        </w:rPr>
        <w:t xml:space="preserve"> in care homes’</w:t>
      </w:r>
      <w:r w:rsidRPr="00B06A38">
        <w:rPr>
          <w:i/>
          <w:color w:val="000000"/>
          <w:kern w:val="36"/>
          <w:bdr w:val="none" w:sz="0" w:space="0" w:color="auto" w:frame="1"/>
          <w:lang w:eastAsia="en-GB"/>
        </w:rPr>
        <w:t xml:space="preserve">, Nursing Times, </w:t>
      </w:r>
      <w:r w:rsidRPr="00B06A38">
        <w:rPr>
          <w:color w:val="000000"/>
          <w:kern w:val="36"/>
          <w:bdr w:val="none" w:sz="0" w:space="0" w:color="auto" w:frame="1"/>
          <w:lang w:eastAsia="en-GB"/>
        </w:rPr>
        <w:t>113(12), pp. 31-34</w:t>
      </w:r>
      <w:r w:rsidRPr="00B06A38">
        <w:rPr>
          <w:i/>
          <w:color w:val="000000"/>
          <w:kern w:val="36"/>
          <w:bdr w:val="none" w:sz="0" w:space="0" w:color="auto" w:frame="1"/>
          <w:lang w:eastAsia="en-GB"/>
        </w:rPr>
        <w:t xml:space="preserve">. </w:t>
      </w:r>
      <w:r w:rsidRPr="00B06A38">
        <w:rPr>
          <w:color w:val="000000"/>
          <w:kern w:val="36"/>
          <w:bdr w:val="none" w:sz="0" w:space="0" w:color="auto" w:frame="1"/>
          <w:lang w:eastAsia="en-GB"/>
        </w:rPr>
        <w:t xml:space="preserve">Available at: </w:t>
      </w:r>
      <w:hyperlink r:id="rId9" w:history="1">
        <w:r w:rsidRPr="00B06A38">
          <w:rPr>
            <w:rStyle w:val="Hyperlink"/>
            <w:color w:val="auto"/>
            <w:u w:val="none"/>
          </w:rPr>
          <w:t>https://www.nursingtimes.net/roles/care-home-nurses/enhancing-wellbeing-of-residents-with-</w:t>
        </w:r>
        <w:r w:rsidR="00071666" w:rsidRPr="00B06A38">
          <w:rPr>
            <w:rStyle w:val="Hyperlink"/>
            <w:color w:val="auto"/>
            <w:u w:val="none"/>
          </w:rPr>
          <w:t>dementia</w:t>
        </w:r>
        <w:r w:rsidRPr="00B06A38">
          <w:rPr>
            <w:rStyle w:val="Hyperlink"/>
            <w:color w:val="auto"/>
            <w:u w:val="none"/>
          </w:rPr>
          <w:t>-in-care-homes-27-11-2017/</w:t>
        </w:r>
      </w:hyperlink>
      <w:r w:rsidRPr="00B06A38">
        <w:t xml:space="preserve"> (Accessed: 24 October 2020).</w:t>
      </w:r>
    </w:p>
    <w:p w14:paraId="31256265" w14:textId="75183368" w:rsidR="001035BF" w:rsidRPr="00B06A38" w:rsidRDefault="001035BF" w:rsidP="00E460B9">
      <w:pPr>
        <w:spacing w:line="360" w:lineRule="auto"/>
        <w:ind w:left="720" w:hanging="720"/>
        <w:jc w:val="both"/>
      </w:pPr>
      <w:r w:rsidRPr="00B06A38">
        <w:t xml:space="preserve">Baker, C., Huxley, P., Dennis, M., Islam, S. and Russell, I. (2015) ‘Alleviating staff stress in care homes for people with </w:t>
      </w:r>
      <w:r w:rsidR="00071666" w:rsidRPr="00B06A38">
        <w:t>dementia</w:t>
      </w:r>
      <w:r w:rsidRPr="00B06A38">
        <w:t xml:space="preserve">: protocol for stepped-wedge cluster randomised trial to evaluate a web-based Mindfulness-Stress Reduction course’, </w:t>
      </w:r>
      <w:r w:rsidRPr="00B06A38">
        <w:rPr>
          <w:i/>
        </w:rPr>
        <w:t xml:space="preserve">BioMed Central, BMC Psychiatry, </w:t>
      </w:r>
      <w:r w:rsidRPr="00B06A38">
        <w:t xml:space="preserve">15, pp. 1-10. Available at: </w:t>
      </w:r>
      <w:hyperlink r:id="rId10" w:history="1">
        <w:r w:rsidRPr="00B06A38">
          <w:rPr>
            <w:rStyle w:val="Hyperlink"/>
            <w:color w:val="auto"/>
            <w:u w:val="none"/>
          </w:rPr>
          <w:t>https://web.b.ebscohost.com/ehost/pdfviewer/pdfviewer?vid=1&amp;sid=95e2612a-e400-4faa-976e-3cc378ef4ade%40pdc-v-sessmgr05</w:t>
        </w:r>
      </w:hyperlink>
      <w:r w:rsidRPr="00B06A38">
        <w:t xml:space="preserve"> (Accessed: 1 November 2020).</w:t>
      </w:r>
    </w:p>
    <w:p w14:paraId="023C93FD" w14:textId="0CAF3DFA" w:rsidR="001035BF" w:rsidRPr="00B06A38" w:rsidRDefault="001035BF" w:rsidP="00E460B9">
      <w:pPr>
        <w:spacing w:line="360" w:lineRule="auto"/>
        <w:ind w:left="720" w:hanging="720"/>
        <w:jc w:val="both"/>
      </w:pPr>
      <w:r w:rsidRPr="00B06A38">
        <w:rPr>
          <w:color w:val="333333"/>
          <w:shd w:val="clear" w:color="auto" w:fill="FFFFFF"/>
        </w:rPr>
        <w:t xml:space="preserve">Bölenius, K., Lämås, K., Sandman, P. and Edvardsson, D. </w:t>
      </w:r>
      <w:r w:rsidRPr="00B06A38">
        <w:rPr>
          <w:iCs/>
          <w:color w:val="333333"/>
          <w:shd w:val="clear" w:color="auto" w:fill="FFFFFF"/>
        </w:rPr>
        <w:t>(2017)</w:t>
      </w:r>
      <w:r w:rsidRPr="00B06A38">
        <w:rPr>
          <w:color w:val="333333"/>
          <w:shd w:val="clear" w:color="auto" w:fill="FFFFFF"/>
        </w:rPr>
        <w:t xml:space="preserve"> ‘Effects and meanings of a </w:t>
      </w:r>
      <w:r w:rsidR="00BD3942" w:rsidRPr="00B06A38">
        <w:rPr>
          <w:color w:val="333333"/>
          <w:shd w:val="clear" w:color="auto" w:fill="FFFFFF"/>
        </w:rPr>
        <w:t>person-centred</w:t>
      </w:r>
      <w:r w:rsidRPr="00B06A38">
        <w:rPr>
          <w:color w:val="333333"/>
          <w:shd w:val="clear" w:color="auto" w:fill="FFFFFF"/>
        </w:rPr>
        <w:t xml:space="preserve"> and health-promoting intervention in home care services - a study protocol of a non-randomised controlled trial’, </w:t>
      </w:r>
      <w:r w:rsidRPr="00B06A38">
        <w:rPr>
          <w:i/>
          <w:iCs/>
          <w:color w:val="333333"/>
          <w:shd w:val="clear" w:color="auto" w:fill="FFFFFF"/>
        </w:rPr>
        <w:t>BMC Geriatrics</w:t>
      </w:r>
      <w:r w:rsidRPr="00B06A38">
        <w:rPr>
          <w:color w:val="333333"/>
          <w:shd w:val="clear" w:color="auto" w:fill="FFFFFF"/>
        </w:rPr>
        <w:t xml:space="preserve">, 17(1), pp. 57-57. Available at: </w:t>
      </w:r>
      <w:hyperlink r:id="rId11" w:history="1">
        <w:r w:rsidRPr="00B06A38">
          <w:rPr>
            <w:rStyle w:val="Hyperlink"/>
            <w:color w:val="auto"/>
            <w:u w:val="none"/>
            <w:shd w:val="clear" w:color="auto" w:fill="FFFFFF"/>
          </w:rPr>
          <w:t>https://doi.org/10.1186/s12877-017-0445-0</w:t>
        </w:r>
      </w:hyperlink>
      <w:r w:rsidRPr="00B06A38">
        <w:rPr>
          <w:shd w:val="clear" w:color="auto" w:fill="FFFFFF"/>
        </w:rPr>
        <w:t xml:space="preserve"> </w:t>
      </w:r>
      <w:r w:rsidRPr="00B06A38">
        <w:rPr>
          <w:color w:val="333333"/>
          <w:shd w:val="clear" w:color="auto" w:fill="FFFFFF"/>
        </w:rPr>
        <w:t>(Accessed: 30 October 2020).</w:t>
      </w:r>
    </w:p>
    <w:p w14:paraId="6905F579" w14:textId="0A5763F5" w:rsidR="001035BF" w:rsidRPr="00B06A38" w:rsidRDefault="001035BF" w:rsidP="00E460B9">
      <w:pPr>
        <w:spacing w:line="360" w:lineRule="auto"/>
        <w:ind w:left="720" w:hanging="720"/>
        <w:jc w:val="both"/>
      </w:pPr>
      <w:r w:rsidRPr="00B06A38">
        <w:lastRenderedPageBreak/>
        <w:t xml:space="preserve">Brannelly, T. (2011) ‘Sustaining citizenship: people with </w:t>
      </w:r>
      <w:r w:rsidR="00071666" w:rsidRPr="00B06A38">
        <w:t>dementia</w:t>
      </w:r>
      <w:r w:rsidRPr="00B06A38">
        <w:t xml:space="preserve"> and the phenomenon of social death’, </w:t>
      </w:r>
      <w:r w:rsidRPr="00B06A38">
        <w:rPr>
          <w:i/>
        </w:rPr>
        <w:t>Nursing Ethics</w:t>
      </w:r>
      <w:r w:rsidRPr="00B06A38">
        <w:t xml:space="preserve">, 18(5), pp. 662-671. Available at: </w:t>
      </w:r>
      <w:hyperlink r:id="rId12" w:history="1">
        <w:r w:rsidRPr="00B06A38">
          <w:rPr>
            <w:rStyle w:val="Hyperlink"/>
            <w:color w:val="auto"/>
            <w:u w:val="none"/>
          </w:rPr>
          <w:t>https://search-proquest-com.ezproxy.uwtsd.ac.uk/docview/887937959?accountid=130472&amp;rfr_id=info%3Axri%2Fsid%3Aprimo</w:t>
        </w:r>
      </w:hyperlink>
      <w:r w:rsidRPr="00B06A38">
        <w:t xml:space="preserve"> (Accessed: 3 November 2020).</w:t>
      </w:r>
    </w:p>
    <w:p w14:paraId="24A71560" w14:textId="77777777" w:rsidR="001035BF" w:rsidRPr="00B06A38" w:rsidRDefault="001035BF" w:rsidP="00E460B9">
      <w:pPr>
        <w:spacing w:line="360" w:lineRule="auto"/>
        <w:ind w:left="720" w:hanging="720"/>
        <w:jc w:val="both"/>
      </w:pPr>
      <w:r w:rsidRPr="00B06A38">
        <w:t xml:space="preserve">Carehome (2020) </w:t>
      </w:r>
      <w:r w:rsidRPr="00B06A38">
        <w:rPr>
          <w:i/>
          <w:shd w:val="clear" w:color="auto" w:fill="FFFFFF"/>
        </w:rPr>
        <w:t>Deprivation of liberty safeguards in a care home.</w:t>
      </w:r>
      <w:r w:rsidRPr="00B06A38">
        <w:rPr>
          <w:shd w:val="clear" w:color="auto" w:fill="FFFFFF"/>
        </w:rPr>
        <w:t xml:space="preserve"> Available at: </w:t>
      </w:r>
      <w:hyperlink r:id="rId13" w:history="1">
        <w:r w:rsidRPr="00B06A38">
          <w:rPr>
            <w:rStyle w:val="Hyperlink"/>
            <w:color w:val="auto"/>
            <w:u w:val="none"/>
          </w:rPr>
          <w:t>https://www.carehome.co.uk/advice/deprivation-of-liberty-safeguards-in-a-care-home</w:t>
        </w:r>
      </w:hyperlink>
      <w:r w:rsidRPr="00B06A38">
        <w:rPr>
          <w:rStyle w:val="Hyperlink"/>
          <w:color w:val="auto"/>
          <w:u w:val="none"/>
        </w:rPr>
        <w:t xml:space="preserve"> (Accessed: 24 October 2020).</w:t>
      </w:r>
    </w:p>
    <w:p w14:paraId="38EBDC5E" w14:textId="359FA6BF" w:rsidR="001035BF" w:rsidRPr="00B06A38" w:rsidRDefault="001035BF" w:rsidP="00E460B9">
      <w:pPr>
        <w:spacing w:line="360" w:lineRule="auto"/>
        <w:ind w:left="720" w:hanging="720"/>
        <w:jc w:val="both"/>
      </w:pPr>
      <w:r w:rsidRPr="00B06A38">
        <w:t xml:space="preserve">Collins, J. (2015) </w:t>
      </w:r>
      <w:r w:rsidRPr="00B06A38">
        <w:rPr>
          <w:i/>
        </w:rPr>
        <w:t xml:space="preserve">Living and dying with </w:t>
      </w:r>
      <w:r w:rsidR="00071666" w:rsidRPr="00B06A38">
        <w:rPr>
          <w:i/>
        </w:rPr>
        <w:t>dementia</w:t>
      </w:r>
      <w:r w:rsidRPr="00B06A38">
        <w:rPr>
          <w:i/>
        </w:rPr>
        <w:t xml:space="preserve"> in Wales</w:t>
      </w:r>
      <w:r w:rsidRPr="00B06A38">
        <w:t xml:space="preserve">. Available at: </w:t>
      </w:r>
      <w:hyperlink r:id="rId14" w:history="1">
        <w:r w:rsidRPr="00B06A38">
          <w:rPr>
            <w:rStyle w:val="Hyperlink"/>
            <w:color w:val="auto"/>
            <w:u w:val="none"/>
          </w:rPr>
          <w:t>https://www.mariecurie.org.uk/globalassets/media/documents/policy/policy-publications/february-2015/living-and-dying-with-</w:t>
        </w:r>
        <w:r w:rsidR="00071666" w:rsidRPr="00B06A38">
          <w:rPr>
            <w:rStyle w:val="Hyperlink"/>
            <w:color w:val="auto"/>
            <w:u w:val="none"/>
          </w:rPr>
          <w:t>dementia</w:t>
        </w:r>
        <w:r w:rsidRPr="00B06A38">
          <w:rPr>
            <w:rStyle w:val="Hyperlink"/>
            <w:color w:val="auto"/>
            <w:u w:val="none"/>
          </w:rPr>
          <w:t>-in-wales.pdf</w:t>
        </w:r>
      </w:hyperlink>
      <w:r w:rsidRPr="00B06A38">
        <w:t xml:space="preserve"> (Accessed: 19 October 2020).</w:t>
      </w:r>
    </w:p>
    <w:p w14:paraId="4B71C97B" w14:textId="448DF21C" w:rsidR="001035BF" w:rsidRPr="00B06A38" w:rsidRDefault="001035BF" w:rsidP="00E460B9">
      <w:pPr>
        <w:spacing w:line="360" w:lineRule="auto"/>
        <w:ind w:left="720" w:hanging="720"/>
        <w:jc w:val="both"/>
      </w:pPr>
      <w:r w:rsidRPr="00B06A38">
        <w:t xml:space="preserve">Collins, J. and Hughes, J. (2014) </w:t>
      </w:r>
      <w:r w:rsidRPr="00B06A38">
        <w:rPr>
          <w:i/>
        </w:rPr>
        <w:t xml:space="preserve">Living and dying with </w:t>
      </w:r>
      <w:r w:rsidR="00071666" w:rsidRPr="00B06A38">
        <w:rPr>
          <w:i/>
        </w:rPr>
        <w:t>dementia</w:t>
      </w:r>
      <w:r w:rsidRPr="00B06A38">
        <w:rPr>
          <w:i/>
        </w:rPr>
        <w:t xml:space="preserve"> in England: Barriers to care.</w:t>
      </w:r>
      <w:r w:rsidRPr="00B06A38">
        <w:t xml:space="preserve"> Available at: </w:t>
      </w:r>
      <w:hyperlink r:id="rId15" w:history="1">
        <w:r w:rsidRPr="00B06A38">
          <w:rPr>
            <w:rStyle w:val="Hyperlink"/>
            <w:color w:val="auto"/>
            <w:u w:val="none"/>
          </w:rPr>
          <w:t>https://www.mariecurie.org.uk/globalassets/media/documents/policy/policy-publications/december-2014/</w:t>
        </w:r>
        <w:r w:rsidR="00071666" w:rsidRPr="00B06A38">
          <w:rPr>
            <w:rStyle w:val="Hyperlink"/>
            <w:color w:val="auto"/>
            <w:u w:val="none"/>
          </w:rPr>
          <w:t>dementia</w:t>
        </w:r>
        <w:r w:rsidRPr="00B06A38">
          <w:rPr>
            <w:rStyle w:val="Hyperlink"/>
            <w:color w:val="auto"/>
            <w:u w:val="none"/>
          </w:rPr>
          <w:t>-report.pdf</w:t>
        </w:r>
      </w:hyperlink>
      <w:r w:rsidRPr="00B06A38">
        <w:t xml:space="preserve"> (Accessed: 19 October 2020).</w:t>
      </w:r>
    </w:p>
    <w:p w14:paraId="674B4A86" w14:textId="77777777" w:rsidR="001035BF" w:rsidRPr="00B06A38" w:rsidRDefault="001035BF" w:rsidP="00E460B9">
      <w:pPr>
        <w:spacing w:line="360" w:lineRule="auto"/>
        <w:ind w:left="720" w:hanging="720"/>
        <w:jc w:val="both"/>
      </w:pPr>
      <w:r w:rsidRPr="00B06A38">
        <w:t xml:space="preserve">Collins, K. and Ison, R. (2006) ‘Dare we jump off Arnstein’s ladder?  Social learning as a new policy paradigm’, </w:t>
      </w:r>
      <w:r w:rsidRPr="00B06A38">
        <w:rPr>
          <w:i/>
        </w:rPr>
        <w:t>Proceedings of PATH (Participatory Approaches in Science &amp; Technology) Conference</w:t>
      </w:r>
      <w:r w:rsidRPr="00B06A38">
        <w:t xml:space="preserve">, Edinburgh, 4-7 June. Available at: </w:t>
      </w:r>
      <w:hyperlink r:id="rId16" w:history="1">
        <w:r w:rsidRPr="00B06A38">
          <w:rPr>
            <w:rStyle w:val="Hyperlink"/>
            <w:color w:val="auto"/>
            <w:u w:val="none"/>
          </w:rPr>
          <w:t>http://oro.open.ac.uk/8589/1/Path_paper_Collins_Ison.pdf</w:t>
        </w:r>
      </w:hyperlink>
      <w:r w:rsidRPr="00B06A38">
        <w:t xml:space="preserve"> (Accessed: 22 October 2020).</w:t>
      </w:r>
    </w:p>
    <w:p w14:paraId="4E76E486" w14:textId="250B4D0E" w:rsidR="001035BF" w:rsidRPr="00B06A38" w:rsidRDefault="00071666" w:rsidP="00E460B9">
      <w:pPr>
        <w:spacing w:line="360" w:lineRule="auto"/>
        <w:ind w:left="720" w:hanging="720"/>
        <w:jc w:val="both"/>
      </w:pPr>
      <w:r w:rsidRPr="00B06A38">
        <w:rPr>
          <w:i/>
          <w:color w:val="000000"/>
          <w:shd w:val="clear" w:color="auto" w:fill="FFFFFF"/>
        </w:rPr>
        <w:t>Dementia</w:t>
      </w:r>
      <w:r w:rsidR="001035BF" w:rsidRPr="00B06A38">
        <w:rPr>
          <w:i/>
          <w:color w:val="000000"/>
          <w:shd w:val="clear" w:color="auto" w:fill="FFFFFF"/>
        </w:rPr>
        <w:t xml:space="preserve"> Action Plan</w:t>
      </w:r>
      <w:r w:rsidR="009E58E2" w:rsidRPr="00B06A38">
        <w:rPr>
          <w:i/>
          <w:color w:val="000000"/>
          <w:shd w:val="clear" w:color="auto" w:fill="FFFFFF"/>
        </w:rPr>
        <w:t xml:space="preserve"> for</w:t>
      </w:r>
      <w:r w:rsidR="001035BF" w:rsidRPr="00B06A38">
        <w:rPr>
          <w:i/>
          <w:color w:val="000000"/>
          <w:shd w:val="clear" w:color="auto" w:fill="FFFFFF"/>
        </w:rPr>
        <w:t xml:space="preserve"> Wales 2018-2022. </w:t>
      </w:r>
      <w:r w:rsidR="001035BF" w:rsidRPr="00B06A38">
        <w:rPr>
          <w:color w:val="000000"/>
          <w:shd w:val="clear" w:color="auto" w:fill="FFFFFF"/>
        </w:rPr>
        <w:t xml:space="preserve">Available at: </w:t>
      </w:r>
      <w:hyperlink r:id="rId17" w:history="1">
        <w:r w:rsidR="001035BF" w:rsidRPr="00B06A38">
          <w:rPr>
            <w:rStyle w:val="Hyperlink"/>
            <w:color w:val="auto"/>
            <w:u w:val="none"/>
            <w:shd w:val="clear" w:color="auto" w:fill="FFFFFF"/>
          </w:rPr>
          <w:t>https://gov.wales/sites/default/files/publications/2019-04/</w:t>
        </w:r>
        <w:r w:rsidRPr="00B06A38">
          <w:rPr>
            <w:rStyle w:val="Hyperlink"/>
            <w:color w:val="auto"/>
            <w:u w:val="none"/>
            <w:shd w:val="clear" w:color="auto" w:fill="FFFFFF"/>
          </w:rPr>
          <w:t>dementia</w:t>
        </w:r>
        <w:r w:rsidR="001035BF" w:rsidRPr="00B06A38">
          <w:rPr>
            <w:rStyle w:val="Hyperlink"/>
            <w:color w:val="auto"/>
            <w:u w:val="none"/>
            <w:shd w:val="clear" w:color="auto" w:fill="FFFFFF"/>
          </w:rPr>
          <w:t>-action-plan-for-wales.pdf</w:t>
        </w:r>
      </w:hyperlink>
      <w:r w:rsidR="001035BF" w:rsidRPr="00B06A38">
        <w:rPr>
          <w:shd w:val="clear" w:color="auto" w:fill="FFFFFF"/>
        </w:rPr>
        <w:t xml:space="preserve"> </w:t>
      </w:r>
      <w:r w:rsidR="001035BF" w:rsidRPr="00B06A38">
        <w:rPr>
          <w:color w:val="000000"/>
          <w:shd w:val="clear" w:color="auto" w:fill="FFFFFF"/>
        </w:rPr>
        <w:t>(Accessed: 2 November).</w:t>
      </w:r>
      <w:r w:rsidR="009E58E2" w:rsidRPr="00B06A38">
        <w:rPr>
          <w:color w:val="000000"/>
          <w:shd w:val="clear" w:color="auto" w:fill="FFFFFF"/>
        </w:rPr>
        <w:t>action</w:t>
      </w:r>
    </w:p>
    <w:p w14:paraId="4229CD75" w14:textId="4B8D6821" w:rsidR="001035BF" w:rsidRPr="00B06A38" w:rsidRDefault="00071666" w:rsidP="00E460B9">
      <w:pPr>
        <w:spacing w:line="360" w:lineRule="auto"/>
        <w:ind w:left="720" w:hanging="720"/>
        <w:jc w:val="both"/>
      </w:pPr>
      <w:r w:rsidRPr="00B06A38">
        <w:t>Dementia</w:t>
      </w:r>
      <w:r w:rsidR="001035BF" w:rsidRPr="00B06A38">
        <w:t xml:space="preserve"> Concern (2020) </w:t>
      </w:r>
      <w:r w:rsidR="001035BF" w:rsidRPr="00B06A38">
        <w:rPr>
          <w:i/>
        </w:rPr>
        <w:t>Case Studies</w:t>
      </w:r>
      <w:r w:rsidR="001035BF" w:rsidRPr="00B06A38">
        <w:t xml:space="preserve">. Available at: </w:t>
      </w:r>
      <w:hyperlink r:id="rId18" w:history="1">
        <w:r w:rsidR="001035BF" w:rsidRPr="00B06A38">
          <w:rPr>
            <w:rStyle w:val="Hyperlink"/>
            <w:color w:val="auto"/>
            <w:u w:val="none"/>
          </w:rPr>
          <w:t>https://www.</w:t>
        </w:r>
        <w:r w:rsidRPr="00B06A38">
          <w:rPr>
            <w:rStyle w:val="Hyperlink"/>
            <w:color w:val="auto"/>
            <w:u w:val="none"/>
          </w:rPr>
          <w:t>dementia</w:t>
        </w:r>
        <w:r w:rsidR="001035BF" w:rsidRPr="00B06A38">
          <w:rPr>
            <w:rStyle w:val="Hyperlink"/>
            <w:color w:val="auto"/>
            <w:u w:val="none"/>
          </w:rPr>
          <w:t>concern.co.uk/Pages/Category/case-studies</w:t>
        </w:r>
      </w:hyperlink>
      <w:r w:rsidR="001035BF" w:rsidRPr="00B06A38">
        <w:t xml:space="preserve"> (Accessed: 24 October 2020).</w:t>
      </w:r>
    </w:p>
    <w:p w14:paraId="58BBE71B" w14:textId="77777777" w:rsidR="001035BF" w:rsidRPr="00B06A38" w:rsidRDefault="001035BF" w:rsidP="00E460B9">
      <w:pPr>
        <w:spacing w:line="360" w:lineRule="auto"/>
        <w:ind w:left="720" w:hanging="720"/>
        <w:jc w:val="both"/>
      </w:pPr>
      <w:r w:rsidRPr="00B06A38">
        <w:t xml:space="preserve">Devon County Council (2020) </w:t>
      </w:r>
      <w:r w:rsidRPr="00B06A38">
        <w:rPr>
          <w:i/>
        </w:rPr>
        <w:t>Equality and Diversity: Medical Model.</w:t>
      </w:r>
      <w:r w:rsidRPr="00B06A38">
        <w:t xml:space="preserve"> Available at: </w:t>
      </w:r>
      <w:hyperlink r:id="rId19" w:history="1">
        <w:r w:rsidRPr="00B06A38">
          <w:rPr>
            <w:rStyle w:val="Hyperlink"/>
            <w:color w:val="auto"/>
            <w:u w:val="none"/>
          </w:rPr>
          <w:t>https://www.devon.gov.uk/equality/communities/disability/medical-model</w:t>
        </w:r>
      </w:hyperlink>
      <w:r w:rsidRPr="00B06A38">
        <w:t xml:space="preserve"> (Accessed: 1 November 2020).</w:t>
      </w:r>
    </w:p>
    <w:p w14:paraId="3B9DDC56" w14:textId="77777777" w:rsidR="001035BF" w:rsidRPr="00B06A38" w:rsidRDefault="001035BF" w:rsidP="00E460B9">
      <w:pPr>
        <w:spacing w:line="360" w:lineRule="auto"/>
        <w:ind w:left="720" w:hanging="720"/>
        <w:jc w:val="both"/>
      </w:pPr>
      <w:r w:rsidRPr="00B06A38">
        <w:t xml:space="preserve">Disability Rights UK (2020) </w:t>
      </w:r>
      <w:r w:rsidRPr="00B06A38">
        <w:rPr>
          <w:i/>
        </w:rPr>
        <w:t>Policy and campaigns</w:t>
      </w:r>
      <w:r w:rsidRPr="00B06A38">
        <w:t xml:space="preserve">. Available at: </w:t>
      </w:r>
      <w:hyperlink r:id="rId20" w:history="1">
        <w:r w:rsidRPr="00B06A38">
          <w:rPr>
            <w:rStyle w:val="Hyperlink"/>
            <w:color w:val="auto"/>
            <w:u w:val="none"/>
          </w:rPr>
          <w:t>https://www.disabilityrightsuk.org/policy-campaigns</w:t>
        </w:r>
      </w:hyperlink>
      <w:r w:rsidRPr="00B06A38">
        <w:t xml:space="preserve"> (Accessed: 3 November 2020). </w:t>
      </w:r>
    </w:p>
    <w:p w14:paraId="321AADCE" w14:textId="77777777" w:rsidR="001035BF" w:rsidRPr="00B06A38" w:rsidRDefault="001035BF" w:rsidP="00E460B9">
      <w:pPr>
        <w:spacing w:line="360" w:lineRule="auto"/>
        <w:ind w:left="720" w:hanging="720"/>
        <w:jc w:val="both"/>
      </w:pPr>
      <w:r w:rsidRPr="00B06A38">
        <w:lastRenderedPageBreak/>
        <w:t xml:space="preserve">Disability Wales (2020) </w:t>
      </w:r>
      <w:r w:rsidRPr="00B06A38">
        <w:rPr>
          <w:i/>
        </w:rPr>
        <w:t>Social Model</w:t>
      </w:r>
      <w:r w:rsidRPr="00B06A38">
        <w:t xml:space="preserve">. Available at: </w:t>
      </w:r>
      <w:hyperlink r:id="rId21" w:history="1">
        <w:r w:rsidRPr="00B06A38">
          <w:rPr>
            <w:rStyle w:val="Hyperlink"/>
            <w:color w:val="auto"/>
            <w:u w:val="none"/>
          </w:rPr>
          <w:t>https://www.disabilitywales.org/social-model/</w:t>
        </w:r>
      </w:hyperlink>
      <w:r w:rsidRPr="00B06A38">
        <w:t xml:space="preserve"> (Accessed: 30 October 2020).</w:t>
      </w:r>
    </w:p>
    <w:p w14:paraId="448A7427" w14:textId="77777777" w:rsidR="001035BF" w:rsidRPr="00B06A38" w:rsidRDefault="001035BF" w:rsidP="00E460B9">
      <w:pPr>
        <w:spacing w:line="360" w:lineRule="auto"/>
        <w:ind w:left="720" w:hanging="720"/>
        <w:jc w:val="both"/>
      </w:pPr>
      <w:r w:rsidRPr="00B06A38">
        <w:t xml:space="preserve">Empowerment Matters (2015) </w:t>
      </w:r>
      <w:r w:rsidRPr="00B06A38">
        <w:rPr>
          <w:i/>
        </w:rPr>
        <w:t>Guidance to support advocates in challenging decisions or actions with or on behalf of individuals.</w:t>
      </w:r>
      <w:r w:rsidRPr="00B06A38">
        <w:t xml:space="preserve"> Available at: </w:t>
      </w:r>
      <w:hyperlink r:id="rId22" w:history="1">
        <w:r w:rsidRPr="00B06A38">
          <w:rPr>
            <w:rStyle w:val="Hyperlink"/>
            <w:color w:val="auto"/>
            <w:u w:val="none"/>
          </w:rPr>
          <w:t>https://empowermentmattersweb.files.wordpress.com/2015/07/guidance-on-challenging-decisions-july-2015.pdf</w:t>
        </w:r>
      </w:hyperlink>
      <w:r w:rsidRPr="00B06A38">
        <w:t xml:space="preserve"> (Accessed: 29 October 2020).</w:t>
      </w:r>
    </w:p>
    <w:p w14:paraId="0E96DE7A" w14:textId="77777777" w:rsidR="001035BF" w:rsidRPr="00B06A38" w:rsidRDefault="001035BF" w:rsidP="00E460B9">
      <w:pPr>
        <w:spacing w:line="360" w:lineRule="auto"/>
        <w:ind w:left="720" w:hanging="720"/>
        <w:jc w:val="both"/>
      </w:pPr>
      <w:r w:rsidRPr="00B06A38">
        <w:rPr>
          <w:i/>
        </w:rPr>
        <w:t>Factsheet B3 Health and Social Care Act 2012</w:t>
      </w:r>
      <w:r w:rsidRPr="00B06A38">
        <w:t xml:space="preserve">. Available at: </w:t>
      </w:r>
      <w:hyperlink r:id="rId23" w:history="1">
        <w:r w:rsidRPr="00B06A38">
          <w:rPr>
            <w:rStyle w:val="Hyperlink"/>
            <w:color w:val="auto"/>
            <w:u w:val="none"/>
          </w:rPr>
          <w:t>https://assets.publishing.service.gov.uk/government/uploads/system/uploads/attachment_data/file/138262/B3.-Factsheet-Greater-voice-for-patients-300512.pdf</w:t>
        </w:r>
      </w:hyperlink>
      <w:r w:rsidRPr="00B06A38">
        <w:t xml:space="preserve"> (Accessed: 22 October 2020).</w:t>
      </w:r>
    </w:p>
    <w:p w14:paraId="4CE1ADC9" w14:textId="77777777" w:rsidR="001035BF" w:rsidRPr="00B06A38" w:rsidRDefault="001035BF" w:rsidP="00E460B9">
      <w:pPr>
        <w:spacing w:line="360" w:lineRule="auto"/>
        <w:ind w:left="720" w:hanging="720"/>
        <w:jc w:val="both"/>
      </w:pPr>
      <w:r w:rsidRPr="00B06A38">
        <w:t xml:space="preserve">Halman, M., Baker, L. &amp; Ng, S. (2017) ‘Using critical consciousness to inform health professionals education’, </w:t>
      </w:r>
      <w:r w:rsidRPr="00B06A38">
        <w:rPr>
          <w:i/>
        </w:rPr>
        <w:t>Perspectives on medical education,</w:t>
      </w:r>
      <w:r w:rsidRPr="00B06A38">
        <w:t xml:space="preserve"> 6(1), pp. 12-20. Available at: </w:t>
      </w:r>
      <w:hyperlink r:id="rId24" w:history="1">
        <w:r w:rsidRPr="00B06A38">
          <w:rPr>
            <w:rStyle w:val="Hyperlink"/>
            <w:color w:val="auto"/>
            <w:u w:val="none"/>
          </w:rPr>
          <w:t>https://link.springer.com/article/10.1007%2Fs40037-016-0324-y</w:t>
        </w:r>
      </w:hyperlink>
      <w:r w:rsidRPr="00B06A38">
        <w:t xml:space="preserve"> (Accessed: 26 October 2020).</w:t>
      </w:r>
    </w:p>
    <w:p w14:paraId="08D4CC18" w14:textId="2D7C88D1" w:rsidR="001035BF" w:rsidRPr="00B06A38" w:rsidRDefault="001035BF" w:rsidP="00E460B9">
      <w:pPr>
        <w:spacing w:line="360" w:lineRule="auto"/>
        <w:ind w:left="720" w:hanging="720"/>
        <w:jc w:val="both"/>
      </w:pPr>
      <w:r w:rsidRPr="00B06A38">
        <w:t xml:space="preserve">Health in Wales (2020) </w:t>
      </w:r>
      <w:r w:rsidR="00071666" w:rsidRPr="00B06A38">
        <w:rPr>
          <w:i/>
        </w:rPr>
        <w:t>Dementia</w:t>
      </w:r>
      <w:r w:rsidRPr="00B06A38">
        <w:rPr>
          <w:i/>
        </w:rPr>
        <w:t>.</w:t>
      </w:r>
      <w:r w:rsidRPr="00B06A38">
        <w:t xml:space="preserve"> Available at: </w:t>
      </w:r>
      <w:hyperlink r:id="rId25" w:anchor=":~:text=This%20causes%20problems%20with%20memory%2C%20communication%20and%20thinking,Wales.%20Approximately%2042%2C000%20people%20in%20Wales%20have%20dementia" w:history="1">
        <w:r w:rsidRPr="00B06A38">
          <w:rPr>
            <w:rStyle w:val="Hyperlink"/>
            <w:color w:val="auto"/>
            <w:u w:val="none"/>
          </w:rPr>
          <w:t>https://www.wales.nhs.uk/healthtopics/conditions/</w:t>
        </w:r>
        <w:r w:rsidR="00071666" w:rsidRPr="00B06A38">
          <w:rPr>
            <w:rStyle w:val="Hyperlink"/>
            <w:color w:val="auto"/>
            <w:u w:val="none"/>
          </w:rPr>
          <w:t>dementia</w:t>
        </w:r>
        <w:r w:rsidRPr="00B06A38">
          <w:rPr>
            <w:rStyle w:val="Hyperlink"/>
            <w:color w:val="auto"/>
            <w:u w:val="none"/>
          </w:rPr>
          <w:t>#:~:text=This%20causes%20problems%20with%20memory%2C%20communication%20and%20thinking,Wales.%20Approximately%2042%2C000%20people%20in%20Wales%20have%20</w:t>
        </w:r>
        <w:r w:rsidR="00071666" w:rsidRPr="00B06A38">
          <w:rPr>
            <w:rStyle w:val="Hyperlink"/>
            <w:color w:val="auto"/>
            <w:u w:val="none"/>
          </w:rPr>
          <w:t>dementia</w:t>
        </w:r>
      </w:hyperlink>
      <w:r w:rsidRPr="00B06A38">
        <w:t xml:space="preserve"> (Accessed: 20 October 2020).</w:t>
      </w:r>
    </w:p>
    <w:p w14:paraId="66A6608D" w14:textId="0A313CEB" w:rsidR="001035BF" w:rsidRPr="00B06A38" w:rsidRDefault="001035BF" w:rsidP="00E460B9">
      <w:pPr>
        <w:spacing w:line="360" w:lineRule="auto"/>
        <w:ind w:left="720" w:hanging="720"/>
        <w:jc w:val="both"/>
      </w:pPr>
      <w:r w:rsidRPr="00B06A38">
        <w:t xml:space="preserve">Health Innovation Network (2016) </w:t>
      </w:r>
      <w:r w:rsidRPr="00B06A38">
        <w:rPr>
          <w:i/>
        </w:rPr>
        <w:t xml:space="preserve">What is </w:t>
      </w:r>
      <w:r w:rsidR="00BD3942" w:rsidRPr="00B06A38">
        <w:rPr>
          <w:i/>
        </w:rPr>
        <w:t>person-centred</w:t>
      </w:r>
      <w:r w:rsidRPr="00B06A38">
        <w:rPr>
          <w:i/>
        </w:rPr>
        <w:t xml:space="preserve"> care and why is it important? </w:t>
      </w:r>
      <w:r w:rsidRPr="00B06A38">
        <w:t xml:space="preserve">Available at: </w:t>
      </w:r>
      <w:hyperlink r:id="rId26" w:history="1">
        <w:r w:rsidRPr="00B06A38">
          <w:rPr>
            <w:rStyle w:val="Hyperlink"/>
            <w:color w:val="auto"/>
            <w:u w:val="none"/>
          </w:rPr>
          <w:t>https://healthinnovationnetwork.com/system/ckeditor_assets/attachments/41/what_is_</w:t>
        </w:r>
        <w:r w:rsidR="00BD3942" w:rsidRPr="00B06A38">
          <w:rPr>
            <w:rStyle w:val="Hyperlink"/>
            <w:color w:val="auto"/>
            <w:u w:val="none"/>
          </w:rPr>
          <w:t>person-centred</w:t>
        </w:r>
        <w:r w:rsidRPr="00B06A38">
          <w:rPr>
            <w:rStyle w:val="Hyperlink"/>
            <w:color w:val="auto"/>
            <w:u w:val="none"/>
          </w:rPr>
          <w:t>_care_and_why_is_it_important.pdf</w:t>
        </w:r>
      </w:hyperlink>
      <w:r w:rsidRPr="00B06A38">
        <w:t xml:space="preserve"> (Accessed: 17 October 2020).</w:t>
      </w:r>
    </w:p>
    <w:p w14:paraId="17D2E508" w14:textId="77777777" w:rsidR="001035BF" w:rsidRPr="00B06A38" w:rsidRDefault="001035BF" w:rsidP="00E460B9">
      <w:pPr>
        <w:spacing w:line="360" w:lineRule="auto"/>
        <w:ind w:left="720" w:hanging="720"/>
        <w:jc w:val="both"/>
      </w:pPr>
      <w:r w:rsidRPr="00B06A38">
        <w:t xml:space="preserve">Helen Sanderson Associates (no date) </w:t>
      </w:r>
      <w:r w:rsidRPr="00B06A38">
        <w:rPr>
          <w:i/>
        </w:rPr>
        <w:t xml:space="preserve">What We Do. </w:t>
      </w:r>
      <w:r w:rsidRPr="00B06A38">
        <w:t>Available at: https://helensandersonassociates.co.uk/what-we-do/ (Accessed: 23 October 2020).</w:t>
      </w:r>
    </w:p>
    <w:p w14:paraId="10A9154A" w14:textId="77777777" w:rsidR="001035BF" w:rsidRPr="00B06A38" w:rsidRDefault="001035BF" w:rsidP="00E460B9">
      <w:pPr>
        <w:spacing w:line="360" w:lineRule="auto"/>
        <w:ind w:left="720" w:hanging="720"/>
        <w:jc w:val="both"/>
      </w:pPr>
      <w:r w:rsidRPr="00B06A38">
        <w:t>Hiranandani, V. (2005) ‘</w:t>
      </w:r>
      <w:r w:rsidRPr="00B06A38">
        <w:rPr>
          <w:bCs/>
          <w:kern w:val="36"/>
          <w:lang w:eastAsia="en-GB"/>
        </w:rPr>
        <w:t xml:space="preserve">Towards a Critical Theory of Disability in Social Work’, </w:t>
      </w:r>
      <w:r w:rsidRPr="00B06A38">
        <w:rPr>
          <w:bCs/>
          <w:i/>
          <w:kern w:val="36"/>
          <w:lang w:eastAsia="en-GB"/>
        </w:rPr>
        <w:t xml:space="preserve">Critical Social Work, </w:t>
      </w:r>
      <w:r w:rsidRPr="00B06A38">
        <w:rPr>
          <w:bCs/>
          <w:kern w:val="36"/>
          <w:lang w:eastAsia="en-GB"/>
        </w:rPr>
        <w:t xml:space="preserve">6(1), pp. 1-14. Available at:  </w:t>
      </w:r>
      <w:hyperlink r:id="rId27" w:history="1">
        <w:r w:rsidRPr="00B06A38">
          <w:rPr>
            <w:rStyle w:val="Hyperlink"/>
            <w:bCs/>
            <w:color w:val="auto"/>
            <w:kern w:val="36"/>
            <w:u w:val="none"/>
            <w:lang w:eastAsia="en-GB"/>
          </w:rPr>
          <w:t>https://ojs.uwindsor.ca/index.php/csw/article/download/5712/4667?inline=1</w:t>
        </w:r>
      </w:hyperlink>
      <w:r w:rsidRPr="00B06A38">
        <w:rPr>
          <w:bCs/>
          <w:kern w:val="36"/>
          <w:lang w:eastAsia="en-GB"/>
        </w:rPr>
        <w:t xml:space="preserve"> (Accessed: 3 November 2020). </w:t>
      </w:r>
    </w:p>
    <w:p w14:paraId="41A25FE5" w14:textId="77777777" w:rsidR="001035BF" w:rsidRPr="00B06A38" w:rsidRDefault="001035BF" w:rsidP="00E460B9">
      <w:pPr>
        <w:spacing w:line="360" w:lineRule="auto"/>
        <w:ind w:left="720" w:hanging="720"/>
        <w:jc w:val="both"/>
      </w:pPr>
      <w:r w:rsidRPr="00B06A38">
        <w:lastRenderedPageBreak/>
        <w:t xml:space="preserve">History of Social Work (2009) </w:t>
      </w:r>
      <w:r w:rsidRPr="00B06A38">
        <w:rPr>
          <w:i/>
        </w:rPr>
        <w:t>Paulo Freire: Pedagogy of the oppressed</w:t>
      </w:r>
      <w:r w:rsidRPr="00B06A38">
        <w:t xml:space="preserve">. Available at: </w:t>
      </w:r>
      <w:hyperlink r:id="rId28" w:history="1">
        <w:r w:rsidRPr="00B06A38">
          <w:rPr>
            <w:rStyle w:val="Hyperlink"/>
            <w:color w:val="auto"/>
            <w:u w:val="none"/>
          </w:rPr>
          <w:t>https://historyofsocialwork.org/eng/details.php?cps=23&amp;canon_id=157</w:t>
        </w:r>
      </w:hyperlink>
      <w:r w:rsidRPr="00B06A38">
        <w:t xml:space="preserve"> (Accessed: 28 October 2020).</w:t>
      </w:r>
    </w:p>
    <w:p w14:paraId="0D45ADE2" w14:textId="2537355D" w:rsidR="001035BF" w:rsidRPr="00B06A38" w:rsidRDefault="001035BF" w:rsidP="00E460B9">
      <w:pPr>
        <w:spacing w:line="360" w:lineRule="auto"/>
        <w:ind w:left="720" w:hanging="720"/>
        <w:jc w:val="both"/>
      </w:pPr>
      <w:r w:rsidRPr="00B06A38">
        <w:t xml:space="preserve">Kitwood, T. (1997) </w:t>
      </w:r>
      <w:r w:rsidR="00071666" w:rsidRPr="00B06A38">
        <w:rPr>
          <w:i/>
        </w:rPr>
        <w:t>Dementia</w:t>
      </w:r>
      <w:r w:rsidRPr="00B06A38">
        <w:rPr>
          <w:i/>
        </w:rPr>
        <w:t xml:space="preserve"> Reconsidered: The Person Comes First</w:t>
      </w:r>
      <w:r w:rsidRPr="00B06A38">
        <w:t>. Maidenhead: Open University Press.</w:t>
      </w:r>
    </w:p>
    <w:p w14:paraId="452C7AD6" w14:textId="77777777" w:rsidR="001035BF" w:rsidRPr="00B06A38" w:rsidRDefault="001035BF" w:rsidP="00E460B9">
      <w:pPr>
        <w:spacing w:line="360" w:lineRule="auto"/>
        <w:ind w:left="720" w:hanging="720"/>
        <w:jc w:val="both"/>
        <w:rPr>
          <w:color w:val="000000"/>
          <w:shd w:val="clear" w:color="auto" w:fill="FFFFFF"/>
        </w:rPr>
      </w:pPr>
      <w:r w:rsidRPr="00B06A38">
        <w:rPr>
          <w:color w:val="000000"/>
          <w:shd w:val="clear" w:color="auto" w:fill="FFFFFF"/>
        </w:rPr>
        <w:t xml:space="preserve">Kumagai, A. K., Lypson, M. L. (2009) ‘Beyond Cultural Competence: Critical Consciousness, Social Justice, and Multicultural Education,’ </w:t>
      </w:r>
      <w:r w:rsidRPr="00B06A38">
        <w:rPr>
          <w:i/>
          <w:color w:val="000000"/>
          <w:shd w:val="clear" w:color="auto" w:fill="FFFFFF"/>
        </w:rPr>
        <w:t>Academic Medicine</w:t>
      </w:r>
      <w:r w:rsidRPr="00B06A38">
        <w:rPr>
          <w:color w:val="000000"/>
          <w:shd w:val="clear" w:color="auto" w:fill="FFFFFF"/>
        </w:rPr>
        <w:t xml:space="preserve">, 84(6), pp. 782-787. Available at:  </w:t>
      </w:r>
      <w:hyperlink r:id="rId29" w:history="1">
        <w:r w:rsidRPr="00B06A38">
          <w:rPr>
            <w:rStyle w:val="Hyperlink"/>
            <w:color w:val="auto"/>
            <w:u w:val="none"/>
            <w:shd w:val="clear" w:color="auto" w:fill="FFFFFF"/>
          </w:rPr>
          <w:t>https://journals.lww.com/academicmedicine/Fulltext/2009/06000/Beyond_Cultural_Competence__Critical.33.aspx</w:t>
        </w:r>
      </w:hyperlink>
      <w:r w:rsidRPr="00B06A38">
        <w:rPr>
          <w:shd w:val="clear" w:color="auto" w:fill="FFFFFF"/>
        </w:rPr>
        <w:t xml:space="preserve"> </w:t>
      </w:r>
      <w:r w:rsidRPr="00B06A38">
        <w:rPr>
          <w:color w:val="000000"/>
          <w:shd w:val="clear" w:color="auto" w:fill="FFFFFF"/>
        </w:rPr>
        <w:t>(Accessed: 1 November 2020).</w:t>
      </w:r>
    </w:p>
    <w:p w14:paraId="5671455F" w14:textId="77777777" w:rsidR="001035BF" w:rsidRPr="00B06A38" w:rsidRDefault="001035BF" w:rsidP="00E460B9">
      <w:pPr>
        <w:spacing w:line="360" w:lineRule="auto"/>
        <w:ind w:left="720" w:hanging="720"/>
        <w:jc w:val="both"/>
      </w:pPr>
      <w:r w:rsidRPr="00B06A38">
        <w:t xml:space="preserve">Lord, J. and Hutchinson, P. (1993) ‘The Process of Empowerment: Implications for Theory and Practice The process of Empowerment: Implications for Theory and Practice Introduction, </w:t>
      </w:r>
      <w:r w:rsidRPr="00B06A38">
        <w:rPr>
          <w:i/>
        </w:rPr>
        <w:t>Canadian Journal of Community Mental Health</w:t>
      </w:r>
      <w:r w:rsidRPr="00B06A38">
        <w:t xml:space="preserve">, 12(1), pp. 5-22. Available at: </w:t>
      </w:r>
      <w:hyperlink r:id="rId30" w:history="1">
        <w:r w:rsidRPr="00B06A38">
          <w:rPr>
            <w:rStyle w:val="Hyperlink"/>
            <w:color w:val="auto"/>
            <w:u w:val="none"/>
          </w:rPr>
          <w:t>https://www.researchgate.net/publication/265265723_The_Process_of_Empowerment_Implications_for_Theory_and_Practice_The_Process_of_Empowerment_Implications_for_Theory_and_Practice_INTRODUCTION</w:t>
        </w:r>
      </w:hyperlink>
      <w:r w:rsidRPr="00B06A38">
        <w:t xml:space="preserve"> (Accessed: 1 November 2020).</w:t>
      </w:r>
    </w:p>
    <w:p w14:paraId="527F415A" w14:textId="2A43B2F1" w:rsidR="001035BF" w:rsidRPr="00B06A38" w:rsidRDefault="001035BF" w:rsidP="00E460B9">
      <w:pPr>
        <w:spacing w:line="360" w:lineRule="auto"/>
        <w:ind w:left="720" w:hanging="720"/>
        <w:jc w:val="both"/>
      </w:pPr>
      <w:r w:rsidRPr="00B06A38">
        <w:rPr>
          <w:i/>
        </w:rPr>
        <w:t xml:space="preserve">LPS Factsheet 1 Department of Health and Social Care </w:t>
      </w:r>
      <w:r w:rsidR="005047C5" w:rsidRPr="00B06A38">
        <w:rPr>
          <w:iCs/>
        </w:rPr>
        <w:t>(</w:t>
      </w:r>
      <w:r w:rsidRPr="00B06A38">
        <w:rPr>
          <w:iCs/>
        </w:rPr>
        <w:t>2020</w:t>
      </w:r>
      <w:r w:rsidR="005047C5" w:rsidRPr="00B06A38">
        <w:rPr>
          <w:iCs/>
        </w:rPr>
        <w:t>).</w:t>
      </w:r>
      <w:r w:rsidRPr="00B06A38">
        <w:t xml:space="preserve"> Available at: </w:t>
      </w:r>
      <w:hyperlink r:id="rId31" w:history="1">
        <w:r w:rsidRPr="00B06A38">
          <w:rPr>
            <w:rStyle w:val="Hyperlink"/>
            <w:color w:val="auto"/>
            <w:u w:val="none"/>
          </w:rPr>
          <w:t>https://www.mentalcapacitylawandpolicy.org.uk/wp-content/uploads/2020/09/200928_LPS-Factsheet-One_key-changes.pdf</w:t>
        </w:r>
      </w:hyperlink>
      <w:r w:rsidRPr="00B06A38">
        <w:t xml:space="preserve"> (Accessed: 22 October 2020).</w:t>
      </w:r>
    </w:p>
    <w:p w14:paraId="76FAEC7D" w14:textId="7032D032" w:rsidR="001035BF" w:rsidRPr="00B06A38" w:rsidRDefault="001035BF" w:rsidP="00E460B9">
      <w:pPr>
        <w:spacing w:line="360" w:lineRule="auto"/>
        <w:ind w:left="720" w:hanging="720"/>
        <w:jc w:val="both"/>
      </w:pPr>
      <w:r w:rsidRPr="00B06A38">
        <w:t xml:space="preserve">Macdonald, G. (2018) ‘Death in life or life in death? </w:t>
      </w:r>
      <w:r w:rsidR="00071666" w:rsidRPr="00B06A38">
        <w:t>Dementia</w:t>
      </w:r>
      <w:r w:rsidRPr="00B06A38">
        <w:t xml:space="preserve">’s ontological challenge’, </w:t>
      </w:r>
      <w:r w:rsidRPr="00B06A38">
        <w:rPr>
          <w:i/>
        </w:rPr>
        <w:t>Death Studies</w:t>
      </w:r>
      <w:r w:rsidRPr="00B06A38">
        <w:t xml:space="preserve">, 42(5), pp. 290-297. Available at: </w:t>
      </w:r>
      <w:hyperlink r:id="rId32" w:history="1">
        <w:r w:rsidRPr="00B06A38">
          <w:rPr>
            <w:rStyle w:val="Hyperlink"/>
            <w:color w:val="auto"/>
            <w:u w:val="none"/>
          </w:rPr>
          <w:t>https://www.tandfonline.com/doi/full/10.1080/07481187.2017.1396398?scroll=top&amp;needAccess=true</w:t>
        </w:r>
      </w:hyperlink>
      <w:r w:rsidRPr="00B06A38">
        <w:t xml:space="preserve"> (Accessed: 1 November 2020).</w:t>
      </w:r>
    </w:p>
    <w:p w14:paraId="134F6C9A" w14:textId="77777777" w:rsidR="001035BF" w:rsidRPr="00B06A38" w:rsidRDefault="001035BF" w:rsidP="00E460B9">
      <w:pPr>
        <w:spacing w:line="360" w:lineRule="auto"/>
        <w:ind w:left="720" w:hanging="720"/>
        <w:jc w:val="both"/>
      </w:pPr>
      <w:r w:rsidRPr="00B06A38">
        <w:t>Martin, J. (2005) ‘</w:t>
      </w:r>
      <w:r w:rsidRPr="00B06A38">
        <w:rPr>
          <w:color w:val="111111"/>
          <w:kern w:val="36"/>
          <w:lang w:eastAsia="en-GB"/>
        </w:rPr>
        <w:t xml:space="preserve">Sport psychology consulting with athletes with disabilities’, </w:t>
      </w:r>
      <w:r w:rsidRPr="00B06A38">
        <w:rPr>
          <w:i/>
          <w:color w:val="111111"/>
          <w:kern w:val="36"/>
          <w:lang w:eastAsia="en-GB"/>
        </w:rPr>
        <w:t xml:space="preserve">International Review of Sport and Exercise Psychology, </w:t>
      </w:r>
      <w:r w:rsidRPr="00B06A38">
        <w:rPr>
          <w:color w:val="111111"/>
          <w:kern w:val="36"/>
          <w:lang w:eastAsia="en-GB"/>
        </w:rPr>
        <w:t>1(12), pp.32-39. Available at:</w:t>
      </w:r>
      <w:r w:rsidRPr="00B06A38">
        <w:t xml:space="preserve"> </w:t>
      </w:r>
      <w:hyperlink r:id="rId33" w:history="1">
        <w:r w:rsidRPr="00B06A38">
          <w:rPr>
            <w:rStyle w:val="Hyperlink"/>
            <w:color w:val="auto"/>
            <w:kern w:val="36"/>
            <w:u w:val="none"/>
            <w:lang w:eastAsia="en-GB"/>
          </w:rPr>
          <w:t>https://www.researchgate.net/publication/236122927_Sport_psychology_consulting_with_athletes_with_disabilties</w:t>
        </w:r>
      </w:hyperlink>
      <w:r w:rsidRPr="00B06A38">
        <w:rPr>
          <w:color w:val="111111"/>
          <w:kern w:val="36"/>
          <w:lang w:eastAsia="en-GB"/>
        </w:rPr>
        <w:t xml:space="preserve"> (Accessed: 30 October 2020). </w:t>
      </w:r>
    </w:p>
    <w:p w14:paraId="690606B7" w14:textId="77777777" w:rsidR="001035BF" w:rsidRPr="00B06A38" w:rsidRDefault="001035BF" w:rsidP="00E460B9">
      <w:pPr>
        <w:spacing w:line="360" w:lineRule="auto"/>
        <w:ind w:left="720" w:hanging="720"/>
        <w:jc w:val="both"/>
      </w:pPr>
      <w:r w:rsidRPr="00B06A38">
        <w:rPr>
          <w:i/>
        </w:rPr>
        <w:t>Mental Capacity Act 2005, c. 9</w:t>
      </w:r>
      <w:r w:rsidRPr="00B06A38">
        <w:t xml:space="preserve">. Available at: </w:t>
      </w:r>
      <w:hyperlink r:id="rId34" w:history="1">
        <w:r w:rsidRPr="00B06A38">
          <w:rPr>
            <w:rStyle w:val="Hyperlink"/>
            <w:color w:val="auto"/>
            <w:u w:val="none"/>
          </w:rPr>
          <w:t>https://www.legislation.gov.uk/ukpga/2005/9/contents</w:t>
        </w:r>
      </w:hyperlink>
      <w:r w:rsidRPr="00B06A38">
        <w:t xml:space="preserve"> (Accessed: 22 October 2020).</w:t>
      </w:r>
    </w:p>
    <w:p w14:paraId="273C9238" w14:textId="77777777" w:rsidR="001035BF" w:rsidRPr="00B06A38" w:rsidRDefault="001035BF" w:rsidP="00E460B9">
      <w:pPr>
        <w:spacing w:line="360" w:lineRule="auto"/>
        <w:ind w:left="720" w:hanging="720"/>
        <w:jc w:val="both"/>
      </w:pPr>
      <w:r w:rsidRPr="00B06A38">
        <w:lastRenderedPageBreak/>
        <w:t xml:space="preserve">Mental Health Matters Wales (2020) </w:t>
      </w:r>
      <w:r w:rsidRPr="00B06A38">
        <w:rPr>
          <w:i/>
        </w:rPr>
        <w:t>Independent Mental Capacity Advocacy</w:t>
      </w:r>
      <w:r w:rsidRPr="00B06A38">
        <w:t xml:space="preserve">. Available at: </w:t>
      </w:r>
      <w:hyperlink r:id="rId35" w:history="1">
        <w:r w:rsidRPr="00B06A38">
          <w:rPr>
            <w:rStyle w:val="Hyperlink"/>
            <w:color w:val="auto"/>
            <w:u w:val="none"/>
          </w:rPr>
          <w:t>https://mhmwales.org.uk/our-services-1/advocacy-1/imca-1.html</w:t>
        </w:r>
      </w:hyperlink>
      <w:r w:rsidRPr="00B06A38">
        <w:t xml:space="preserve"> (Accessed: 18 October 2020). </w:t>
      </w:r>
    </w:p>
    <w:p w14:paraId="59C22BDC" w14:textId="06732FE9" w:rsidR="001035BF" w:rsidRPr="00B06A38" w:rsidRDefault="001035BF" w:rsidP="00E460B9">
      <w:pPr>
        <w:spacing w:line="360" w:lineRule="auto"/>
        <w:ind w:left="720" w:hanging="720"/>
        <w:jc w:val="both"/>
      </w:pPr>
      <w:r w:rsidRPr="00B06A38">
        <w:t xml:space="preserve">Morgan, S. and Williamson, T. (2014) ‘How can ‘positive risk-taking’ help build </w:t>
      </w:r>
      <w:r w:rsidR="00071666" w:rsidRPr="00B06A38">
        <w:t>dementia</w:t>
      </w:r>
      <w:r w:rsidRPr="00B06A38">
        <w:t xml:space="preserve">-friendly communities?’ Available at: </w:t>
      </w:r>
      <w:hyperlink r:id="rId36" w:history="1">
        <w:r w:rsidRPr="00B06A38">
          <w:rPr>
            <w:rStyle w:val="Hyperlink"/>
            <w:color w:val="auto"/>
            <w:u w:val="none"/>
          </w:rPr>
          <w:t>https://www.jrf.org.uk/sites/default/files/jrf/migrated/files/Positive-risk-taking-</w:t>
        </w:r>
        <w:r w:rsidR="00071666" w:rsidRPr="00B06A38">
          <w:rPr>
            <w:rStyle w:val="Hyperlink"/>
            <w:color w:val="auto"/>
            <w:u w:val="none"/>
          </w:rPr>
          <w:t>dementia</w:t>
        </w:r>
        <w:r w:rsidRPr="00B06A38">
          <w:rPr>
            <w:rStyle w:val="Hyperlink"/>
            <w:color w:val="auto"/>
            <w:u w:val="none"/>
          </w:rPr>
          <w:t>-summary.pdf</w:t>
        </w:r>
      </w:hyperlink>
      <w:r w:rsidRPr="00B06A38">
        <w:t xml:space="preserve"> (Accessed: 30 October 2020).</w:t>
      </w:r>
    </w:p>
    <w:p w14:paraId="091975A3" w14:textId="77777777" w:rsidR="001035BF" w:rsidRPr="00B06A38" w:rsidRDefault="001035BF" w:rsidP="00E460B9">
      <w:pPr>
        <w:spacing w:line="360" w:lineRule="auto"/>
        <w:ind w:left="720" w:hanging="720"/>
        <w:jc w:val="both"/>
      </w:pPr>
      <w:r w:rsidRPr="00B06A38">
        <w:t xml:space="preserve">National Development Team for Inclusion (2018) </w:t>
      </w:r>
      <w:r w:rsidRPr="00B06A38">
        <w:rPr>
          <w:i/>
        </w:rPr>
        <w:t>The Advocacy Charter.</w:t>
      </w:r>
      <w:r w:rsidRPr="00B06A38">
        <w:t xml:space="preserve"> Available at: </w:t>
      </w:r>
      <w:hyperlink r:id="rId37" w:history="1">
        <w:r w:rsidRPr="00B06A38">
          <w:rPr>
            <w:rStyle w:val="Hyperlink"/>
            <w:color w:val="auto"/>
            <w:u w:val="none"/>
          </w:rPr>
          <w:t>https://qualityadvocacy.org.uk/wp-content/uploads/2018/05/Advocacy-Charter-A3.pdf</w:t>
        </w:r>
      </w:hyperlink>
      <w:r w:rsidRPr="00B06A38">
        <w:t xml:space="preserve"> (Accessed: 25 October 2020).</w:t>
      </w:r>
    </w:p>
    <w:p w14:paraId="30C2921B" w14:textId="4629D776" w:rsidR="001035BF" w:rsidRPr="00B06A38" w:rsidRDefault="001035BF" w:rsidP="00E460B9">
      <w:pPr>
        <w:spacing w:line="360" w:lineRule="auto"/>
        <w:ind w:left="720" w:hanging="720"/>
        <w:jc w:val="both"/>
      </w:pPr>
      <w:r w:rsidRPr="00B06A38">
        <w:rPr>
          <w:color w:val="222222"/>
          <w:shd w:val="clear" w:color="auto" w:fill="FFFFFF"/>
        </w:rPr>
        <w:t xml:space="preserve">Neill, M., Allen, J., Woodhead, N., Sanderson, H., Reid, S. and Erwin, L. (2009) A positive approach to risk requires </w:t>
      </w:r>
      <w:r w:rsidR="00BD3942" w:rsidRPr="00B06A38">
        <w:rPr>
          <w:color w:val="222222"/>
          <w:shd w:val="clear" w:color="auto" w:fill="FFFFFF"/>
        </w:rPr>
        <w:t>person-centred</w:t>
      </w:r>
      <w:r w:rsidRPr="00B06A38">
        <w:rPr>
          <w:color w:val="222222"/>
          <w:shd w:val="clear" w:color="auto" w:fill="FFFFFF"/>
        </w:rPr>
        <w:t xml:space="preserve"> thinking. </w:t>
      </w:r>
      <w:r w:rsidRPr="00B06A38">
        <w:rPr>
          <w:i/>
          <w:iCs/>
          <w:color w:val="222222"/>
          <w:shd w:val="clear" w:color="auto" w:fill="FFFFFF"/>
        </w:rPr>
        <w:t>Tizard Learning Disability Review</w:t>
      </w:r>
      <w:r w:rsidRPr="00B06A38">
        <w:rPr>
          <w:color w:val="222222"/>
          <w:shd w:val="clear" w:color="auto" w:fill="FFFFFF"/>
        </w:rPr>
        <w:t>, </w:t>
      </w:r>
      <w:r w:rsidRPr="00B06A38">
        <w:rPr>
          <w:i/>
          <w:iCs/>
          <w:color w:val="222222"/>
          <w:shd w:val="clear" w:color="auto" w:fill="FFFFFF"/>
        </w:rPr>
        <w:t>14</w:t>
      </w:r>
      <w:r w:rsidRPr="00B06A38">
        <w:rPr>
          <w:color w:val="222222"/>
          <w:shd w:val="clear" w:color="auto" w:fill="FFFFFF"/>
        </w:rPr>
        <w:t xml:space="preserve">(4), pp.17-24. Available at: </w:t>
      </w:r>
      <w:hyperlink r:id="rId38" w:history="1">
        <w:r w:rsidRPr="00B06A38">
          <w:rPr>
            <w:rStyle w:val="Hyperlink"/>
            <w:color w:val="auto"/>
            <w:u w:val="none"/>
            <w:shd w:val="clear" w:color="auto" w:fill="FFFFFF"/>
          </w:rPr>
          <w:t>https://www.researchgate.net/profile/Helen_Sanderson2/publication/237447666_A_positive_approach_to_risk_requires_</w:t>
        </w:r>
        <w:r w:rsidR="00BD3942" w:rsidRPr="00B06A38">
          <w:rPr>
            <w:rStyle w:val="Hyperlink"/>
            <w:color w:val="auto"/>
            <w:u w:val="none"/>
            <w:shd w:val="clear" w:color="auto" w:fill="FFFFFF"/>
          </w:rPr>
          <w:t>person-centred</w:t>
        </w:r>
        <w:r w:rsidRPr="00B06A38">
          <w:rPr>
            <w:rStyle w:val="Hyperlink"/>
            <w:color w:val="auto"/>
            <w:u w:val="none"/>
            <w:shd w:val="clear" w:color="auto" w:fill="FFFFFF"/>
          </w:rPr>
          <w:t>_thinking/links/54b780ca0cf24eb34f6eacd8.pdf</w:t>
        </w:r>
      </w:hyperlink>
      <w:r w:rsidRPr="00B06A38">
        <w:rPr>
          <w:shd w:val="clear" w:color="auto" w:fill="FFFFFF"/>
        </w:rPr>
        <w:t xml:space="preserve"> </w:t>
      </w:r>
      <w:r w:rsidRPr="00B06A38">
        <w:rPr>
          <w:color w:val="222222"/>
          <w:shd w:val="clear" w:color="auto" w:fill="FFFFFF"/>
        </w:rPr>
        <w:t>(Accessed: 29 October 2020).</w:t>
      </w:r>
    </w:p>
    <w:p w14:paraId="336BEFE0" w14:textId="77777777" w:rsidR="001035BF" w:rsidRPr="00B06A38" w:rsidRDefault="001035BF" w:rsidP="00E460B9">
      <w:pPr>
        <w:spacing w:line="360" w:lineRule="auto"/>
        <w:ind w:left="720" w:hanging="720"/>
        <w:jc w:val="both"/>
      </w:pPr>
      <w:r w:rsidRPr="00B06A38">
        <w:t xml:space="preserve">Ocloo, J. and Matthews, R. (2016) ‘From tokenism to empowerment: progressing patient and public involvement in healthcare improvement’, </w:t>
      </w:r>
      <w:r w:rsidRPr="00B06A38">
        <w:rPr>
          <w:i/>
        </w:rPr>
        <w:t xml:space="preserve">National Library of Medicine. BMJ quality and safety, </w:t>
      </w:r>
      <w:r w:rsidRPr="00B06A38">
        <w:t xml:space="preserve">25(8) pp. 626-632. Available at: </w:t>
      </w:r>
      <w:hyperlink r:id="rId39" w:history="1">
        <w:r w:rsidRPr="00B06A38">
          <w:rPr>
            <w:rStyle w:val="Hyperlink"/>
            <w:color w:val="auto"/>
            <w:u w:val="none"/>
          </w:rPr>
          <w:t>https://qualitysafety.bmj.com/content/qhc/25/8/626.full.pdf</w:t>
        </w:r>
      </w:hyperlink>
      <w:r w:rsidRPr="00B06A38">
        <w:t xml:space="preserve"> (Accessed: 1 November 2020). </w:t>
      </w:r>
    </w:p>
    <w:p w14:paraId="4EDE2497" w14:textId="28134C04" w:rsidR="001035BF" w:rsidRPr="00B06A38" w:rsidRDefault="001035BF" w:rsidP="00E460B9">
      <w:pPr>
        <w:spacing w:line="360" w:lineRule="auto"/>
        <w:ind w:left="720" w:hanging="720"/>
        <w:jc w:val="both"/>
      </w:pPr>
      <w:r w:rsidRPr="00B06A38">
        <w:t>Olsson</w:t>
      </w:r>
      <w:r w:rsidR="00931A87" w:rsidRPr="00B06A38">
        <w:t>, LE.,</w:t>
      </w:r>
      <w:r w:rsidRPr="00B06A38">
        <w:t xml:space="preserve"> Jakobsson</w:t>
      </w:r>
      <w:r w:rsidR="00931A87" w:rsidRPr="00B06A38">
        <w:t xml:space="preserve"> </w:t>
      </w:r>
      <w:r w:rsidRPr="00B06A38">
        <w:t>Ung</w:t>
      </w:r>
      <w:r w:rsidR="00931A87" w:rsidRPr="00B06A38">
        <w:t>,</w:t>
      </w:r>
      <w:r w:rsidRPr="00B06A38">
        <w:t xml:space="preserve"> E</w:t>
      </w:r>
      <w:r w:rsidR="00931A87" w:rsidRPr="00B06A38">
        <w:t>.</w:t>
      </w:r>
      <w:r w:rsidRPr="00B06A38">
        <w:t>, Swedberg</w:t>
      </w:r>
      <w:r w:rsidR="00931A87" w:rsidRPr="00B06A38">
        <w:t>,</w:t>
      </w:r>
      <w:r w:rsidRPr="00B06A38">
        <w:t xml:space="preserve"> K</w:t>
      </w:r>
      <w:r w:rsidR="00931A87" w:rsidRPr="00B06A38">
        <w:t>.</w:t>
      </w:r>
      <w:r w:rsidRPr="00B06A38">
        <w:t xml:space="preserve">, </w:t>
      </w:r>
      <w:r w:rsidR="00931A87" w:rsidRPr="00B06A38">
        <w:t xml:space="preserve">&amp; </w:t>
      </w:r>
      <w:r w:rsidRPr="00B06A38">
        <w:t>Ekman</w:t>
      </w:r>
      <w:r w:rsidR="00931A87" w:rsidRPr="00B06A38">
        <w:t>,</w:t>
      </w:r>
      <w:r w:rsidRPr="00B06A38">
        <w:t xml:space="preserve"> I. (2012) ‘Efficacy of </w:t>
      </w:r>
      <w:r w:rsidR="00BD3942" w:rsidRPr="00B06A38">
        <w:t>person-centred</w:t>
      </w:r>
      <w:r w:rsidRPr="00B06A38">
        <w:t xml:space="preserve"> care as an intervention in controlled trials – a systematic review’, </w:t>
      </w:r>
      <w:r w:rsidRPr="00B06A38">
        <w:rPr>
          <w:i/>
        </w:rPr>
        <w:t>Journal of clinical nursing</w:t>
      </w:r>
      <w:r w:rsidRPr="00B06A38">
        <w:t xml:space="preserve">, 22(3-4), pp. 456-465. Available at:  </w:t>
      </w:r>
      <w:hyperlink r:id="rId40" w:history="1">
        <w:r w:rsidRPr="00B06A38">
          <w:rPr>
            <w:rStyle w:val="Hyperlink"/>
            <w:color w:val="auto"/>
            <w:u w:val="none"/>
          </w:rPr>
          <w:t>https://onlinelibrary.wiley.com/doi/full/10.1111/jocn.12039?casa_token=_Q-rTAY2izAAAAAA%3AmZEOyMnUiGgIktKbUKNPSfAipqzB8C3kt43OVkf-m3j8d17dKulQytaQO8T_HF4OqAfmebaBhwYUZb56nA</w:t>
        </w:r>
      </w:hyperlink>
      <w:r w:rsidRPr="00B06A38">
        <w:t xml:space="preserve"> (Accessed: 22 October 2020).</w:t>
      </w:r>
    </w:p>
    <w:p w14:paraId="3B2E81E2" w14:textId="77777777" w:rsidR="001035BF" w:rsidRPr="00B06A38" w:rsidRDefault="001035BF" w:rsidP="00E460B9">
      <w:pPr>
        <w:pStyle w:val="Heading1"/>
        <w:shd w:val="clear" w:color="auto" w:fill="FFFFFF"/>
        <w:spacing w:after="150" w:line="360" w:lineRule="auto"/>
        <w:ind w:left="720" w:hanging="720"/>
        <w:jc w:val="both"/>
        <w:rPr>
          <w:b w:val="0"/>
          <w:color w:val="222222"/>
          <w:sz w:val="24"/>
          <w:szCs w:val="24"/>
          <w:lang w:eastAsia="en-GB"/>
        </w:rPr>
      </w:pPr>
      <w:r w:rsidRPr="00B06A38">
        <w:rPr>
          <w:b w:val="0"/>
          <w:sz w:val="24"/>
          <w:szCs w:val="24"/>
        </w:rPr>
        <w:lastRenderedPageBreak/>
        <w:t xml:space="preserve">Pichére, P. (2015) </w:t>
      </w:r>
      <w:r w:rsidRPr="00B06A38">
        <w:rPr>
          <w:b w:val="0"/>
          <w:i/>
          <w:color w:val="222222"/>
          <w:sz w:val="24"/>
          <w:szCs w:val="24"/>
          <w:lang w:eastAsia="en-GB"/>
        </w:rPr>
        <w:t>Maslow's Hierarchy of Needs: Understand the true foundations of human motivation.</w:t>
      </w:r>
      <w:r w:rsidRPr="00B06A38">
        <w:rPr>
          <w:b w:val="0"/>
          <w:color w:val="222222"/>
          <w:sz w:val="24"/>
          <w:szCs w:val="24"/>
          <w:lang w:eastAsia="en-GB"/>
        </w:rPr>
        <w:t xml:space="preserve"> Available at: </w:t>
      </w:r>
      <w:hyperlink r:id="rId41" w:history="1">
        <w:r w:rsidRPr="00B06A38">
          <w:rPr>
            <w:rStyle w:val="Hyperlink"/>
            <w:b w:val="0"/>
            <w:color w:val="auto"/>
            <w:sz w:val="24"/>
            <w:szCs w:val="24"/>
            <w:u w:val="none"/>
            <w:lang w:eastAsia="en-GB"/>
          </w:rPr>
          <w:t>https://r1.vlereader.com/Reader?ean=9782806265876</w:t>
        </w:r>
      </w:hyperlink>
      <w:r w:rsidRPr="00B06A38">
        <w:rPr>
          <w:b w:val="0"/>
          <w:sz w:val="24"/>
          <w:szCs w:val="24"/>
          <w:lang w:eastAsia="en-GB"/>
        </w:rPr>
        <w:t xml:space="preserve"> </w:t>
      </w:r>
      <w:r w:rsidRPr="00B06A38">
        <w:rPr>
          <w:b w:val="0"/>
          <w:color w:val="222222"/>
          <w:sz w:val="24"/>
          <w:szCs w:val="24"/>
          <w:lang w:eastAsia="en-GB"/>
        </w:rPr>
        <w:t>(Accessed: 3 November 2020).</w:t>
      </w:r>
    </w:p>
    <w:p w14:paraId="02398A74" w14:textId="77777777" w:rsidR="001035BF" w:rsidRPr="00B06A38" w:rsidRDefault="001035BF" w:rsidP="00E460B9">
      <w:pPr>
        <w:spacing w:line="360" w:lineRule="auto"/>
        <w:ind w:left="720" w:hanging="720"/>
        <w:jc w:val="both"/>
      </w:pPr>
      <w:r w:rsidRPr="00B06A38">
        <w:t xml:space="preserve">Potts, H. and Hunt, P.H. (2008) </w:t>
      </w:r>
      <w:r w:rsidRPr="00B06A38">
        <w:rPr>
          <w:i/>
        </w:rPr>
        <w:t>Participation and the right to the highest attainable standard of health.</w:t>
      </w:r>
      <w:r w:rsidRPr="00B06A38">
        <w:t xml:space="preserve"> Available at: </w:t>
      </w:r>
      <w:hyperlink r:id="rId42" w:history="1">
        <w:r w:rsidRPr="00B06A38">
          <w:rPr>
            <w:rStyle w:val="Hyperlink"/>
            <w:color w:val="auto"/>
            <w:u w:val="none"/>
          </w:rPr>
          <w:t>http://repository.essex.ac.uk/9714/1/participation-right-highest-attainable-standard-health.pdf</w:t>
        </w:r>
      </w:hyperlink>
      <w:r w:rsidRPr="00B06A38">
        <w:t xml:space="preserve"> (Accessed: 22 October 2020).</w:t>
      </w:r>
    </w:p>
    <w:p w14:paraId="74814553" w14:textId="77777777" w:rsidR="001035BF" w:rsidRPr="00B06A38" w:rsidRDefault="001035BF" w:rsidP="00E460B9">
      <w:pPr>
        <w:spacing w:line="360" w:lineRule="auto"/>
        <w:ind w:left="720" w:hanging="720"/>
        <w:jc w:val="both"/>
        <w:rPr>
          <w:lang w:eastAsia="en-GB"/>
        </w:rPr>
      </w:pPr>
      <w:r w:rsidRPr="00B06A38">
        <w:t xml:space="preserve">Proctor, C., Tweed, R. G., &amp; Morris, D. B. (2020). ‘Unconditional Positive Self-Regard: The Role of Perceived Parental Conditional Regard’, </w:t>
      </w:r>
      <w:r w:rsidRPr="00B06A38">
        <w:rPr>
          <w:i/>
        </w:rPr>
        <w:t>The Humanistic Psychologist</w:t>
      </w:r>
      <w:r w:rsidRPr="00B06A38">
        <w:t xml:space="preserve">. Available at: </w:t>
      </w:r>
      <w:hyperlink r:id="rId43" w:history="1">
        <w:r w:rsidRPr="00B06A38">
          <w:rPr>
            <w:rStyle w:val="Hyperlink"/>
            <w:color w:val="auto"/>
            <w:u w:val="none"/>
          </w:rPr>
          <w:t>http://dx.doi.org/10.1037/hum0000168</w:t>
        </w:r>
      </w:hyperlink>
      <w:r w:rsidRPr="00B06A38">
        <w:t xml:space="preserve"> (Accessed: 3 November 2020).</w:t>
      </w:r>
    </w:p>
    <w:p w14:paraId="1E4D8269" w14:textId="62BEE2A8" w:rsidR="001035BF" w:rsidRPr="00B06A38" w:rsidRDefault="001035BF" w:rsidP="00E460B9">
      <w:pPr>
        <w:spacing w:line="360" w:lineRule="auto"/>
        <w:ind w:left="720" w:hanging="720"/>
        <w:jc w:val="both"/>
      </w:pPr>
      <w:r w:rsidRPr="00B06A38">
        <w:t>Social Care Institute for Excellence (2020</w:t>
      </w:r>
      <w:r w:rsidR="00C1651D" w:rsidRPr="00B06A38">
        <w:t>a</w:t>
      </w:r>
      <w:r w:rsidRPr="00B06A38">
        <w:t xml:space="preserve">) </w:t>
      </w:r>
      <w:r w:rsidRPr="00B06A38">
        <w:rPr>
          <w:i/>
        </w:rPr>
        <w:t>Involving</w:t>
      </w:r>
      <w:r w:rsidRPr="00B06A38">
        <w:t xml:space="preserve"> </w:t>
      </w:r>
      <w:r w:rsidRPr="00B06A38">
        <w:rPr>
          <w:i/>
        </w:rPr>
        <w:t xml:space="preserve">service users and carers in social work education. </w:t>
      </w:r>
      <w:r w:rsidRPr="00B06A38">
        <w:t xml:space="preserve">Available at: </w:t>
      </w:r>
      <w:hyperlink r:id="rId44" w:history="1">
        <w:r w:rsidRPr="00B06A38">
          <w:rPr>
            <w:rStyle w:val="Hyperlink"/>
            <w:color w:val="auto"/>
            <w:u w:val="none"/>
          </w:rPr>
          <w:t>https://www.scie.org.uk/publications/guides/guide04/gs/10-3.asp</w:t>
        </w:r>
      </w:hyperlink>
      <w:r w:rsidRPr="00B06A38">
        <w:t xml:space="preserve"> (Accessed: 27 October 2020).</w:t>
      </w:r>
    </w:p>
    <w:p w14:paraId="1E90A6ED" w14:textId="4A92165F" w:rsidR="001035BF" w:rsidRPr="00B06A38" w:rsidRDefault="001035BF" w:rsidP="00E460B9">
      <w:pPr>
        <w:spacing w:line="360" w:lineRule="auto"/>
        <w:ind w:left="720" w:hanging="720"/>
        <w:jc w:val="both"/>
      </w:pPr>
      <w:r w:rsidRPr="00B06A38">
        <w:t>Social Care Institute for Excellence (2020</w:t>
      </w:r>
      <w:r w:rsidR="00C1651D" w:rsidRPr="00B06A38">
        <w:t>b</w:t>
      </w:r>
      <w:r w:rsidRPr="00B06A38">
        <w:t xml:space="preserve">) </w:t>
      </w:r>
      <w:r w:rsidRPr="00B06A38">
        <w:rPr>
          <w:i/>
        </w:rPr>
        <w:t>Using the MCA key principles in care planning.</w:t>
      </w:r>
      <w:r w:rsidRPr="00B06A38">
        <w:t xml:space="preserve"> Available at: </w:t>
      </w:r>
      <w:hyperlink r:id="rId45" w:history="1">
        <w:r w:rsidRPr="00B06A38">
          <w:rPr>
            <w:rStyle w:val="Hyperlink"/>
            <w:color w:val="auto"/>
            <w:u w:val="none"/>
          </w:rPr>
          <w:t>https://www.scie.org.uk/mca/practice/care-planning/key-principles-in-care-planning</w:t>
        </w:r>
      </w:hyperlink>
      <w:r w:rsidRPr="00B06A38">
        <w:t xml:space="preserve"> (Accessed: 27 October 2020).</w:t>
      </w:r>
    </w:p>
    <w:p w14:paraId="2E608F17" w14:textId="77777777" w:rsidR="001035BF" w:rsidRPr="00B06A38" w:rsidRDefault="001035BF" w:rsidP="00E460B9">
      <w:pPr>
        <w:spacing w:line="360" w:lineRule="auto"/>
        <w:ind w:left="720" w:hanging="720"/>
        <w:jc w:val="both"/>
      </w:pPr>
      <w:r w:rsidRPr="00B06A38">
        <w:rPr>
          <w:i/>
        </w:rPr>
        <w:t xml:space="preserve">Social Services and Well-being (Wales) Act 2014. </w:t>
      </w:r>
      <w:r w:rsidRPr="00B06A38">
        <w:t xml:space="preserve">(SI 2014 /anaw 4). Available at: </w:t>
      </w:r>
      <w:hyperlink r:id="rId46" w:history="1">
        <w:r w:rsidRPr="00B06A38">
          <w:rPr>
            <w:rStyle w:val="Hyperlink"/>
            <w:color w:val="auto"/>
            <w:u w:val="none"/>
          </w:rPr>
          <w:t>https://www.legislation.gov.uk/anaw/2014/4/contents</w:t>
        </w:r>
      </w:hyperlink>
      <w:r w:rsidRPr="00B06A38">
        <w:t xml:space="preserve"> (Accessed: 22 October 2020).</w:t>
      </w:r>
    </w:p>
    <w:p w14:paraId="495E39A6" w14:textId="2F6FCE7F" w:rsidR="001035BF" w:rsidRPr="00B06A38" w:rsidRDefault="001035BF" w:rsidP="00E460B9">
      <w:pPr>
        <w:spacing w:line="360" w:lineRule="auto"/>
        <w:ind w:left="720" w:hanging="720"/>
        <w:jc w:val="both"/>
      </w:pPr>
      <w:r w:rsidRPr="00B06A38">
        <w:t xml:space="preserve">The Care Worker’s Charity (2018) </w:t>
      </w:r>
      <w:r w:rsidR="00071666" w:rsidRPr="00B06A38">
        <w:rPr>
          <w:i/>
        </w:rPr>
        <w:t>Dementia</w:t>
      </w:r>
      <w:r w:rsidRPr="00B06A38">
        <w:rPr>
          <w:i/>
        </w:rPr>
        <w:t xml:space="preserve"> care: a helpful guide</w:t>
      </w:r>
      <w:r w:rsidRPr="00B06A38">
        <w:t xml:space="preserve">. Available at: </w:t>
      </w:r>
      <w:hyperlink r:id="rId47" w:history="1">
        <w:r w:rsidRPr="00B06A38">
          <w:rPr>
            <w:rStyle w:val="Hyperlink"/>
            <w:color w:val="auto"/>
            <w:u w:val="none"/>
          </w:rPr>
          <w:t>https://www.thecareworkerscharity.org.uk/blog/</w:t>
        </w:r>
        <w:r w:rsidR="00071666" w:rsidRPr="00B06A38">
          <w:rPr>
            <w:rStyle w:val="Hyperlink"/>
            <w:color w:val="auto"/>
            <w:u w:val="none"/>
          </w:rPr>
          <w:t>dementia</w:t>
        </w:r>
        <w:r w:rsidRPr="00B06A38">
          <w:rPr>
            <w:rStyle w:val="Hyperlink"/>
            <w:color w:val="auto"/>
            <w:u w:val="none"/>
          </w:rPr>
          <w:t>-care/</w:t>
        </w:r>
      </w:hyperlink>
      <w:r w:rsidRPr="00B06A38">
        <w:t xml:space="preserve"> (Accessed: 17 October 2020).</w:t>
      </w:r>
    </w:p>
    <w:p w14:paraId="3ED67C68" w14:textId="1C0BD870" w:rsidR="001035BF" w:rsidRPr="00B06A38" w:rsidRDefault="00AB094E" w:rsidP="00E460B9">
      <w:pPr>
        <w:spacing w:line="360" w:lineRule="auto"/>
        <w:ind w:left="720" w:hanging="720"/>
        <w:jc w:val="both"/>
      </w:pPr>
      <w:r w:rsidRPr="00B06A38">
        <w:t>The Health Foundation (2016</w:t>
      </w:r>
      <w:r w:rsidR="001035BF" w:rsidRPr="00B06A38">
        <w:t xml:space="preserve">) </w:t>
      </w:r>
      <w:r w:rsidR="00BD3942" w:rsidRPr="00B06A38">
        <w:rPr>
          <w:i/>
        </w:rPr>
        <w:t>Person-centred</w:t>
      </w:r>
      <w:r w:rsidR="001035BF" w:rsidRPr="00B06A38">
        <w:rPr>
          <w:i/>
        </w:rPr>
        <w:t xml:space="preserve"> care made simple</w:t>
      </w:r>
      <w:r w:rsidR="001035BF" w:rsidRPr="00B06A38">
        <w:t xml:space="preserve">. Available at: </w:t>
      </w:r>
      <w:hyperlink r:id="rId48" w:history="1">
        <w:r w:rsidR="001035BF" w:rsidRPr="00B06A38">
          <w:rPr>
            <w:rStyle w:val="Hyperlink"/>
            <w:color w:val="auto"/>
            <w:u w:val="none"/>
          </w:rPr>
          <w:t>https://www.health.org.uk/publications/</w:t>
        </w:r>
        <w:r w:rsidR="00BD3942" w:rsidRPr="00B06A38">
          <w:rPr>
            <w:rStyle w:val="Hyperlink"/>
            <w:color w:val="auto"/>
            <w:u w:val="none"/>
          </w:rPr>
          <w:t>person-centred</w:t>
        </w:r>
        <w:r w:rsidR="001035BF" w:rsidRPr="00B06A38">
          <w:rPr>
            <w:rStyle w:val="Hyperlink"/>
            <w:color w:val="auto"/>
            <w:u w:val="none"/>
          </w:rPr>
          <w:t>-care-made-simple</w:t>
        </w:r>
      </w:hyperlink>
      <w:r w:rsidR="001035BF" w:rsidRPr="00B06A38">
        <w:t xml:space="preserve"> (Accessed: 20 October 2020).</w:t>
      </w:r>
    </w:p>
    <w:p w14:paraId="456F7939" w14:textId="74F69AD3" w:rsidR="001035BF" w:rsidRPr="00B06A38" w:rsidRDefault="001035BF" w:rsidP="00E460B9">
      <w:pPr>
        <w:spacing w:line="360" w:lineRule="auto"/>
        <w:ind w:left="720" w:hanging="720"/>
        <w:jc w:val="both"/>
      </w:pPr>
      <w:r w:rsidRPr="00B06A38">
        <w:t xml:space="preserve">The </w:t>
      </w:r>
      <w:r w:rsidR="001928EE" w:rsidRPr="00B06A38">
        <w:t xml:space="preserve">Person </w:t>
      </w:r>
      <w:r w:rsidR="00BD3942" w:rsidRPr="00B06A38">
        <w:t>Centred</w:t>
      </w:r>
      <w:r w:rsidR="00AB094E" w:rsidRPr="00B06A38">
        <w:t xml:space="preserve"> Association (2018</w:t>
      </w:r>
      <w:r w:rsidRPr="00B06A38">
        <w:t xml:space="preserve">) </w:t>
      </w:r>
      <w:r w:rsidRPr="00B06A38">
        <w:rPr>
          <w:i/>
        </w:rPr>
        <w:t xml:space="preserve">What is the </w:t>
      </w:r>
      <w:r w:rsidR="00BD3942" w:rsidRPr="00B06A38">
        <w:rPr>
          <w:i/>
        </w:rPr>
        <w:t>Person-centred</w:t>
      </w:r>
      <w:r w:rsidRPr="00B06A38">
        <w:rPr>
          <w:i/>
        </w:rPr>
        <w:t xml:space="preserve"> Approach?</w:t>
      </w:r>
      <w:r w:rsidRPr="00B06A38">
        <w:t xml:space="preserve"> Available at: </w:t>
      </w:r>
      <w:hyperlink r:id="rId49" w:history="1">
        <w:r w:rsidRPr="00B06A38">
          <w:rPr>
            <w:rStyle w:val="Hyperlink"/>
            <w:color w:val="auto"/>
            <w:u w:val="none"/>
          </w:rPr>
          <w:t>https://www.the-pca.org.uk/about/what-is-it.html</w:t>
        </w:r>
      </w:hyperlink>
      <w:r w:rsidRPr="00B06A38">
        <w:t xml:space="preserve"> (Accessed: 22 October 2020).</w:t>
      </w:r>
    </w:p>
    <w:p w14:paraId="608A5892" w14:textId="1A6C8620" w:rsidR="001035BF" w:rsidRPr="00B06A38" w:rsidRDefault="001035BF" w:rsidP="00E460B9">
      <w:pPr>
        <w:spacing w:line="360" w:lineRule="auto"/>
        <w:ind w:left="720" w:hanging="720"/>
        <w:jc w:val="both"/>
        <w:rPr>
          <w:color w:val="FF0000"/>
        </w:rPr>
      </w:pPr>
      <w:r w:rsidRPr="00B06A38">
        <w:t xml:space="preserve">Tritter, J.Q. and McCallum, A. (2005) ‘The snakes and ladders of user involvement: Moving beyond Arnstein’, </w:t>
      </w:r>
      <w:r w:rsidRPr="00B06A38">
        <w:rPr>
          <w:i/>
        </w:rPr>
        <w:t>Health Policy</w:t>
      </w:r>
      <w:r w:rsidRPr="00B06A38">
        <w:t xml:space="preserve">, 76(2), pp. 156-169. Available at:  </w:t>
      </w:r>
      <w:hyperlink r:id="rId50" w:history="1">
        <w:r w:rsidRPr="00B06A38">
          <w:rPr>
            <w:rStyle w:val="Hyperlink"/>
            <w:color w:val="auto"/>
            <w:u w:val="none"/>
          </w:rPr>
          <w:t>https://www.sciencedirect.com/science/article/abs/pii/S0168851005001314?via%3Dihub</w:t>
        </w:r>
      </w:hyperlink>
      <w:r w:rsidRPr="00B06A38">
        <w:t xml:space="preserve"> (Accessed: 22 October 2020). </w:t>
      </w:r>
      <w:r w:rsidR="00AB094E" w:rsidRPr="00B06A38">
        <w:t>Quick guide</w:t>
      </w:r>
    </w:p>
    <w:p w14:paraId="3674C337" w14:textId="26A99CD4" w:rsidR="001035BF" w:rsidRPr="00B06A38" w:rsidRDefault="001035BF" w:rsidP="00E460B9">
      <w:pPr>
        <w:spacing w:line="360" w:lineRule="auto"/>
        <w:ind w:left="720" w:hanging="720"/>
        <w:jc w:val="both"/>
      </w:pPr>
      <w:r w:rsidRPr="00B06A38">
        <w:lastRenderedPageBreak/>
        <w:t xml:space="preserve">Wilkins, P. (2010) </w:t>
      </w:r>
      <w:r w:rsidR="00BD3942" w:rsidRPr="00B06A38">
        <w:rPr>
          <w:i/>
        </w:rPr>
        <w:t>Person-centred</w:t>
      </w:r>
      <w:r w:rsidRPr="00B06A38">
        <w:rPr>
          <w:i/>
        </w:rPr>
        <w:t xml:space="preserve"> therapy: 100 key points</w:t>
      </w:r>
      <w:r w:rsidRPr="00B06A38">
        <w:t>. New York: Routledge.</w:t>
      </w:r>
    </w:p>
    <w:p w14:paraId="3871D738" w14:textId="2D0603C1" w:rsidR="001035BF" w:rsidRPr="00B06A38" w:rsidRDefault="001035BF" w:rsidP="00E460B9">
      <w:pPr>
        <w:spacing w:line="360" w:lineRule="auto"/>
        <w:ind w:left="720" w:hanging="720"/>
        <w:jc w:val="both"/>
      </w:pPr>
      <w:r w:rsidRPr="00B06A38">
        <w:t xml:space="preserve">World Alzheimer Report (2016) </w:t>
      </w:r>
      <w:r w:rsidRPr="00B06A38">
        <w:rPr>
          <w:i/>
        </w:rPr>
        <w:t xml:space="preserve">Improving healthcare for people living with </w:t>
      </w:r>
      <w:r w:rsidR="00071666" w:rsidRPr="00B06A38">
        <w:rPr>
          <w:i/>
        </w:rPr>
        <w:t>dementia</w:t>
      </w:r>
      <w:r w:rsidRPr="00B06A38">
        <w:rPr>
          <w:i/>
        </w:rPr>
        <w:t>.</w:t>
      </w:r>
      <w:r w:rsidRPr="00B06A38">
        <w:t xml:space="preserve"> Available at: </w:t>
      </w:r>
      <w:hyperlink r:id="rId51" w:history="1">
        <w:r w:rsidRPr="00B06A38">
          <w:rPr>
            <w:rStyle w:val="Hyperlink"/>
            <w:color w:val="auto"/>
            <w:u w:val="none"/>
          </w:rPr>
          <w:t>https://www.alz.co.uk/research/WorldAlzheimerReport2016.pdf</w:t>
        </w:r>
      </w:hyperlink>
      <w:r w:rsidRPr="00B06A38">
        <w:t xml:space="preserve"> (Accessed: 31 October 2020).</w:t>
      </w:r>
    </w:p>
    <w:p w14:paraId="025A48B4" w14:textId="77777777" w:rsidR="00BF2AB8" w:rsidRPr="00B06A38" w:rsidRDefault="00BF2AB8" w:rsidP="00E460B9">
      <w:pPr>
        <w:spacing w:before="240" w:after="240" w:line="360" w:lineRule="auto"/>
        <w:jc w:val="both"/>
      </w:pPr>
      <w:bookmarkStart w:id="0" w:name="_GoBack"/>
      <w:bookmarkEnd w:id="0"/>
    </w:p>
    <w:sectPr w:rsidR="00BF2AB8" w:rsidRPr="00B06A38">
      <w:headerReference w:type="default" r:id="rId52"/>
      <w:pgSz w:w="12240" w:h="15840"/>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ABF03C" w14:textId="77777777" w:rsidR="008055D4" w:rsidRDefault="008055D4" w:rsidP="00A55554">
      <w:r>
        <w:separator/>
      </w:r>
    </w:p>
  </w:endnote>
  <w:endnote w:type="continuationSeparator" w:id="0">
    <w:p w14:paraId="2F6E379D" w14:textId="77777777" w:rsidR="008055D4" w:rsidRDefault="008055D4" w:rsidP="00A55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80A151" w14:textId="77777777" w:rsidR="008055D4" w:rsidRDefault="008055D4" w:rsidP="00A55554">
      <w:r>
        <w:separator/>
      </w:r>
    </w:p>
  </w:footnote>
  <w:footnote w:type="continuationSeparator" w:id="0">
    <w:p w14:paraId="3C4E527F" w14:textId="77777777" w:rsidR="008055D4" w:rsidRDefault="008055D4" w:rsidP="00A555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737F9A" w14:textId="77777777" w:rsidR="00A55554" w:rsidRDefault="00A55554" w:rsidP="00A55554">
    <w:pPr>
      <w:pStyle w:val="Header"/>
      <w:jc w:val="center"/>
    </w:pPr>
    <w:r>
      <w:t>Student Name and Number: Karen Shepherd 1806377</w:t>
    </w:r>
  </w:p>
  <w:p w14:paraId="76F31DE5" w14:textId="77777777" w:rsidR="00A55554" w:rsidRDefault="00A55554" w:rsidP="00A55554">
    <w:pPr>
      <w:pStyle w:val="Header"/>
      <w:jc w:val="center"/>
    </w:pPr>
    <w:r>
      <w:t>Module Number: SJSS6004</w:t>
    </w:r>
  </w:p>
  <w:p w14:paraId="67CECA35" w14:textId="77777777" w:rsidR="00A55554" w:rsidRDefault="00A55554" w:rsidP="00A55554">
    <w:pPr>
      <w:pStyle w:val="Header"/>
      <w:jc w:val="center"/>
    </w:pPr>
    <w:r>
      <w:t>Assignment Number: 1</w:t>
    </w:r>
  </w:p>
  <w:p w14:paraId="03304260" w14:textId="77777777" w:rsidR="00A55554" w:rsidRDefault="00A55554">
    <w:pPr>
      <w:pStyle w:val="Header"/>
    </w:pPr>
  </w:p>
  <w:p w14:paraId="6D6F1EA9" w14:textId="77777777" w:rsidR="00A55554" w:rsidRDefault="00A5555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A3MjU3MjE1NLEwtTBS0lEKTi0uzszPAykwqwUAdOrbkCwAAAA="/>
  </w:docVars>
  <w:rsids>
    <w:rsidRoot w:val="00BF2AB8"/>
    <w:rsid w:val="0001244A"/>
    <w:rsid w:val="0003268A"/>
    <w:rsid w:val="00071666"/>
    <w:rsid w:val="001035BF"/>
    <w:rsid w:val="001076EE"/>
    <w:rsid w:val="00156527"/>
    <w:rsid w:val="001766BB"/>
    <w:rsid w:val="001928EE"/>
    <w:rsid w:val="001A7AB0"/>
    <w:rsid w:val="001F5CEB"/>
    <w:rsid w:val="001F738B"/>
    <w:rsid w:val="00242F2D"/>
    <w:rsid w:val="002A01AB"/>
    <w:rsid w:val="00323303"/>
    <w:rsid w:val="003648C1"/>
    <w:rsid w:val="003E14DC"/>
    <w:rsid w:val="00487C57"/>
    <w:rsid w:val="005047C5"/>
    <w:rsid w:val="005154C6"/>
    <w:rsid w:val="0055343C"/>
    <w:rsid w:val="005A669A"/>
    <w:rsid w:val="006907F7"/>
    <w:rsid w:val="0074128E"/>
    <w:rsid w:val="007A5998"/>
    <w:rsid w:val="007E3441"/>
    <w:rsid w:val="007E56CD"/>
    <w:rsid w:val="008055D4"/>
    <w:rsid w:val="00860C95"/>
    <w:rsid w:val="00877AAD"/>
    <w:rsid w:val="008F723A"/>
    <w:rsid w:val="00924B74"/>
    <w:rsid w:val="00931A87"/>
    <w:rsid w:val="00982F9E"/>
    <w:rsid w:val="009C21F4"/>
    <w:rsid w:val="009E58E2"/>
    <w:rsid w:val="009F173B"/>
    <w:rsid w:val="00A023DA"/>
    <w:rsid w:val="00A2173B"/>
    <w:rsid w:val="00A55554"/>
    <w:rsid w:val="00AB094E"/>
    <w:rsid w:val="00B06A38"/>
    <w:rsid w:val="00B71E29"/>
    <w:rsid w:val="00BD3942"/>
    <w:rsid w:val="00BF2AB8"/>
    <w:rsid w:val="00C1651D"/>
    <w:rsid w:val="00CA595A"/>
    <w:rsid w:val="00D527B4"/>
    <w:rsid w:val="00D560DE"/>
    <w:rsid w:val="00D64D8B"/>
    <w:rsid w:val="00E21050"/>
    <w:rsid w:val="00E231E8"/>
    <w:rsid w:val="00E460B9"/>
    <w:rsid w:val="00E6299F"/>
    <w:rsid w:val="00EA16EC"/>
    <w:rsid w:val="00F04A84"/>
    <w:rsid w:val="00FB2367"/>
    <w:rsid w:val="00FC62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68A3D"/>
  <w15:docId w15:val="{E33E8564-DE29-4C17-BEFB-1D9086056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b/>
      <w:bCs/>
      <w:kern w:val="36"/>
      <w:sz w:val="48"/>
      <w:szCs w:val="48"/>
    </w:rPr>
  </w:style>
  <w:style w:type="paragraph" w:styleId="Heading2">
    <w:name w:val="heading 2"/>
    <w:basedOn w:val="Normal"/>
    <w:next w:val="Normal"/>
    <w:qFormat/>
    <w:rsid w:val="00EF7B96"/>
    <w:pPr>
      <w:keepNext/>
      <w:spacing w:before="240" w:after="60"/>
      <w:outlineLvl w:val="1"/>
    </w:pPr>
    <w:rPr>
      <w:b/>
      <w:bCs/>
      <w:iCs/>
      <w:sz w:val="36"/>
      <w:szCs w:val="36"/>
    </w:rPr>
  </w:style>
  <w:style w:type="paragraph" w:styleId="Heading3">
    <w:name w:val="heading 3"/>
    <w:basedOn w:val="Normal"/>
    <w:next w:val="Normal"/>
    <w:qFormat/>
    <w:rsid w:val="00EF7B96"/>
    <w:pPr>
      <w:keepNext/>
      <w:spacing w:before="240" w:after="60"/>
      <w:outlineLvl w:val="2"/>
    </w:pPr>
    <w:rPr>
      <w:b/>
      <w:bCs/>
      <w:sz w:val="28"/>
      <w:szCs w:val="28"/>
    </w:rPr>
  </w:style>
  <w:style w:type="paragraph" w:styleId="Heading4">
    <w:name w:val="heading 4"/>
    <w:basedOn w:val="Normal"/>
    <w:next w:val="Normal"/>
    <w:qFormat/>
    <w:rsid w:val="00EF7B96"/>
    <w:pPr>
      <w:keepNext/>
      <w:spacing w:before="240" w:after="60"/>
      <w:outlineLvl w:val="3"/>
    </w:pPr>
    <w:rPr>
      <w:b/>
      <w:bCs/>
    </w:rPr>
  </w:style>
  <w:style w:type="paragraph" w:styleId="Heading5">
    <w:name w:val="heading 5"/>
    <w:basedOn w:val="Normal"/>
    <w:next w:val="Normal"/>
    <w:qFormat/>
    <w:rsid w:val="00EF7B96"/>
    <w:pPr>
      <w:spacing w:before="240" w:after="60"/>
      <w:outlineLvl w:val="4"/>
    </w:pPr>
    <w:rPr>
      <w:b/>
      <w:bCs/>
      <w:iCs/>
      <w:sz w:val="20"/>
      <w:szCs w:val="20"/>
    </w:rPr>
  </w:style>
  <w:style w:type="paragraph" w:styleId="Heading6">
    <w:name w:val="heading 6"/>
    <w:basedOn w:val="Normal"/>
    <w:next w:val="Normal"/>
    <w:qFormat/>
    <w:rsid w:val="00EF7B96"/>
    <w:pPr>
      <w:spacing w:before="240" w:after="60"/>
      <w:outlineLvl w:val="5"/>
    </w:pPr>
    <w:rPr>
      <w:b/>
      <w:bCs/>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35BF"/>
    <w:rPr>
      <w:color w:val="0563C1" w:themeColor="hyperlink"/>
      <w:u w:val="single"/>
    </w:rPr>
  </w:style>
  <w:style w:type="paragraph" w:styleId="Header">
    <w:name w:val="header"/>
    <w:basedOn w:val="Normal"/>
    <w:link w:val="HeaderChar"/>
    <w:uiPriority w:val="99"/>
    <w:unhideWhenUsed/>
    <w:rsid w:val="00A55554"/>
    <w:pPr>
      <w:tabs>
        <w:tab w:val="center" w:pos="4513"/>
        <w:tab w:val="right" w:pos="9026"/>
      </w:tabs>
    </w:pPr>
  </w:style>
  <w:style w:type="character" w:customStyle="1" w:styleId="HeaderChar">
    <w:name w:val="Header Char"/>
    <w:basedOn w:val="DefaultParagraphFont"/>
    <w:link w:val="Header"/>
    <w:uiPriority w:val="99"/>
    <w:rsid w:val="00A55554"/>
    <w:rPr>
      <w:sz w:val="24"/>
      <w:szCs w:val="24"/>
    </w:rPr>
  </w:style>
  <w:style w:type="paragraph" w:styleId="Footer">
    <w:name w:val="footer"/>
    <w:basedOn w:val="Normal"/>
    <w:link w:val="FooterChar"/>
    <w:uiPriority w:val="99"/>
    <w:unhideWhenUsed/>
    <w:rsid w:val="00A55554"/>
    <w:pPr>
      <w:tabs>
        <w:tab w:val="center" w:pos="4513"/>
        <w:tab w:val="right" w:pos="9026"/>
      </w:tabs>
    </w:pPr>
  </w:style>
  <w:style w:type="character" w:customStyle="1" w:styleId="FooterChar">
    <w:name w:val="Footer Char"/>
    <w:basedOn w:val="DefaultParagraphFont"/>
    <w:link w:val="Footer"/>
    <w:uiPriority w:val="99"/>
    <w:rsid w:val="00A5555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arehome.co.uk/advice/deprivation-of-liberty-safeguards-in-a-care-home" TargetMode="External"/><Relationship Id="rId18" Type="http://schemas.openxmlformats.org/officeDocument/2006/relationships/hyperlink" Target="https://www.dementiaconcern.co.uk/Pages/Category/case-studies" TargetMode="External"/><Relationship Id="rId26" Type="http://schemas.openxmlformats.org/officeDocument/2006/relationships/hyperlink" Target="https://healthinnovationnetwork.com/system/ckeditor_assets/attachments/41/what_is_person-centred_care_and_why_is_it_important.pdf" TargetMode="External"/><Relationship Id="rId39" Type="http://schemas.openxmlformats.org/officeDocument/2006/relationships/hyperlink" Target="https://qualitysafety.bmj.com/content/qhc/25/8/626.full.pdf" TargetMode="External"/><Relationship Id="rId3" Type="http://schemas.openxmlformats.org/officeDocument/2006/relationships/webSettings" Target="webSettings.xml"/><Relationship Id="rId21" Type="http://schemas.openxmlformats.org/officeDocument/2006/relationships/hyperlink" Target="https://www.disabilitywales.org/social-model/" TargetMode="External"/><Relationship Id="rId34" Type="http://schemas.openxmlformats.org/officeDocument/2006/relationships/hyperlink" Target="https://www.legislation.gov.uk/ukpga/2005/9/contents" TargetMode="External"/><Relationship Id="rId42" Type="http://schemas.openxmlformats.org/officeDocument/2006/relationships/hyperlink" Target="http://repository.essex.ac.uk/9714/1/participation-right-highest-attainable-standard-health.pdf" TargetMode="External"/><Relationship Id="rId47" Type="http://schemas.openxmlformats.org/officeDocument/2006/relationships/hyperlink" Target="https://www.thecareworkerscharity.org.uk/blog/dementia-care/" TargetMode="External"/><Relationship Id="rId50" Type="http://schemas.openxmlformats.org/officeDocument/2006/relationships/hyperlink" Target="https://www.sciencedirect.com/science/article/abs/pii/S0168851005001314?via%3Dihub" TargetMode="External"/><Relationship Id="rId7" Type="http://schemas.openxmlformats.org/officeDocument/2006/relationships/hyperlink" Target="https://www.alz.org/uk/dementia-alzheimers-uk.asp" TargetMode="External"/><Relationship Id="rId12" Type="http://schemas.openxmlformats.org/officeDocument/2006/relationships/hyperlink" Target="https://search-proquest-com.ezproxy.uwtsd.ac.uk/docview/887937959?accountid=130472&amp;rfr_id=info%3Axri%2Fsid%3Aprimo" TargetMode="External"/><Relationship Id="rId17" Type="http://schemas.openxmlformats.org/officeDocument/2006/relationships/hyperlink" Target="https://gov.wales/sites/default/files/publications/2019-04/dementia-action-plan-for-wales.pdf" TargetMode="External"/><Relationship Id="rId25" Type="http://schemas.openxmlformats.org/officeDocument/2006/relationships/hyperlink" Target="https://www.wales.nhs.uk/healthtopics/conditions/dementia" TargetMode="External"/><Relationship Id="rId33" Type="http://schemas.openxmlformats.org/officeDocument/2006/relationships/hyperlink" Target="https://www.researchgate.net/publication/236122927_Sport_psychology_consulting_with_athletes_with_disabilties" TargetMode="External"/><Relationship Id="rId38" Type="http://schemas.openxmlformats.org/officeDocument/2006/relationships/hyperlink" Target="https://www.researchgate.net/profile/Helen_Sanderson2/publication/237447666_A_positive_approach_to_risk_requires_person-centred_thinking/links/54b780ca0cf24eb34f6eacd8.pdf" TargetMode="External"/><Relationship Id="rId46" Type="http://schemas.openxmlformats.org/officeDocument/2006/relationships/hyperlink" Target="https://www.legislation.gov.uk/anaw/2014/4/contents" TargetMode="External"/><Relationship Id="rId2" Type="http://schemas.openxmlformats.org/officeDocument/2006/relationships/settings" Target="settings.xml"/><Relationship Id="rId16" Type="http://schemas.openxmlformats.org/officeDocument/2006/relationships/hyperlink" Target="http://oro.open.ac.uk/8589/1/Path_paper_Collins_Ison.pdf" TargetMode="External"/><Relationship Id="rId20" Type="http://schemas.openxmlformats.org/officeDocument/2006/relationships/hyperlink" Target="https://www.disabilityrightsuk.org/policy-campaigns" TargetMode="External"/><Relationship Id="rId29" Type="http://schemas.openxmlformats.org/officeDocument/2006/relationships/hyperlink" Target="https://journals.lww.com/academicmedicine/Fulltext/2009/06000/Beyond_Cultural_Competence__Critical.33.aspx" TargetMode="External"/><Relationship Id="rId41" Type="http://schemas.openxmlformats.org/officeDocument/2006/relationships/hyperlink" Target="https://r1.vlereader.com/Reader?ean=9782806265876"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ageuk.org.uk/globalassets/age-cymru/documents/golden-thread-advocacy-programme/programme-documents/commissioning-ipa-toolkit-english-oct-19.pdf" TargetMode="External"/><Relationship Id="rId11" Type="http://schemas.openxmlformats.org/officeDocument/2006/relationships/hyperlink" Target="https://doi.org/10.1186/s12877-017-0445-0" TargetMode="External"/><Relationship Id="rId24" Type="http://schemas.openxmlformats.org/officeDocument/2006/relationships/hyperlink" Target="https://link.springer.com/article/10.1007%2Fs40037-016-0324-y" TargetMode="External"/><Relationship Id="rId32" Type="http://schemas.openxmlformats.org/officeDocument/2006/relationships/hyperlink" Target="https://www.tandfonline.com/doi/full/10.1080/07481187.2017.1396398?scroll=top&amp;needAccess=true" TargetMode="External"/><Relationship Id="rId37" Type="http://schemas.openxmlformats.org/officeDocument/2006/relationships/hyperlink" Target="https://qualityadvocacy.org.uk/wp-content/uploads/2018/05/Advocacy-Charter-A3.pdf" TargetMode="External"/><Relationship Id="rId40" Type="http://schemas.openxmlformats.org/officeDocument/2006/relationships/hyperlink" Target="https://onlinelibrary.wiley.com/doi/full/10.1111/jocn.12039?casa_token=_Q-rTAY2izAAAAAA%3AmZEOyMnUiGgIktKbUKNPSfAipqzB8C3kt43OVkf-m3j8d17dKulQytaQO8T_HF4OqAfmebaBhwYUZb56nA" TargetMode="External"/><Relationship Id="rId45" Type="http://schemas.openxmlformats.org/officeDocument/2006/relationships/hyperlink" Target="https://www.scie.org.uk/mca/practice/care-planning/key-principles-in-care-planning" TargetMode="External"/><Relationship Id="rId53"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mariecurie.org.uk/globalassets/media/documents/policy/policy-publications/december-2014/dementia-report.pdf" TargetMode="External"/><Relationship Id="rId23" Type="http://schemas.openxmlformats.org/officeDocument/2006/relationships/hyperlink" Target="https://assets.publishing.service.gov.uk/government/uploads/system/uploads/attachment_data/file/138262/B3.-Factsheet-Greater-voice-for-patients-300512.pdf" TargetMode="External"/><Relationship Id="rId28" Type="http://schemas.openxmlformats.org/officeDocument/2006/relationships/hyperlink" Target="https://historyofsocialwork.org/eng/details.php?cps=23&amp;canon_id=157" TargetMode="External"/><Relationship Id="rId36" Type="http://schemas.openxmlformats.org/officeDocument/2006/relationships/hyperlink" Target="https://www.jrf.org.uk/sites/default/files/jrf/migrated/files/Positive-risk-taking-dementia-summary.pdf" TargetMode="External"/><Relationship Id="rId49" Type="http://schemas.openxmlformats.org/officeDocument/2006/relationships/hyperlink" Target="https://www.the-pca.org.uk/about/what-is-it.html" TargetMode="External"/><Relationship Id="rId10" Type="http://schemas.openxmlformats.org/officeDocument/2006/relationships/hyperlink" Target="https://web.b.ebscohost.com/ehost/pdfviewer/pdfviewer?vid=1&amp;sid=95e2612a-e400-4faa-976e-3cc378ef4ade%40pdc-v-sessmgr05" TargetMode="External"/><Relationship Id="rId19" Type="http://schemas.openxmlformats.org/officeDocument/2006/relationships/hyperlink" Target="https://www.devon.gov.uk/equality/communities/disability/medical-model" TargetMode="External"/><Relationship Id="rId31" Type="http://schemas.openxmlformats.org/officeDocument/2006/relationships/hyperlink" Target="https://www.mentalcapacitylawandpolicy.org.uk/wp-content/uploads/2020/09/200928_LPS-Factsheet-One_key-changes.pdf" TargetMode="External"/><Relationship Id="rId44" Type="http://schemas.openxmlformats.org/officeDocument/2006/relationships/hyperlink" Target="https://www.scie.org.uk/publications/guides/guide04/gs/10-3.asp" TargetMode="External"/><Relationship Id="rId52"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nursingtimes.net/roles/care-home-nurses/enhancing-wellbeing-of-residents-with-dementia-in-care-homes-27-11-2017/" TargetMode="External"/><Relationship Id="rId14" Type="http://schemas.openxmlformats.org/officeDocument/2006/relationships/hyperlink" Target="https://www.mariecurie.org.uk/globalassets/media/documents/policy/policy-publications/february-2015/living-and-dying-with-dementia-in-wales.pdf" TargetMode="External"/><Relationship Id="rId22" Type="http://schemas.openxmlformats.org/officeDocument/2006/relationships/hyperlink" Target="https://empowermentmattersweb.files.wordpress.com/2015/07/guidance-on-challenging-decisions-july-2015.pdf" TargetMode="External"/><Relationship Id="rId27" Type="http://schemas.openxmlformats.org/officeDocument/2006/relationships/hyperlink" Target="https://ojs.uwindsor.ca/index.php/csw/article/download/5712/4667?inline=1" TargetMode="External"/><Relationship Id="rId30" Type="http://schemas.openxmlformats.org/officeDocument/2006/relationships/hyperlink" Target="https://www.researchgate.net/publication/265265723_The_Process_of_Empowerment_Implications_for_Theory_and_Practice_The_Process_of_Empowerment_Implications_for_Theory_and_Practice_INTRODUCTION" TargetMode="External"/><Relationship Id="rId35" Type="http://schemas.openxmlformats.org/officeDocument/2006/relationships/hyperlink" Target="https://mhmwales.org.uk/our-services-1/advocacy-1/imca-1.html" TargetMode="External"/><Relationship Id="rId43" Type="http://schemas.openxmlformats.org/officeDocument/2006/relationships/hyperlink" Target="http://dx.doi.org/10.1037/hum0000168" TargetMode="External"/><Relationship Id="rId48" Type="http://schemas.openxmlformats.org/officeDocument/2006/relationships/hyperlink" Target="https://www.health.org.uk/publications/person-centred-care-made-simple" TargetMode="External"/><Relationship Id="rId8" Type="http://schemas.openxmlformats.org/officeDocument/2006/relationships/hyperlink" Target="https://www.alzheimers.org.uk/get-support/legal-financial/decision-making-and-mental-capacity" TargetMode="External"/><Relationship Id="rId51" Type="http://schemas.openxmlformats.org/officeDocument/2006/relationships/hyperlink" Target="https://www.alz.co.uk/research/WorldAlzheimerReport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6583</Words>
  <Characters>37524</Characters>
  <Application>Microsoft Office Word</Application>
  <DocSecurity>0</DocSecurity>
  <Lines>312</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Karen Shepherd (1806377)</dc:creator>
  <cp:lastModifiedBy>adminuser</cp:lastModifiedBy>
  <cp:revision>3</cp:revision>
  <dcterms:created xsi:type="dcterms:W3CDTF">2020-11-28T13:43:00Z</dcterms:created>
  <dcterms:modified xsi:type="dcterms:W3CDTF">2020-11-28T13:45:00Z</dcterms:modified>
</cp:coreProperties>
</file>