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D6B70" w14:textId="77777777" w:rsidR="00B37289" w:rsidRPr="001172CF" w:rsidRDefault="00B37289">
      <w:pPr>
        <w:spacing w:before="160"/>
      </w:pPr>
    </w:p>
    <w:p w14:paraId="299FA4E5" w14:textId="77777777" w:rsidR="00B37289" w:rsidRPr="0062034D" w:rsidRDefault="00E24395">
      <w:pPr>
        <w:pBdr>
          <w:top w:val="single" w:sz="12" w:space="8" w:color="1A5276"/>
          <w:bottom w:val="single" w:sz="12" w:space="8" w:color="1A5276"/>
        </w:pBdr>
        <w:jc w:val="center"/>
        <w:rPr>
          <w:sz w:val="44"/>
          <w:szCs w:val="44"/>
        </w:rPr>
      </w:pPr>
      <w:r w:rsidRPr="0062034D">
        <w:rPr>
          <w:b/>
          <w:bCs/>
          <w:color w:val="1A5276"/>
          <w:sz w:val="44"/>
          <w:szCs w:val="44"/>
        </w:rPr>
        <w:t>Research Methods and Professional Development</w:t>
      </w:r>
    </w:p>
    <w:p w14:paraId="6C85ACBF" w14:textId="77777777" w:rsidR="00B37289" w:rsidRPr="001172CF" w:rsidRDefault="00B37289">
      <w:pPr>
        <w:spacing w:before="60"/>
      </w:pPr>
    </w:p>
    <w:p w14:paraId="5F410722" w14:textId="6F8A2AAD" w:rsidR="00B37289" w:rsidRPr="0062034D" w:rsidRDefault="00E24395" w:rsidP="00E24395">
      <w:pPr>
        <w:spacing w:before="320"/>
        <w:jc w:val="center"/>
        <w:rPr>
          <w:i/>
          <w:iCs/>
          <w:color w:val="21618C"/>
          <w:sz w:val="28"/>
          <w:szCs w:val="28"/>
        </w:rPr>
      </w:pPr>
      <w:r w:rsidRPr="0062034D">
        <w:rPr>
          <w:i/>
          <w:iCs/>
          <w:color w:val="21618C"/>
          <w:sz w:val="28"/>
          <w:szCs w:val="28"/>
        </w:rPr>
        <w:t>Research Proposal – ACFA</w:t>
      </w:r>
      <w:r w:rsidR="000124E2" w:rsidRPr="0062034D">
        <w:rPr>
          <w:i/>
          <w:iCs/>
          <w:color w:val="21618C"/>
          <w:sz w:val="28"/>
          <w:szCs w:val="28"/>
        </w:rPr>
        <w:t>7</w:t>
      </w:r>
      <w:r w:rsidRPr="0062034D">
        <w:rPr>
          <w:i/>
          <w:iCs/>
          <w:color w:val="21618C"/>
          <w:sz w:val="28"/>
          <w:szCs w:val="28"/>
        </w:rPr>
        <w:t>004</w:t>
      </w:r>
    </w:p>
    <w:p w14:paraId="5CBB84FB" w14:textId="00F31AD4" w:rsidR="00E24395" w:rsidRPr="001172CF" w:rsidRDefault="00E24395" w:rsidP="00E24395">
      <w:pPr>
        <w:spacing w:before="320"/>
        <w:jc w:val="center"/>
      </w:pPr>
    </w:p>
    <w:p w14:paraId="20E98506" w14:textId="6C00C57C" w:rsidR="00800C97" w:rsidRPr="001172CF" w:rsidRDefault="0062034D" w:rsidP="00E24395">
      <w:pPr>
        <w:spacing w:before="320"/>
        <w:jc w:val="center"/>
      </w:pPr>
      <w:r w:rsidRPr="0062034D">
        <w:rPr>
          <w:noProof/>
        </w:rPr>
        <w:drawing>
          <wp:inline distT="0" distB="0" distL="0" distR="0" wp14:anchorId="74A51FF4" wp14:editId="7DC7C1DB">
            <wp:extent cx="4472940" cy="4600737"/>
            <wp:effectExtent l="0" t="0" r="3810" b="9525"/>
            <wp:docPr id="59614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4788" name=""/>
                    <pic:cNvPicPr/>
                  </pic:nvPicPr>
                  <pic:blipFill>
                    <a:blip r:embed="rId8"/>
                    <a:stretch>
                      <a:fillRect/>
                    </a:stretch>
                  </pic:blipFill>
                  <pic:spPr>
                    <a:xfrm>
                      <a:off x="0" y="0"/>
                      <a:ext cx="4478461" cy="4606416"/>
                    </a:xfrm>
                    <a:prstGeom prst="rect">
                      <a:avLst/>
                    </a:prstGeom>
                  </pic:spPr>
                </pic:pic>
              </a:graphicData>
            </a:graphic>
          </wp:inline>
        </w:drawing>
      </w:r>
    </w:p>
    <w:p w14:paraId="72088AA4" w14:textId="77777777" w:rsidR="00800C97" w:rsidRDefault="00800C97" w:rsidP="00E24395">
      <w:pPr>
        <w:spacing w:before="320"/>
        <w:jc w:val="center"/>
      </w:pPr>
    </w:p>
    <w:p w14:paraId="20810CE0" w14:textId="77777777" w:rsidR="0062034D" w:rsidRDefault="00E24395" w:rsidP="0062034D">
      <w:pPr>
        <w:spacing w:before="320"/>
        <w:jc w:val="right"/>
      </w:pPr>
      <w:r w:rsidRPr="001172CF">
        <w:t>Student Name: Sobia Tabassam</w:t>
      </w:r>
    </w:p>
    <w:p w14:paraId="2243A3C4" w14:textId="44698E33" w:rsidR="00E24395" w:rsidRPr="001172CF" w:rsidRDefault="00E24395" w:rsidP="0062034D">
      <w:pPr>
        <w:spacing w:before="320"/>
        <w:jc w:val="right"/>
      </w:pPr>
      <w:r w:rsidRPr="001172CF">
        <w:t>Student ID: 2222632</w:t>
      </w:r>
    </w:p>
    <w:p w14:paraId="17EE4DBA" w14:textId="77777777" w:rsidR="00800C97" w:rsidRPr="001172CF" w:rsidRDefault="00124654" w:rsidP="0062034D">
      <w:pPr>
        <w:spacing w:before="320"/>
        <w:jc w:val="right"/>
      </w:pPr>
      <w:r w:rsidRPr="001172CF">
        <w:t>Lecturer: Dr Aliyu Sambo</w:t>
      </w:r>
    </w:p>
    <w:p w14:paraId="2C28A2E7" w14:textId="2450B63F" w:rsidR="00E24395" w:rsidRPr="001172CF" w:rsidRDefault="00867C26" w:rsidP="0062034D">
      <w:pPr>
        <w:spacing w:before="320"/>
        <w:jc w:val="right"/>
      </w:pPr>
      <w:r>
        <w:t xml:space="preserve">Submission </w:t>
      </w:r>
      <w:r w:rsidR="00124654" w:rsidRPr="001172CF">
        <w:t>Date: 14-07-2026</w:t>
      </w:r>
    </w:p>
    <w:p w14:paraId="2DFE3297" w14:textId="71EF1C1C" w:rsidR="009A490D" w:rsidRDefault="008C4330" w:rsidP="0062034D">
      <w:pPr>
        <w:jc w:val="right"/>
      </w:pPr>
      <w:r w:rsidRPr="001172CF">
        <w:br w:type="page"/>
      </w:r>
    </w:p>
    <w:p w14:paraId="5D922719" w14:textId="07083E30" w:rsidR="009A490D" w:rsidRPr="009C2966" w:rsidRDefault="009A490D" w:rsidP="00631AE5">
      <w:pPr>
        <w:pStyle w:val="Heading1"/>
      </w:pPr>
      <w:bookmarkStart w:id="0" w:name="_Toc234710532"/>
      <w:r w:rsidRPr="009C2966">
        <w:lastRenderedPageBreak/>
        <w:t>Abstract</w:t>
      </w:r>
      <w:bookmarkEnd w:id="0"/>
    </w:p>
    <w:p w14:paraId="4AF2D5FA" w14:textId="77777777" w:rsidR="009A490D" w:rsidRPr="009A490D" w:rsidRDefault="009A490D" w:rsidP="009A490D">
      <w:pPr>
        <w:spacing w:line="360" w:lineRule="auto"/>
        <w:jc w:val="both"/>
      </w:pPr>
      <w:r w:rsidRPr="009A490D">
        <w:t>Trust in web applications has become a critical concern for UK adults who routinely share sensitive personal data across digital services ranging from online banking and healthcare to social media and e-commerce. Despite the introduction of the General Data Protection Regulation (GDPR) in 2018 and nearly three decades of research on technology acceptance and online trust, no UK-specific empirical model currently exists that identifies and ranks the factors most strongly associated with adult users' willingness to trust web applications with their personal data in the post-GDPR environment.</w:t>
      </w:r>
    </w:p>
    <w:p w14:paraId="6107C73D" w14:textId="77777777" w:rsidR="009A490D" w:rsidRPr="009A490D" w:rsidRDefault="009A490D" w:rsidP="009A490D">
      <w:pPr>
        <w:spacing w:line="360" w:lineRule="auto"/>
        <w:jc w:val="both"/>
      </w:pPr>
      <w:r w:rsidRPr="009A490D">
        <w:t xml:space="preserve">This study addresses that gap through a quantitative cross-sectional survey of 180–220 UK adults, examining trust across six web application sectors: banking, retail, NHS/healthcare, social media, government services, and entertainment streaming. The survey instrument draws on validated scales from McKnight et al. (2002), Corritore et al. (2003), Zieglmeier and </w:t>
      </w:r>
      <w:proofErr w:type="spellStart"/>
      <w:r w:rsidRPr="009A490D">
        <w:t>Lehene</w:t>
      </w:r>
      <w:proofErr w:type="spellEnd"/>
      <w:r w:rsidRPr="009A490D">
        <w:t xml:space="preserve"> (2021), and Prince et al. (2022) to measure 18 trust factors alongside GDPR awareness and overall trust scores per sector. Three hypotheses are tested using multiple regression (H1: security signals as the strongest predictors), Hayes' PROCESS macro moderation analysis (H2: GDPR awareness as a moderator of the Privacy Paradox), and one-way ANOVA with Tukey post-hoc comparisons (H3: significant trust variation across sectors).</w:t>
      </w:r>
    </w:p>
    <w:p w14:paraId="02734CD3" w14:textId="4079B2EF" w:rsidR="009A490D" w:rsidRPr="009A490D" w:rsidRDefault="009A490D" w:rsidP="009A490D">
      <w:pPr>
        <w:spacing w:line="360" w:lineRule="auto"/>
        <w:jc w:val="both"/>
      </w:pPr>
      <w:r w:rsidRPr="009A490D">
        <w:t>The proposed research is grounded in a post-positivist philosophical paradigm</w:t>
      </w:r>
      <w:r w:rsidR="00D84899">
        <w:t>. It is expected to produce a ranked trust-prediction model and empirical evidence on the Privacy Paradox in the UK post-GDPR context. A</w:t>
      </w:r>
      <w:r w:rsidRPr="009A490D">
        <w:t xml:space="preserve"> preliminary Trust-by-Design Framework providing evidence-based guidance for web developers, organisations, and policymakers. The study contributes to Information Systems research by re-examining established trust frameworks within a context where regulatory structural assurance is legally mandated rather than voluntarily provided</w:t>
      </w:r>
      <w:r w:rsidR="00937B8F">
        <w:t>,</w:t>
      </w:r>
      <w:r w:rsidRPr="009A490D">
        <w:t xml:space="preserve"> a condition no prior study has empirically investigated.</w:t>
      </w:r>
    </w:p>
    <w:p w14:paraId="1C56F014" w14:textId="2482592B" w:rsidR="009A490D" w:rsidRPr="009A490D" w:rsidRDefault="009A490D" w:rsidP="009A490D">
      <w:pPr>
        <w:spacing w:line="360" w:lineRule="auto"/>
        <w:jc w:val="both"/>
      </w:pPr>
    </w:p>
    <w:p w14:paraId="4E44F64D" w14:textId="77777777" w:rsidR="009A490D" w:rsidRPr="009A490D" w:rsidRDefault="009A490D" w:rsidP="009A490D">
      <w:pPr>
        <w:spacing w:line="360" w:lineRule="auto"/>
        <w:jc w:val="both"/>
      </w:pPr>
      <w:r w:rsidRPr="009A490D">
        <w:rPr>
          <w:b/>
          <w:bCs/>
        </w:rPr>
        <w:t>Keywords</w:t>
      </w:r>
    </w:p>
    <w:p w14:paraId="46A9B9F2" w14:textId="6E768FEB" w:rsidR="009A490D" w:rsidRPr="000F3D9F" w:rsidRDefault="002F5812" w:rsidP="009A490D">
      <w:pPr>
        <w:spacing w:line="360" w:lineRule="auto"/>
        <w:jc w:val="both"/>
        <w:rPr>
          <w:b/>
          <w:bCs/>
        </w:rPr>
      </w:pPr>
      <w:r w:rsidRPr="000F3D9F">
        <w:rPr>
          <w:b/>
          <w:bCs/>
        </w:rPr>
        <w:t>W</w:t>
      </w:r>
      <w:r w:rsidR="009A490D" w:rsidRPr="000F3D9F">
        <w:rPr>
          <w:b/>
          <w:bCs/>
        </w:rPr>
        <w:t xml:space="preserve">eb </w:t>
      </w:r>
      <w:r w:rsidRPr="000F3D9F">
        <w:rPr>
          <w:b/>
          <w:bCs/>
        </w:rPr>
        <w:t>A</w:t>
      </w:r>
      <w:r w:rsidR="009A490D" w:rsidRPr="000F3D9F">
        <w:rPr>
          <w:b/>
          <w:bCs/>
        </w:rPr>
        <w:t xml:space="preserve">pplication </w:t>
      </w:r>
      <w:r w:rsidRPr="000F3D9F">
        <w:rPr>
          <w:b/>
          <w:bCs/>
        </w:rPr>
        <w:t>T</w:t>
      </w:r>
      <w:r w:rsidR="009A490D" w:rsidRPr="000F3D9F">
        <w:rPr>
          <w:b/>
          <w:bCs/>
        </w:rPr>
        <w:t xml:space="preserve">rust, </w:t>
      </w:r>
      <w:r w:rsidRPr="000F3D9F">
        <w:rPr>
          <w:b/>
          <w:bCs/>
        </w:rPr>
        <w:t>P</w:t>
      </w:r>
      <w:r w:rsidR="009A490D" w:rsidRPr="000F3D9F">
        <w:rPr>
          <w:b/>
          <w:bCs/>
        </w:rPr>
        <w:t xml:space="preserve">ost-GDPR, UK </w:t>
      </w:r>
      <w:r w:rsidRPr="000F3D9F">
        <w:rPr>
          <w:b/>
          <w:bCs/>
        </w:rPr>
        <w:t>A</w:t>
      </w:r>
      <w:r w:rsidR="009A490D" w:rsidRPr="000F3D9F">
        <w:rPr>
          <w:b/>
          <w:bCs/>
        </w:rPr>
        <w:t xml:space="preserve">dults, Privacy Paradox, GDPR </w:t>
      </w:r>
      <w:r w:rsidRPr="000F3D9F">
        <w:rPr>
          <w:b/>
          <w:bCs/>
        </w:rPr>
        <w:t>A</w:t>
      </w:r>
      <w:r w:rsidR="009A490D" w:rsidRPr="000F3D9F">
        <w:rPr>
          <w:b/>
          <w:bCs/>
        </w:rPr>
        <w:t xml:space="preserve">wareness, </w:t>
      </w:r>
      <w:r w:rsidRPr="000F3D9F">
        <w:rPr>
          <w:b/>
          <w:bCs/>
        </w:rPr>
        <w:t>S</w:t>
      </w:r>
      <w:r w:rsidR="009A490D" w:rsidRPr="000F3D9F">
        <w:rPr>
          <w:b/>
          <w:bCs/>
        </w:rPr>
        <w:t xml:space="preserve">tructural </w:t>
      </w:r>
      <w:r w:rsidRPr="000F3D9F">
        <w:rPr>
          <w:b/>
          <w:bCs/>
        </w:rPr>
        <w:t>A</w:t>
      </w:r>
      <w:r w:rsidR="009A490D" w:rsidRPr="000F3D9F">
        <w:rPr>
          <w:b/>
          <w:bCs/>
        </w:rPr>
        <w:t xml:space="preserve">ssurance, </w:t>
      </w:r>
      <w:r w:rsidRPr="000F3D9F">
        <w:rPr>
          <w:b/>
          <w:bCs/>
        </w:rPr>
        <w:t>T</w:t>
      </w:r>
      <w:r w:rsidR="009A490D" w:rsidRPr="000F3D9F">
        <w:rPr>
          <w:b/>
          <w:bCs/>
        </w:rPr>
        <w:t xml:space="preserve">echnology </w:t>
      </w:r>
      <w:r w:rsidRPr="000F3D9F">
        <w:rPr>
          <w:b/>
          <w:bCs/>
        </w:rPr>
        <w:t>A</w:t>
      </w:r>
      <w:r w:rsidR="009A490D" w:rsidRPr="000F3D9F">
        <w:rPr>
          <w:b/>
          <w:bCs/>
        </w:rPr>
        <w:t xml:space="preserve">cceptance, </w:t>
      </w:r>
      <w:r w:rsidRPr="000F3D9F">
        <w:rPr>
          <w:b/>
          <w:bCs/>
        </w:rPr>
        <w:t>O</w:t>
      </w:r>
      <w:r w:rsidR="009A490D" w:rsidRPr="000F3D9F">
        <w:rPr>
          <w:b/>
          <w:bCs/>
        </w:rPr>
        <w:t xml:space="preserve">nline </w:t>
      </w:r>
      <w:r w:rsidRPr="000F3D9F">
        <w:rPr>
          <w:b/>
          <w:bCs/>
        </w:rPr>
        <w:t>T</w:t>
      </w:r>
      <w:r w:rsidR="009A490D" w:rsidRPr="000F3D9F">
        <w:rPr>
          <w:b/>
          <w:bCs/>
        </w:rPr>
        <w:t xml:space="preserve">rust, </w:t>
      </w:r>
      <w:r w:rsidRPr="000F3D9F">
        <w:rPr>
          <w:b/>
          <w:bCs/>
        </w:rPr>
        <w:t>T</w:t>
      </w:r>
      <w:r w:rsidR="009A490D" w:rsidRPr="000F3D9F">
        <w:rPr>
          <w:b/>
          <w:bCs/>
        </w:rPr>
        <w:t xml:space="preserve">rust </w:t>
      </w:r>
      <w:r w:rsidR="004B5830" w:rsidRPr="000F3D9F">
        <w:rPr>
          <w:b/>
          <w:bCs/>
        </w:rPr>
        <w:t>A</w:t>
      </w:r>
      <w:r w:rsidR="009A490D" w:rsidRPr="000F3D9F">
        <w:rPr>
          <w:b/>
          <w:bCs/>
        </w:rPr>
        <w:t xml:space="preserve">ctors, </w:t>
      </w:r>
      <w:r w:rsidR="004B5830" w:rsidRPr="000F3D9F">
        <w:rPr>
          <w:b/>
          <w:bCs/>
        </w:rPr>
        <w:t>Q</w:t>
      </w:r>
      <w:r w:rsidR="009A490D" w:rsidRPr="000F3D9F">
        <w:rPr>
          <w:b/>
          <w:bCs/>
        </w:rPr>
        <w:t xml:space="preserve">uantitative </w:t>
      </w:r>
      <w:r w:rsidR="004B5830" w:rsidRPr="000F3D9F">
        <w:rPr>
          <w:b/>
          <w:bCs/>
        </w:rPr>
        <w:t>S</w:t>
      </w:r>
      <w:r w:rsidR="009A490D" w:rsidRPr="000F3D9F">
        <w:rPr>
          <w:b/>
          <w:bCs/>
        </w:rPr>
        <w:t xml:space="preserve">urvey, </w:t>
      </w:r>
      <w:r w:rsidR="004B5830" w:rsidRPr="000F3D9F">
        <w:rPr>
          <w:b/>
          <w:bCs/>
        </w:rPr>
        <w:t>M</w:t>
      </w:r>
      <w:r w:rsidR="009A490D" w:rsidRPr="000F3D9F">
        <w:rPr>
          <w:b/>
          <w:bCs/>
        </w:rPr>
        <w:t xml:space="preserve">ultiple </w:t>
      </w:r>
      <w:r w:rsidR="004B5830" w:rsidRPr="000F3D9F">
        <w:rPr>
          <w:b/>
          <w:bCs/>
        </w:rPr>
        <w:t>R</w:t>
      </w:r>
      <w:r w:rsidR="009A490D" w:rsidRPr="000F3D9F">
        <w:rPr>
          <w:b/>
          <w:bCs/>
        </w:rPr>
        <w:t xml:space="preserve">egression, </w:t>
      </w:r>
      <w:r w:rsidR="004B5830" w:rsidRPr="000F3D9F">
        <w:rPr>
          <w:b/>
          <w:bCs/>
        </w:rPr>
        <w:t>M</w:t>
      </w:r>
      <w:r w:rsidR="009A490D" w:rsidRPr="000F3D9F">
        <w:rPr>
          <w:b/>
          <w:bCs/>
        </w:rPr>
        <w:t xml:space="preserve">oderation </w:t>
      </w:r>
      <w:r w:rsidR="004B5830" w:rsidRPr="000F3D9F">
        <w:rPr>
          <w:b/>
          <w:bCs/>
        </w:rPr>
        <w:t>A</w:t>
      </w:r>
      <w:r w:rsidR="009A490D" w:rsidRPr="000F3D9F">
        <w:rPr>
          <w:b/>
          <w:bCs/>
        </w:rPr>
        <w:t xml:space="preserve">nalysis, Trust-by-Design, </w:t>
      </w:r>
      <w:r w:rsidR="004B5830" w:rsidRPr="000F3D9F">
        <w:rPr>
          <w:b/>
          <w:bCs/>
        </w:rPr>
        <w:t>I</w:t>
      </w:r>
      <w:r w:rsidR="009A490D" w:rsidRPr="000F3D9F">
        <w:rPr>
          <w:b/>
          <w:bCs/>
        </w:rPr>
        <w:t xml:space="preserve">nformation </w:t>
      </w:r>
      <w:r w:rsidR="004B5830" w:rsidRPr="000F3D9F">
        <w:rPr>
          <w:b/>
          <w:bCs/>
        </w:rPr>
        <w:t>S</w:t>
      </w:r>
      <w:r w:rsidR="009A490D" w:rsidRPr="000F3D9F">
        <w:rPr>
          <w:b/>
          <w:bCs/>
        </w:rPr>
        <w:t xml:space="preserve">ystems, </w:t>
      </w:r>
      <w:r w:rsidR="004B5830" w:rsidRPr="000F3D9F">
        <w:rPr>
          <w:b/>
          <w:bCs/>
        </w:rPr>
        <w:t>C</w:t>
      </w:r>
      <w:r w:rsidR="009A490D" w:rsidRPr="000F3D9F">
        <w:rPr>
          <w:b/>
          <w:bCs/>
        </w:rPr>
        <w:t>ybersecurity, HCI.</w:t>
      </w:r>
    </w:p>
    <w:p w14:paraId="213EDD22" w14:textId="6BEC5D4E" w:rsidR="009A490D" w:rsidRPr="009A490D" w:rsidRDefault="009A490D" w:rsidP="009A490D">
      <w:r>
        <w:br w:type="page"/>
      </w:r>
    </w:p>
    <w:p w14:paraId="12DE36F5" w14:textId="77777777" w:rsidR="00B37289" w:rsidRPr="001172CF" w:rsidRDefault="00B37289" w:rsidP="0062034D">
      <w:pPr>
        <w:jc w:val="right"/>
      </w:pPr>
    </w:p>
    <w:bookmarkStart w:id="1" w:name="_Toc234710533" w:displacedByCustomXml="next"/>
    <w:sdt>
      <w:sdtPr>
        <w:rPr>
          <w:rFonts w:ascii="Times New Roman" w:eastAsia="Times New Roman" w:hAnsi="Times New Roman" w:cs="Times New Roman"/>
          <w:b w:val="0"/>
          <w:bCs w:val="0"/>
          <w:color w:val="auto"/>
          <w:sz w:val="24"/>
          <w:szCs w:val="24"/>
        </w:rPr>
        <w:id w:val="-420866727"/>
        <w:docPartObj>
          <w:docPartGallery w:val="Table of Contents"/>
          <w:docPartUnique/>
        </w:docPartObj>
      </w:sdtPr>
      <w:sdtEndPr/>
      <w:sdtContent>
        <w:p w14:paraId="29F32F3C" w14:textId="5A8E423C" w:rsidR="00E10073" w:rsidRPr="001172CF" w:rsidRDefault="000F3D9F" w:rsidP="009C2966">
          <w:pPr>
            <w:pStyle w:val="Heading1"/>
          </w:pPr>
          <w:r>
            <w:t xml:space="preserve">Table </w:t>
          </w:r>
          <w:r w:rsidR="009C2966">
            <w:t xml:space="preserve">of </w:t>
          </w:r>
          <w:r w:rsidR="00E10073" w:rsidRPr="001172CF">
            <w:t>Contents</w:t>
          </w:r>
          <w:bookmarkEnd w:id="1"/>
        </w:p>
        <w:p w14:paraId="62B6C844" w14:textId="702A599E" w:rsidR="00715787" w:rsidRDefault="00E10073">
          <w:pPr>
            <w:pStyle w:val="TOC1"/>
            <w:tabs>
              <w:tab w:val="right" w:leader="dot" w:pos="9628"/>
            </w:tabs>
            <w:rPr>
              <w:rFonts w:asciiTheme="minorHAnsi" w:eastAsiaTheme="minorEastAsia" w:hAnsiTheme="minorHAnsi" w:cstheme="minorBidi"/>
              <w:noProof/>
              <w:kern w:val="2"/>
              <w14:ligatures w14:val="standardContextual"/>
            </w:rPr>
          </w:pPr>
          <w:r w:rsidRPr="001172CF">
            <w:fldChar w:fldCharType="begin"/>
          </w:r>
          <w:r w:rsidRPr="001172CF">
            <w:instrText xml:space="preserve"> TOC \o "1-3" \h \z \u </w:instrText>
          </w:r>
          <w:r w:rsidRPr="001172CF">
            <w:fldChar w:fldCharType="separate"/>
          </w:r>
          <w:hyperlink w:anchor="_Toc234710532" w:history="1">
            <w:r w:rsidR="00715787" w:rsidRPr="005E6E3F">
              <w:rPr>
                <w:rStyle w:val="Hyperlink"/>
                <w:noProof/>
              </w:rPr>
              <w:t>Abstract</w:t>
            </w:r>
            <w:r w:rsidR="00715787">
              <w:rPr>
                <w:noProof/>
                <w:webHidden/>
              </w:rPr>
              <w:tab/>
            </w:r>
            <w:r w:rsidR="00715787">
              <w:rPr>
                <w:noProof/>
                <w:webHidden/>
              </w:rPr>
              <w:fldChar w:fldCharType="begin"/>
            </w:r>
            <w:r w:rsidR="00715787">
              <w:rPr>
                <w:noProof/>
                <w:webHidden/>
              </w:rPr>
              <w:instrText xml:space="preserve"> PAGEREF _Toc234710532 \h </w:instrText>
            </w:r>
            <w:r w:rsidR="00715787">
              <w:rPr>
                <w:noProof/>
                <w:webHidden/>
              </w:rPr>
            </w:r>
            <w:r w:rsidR="00715787">
              <w:rPr>
                <w:noProof/>
                <w:webHidden/>
              </w:rPr>
              <w:fldChar w:fldCharType="separate"/>
            </w:r>
            <w:r w:rsidR="00715787">
              <w:rPr>
                <w:noProof/>
                <w:webHidden/>
              </w:rPr>
              <w:t>2</w:t>
            </w:r>
            <w:r w:rsidR="00715787">
              <w:rPr>
                <w:noProof/>
                <w:webHidden/>
              </w:rPr>
              <w:fldChar w:fldCharType="end"/>
            </w:r>
          </w:hyperlink>
        </w:p>
        <w:p w14:paraId="192DB6E4" w14:textId="24C083A1"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33" w:history="1">
            <w:r w:rsidRPr="005E6E3F">
              <w:rPr>
                <w:rStyle w:val="Hyperlink"/>
                <w:noProof/>
              </w:rPr>
              <w:t>Table of Contents</w:t>
            </w:r>
            <w:r>
              <w:rPr>
                <w:noProof/>
                <w:webHidden/>
              </w:rPr>
              <w:tab/>
            </w:r>
            <w:r>
              <w:rPr>
                <w:noProof/>
                <w:webHidden/>
              </w:rPr>
              <w:fldChar w:fldCharType="begin"/>
            </w:r>
            <w:r>
              <w:rPr>
                <w:noProof/>
                <w:webHidden/>
              </w:rPr>
              <w:instrText xml:space="preserve"> PAGEREF _Toc234710533 \h </w:instrText>
            </w:r>
            <w:r>
              <w:rPr>
                <w:noProof/>
                <w:webHidden/>
              </w:rPr>
            </w:r>
            <w:r>
              <w:rPr>
                <w:noProof/>
                <w:webHidden/>
              </w:rPr>
              <w:fldChar w:fldCharType="separate"/>
            </w:r>
            <w:r>
              <w:rPr>
                <w:noProof/>
                <w:webHidden/>
              </w:rPr>
              <w:t>3</w:t>
            </w:r>
            <w:r>
              <w:rPr>
                <w:noProof/>
                <w:webHidden/>
              </w:rPr>
              <w:fldChar w:fldCharType="end"/>
            </w:r>
          </w:hyperlink>
        </w:p>
        <w:p w14:paraId="09CE08AC" w14:textId="2996E253"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34" w:history="1">
            <w:r w:rsidRPr="005E6E3F">
              <w:rPr>
                <w:rStyle w:val="Hyperlink"/>
                <w:noProof/>
              </w:rPr>
              <w:t>1.Introduction</w:t>
            </w:r>
            <w:r>
              <w:rPr>
                <w:noProof/>
                <w:webHidden/>
              </w:rPr>
              <w:tab/>
            </w:r>
            <w:r>
              <w:rPr>
                <w:noProof/>
                <w:webHidden/>
              </w:rPr>
              <w:fldChar w:fldCharType="begin"/>
            </w:r>
            <w:r>
              <w:rPr>
                <w:noProof/>
                <w:webHidden/>
              </w:rPr>
              <w:instrText xml:space="preserve"> PAGEREF _Toc234710534 \h </w:instrText>
            </w:r>
            <w:r>
              <w:rPr>
                <w:noProof/>
                <w:webHidden/>
              </w:rPr>
            </w:r>
            <w:r>
              <w:rPr>
                <w:noProof/>
                <w:webHidden/>
              </w:rPr>
              <w:fldChar w:fldCharType="separate"/>
            </w:r>
            <w:r>
              <w:rPr>
                <w:noProof/>
                <w:webHidden/>
              </w:rPr>
              <w:t>6</w:t>
            </w:r>
            <w:r>
              <w:rPr>
                <w:noProof/>
                <w:webHidden/>
              </w:rPr>
              <w:fldChar w:fldCharType="end"/>
            </w:r>
          </w:hyperlink>
        </w:p>
        <w:p w14:paraId="402F58AB" w14:textId="5B8A5B79"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35" w:history="1">
            <w:r w:rsidRPr="005E6E3F">
              <w:rPr>
                <w:rStyle w:val="Hyperlink"/>
                <w:noProof/>
              </w:rPr>
              <w:t>1.1 Context and Background</w:t>
            </w:r>
            <w:r>
              <w:rPr>
                <w:noProof/>
                <w:webHidden/>
              </w:rPr>
              <w:tab/>
            </w:r>
            <w:r>
              <w:rPr>
                <w:noProof/>
                <w:webHidden/>
              </w:rPr>
              <w:fldChar w:fldCharType="begin"/>
            </w:r>
            <w:r>
              <w:rPr>
                <w:noProof/>
                <w:webHidden/>
              </w:rPr>
              <w:instrText xml:space="preserve"> PAGEREF _Toc234710535 \h </w:instrText>
            </w:r>
            <w:r>
              <w:rPr>
                <w:noProof/>
                <w:webHidden/>
              </w:rPr>
            </w:r>
            <w:r>
              <w:rPr>
                <w:noProof/>
                <w:webHidden/>
              </w:rPr>
              <w:fldChar w:fldCharType="separate"/>
            </w:r>
            <w:r>
              <w:rPr>
                <w:noProof/>
                <w:webHidden/>
              </w:rPr>
              <w:t>7</w:t>
            </w:r>
            <w:r>
              <w:rPr>
                <w:noProof/>
                <w:webHidden/>
              </w:rPr>
              <w:fldChar w:fldCharType="end"/>
            </w:r>
          </w:hyperlink>
        </w:p>
        <w:p w14:paraId="73697C13" w14:textId="7C58F96B"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36" w:history="1">
            <w:r w:rsidRPr="005E6E3F">
              <w:rPr>
                <w:rStyle w:val="Hyperlink"/>
                <w:noProof/>
              </w:rPr>
              <w:t>1.2 Research Problem</w:t>
            </w:r>
            <w:r>
              <w:rPr>
                <w:noProof/>
                <w:webHidden/>
              </w:rPr>
              <w:tab/>
            </w:r>
            <w:r>
              <w:rPr>
                <w:noProof/>
                <w:webHidden/>
              </w:rPr>
              <w:fldChar w:fldCharType="begin"/>
            </w:r>
            <w:r>
              <w:rPr>
                <w:noProof/>
                <w:webHidden/>
              </w:rPr>
              <w:instrText xml:space="preserve"> PAGEREF _Toc234710536 \h </w:instrText>
            </w:r>
            <w:r>
              <w:rPr>
                <w:noProof/>
                <w:webHidden/>
              </w:rPr>
            </w:r>
            <w:r>
              <w:rPr>
                <w:noProof/>
                <w:webHidden/>
              </w:rPr>
              <w:fldChar w:fldCharType="separate"/>
            </w:r>
            <w:r>
              <w:rPr>
                <w:noProof/>
                <w:webHidden/>
              </w:rPr>
              <w:t>9</w:t>
            </w:r>
            <w:r>
              <w:rPr>
                <w:noProof/>
                <w:webHidden/>
              </w:rPr>
              <w:fldChar w:fldCharType="end"/>
            </w:r>
          </w:hyperlink>
        </w:p>
        <w:p w14:paraId="30C9CA95" w14:textId="5D744722"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37" w:history="1">
            <w:r w:rsidRPr="005E6E3F">
              <w:rPr>
                <w:rStyle w:val="Hyperlink"/>
                <w:noProof/>
              </w:rPr>
              <w:t>1.2.1 Problem Statement</w:t>
            </w:r>
            <w:r>
              <w:rPr>
                <w:noProof/>
                <w:webHidden/>
              </w:rPr>
              <w:tab/>
            </w:r>
            <w:r>
              <w:rPr>
                <w:noProof/>
                <w:webHidden/>
              </w:rPr>
              <w:fldChar w:fldCharType="begin"/>
            </w:r>
            <w:r>
              <w:rPr>
                <w:noProof/>
                <w:webHidden/>
              </w:rPr>
              <w:instrText xml:space="preserve"> PAGEREF _Toc234710537 \h </w:instrText>
            </w:r>
            <w:r>
              <w:rPr>
                <w:noProof/>
                <w:webHidden/>
              </w:rPr>
            </w:r>
            <w:r>
              <w:rPr>
                <w:noProof/>
                <w:webHidden/>
              </w:rPr>
              <w:fldChar w:fldCharType="separate"/>
            </w:r>
            <w:r>
              <w:rPr>
                <w:noProof/>
                <w:webHidden/>
              </w:rPr>
              <w:t>9</w:t>
            </w:r>
            <w:r>
              <w:rPr>
                <w:noProof/>
                <w:webHidden/>
              </w:rPr>
              <w:fldChar w:fldCharType="end"/>
            </w:r>
          </w:hyperlink>
        </w:p>
        <w:p w14:paraId="486D7C56" w14:textId="4D1648A5"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38" w:history="1">
            <w:r w:rsidRPr="005E6E3F">
              <w:rPr>
                <w:rStyle w:val="Hyperlink"/>
                <w:noProof/>
              </w:rPr>
              <w:t>1.2.2 Current Challenges</w:t>
            </w:r>
            <w:r>
              <w:rPr>
                <w:noProof/>
                <w:webHidden/>
              </w:rPr>
              <w:tab/>
            </w:r>
            <w:r>
              <w:rPr>
                <w:noProof/>
                <w:webHidden/>
              </w:rPr>
              <w:fldChar w:fldCharType="begin"/>
            </w:r>
            <w:r>
              <w:rPr>
                <w:noProof/>
                <w:webHidden/>
              </w:rPr>
              <w:instrText xml:space="preserve"> PAGEREF _Toc234710538 \h </w:instrText>
            </w:r>
            <w:r>
              <w:rPr>
                <w:noProof/>
                <w:webHidden/>
              </w:rPr>
            </w:r>
            <w:r>
              <w:rPr>
                <w:noProof/>
                <w:webHidden/>
              </w:rPr>
              <w:fldChar w:fldCharType="separate"/>
            </w:r>
            <w:r>
              <w:rPr>
                <w:noProof/>
                <w:webHidden/>
              </w:rPr>
              <w:t>9</w:t>
            </w:r>
            <w:r>
              <w:rPr>
                <w:noProof/>
                <w:webHidden/>
              </w:rPr>
              <w:fldChar w:fldCharType="end"/>
            </w:r>
          </w:hyperlink>
        </w:p>
        <w:p w14:paraId="2B47D0A7" w14:textId="3C4704F8"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39" w:history="1">
            <w:r w:rsidRPr="005E6E3F">
              <w:rPr>
                <w:rStyle w:val="Hyperlink"/>
                <w:noProof/>
              </w:rPr>
              <w:t>1.3 Research Aim and Objectives</w:t>
            </w:r>
            <w:r>
              <w:rPr>
                <w:noProof/>
                <w:webHidden/>
              </w:rPr>
              <w:tab/>
            </w:r>
            <w:r>
              <w:rPr>
                <w:noProof/>
                <w:webHidden/>
              </w:rPr>
              <w:fldChar w:fldCharType="begin"/>
            </w:r>
            <w:r>
              <w:rPr>
                <w:noProof/>
                <w:webHidden/>
              </w:rPr>
              <w:instrText xml:space="preserve"> PAGEREF _Toc234710539 \h </w:instrText>
            </w:r>
            <w:r>
              <w:rPr>
                <w:noProof/>
                <w:webHidden/>
              </w:rPr>
            </w:r>
            <w:r>
              <w:rPr>
                <w:noProof/>
                <w:webHidden/>
              </w:rPr>
              <w:fldChar w:fldCharType="separate"/>
            </w:r>
            <w:r>
              <w:rPr>
                <w:noProof/>
                <w:webHidden/>
              </w:rPr>
              <w:t>12</w:t>
            </w:r>
            <w:r>
              <w:rPr>
                <w:noProof/>
                <w:webHidden/>
              </w:rPr>
              <w:fldChar w:fldCharType="end"/>
            </w:r>
          </w:hyperlink>
        </w:p>
        <w:p w14:paraId="7D1C4F3C" w14:textId="2489F442"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40" w:history="1">
            <w:r w:rsidRPr="005E6E3F">
              <w:rPr>
                <w:rStyle w:val="Hyperlink"/>
                <w:noProof/>
              </w:rPr>
              <w:t>1.3.1 Aim</w:t>
            </w:r>
            <w:r>
              <w:rPr>
                <w:noProof/>
                <w:webHidden/>
              </w:rPr>
              <w:tab/>
            </w:r>
            <w:r>
              <w:rPr>
                <w:noProof/>
                <w:webHidden/>
              </w:rPr>
              <w:fldChar w:fldCharType="begin"/>
            </w:r>
            <w:r>
              <w:rPr>
                <w:noProof/>
                <w:webHidden/>
              </w:rPr>
              <w:instrText xml:space="preserve"> PAGEREF _Toc234710540 \h </w:instrText>
            </w:r>
            <w:r>
              <w:rPr>
                <w:noProof/>
                <w:webHidden/>
              </w:rPr>
            </w:r>
            <w:r>
              <w:rPr>
                <w:noProof/>
                <w:webHidden/>
              </w:rPr>
              <w:fldChar w:fldCharType="separate"/>
            </w:r>
            <w:r>
              <w:rPr>
                <w:noProof/>
                <w:webHidden/>
              </w:rPr>
              <w:t>12</w:t>
            </w:r>
            <w:r>
              <w:rPr>
                <w:noProof/>
                <w:webHidden/>
              </w:rPr>
              <w:fldChar w:fldCharType="end"/>
            </w:r>
          </w:hyperlink>
        </w:p>
        <w:p w14:paraId="4218B652" w14:textId="67562794"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41" w:history="1">
            <w:r w:rsidRPr="005E6E3F">
              <w:rPr>
                <w:rStyle w:val="Hyperlink"/>
                <w:noProof/>
              </w:rPr>
              <w:t>1.3.2 Objectives</w:t>
            </w:r>
            <w:r>
              <w:rPr>
                <w:noProof/>
                <w:webHidden/>
              </w:rPr>
              <w:tab/>
            </w:r>
            <w:r>
              <w:rPr>
                <w:noProof/>
                <w:webHidden/>
              </w:rPr>
              <w:fldChar w:fldCharType="begin"/>
            </w:r>
            <w:r>
              <w:rPr>
                <w:noProof/>
                <w:webHidden/>
              </w:rPr>
              <w:instrText xml:space="preserve"> PAGEREF _Toc234710541 \h </w:instrText>
            </w:r>
            <w:r>
              <w:rPr>
                <w:noProof/>
                <w:webHidden/>
              </w:rPr>
            </w:r>
            <w:r>
              <w:rPr>
                <w:noProof/>
                <w:webHidden/>
              </w:rPr>
              <w:fldChar w:fldCharType="separate"/>
            </w:r>
            <w:r>
              <w:rPr>
                <w:noProof/>
                <w:webHidden/>
              </w:rPr>
              <w:t>13</w:t>
            </w:r>
            <w:r>
              <w:rPr>
                <w:noProof/>
                <w:webHidden/>
              </w:rPr>
              <w:fldChar w:fldCharType="end"/>
            </w:r>
          </w:hyperlink>
        </w:p>
        <w:p w14:paraId="491735A4" w14:textId="04E081BD"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42" w:history="1">
            <w:r w:rsidRPr="005E6E3F">
              <w:rPr>
                <w:rStyle w:val="Hyperlink"/>
                <w:noProof/>
              </w:rPr>
              <w:t>1.4 Significance of the Research</w:t>
            </w:r>
            <w:r>
              <w:rPr>
                <w:noProof/>
                <w:webHidden/>
              </w:rPr>
              <w:tab/>
            </w:r>
            <w:r>
              <w:rPr>
                <w:noProof/>
                <w:webHidden/>
              </w:rPr>
              <w:fldChar w:fldCharType="begin"/>
            </w:r>
            <w:r>
              <w:rPr>
                <w:noProof/>
                <w:webHidden/>
              </w:rPr>
              <w:instrText xml:space="preserve"> PAGEREF _Toc234710542 \h </w:instrText>
            </w:r>
            <w:r>
              <w:rPr>
                <w:noProof/>
                <w:webHidden/>
              </w:rPr>
            </w:r>
            <w:r>
              <w:rPr>
                <w:noProof/>
                <w:webHidden/>
              </w:rPr>
              <w:fldChar w:fldCharType="separate"/>
            </w:r>
            <w:r>
              <w:rPr>
                <w:noProof/>
                <w:webHidden/>
              </w:rPr>
              <w:t>15</w:t>
            </w:r>
            <w:r>
              <w:rPr>
                <w:noProof/>
                <w:webHidden/>
              </w:rPr>
              <w:fldChar w:fldCharType="end"/>
            </w:r>
          </w:hyperlink>
        </w:p>
        <w:p w14:paraId="1A71A3DB" w14:textId="6009A249"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43" w:history="1">
            <w:r w:rsidRPr="005E6E3F">
              <w:rPr>
                <w:rStyle w:val="Hyperlink"/>
                <w:noProof/>
              </w:rPr>
              <w:t>1.4.1 Academic Significance</w:t>
            </w:r>
            <w:r>
              <w:rPr>
                <w:noProof/>
                <w:webHidden/>
              </w:rPr>
              <w:tab/>
            </w:r>
            <w:r>
              <w:rPr>
                <w:noProof/>
                <w:webHidden/>
              </w:rPr>
              <w:fldChar w:fldCharType="begin"/>
            </w:r>
            <w:r>
              <w:rPr>
                <w:noProof/>
                <w:webHidden/>
              </w:rPr>
              <w:instrText xml:space="preserve"> PAGEREF _Toc234710543 \h </w:instrText>
            </w:r>
            <w:r>
              <w:rPr>
                <w:noProof/>
                <w:webHidden/>
              </w:rPr>
            </w:r>
            <w:r>
              <w:rPr>
                <w:noProof/>
                <w:webHidden/>
              </w:rPr>
              <w:fldChar w:fldCharType="separate"/>
            </w:r>
            <w:r>
              <w:rPr>
                <w:noProof/>
                <w:webHidden/>
              </w:rPr>
              <w:t>15</w:t>
            </w:r>
            <w:r>
              <w:rPr>
                <w:noProof/>
                <w:webHidden/>
              </w:rPr>
              <w:fldChar w:fldCharType="end"/>
            </w:r>
          </w:hyperlink>
        </w:p>
        <w:p w14:paraId="14A7C2C8" w14:textId="5ECDD91B"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44" w:history="1">
            <w:r w:rsidRPr="005E6E3F">
              <w:rPr>
                <w:rStyle w:val="Hyperlink"/>
                <w:noProof/>
              </w:rPr>
              <w:t>1.4.2 Practical Significance</w:t>
            </w:r>
            <w:r>
              <w:rPr>
                <w:noProof/>
                <w:webHidden/>
              </w:rPr>
              <w:tab/>
            </w:r>
            <w:r>
              <w:rPr>
                <w:noProof/>
                <w:webHidden/>
              </w:rPr>
              <w:fldChar w:fldCharType="begin"/>
            </w:r>
            <w:r>
              <w:rPr>
                <w:noProof/>
                <w:webHidden/>
              </w:rPr>
              <w:instrText xml:space="preserve"> PAGEREF _Toc234710544 \h </w:instrText>
            </w:r>
            <w:r>
              <w:rPr>
                <w:noProof/>
                <w:webHidden/>
              </w:rPr>
            </w:r>
            <w:r>
              <w:rPr>
                <w:noProof/>
                <w:webHidden/>
              </w:rPr>
              <w:fldChar w:fldCharType="separate"/>
            </w:r>
            <w:r>
              <w:rPr>
                <w:noProof/>
                <w:webHidden/>
              </w:rPr>
              <w:t>16</w:t>
            </w:r>
            <w:r>
              <w:rPr>
                <w:noProof/>
                <w:webHidden/>
              </w:rPr>
              <w:fldChar w:fldCharType="end"/>
            </w:r>
          </w:hyperlink>
        </w:p>
        <w:p w14:paraId="02E82B4E" w14:textId="464893DE"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45" w:history="1">
            <w:r w:rsidRPr="005E6E3F">
              <w:rPr>
                <w:rStyle w:val="Hyperlink"/>
                <w:noProof/>
              </w:rPr>
              <w:t>2. Literature Review</w:t>
            </w:r>
            <w:r>
              <w:rPr>
                <w:noProof/>
                <w:webHidden/>
              </w:rPr>
              <w:tab/>
            </w:r>
            <w:r>
              <w:rPr>
                <w:noProof/>
                <w:webHidden/>
              </w:rPr>
              <w:fldChar w:fldCharType="begin"/>
            </w:r>
            <w:r>
              <w:rPr>
                <w:noProof/>
                <w:webHidden/>
              </w:rPr>
              <w:instrText xml:space="preserve"> PAGEREF _Toc234710545 \h </w:instrText>
            </w:r>
            <w:r>
              <w:rPr>
                <w:noProof/>
                <w:webHidden/>
              </w:rPr>
            </w:r>
            <w:r>
              <w:rPr>
                <w:noProof/>
                <w:webHidden/>
              </w:rPr>
              <w:fldChar w:fldCharType="separate"/>
            </w:r>
            <w:r>
              <w:rPr>
                <w:noProof/>
                <w:webHidden/>
              </w:rPr>
              <w:t>17</w:t>
            </w:r>
            <w:r>
              <w:rPr>
                <w:noProof/>
                <w:webHidden/>
              </w:rPr>
              <w:fldChar w:fldCharType="end"/>
            </w:r>
          </w:hyperlink>
        </w:p>
        <w:p w14:paraId="1FD20F1A" w14:textId="43FF1C46"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46" w:history="1">
            <w:r w:rsidRPr="005E6E3F">
              <w:rPr>
                <w:rStyle w:val="Hyperlink"/>
                <w:noProof/>
              </w:rPr>
              <w:t>2.1 Introduction to the Literature Review</w:t>
            </w:r>
            <w:r>
              <w:rPr>
                <w:noProof/>
                <w:webHidden/>
              </w:rPr>
              <w:tab/>
            </w:r>
            <w:r>
              <w:rPr>
                <w:noProof/>
                <w:webHidden/>
              </w:rPr>
              <w:fldChar w:fldCharType="begin"/>
            </w:r>
            <w:r>
              <w:rPr>
                <w:noProof/>
                <w:webHidden/>
              </w:rPr>
              <w:instrText xml:space="preserve"> PAGEREF _Toc234710546 \h </w:instrText>
            </w:r>
            <w:r>
              <w:rPr>
                <w:noProof/>
                <w:webHidden/>
              </w:rPr>
            </w:r>
            <w:r>
              <w:rPr>
                <w:noProof/>
                <w:webHidden/>
              </w:rPr>
              <w:fldChar w:fldCharType="separate"/>
            </w:r>
            <w:r>
              <w:rPr>
                <w:noProof/>
                <w:webHidden/>
              </w:rPr>
              <w:t>17</w:t>
            </w:r>
            <w:r>
              <w:rPr>
                <w:noProof/>
                <w:webHidden/>
              </w:rPr>
              <w:fldChar w:fldCharType="end"/>
            </w:r>
          </w:hyperlink>
        </w:p>
        <w:p w14:paraId="589A2207" w14:textId="057DE1E2"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47" w:history="1">
            <w:r w:rsidRPr="005E6E3F">
              <w:rPr>
                <w:rStyle w:val="Hyperlink"/>
                <w:noProof/>
              </w:rPr>
              <w:t>2.2 Critical Thematic Review of the Literature</w:t>
            </w:r>
            <w:r>
              <w:rPr>
                <w:noProof/>
                <w:webHidden/>
              </w:rPr>
              <w:tab/>
            </w:r>
            <w:r>
              <w:rPr>
                <w:noProof/>
                <w:webHidden/>
              </w:rPr>
              <w:fldChar w:fldCharType="begin"/>
            </w:r>
            <w:r>
              <w:rPr>
                <w:noProof/>
                <w:webHidden/>
              </w:rPr>
              <w:instrText xml:space="preserve"> PAGEREF _Toc234710547 \h </w:instrText>
            </w:r>
            <w:r>
              <w:rPr>
                <w:noProof/>
                <w:webHidden/>
              </w:rPr>
            </w:r>
            <w:r>
              <w:rPr>
                <w:noProof/>
                <w:webHidden/>
              </w:rPr>
              <w:fldChar w:fldCharType="separate"/>
            </w:r>
            <w:r>
              <w:rPr>
                <w:noProof/>
                <w:webHidden/>
              </w:rPr>
              <w:t>18</w:t>
            </w:r>
            <w:r>
              <w:rPr>
                <w:noProof/>
                <w:webHidden/>
              </w:rPr>
              <w:fldChar w:fldCharType="end"/>
            </w:r>
          </w:hyperlink>
        </w:p>
        <w:p w14:paraId="2C183F42" w14:textId="0485FE6C"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48" w:history="1">
            <w:r w:rsidRPr="005E6E3F">
              <w:rPr>
                <w:rStyle w:val="Hyperlink"/>
                <w:noProof/>
              </w:rPr>
              <w:t>2.3 Theoretical Frameworks</w:t>
            </w:r>
            <w:r>
              <w:rPr>
                <w:noProof/>
                <w:webHidden/>
              </w:rPr>
              <w:tab/>
            </w:r>
            <w:r>
              <w:rPr>
                <w:noProof/>
                <w:webHidden/>
              </w:rPr>
              <w:fldChar w:fldCharType="begin"/>
            </w:r>
            <w:r>
              <w:rPr>
                <w:noProof/>
                <w:webHidden/>
              </w:rPr>
              <w:instrText xml:space="preserve"> PAGEREF _Toc234710548 \h </w:instrText>
            </w:r>
            <w:r>
              <w:rPr>
                <w:noProof/>
                <w:webHidden/>
              </w:rPr>
            </w:r>
            <w:r>
              <w:rPr>
                <w:noProof/>
                <w:webHidden/>
              </w:rPr>
              <w:fldChar w:fldCharType="separate"/>
            </w:r>
            <w:r>
              <w:rPr>
                <w:noProof/>
                <w:webHidden/>
              </w:rPr>
              <w:t>21</w:t>
            </w:r>
            <w:r>
              <w:rPr>
                <w:noProof/>
                <w:webHidden/>
              </w:rPr>
              <w:fldChar w:fldCharType="end"/>
            </w:r>
          </w:hyperlink>
        </w:p>
        <w:p w14:paraId="393FA337" w14:textId="39292895"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49" w:history="1">
            <w:r w:rsidRPr="005E6E3F">
              <w:rPr>
                <w:rStyle w:val="Hyperlink"/>
                <w:noProof/>
              </w:rPr>
              <w:t>2.4 Research Gap</w:t>
            </w:r>
            <w:r>
              <w:rPr>
                <w:noProof/>
                <w:webHidden/>
              </w:rPr>
              <w:tab/>
            </w:r>
            <w:r>
              <w:rPr>
                <w:noProof/>
                <w:webHidden/>
              </w:rPr>
              <w:fldChar w:fldCharType="begin"/>
            </w:r>
            <w:r>
              <w:rPr>
                <w:noProof/>
                <w:webHidden/>
              </w:rPr>
              <w:instrText xml:space="preserve"> PAGEREF _Toc234710549 \h </w:instrText>
            </w:r>
            <w:r>
              <w:rPr>
                <w:noProof/>
                <w:webHidden/>
              </w:rPr>
            </w:r>
            <w:r>
              <w:rPr>
                <w:noProof/>
                <w:webHidden/>
              </w:rPr>
              <w:fldChar w:fldCharType="separate"/>
            </w:r>
            <w:r>
              <w:rPr>
                <w:noProof/>
                <w:webHidden/>
              </w:rPr>
              <w:t>21</w:t>
            </w:r>
            <w:r>
              <w:rPr>
                <w:noProof/>
                <w:webHidden/>
              </w:rPr>
              <w:fldChar w:fldCharType="end"/>
            </w:r>
          </w:hyperlink>
        </w:p>
        <w:p w14:paraId="59653F75" w14:textId="4D2EE95E"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50" w:history="1">
            <w:r w:rsidRPr="005E6E3F">
              <w:rPr>
                <w:rStyle w:val="Hyperlink"/>
                <w:noProof/>
              </w:rPr>
              <w:t>2.5 Literature Summary</w:t>
            </w:r>
            <w:r>
              <w:rPr>
                <w:noProof/>
                <w:webHidden/>
              </w:rPr>
              <w:tab/>
            </w:r>
            <w:r>
              <w:rPr>
                <w:noProof/>
                <w:webHidden/>
              </w:rPr>
              <w:fldChar w:fldCharType="begin"/>
            </w:r>
            <w:r>
              <w:rPr>
                <w:noProof/>
                <w:webHidden/>
              </w:rPr>
              <w:instrText xml:space="preserve"> PAGEREF _Toc234710550 \h </w:instrText>
            </w:r>
            <w:r>
              <w:rPr>
                <w:noProof/>
                <w:webHidden/>
              </w:rPr>
            </w:r>
            <w:r>
              <w:rPr>
                <w:noProof/>
                <w:webHidden/>
              </w:rPr>
              <w:fldChar w:fldCharType="separate"/>
            </w:r>
            <w:r>
              <w:rPr>
                <w:noProof/>
                <w:webHidden/>
              </w:rPr>
              <w:t>22</w:t>
            </w:r>
            <w:r>
              <w:rPr>
                <w:noProof/>
                <w:webHidden/>
              </w:rPr>
              <w:fldChar w:fldCharType="end"/>
            </w:r>
          </w:hyperlink>
        </w:p>
        <w:p w14:paraId="1C405A7A" w14:textId="059787DD"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51" w:history="1">
            <w:r w:rsidRPr="005E6E3F">
              <w:rPr>
                <w:rStyle w:val="Hyperlink"/>
                <w:noProof/>
              </w:rPr>
              <w:t>2.5.1 Connecting the Literature to the Methodology</w:t>
            </w:r>
            <w:r>
              <w:rPr>
                <w:noProof/>
                <w:webHidden/>
              </w:rPr>
              <w:tab/>
            </w:r>
            <w:r>
              <w:rPr>
                <w:noProof/>
                <w:webHidden/>
              </w:rPr>
              <w:fldChar w:fldCharType="begin"/>
            </w:r>
            <w:r>
              <w:rPr>
                <w:noProof/>
                <w:webHidden/>
              </w:rPr>
              <w:instrText xml:space="preserve"> PAGEREF _Toc234710551 \h </w:instrText>
            </w:r>
            <w:r>
              <w:rPr>
                <w:noProof/>
                <w:webHidden/>
              </w:rPr>
            </w:r>
            <w:r>
              <w:rPr>
                <w:noProof/>
                <w:webHidden/>
              </w:rPr>
              <w:fldChar w:fldCharType="separate"/>
            </w:r>
            <w:r>
              <w:rPr>
                <w:noProof/>
                <w:webHidden/>
              </w:rPr>
              <w:t>22</w:t>
            </w:r>
            <w:r>
              <w:rPr>
                <w:noProof/>
                <w:webHidden/>
              </w:rPr>
              <w:fldChar w:fldCharType="end"/>
            </w:r>
          </w:hyperlink>
        </w:p>
        <w:p w14:paraId="6BDBAE2B" w14:textId="42AFBF91"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52" w:history="1">
            <w:r w:rsidRPr="005E6E3F">
              <w:rPr>
                <w:rStyle w:val="Hyperlink"/>
                <w:noProof/>
              </w:rPr>
              <w:t>2.6 Hypothesis Development</w:t>
            </w:r>
            <w:r>
              <w:rPr>
                <w:noProof/>
                <w:webHidden/>
              </w:rPr>
              <w:tab/>
            </w:r>
            <w:r>
              <w:rPr>
                <w:noProof/>
                <w:webHidden/>
              </w:rPr>
              <w:fldChar w:fldCharType="begin"/>
            </w:r>
            <w:r>
              <w:rPr>
                <w:noProof/>
                <w:webHidden/>
              </w:rPr>
              <w:instrText xml:space="preserve"> PAGEREF _Toc234710552 \h </w:instrText>
            </w:r>
            <w:r>
              <w:rPr>
                <w:noProof/>
                <w:webHidden/>
              </w:rPr>
            </w:r>
            <w:r>
              <w:rPr>
                <w:noProof/>
                <w:webHidden/>
              </w:rPr>
              <w:fldChar w:fldCharType="separate"/>
            </w:r>
            <w:r>
              <w:rPr>
                <w:noProof/>
                <w:webHidden/>
              </w:rPr>
              <w:t>23</w:t>
            </w:r>
            <w:r>
              <w:rPr>
                <w:noProof/>
                <w:webHidden/>
              </w:rPr>
              <w:fldChar w:fldCharType="end"/>
            </w:r>
          </w:hyperlink>
        </w:p>
        <w:p w14:paraId="65B59C22" w14:textId="32D3F537"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53" w:history="1">
            <w:r w:rsidRPr="005E6E3F">
              <w:rPr>
                <w:rStyle w:val="Hyperlink"/>
                <w:noProof/>
              </w:rPr>
              <w:t>3. Research Design and Methodology</w:t>
            </w:r>
            <w:r>
              <w:rPr>
                <w:noProof/>
                <w:webHidden/>
              </w:rPr>
              <w:tab/>
            </w:r>
            <w:r>
              <w:rPr>
                <w:noProof/>
                <w:webHidden/>
              </w:rPr>
              <w:fldChar w:fldCharType="begin"/>
            </w:r>
            <w:r>
              <w:rPr>
                <w:noProof/>
                <w:webHidden/>
              </w:rPr>
              <w:instrText xml:space="preserve"> PAGEREF _Toc234710553 \h </w:instrText>
            </w:r>
            <w:r>
              <w:rPr>
                <w:noProof/>
                <w:webHidden/>
              </w:rPr>
            </w:r>
            <w:r>
              <w:rPr>
                <w:noProof/>
                <w:webHidden/>
              </w:rPr>
              <w:fldChar w:fldCharType="separate"/>
            </w:r>
            <w:r>
              <w:rPr>
                <w:noProof/>
                <w:webHidden/>
              </w:rPr>
              <w:t>26</w:t>
            </w:r>
            <w:r>
              <w:rPr>
                <w:noProof/>
                <w:webHidden/>
              </w:rPr>
              <w:fldChar w:fldCharType="end"/>
            </w:r>
          </w:hyperlink>
        </w:p>
        <w:p w14:paraId="0333AF94" w14:textId="42E7FDD3"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54" w:history="1">
            <w:r w:rsidRPr="005E6E3F">
              <w:rPr>
                <w:rStyle w:val="Hyperlink"/>
                <w:noProof/>
              </w:rPr>
              <w:t>3.1 Research Design</w:t>
            </w:r>
            <w:r>
              <w:rPr>
                <w:noProof/>
                <w:webHidden/>
              </w:rPr>
              <w:tab/>
            </w:r>
            <w:r>
              <w:rPr>
                <w:noProof/>
                <w:webHidden/>
              </w:rPr>
              <w:fldChar w:fldCharType="begin"/>
            </w:r>
            <w:r>
              <w:rPr>
                <w:noProof/>
                <w:webHidden/>
              </w:rPr>
              <w:instrText xml:space="preserve"> PAGEREF _Toc234710554 \h </w:instrText>
            </w:r>
            <w:r>
              <w:rPr>
                <w:noProof/>
                <w:webHidden/>
              </w:rPr>
            </w:r>
            <w:r>
              <w:rPr>
                <w:noProof/>
                <w:webHidden/>
              </w:rPr>
              <w:fldChar w:fldCharType="separate"/>
            </w:r>
            <w:r>
              <w:rPr>
                <w:noProof/>
                <w:webHidden/>
              </w:rPr>
              <w:t>26</w:t>
            </w:r>
            <w:r>
              <w:rPr>
                <w:noProof/>
                <w:webHidden/>
              </w:rPr>
              <w:fldChar w:fldCharType="end"/>
            </w:r>
          </w:hyperlink>
        </w:p>
        <w:p w14:paraId="70E37177" w14:textId="2270CE31"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55" w:history="1">
            <w:r w:rsidRPr="005E6E3F">
              <w:rPr>
                <w:rStyle w:val="Hyperlink"/>
                <w:noProof/>
              </w:rPr>
              <w:t>3.2 Research Methods and Materials</w:t>
            </w:r>
            <w:r>
              <w:rPr>
                <w:noProof/>
                <w:webHidden/>
              </w:rPr>
              <w:tab/>
            </w:r>
            <w:r>
              <w:rPr>
                <w:noProof/>
                <w:webHidden/>
              </w:rPr>
              <w:fldChar w:fldCharType="begin"/>
            </w:r>
            <w:r>
              <w:rPr>
                <w:noProof/>
                <w:webHidden/>
              </w:rPr>
              <w:instrText xml:space="preserve"> PAGEREF _Toc234710555 \h </w:instrText>
            </w:r>
            <w:r>
              <w:rPr>
                <w:noProof/>
                <w:webHidden/>
              </w:rPr>
            </w:r>
            <w:r>
              <w:rPr>
                <w:noProof/>
                <w:webHidden/>
              </w:rPr>
              <w:fldChar w:fldCharType="separate"/>
            </w:r>
            <w:r>
              <w:rPr>
                <w:noProof/>
                <w:webHidden/>
              </w:rPr>
              <w:t>28</w:t>
            </w:r>
            <w:r>
              <w:rPr>
                <w:noProof/>
                <w:webHidden/>
              </w:rPr>
              <w:fldChar w:fldCharType="end"/>
            </w:r>
          </w:hyperlink>
        </w:p>
        <w:p w14:paraId="6084E4FB" w14:textId="73A8846C"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56" w:history="1">
            <w:r w:rsidRPr="005E6E3F">
              <w:rPr>
                <w:rStyle w:val="Hyperlink"/>
                <w:noProof/>
              </w:rPr>
              <w:t>3.2.1 Research Method: Quantitative Survey</w:t>
            </w:r>
            <w:r>
              <w:rPr>
                <w:noProof/>
                <w:webHidden/>
              </w:rPr>
              <w:tab/>
            </w:r>
            <w:r>
              <w:rPr>
                <w:noProof/>
                <w:webHidden/>
              </w:rPr>
              <w:fldChar w:fldCharType="begin"/>
            </w:r>
            <w:r>
              <w:rPr>
                <w:noProof/>
                <w:webHidden/>
              </w:rPr>
              <w:instrText xml:space="preserve"> PAGEREF _Toc234710556 \h </w:instrText>
            </w:r>
            <w:r>
              <w:rPr>
                <w:noProof/>
                <w:webHidden/>
              </w:rPr>
            </w:r>
            <w:r>
              <w:rPr>
                <w:noProof/>
                <w:webHidden/>
              </w:rPr>
              <w:fldChar w:fldCharType="separate"/>
            </w:r>
            <w:r>
              <w:rPr>
                <w:noProof/>
                <w:webHidden/>
              </w:rPr>
              <w:t>28</w:t>
            </w:r>
            <w:r>
              <w:rPr>
                <w:noProof/>
                <w:webHidden/>
              </w:rPr>
              <w:fldChar w:fldCharType="end"/>
            </w:r>
          </w:hyperlink>
        </w:p>
        <w:p w14:paraId="6551609A" w14:textId="7CFFA23E"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57" w:history="1">
            <w:r w:rsidRPr="005E6E3F">
              <w:rPr>
                <w:rStyle w:val="Hyperlink"/>
                <w:noProof/>
              </w:rPr>
              <w:t>3.2.2 Sampling and Recruitment</w:t>
            </w:r>
            <w:r>
              <w:rPr>
                <w:noProof/>
                <w:webHidden/>
              </w:rPr>
              <w:tab/>
            </w:r>
            <w:r>
              <w:rPr>
                <w:noProof/>
                <w:webHidden/>
              </w:rPr>
              <w:fldChar w:fldCharType="begin"/>
            </w:r>
            <w:r>
              <w:rPr>
                <w:noProof/>
                <w:webHidden/>
              </w:rPr>
              <w:instrText xml:space="preserve"> PAGEREF _Toc234710557 \h </w:instrText>
            </w:r>
            <w:r>
              <w:rPr>
                <w:noProof/>
                <w:webHidden/>
              </w:rPr>
            </w:r>
            <w:r>
              <w:rPr>
                <w:noProof/>
                <w:webHidden/>
              </w:rPr>
              <w:fldChar w:fldCharType="separate"/>
            </w:r>
            <w:r>
              <w:rPr>
                <w:noProof/>
                <w:webHidden/>
              </w:rPr>
              <w:t>30</w:t>
            </w:r>
            <w:r>
              <w:rPr>
                <w:noProof/>
                <w:webHidden/>
              </w:rPr>
              <w:fldChar w:fldCharType="end"/>
            </w:r>
          </w:hyperlink>
        </w:p>
        <w:p w14:paraId="7DF3D19A" w14:textId="7F541C51"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58" w:history="1">
            <w:r w:rsidRPr="005E6E3F">
              <w:rPr>
                <w:rStyle w:val="Hyperlink"/>
                <w:noProof/>
              </w:rPr>
              <w:t>3.2.3 Data Analysis Methods</w:t>
            </w:r>
            <w:r>
              <w:rPr>
                <w:noProof/>
                <w:webHidden/>
              </w:rPr>
              <w:tab/>
            </w:r>
            <w:r>
              <w:rPr>
                <w:noProof/>
                <w:webHidden/>
              </w:rPr>
              <w:fldChar w:fldCharType="begin"/>
            </w:r>
            <w:r>
              <w:rPr>
                <w:noProof/>
                <w:webHidden/>
              </w:rPr>
              <w:instrText xml:space="preserve"> PAGEREF _Toc234710558 \h </w:instrText>
            </w:r>
            <w:r>
              <w:rPr>
                <w:noProof/>
                <w:webHidden/>
              </w:rPr>
            </w:r>
            <w:r>
              <w:rPr>
                <w:noProof/>
                <w:webHidden/>
              </w:rPr>
              <w:fldChar w:fldCharType="separate"/>
            </w:r>
            <w:r>
              <w:rPr>
                <w:noProof/>
                <w:webHidden/>
              </w:rPr>
              <w:t>30</w:t>
            </w:r>
            <w:r>
              <w:rPr>
                <w:noProof/>
                <w:webHidden/>
              </w:rPr>
              <w:fldChar w:fldCharType="end"/>
            </w:r>
          </w:hyperlink>
        </w:p>
        <w:p w14:paraId="0DBD0319" w14:textId="21C1C12C"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59" w:history="1">
            <w:r w:rsidRPr="005E6E3F">
              <w:rPr>
                <w:rStyle w:val="Hyperlink"/>
                <w:noProof/>
              </w:rPr>
              <w:t>3.2.4 Research Materials</w:t>
            </w:r>
            <w:r>
              <w:rPr>
                <w:noProof/>
                <w:webHidden/>
              </w:rPr>
              <w:tab/>
            </w:r>
            <w:r>
              <w:rPr>
                <w:noProof/>
                <w:webHidden/>
              </w:rPr>
              <w:fldChar w:fldCharType="begin"/>
            </w:r>
            <w:r>
              <w:rPr>
                <w:noProof/>
                <w:webHidden/>
              </w:rPr>
              <w:instrText xml:space="preserve"> PAGEREF _Toc234710559 \h </w:instrText>
            </w:r>
            <w:r>
              <w:rPr>
                <w:noProof/>
                <w:webHidden/>
              </w:rPr>
            </w:r>
            <w:r>
              <w:rPr>
                <w:noProof/>
                <w:webHidden/>
              </w:rPr>
              <w:fldChar w:fldCharType="separate"/>
            </w:r>
            <w:r>
              <w:rPr>
                <w:noProof/>
                <w:webHidden/>
              </w:rPr>
              <w:t>32</w:t>
            </w:r>
            <w:r>
              <w:rPr>
                <w:noProof/>
                <w:webHidden/>
              </w:rPr>
              <w:fldChar w:fldCharType="end"/>
            </w:r>
          </w:hyperlink>
        </w:p>
        <w:p w14:paraId="272C9D31" w14:textId="5C054FD6"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0" w:history="1">
            <w:r w:rsidRPr="005E6E3F">
              <w:rPr>
                <w:rStyle w:val="Hyperlink"/>
                <w:noProof/>
              </w:rPr>
              <w:t>3.2.5 Ethical Considerations</w:t>
            </w:r>
            <w:r>
              <w:rPr>
                <w:noProof/>
                <w:webHidden/>
              </w:rPr>
              <w:tab/>
            </w:r>
            <w:r>
              <w:rPr>
                <w:noProof/>
                <w:webHidden/>
              </w:rPr>
              <w:fldChar w:fldCharType="begin"/>
            </w:r>
            <w:r>
              <w:rPr>
                <w:noProof/>
                <w:webHidden/>
              </w:rPr>
              <w:instrText xml:space="preserve"> PAGEREF _Toc234710560 \h </w:instrText>
            </w:r>
            <w:r>
              <w:rPr>
                <w:noProof/>
                <w:webHidden/>
              </w:rPr>
            </w:r>
            <w:r>
              <w:rPr>
                <w:noProof/>
                <w:webHidden/>
              </w:rPr>
              <w:fldChar w:fldCharType="separate"/>
            </w:r>
            <w:r>
              <w:rPr>
                <w:noProof/>
                <w:webHidden/>
              </w:rPr>
              <w:t>32</w:t>
            </w:r>
            <w:r>
              <w:rPr>
                <w:noProof/>
                <w:webHidden/>
              </w:rPr>
              <w:fldChar w:fldCharType="end"/>
            </w:r>
          </w:hyperlink>
        </w:p>
        <w:p w14:paraId="759722BC" w14:textId="44894CA2"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1" w:history="1">
            <w:r w:rsidRPr="005E6E3F">
              <w:rPr>
                <w:rStyle w:val="Hyperlink"/>
                <w:noProof/>
              </w:rPr>
              <w:t>3.2.6 Reliability and Validity</w:t>
            </w:r>
            <w:r>
              <w:rPr>
                <w:noProof/>
                <w:webHidden/>
              </w:rPr>
              <w:tab/>
            </w:r>
            <w:r>
              <w:rPr>
                <w:noProof/>
                <w:webHidden/>
              </w:rPr>
              <w:fldChar w:fldCharType="begin"/>
            </w:r>
            <w:r>
              <w:rPr>
                <w:noProof/>
                <w:webHidden/>
              </w:rPr>
              <w:instrText xml:space="preserve"> PAGEREF _Toc234710561 \h </w:instrText>
            </w:r>
            <w:r>
              <w:rPr>
                <w:noProof/>
                <w:webHidden/>
              </w:rPr>
            </w:r>
            <w:r>
              <w:rPr>
                <w:noProof/>
                <w:webHidden/>
              </w:rPr>
              <w:fldChar w:fldCharType="separate"/>
            </w:r>
            <w:r>
              <w:rPr>
                <w:noProof/>
                <w:webHidden/>
              </w:rPr>
              <w:t>33</w:t>
            </w:r>
            <w:r>
              <w:rPr>
                <w:noProof/>
                <w:webHidden/>
              </w:rPr>
              <w:fldChar w:fldCharType="end"/>
            </w:r>
          </w:hyperlink>
        </w:p>
        <w:p w14:paraId="421C8081" w14:textId="5BDF3D60"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2" w:history="1">
            <w:r w:rsidRPr="005E6E3F">
              <w:rPr>
                <w:rStyle w:val="Hyperlink"/>
                <w:noProof/>
              </w:rPr>
              <w:t>3.2.7 Research Limitations</w:t>
            </w:r>
            <w:r>
              <w:rPr>
                <w:noProof/>
                <w:webHidden/>
              </w:rPr>
              <w:tab/>
            </w:r>
            <w:r>
              <w:rPr>
                <w:noProof/>
                <w:webHidden/>
              </w:rPr>
              <w:fldChar w:fldCharType="begin"/>
            </w:r>
            <w:r>
              <w:rPr>
                <w:noProof/>
                <w:webHidden/>
              </w:rPr>
              <w:instrText xml:space="preserve"> PAGEREF _Toc234710562 \h </w:instrText>
            </w:r>
            <w:r>
              <w:rPr>
                <w:noProof/>
                <w:webHidden/>
              </w:rPr>
            </w:r>
            <w:r>
              <w:rPr>
                <w:noProof/>
                <w:webHidden/>
              </w:rPr>
              <w:fldChar w:fldCharType="separate"/>
            </w:r>
            <w:r>
              <w:rPr>
                <w:noProof/>
                <w:webHidden/>
              </w:rPr>
              <w:t>34</w:t>
            </w:r>
            <w:r>
              <w:rPr>
                <w:noProof/>
                <w:webHidden/>
              </w:rPr>
              <w:fldChar w:fldCharType="end"/>
            </w:r>
          </w:hyperlink>
        </w:p>
        <w:p w14:paraId="5A7AB897" w14:textId="77332D65"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63" w:history="1">
            <w:r w:rsidRPr="005E6E3F">
              <w:rPr>
                <w:rStyle w:val="Hyperlink"/>
                <w:noProof/>
              </w:rPr>
              <w:t>4. Expected Outcomes</w:t>
            </w:r>
            <w:r>
              <w:rPr>
                <w:noProof/>
                <w:webHidden/>
              </w:rPr>
              <w:tab/>
            </w:r>
            <w:r>
              <w:rPr>
                <w:noProof/>
                <w:webHidden/>
              </w:rPr>
              <w:fldChar w:fldCharType="begin"/>
            </w:r>
            <w:r>
              <w:rPr>
                <w:noProof/>
                <w:webHidden/>
              </w:rPr>
              <w:instrText xml:space="preserve"> PAGEREF _Toc234710563 \h </w:instrText>
            </w:r>
            <w:r>
              <w:rPr>
                <w:noProof/>
                <w:webHidden/>
              </w:rPr>
            </w:r>
            <w:r>
              <w:rPr>
                <w:noProof/>
                <w:webHidden/>
              </w:rPr>
              <w:fldChar w:fldCharType="separate"/>
            </w:r>
            <w:r>
              <w:rPr>
                <w:noProof/>
                <w:webHidden/>
              </w:rPr>
              <w:t>35</w:t>
            </w:r>
            <w:r>
              <w:rPr>
                <w:noProof/>
                <w:webHidden/>
              </w:rPr>
              <w:fldChar w:fldCharType="end"/>
            </w:r>
          </w:hyperlink>
        </w:p>
        <w:p w14:paraId="31086FFE" w14:textId="1392F540"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64" w:history="1">
            <w:r w:rsidRPr="005E6E3F">
              <w:rPr>
                <w:rStyle w:val="Hyperlink"/>
                <w:noProof/>
              </w:rPr>
              <w:t>4.1 Anticipated Results</w:t>
            </w:r>
            <w:r>
              <w:rPr>
                <w:noProof/>
                <w:webHidden/>
              </w:rPr>
              <w:tab/>
            </w:r>
            <w:r>
              <w:rPr>
                <w:noProof/>
                <w:webHidden/>
              </w:rPr>
              <w:fldChar w:fldCharType="begin"/>
            </w:r>
            <w:r>
              <w:rPr>
                <w:noProof/>
                <w:webHidden/>
              </w:rPr>
              <w:instrText xml:space="preserve"> PAGEREF _Toc234710564 \h </w:instrText>
            </w:r>
            <w:r>
              <w:rPr>
                <w:noProof/>
                <w:webHidden/>
              </w:rPr>
            </w:r>
            <w:r>
              <w:rPr>
                <w:noProof/>
                <w:webHidden/>
              </w:rPr>
              <w:fldChar w:fldCharType="separate"/>
            </w:r>
            <w:r>
              <w:rPr>
                <w:noProof/>
                <w:webHidden/>
              </w:rPr>
              <w:t>35</w:t>
            </w:r>
            <w:r>
              <w:rPr>
                <w:noProof/>
                <w:webHidden/>
              </w:rPr>
              <w:fldChar w:fldCharType="end"/>
            </w:r>
          </w:hyperlink>
        </w:p>
        <w:p w14:paraId="2BBD35C5" w14:textId="69B79949"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65" w:history="1">
            <w:r w:rsidRPr="005E6E3F">
              <w:rPr>
                <w:rStyle w:val="Hyperlink"/>
                <w:noProof/>
              </w:rPr>
              <w:t>4.2 Expected Contributions</w:t>
            </w:r>
            <w:r>
              <w:rPr>
                <w:noProof/>
                <w:webHidden/>
              </w:rPr>
              <w:tab/>
            </w:r>
            <w:r>
              <w:rPr>
                <w:noProof/>
                <w:webHidden/>
              </w:rPr>
              <w:fldChar w:fldCharType="begin"/>
            </w:r>
            <w:r>
              <w:rPr>
                <w:noProof/>
                <w:webHidden/>
              </w:rPr>
              <w:instrText xml:space="preserve"> PAGEREF _Toc234710565 \h </w:instrText>
            </w:r>
            <w:r>
              <w:rPr>
                <w:noProof/>
                <w:webHidden/>
              </w:rPr>
            </w:r>
            <w:r>
              <w:rPr>
                <w:noProof/>
                <w:webHidden/>
              </w:rPr>
              <w:fldChar w:fldCharType="separate"/>
            </w:r>
            <w:r>
              <w:rPr>
                <w:noProof/>
                <w:webHidden/>
              </w:rPr>
              <w:t>35</w:t>
            </w:r>
            <w:r>
              <w:rPr>
                <w:noProof/>
                <w:webHidden/>
              </w:rPr>
              <w:fldChar w:fldCharType="end"/>
            </w:r>
          </w:hyperlink>
        </w:p>
        <w:p w14:paraId="14C49FE2" w14:textId="30BB7844"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6" w:history="1">
            <w:r w:rsidRPr="005E6E3F">
              <w:rPr>
                <w:rStyle w:val="Hyperlink"/>
                <w:noProof/>
              </w:rPr>
              <w:t>4.2.1 Academic Contribution</w:t>
            </w:r>
            <w:r>
              <w:rPr>
                <w:noProof/>
                <w:webHidden/>
              </w:rPr>
              <w:tab/>
            </w:r>
            <w:r>
              <w:rPr>
                <w:noProof/>
                <w:webHidden/>
              </w:rPr>
              <w:fldChar w:fldCharType="begin"/>
            </w:r>
            <w:r>
              <w:rPr>
                <w:noProof/>
                <w:webHidden/>
              </w:rPr>
              <w:instrText xml:space="preserve"> PAGEREF _Toc234710566 \h </w:instrText>
            </w:r>
            <w:r>
              <w:rPr>
                <w:noProof/>
                <w:webHidden/>
              </w:rPr>
            </w:r>
            <w:r>
              <w:rPr>
                <w:noProof/>
                <w:webHidden/>
              </w:rPr>
              <w:fldChar w:fldCharType="separate"/>
            </w:r>
            <w:r>
              <w:rPr>
                <w:noProof/>
                <w:webHidden/>
              </w:rPr>
              <w:t>35</w:t>
            </w:r>
            <w:r>
              <w:rPr>
                <w:noProof/>
                <w:webHidden/>
              </w:rPr>
              <w:fldChar w:fldCharType="end"/>
            </w:r>
          </w:hyperlink>
        </w:p>
        <w:p w14:paraId="5636685B" w14:textId="0F9A8D9F"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7" w:history="1">
            <w:r w:rsidRPr="005E6E3F">
              <w:rPr>
                <w:rStyle w:val="Hyperlink"/>
                <w:noProof/>
              </w:rPr>
              <w:t>4.2.2 Practical Contribution</w:t>
            </w:r>
            <w:r>
              <w:rPr>
                <w:noProof/>
                <w:webHidden/>
              </w:rPr>
              <w:tab/>
            </w:r>
            <w:r>
              <w:rPr>
                <w:noProof/>
                <w:webHidden/>
              </w:rPr>
              <w:fldChar w:fldCharType="begin"/>
            </w:r>
            <w:r>
              <w:rPr>
                <w:noProof/>
                <w:webHidden/>
              </w:rPr>
              <w:instrText xml:space="preserve"> PAGEREF _Toc234710567 \h </w:instrText>
            </w:r>
            <w:r>
              <w:rPr>
                <w:noProof/>
                <w:webHidden/>
              </w:rPr>
            </w:r>
            <w:r>
              <w:rPr>
                <w:noProof/>
                <w:webHidden/>
              </w:rPr>
              <w:fldChar w:fldCharType="separate"/>
            </w:r>
            <w:r>
              <w:rPr>
                <w:noProof/>
                <w:webHidden/>
              </w:rPr>
              <w:t>36</w:t>
            </w:r>
            <w:r>
              <w:rPr>
                <w:noProof/>
                <w:webHidden/>
              </w:rPr>
              <w:fldChar w:fldCharType="end"/>
            </w:r>
          </w:hyperlink>
        </w:p>
        <w:p w14:paraId="004E614D" w14:textId="71C26B39"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8" w:history="1">
            <w:r w:rsidRPr="005E6E3F">
              <w:rPr>
                <w:rStyle w:val="Hyperlink"/>
                <w:noProof/>
              </w:rPr>
              <w:t>4.2.3 Policy Contribution</w:t>
            </w:r>
            <w:r>
              <w:rPr>
                <w:noProof/>
                <w:webHidden/>
              </w:rPr>
              <w:tab/>
            </w:r>
            <w:r>
              <w:rPr>
                <w:noProof/>
                <w:webHidden/>
              </w:rPr>
              <w:fldChar w:fldCharType="begin"/>
            </w:r>
            <w:r>
              <w:rPr>
                <w:noProof/>
                <w:webHidden/>
              </w:rPr>
              <w:instrText xml:space="preserve"> PAGEREF _Toc234710568 \h </w:instrText>
            </w:r>
            <w:r>
              <w:rPr>
                <w:noProof/>
                <w:webHidden/>
              </w:rPr>
            </w:r>
            <w:r>
              <w:rPr>
                <w:noProof/>
                <w:webHidden/>
              </w:rPr>
              <w:fldChar w:fldCharType="separate"/>
            </w:r>
            <w:r>
              <w:rPr>
                <w:noProof/>
                <w:webHidden/>
              </w:rPr>
              <w:t>36</w:t>
            </w:r>
            <w:r>
              <w:rPr>
                <w:noProof/>
                <w:webHidden/>
              </w:rPr>
              <w:fldChar w:fldCharType="end"/>
            </w:r>
          </w:hyperlink>
        </w:p>
        <w:p w14:paraId="59F76C36" w14:textId="552C557E" w:rsidR="00715787" w:rsidRDefault="00715787">
          <w:pPr>
            <w:pStyle w:val="TOC3"/>
            <w:tabs>
              <w:tab w:val="right" w:leader="dot" w:pos="9628"/>
            </w:tabs>
            <w:rPr>
              <w:rFonts w:asciiTheme="minorHAnsi" w:eastAsiaTheme="minorEastAsia" w:hAnsiTheme="minorHAnsi" w:cstheme="minorBidi"/>
              <w:noProof/>
              <w:kern w:val="2"/>
              <w14:ligatures w14:val="standardContextual"/>
            </w:rPr>
          </w:pPr>
          <w:hyperlink w:anchor="_Toc234710569" w:history="1">
            <w:r w:rsidRPr="005E6E3F">
              <w:rPr>
                <w:rStyle w:val="Hyperlink"/>
                <w:noProof/>
              </w:rPr>
              <w:t>4.2.4 Future Research</w:t>
            </w:r>
            <w:r>
              <w:rPr>
                <w:noProof/>
                <w:webHidden/>
              </w:rPr>
              <w:tab/>
            </w:r>
            <w:r>
              <w:rPr>
                <w:noProof/>
                <w:webHidden/>
              </w:rPr>
              <w:fldChar w:fldCharType="begin"/>
            </w:r>
            <w:r>
              <w:rPr>
                <w:noProof/>
                <w:webHidden/>
              </w:rPr>
              <w:instrText xml:space="preserve"> PAGEREF _Toc234710569 \h </w:instrText>
            </w:r>
            <w:r>
              <w:rPr>
                <w:noProof/>
                <w:webHidden/>
              </w:rPr>
            </w:r>
            <w:r>
              <w:rPr>
                <w:noProof/>
                <w:webHidden/>
              </w:rPr>
              <w:fldChar w:fldCharType="separate"/>
            </w:r>
            <w:r>
              <w:rPr>
                <w:noProof/>
                <w:webHidden/>
              </w:rPr>
              <w:t>37</w:t>
            </w:r>
            <w:r>
              <w:rPr>
                <w:noProof/>
                <w:webHidden/>
              </w:rPr>
              <w:fldChar w:fldCharType="end"/>
            </w:r>
          </w:hyperlink>
        </w:p>
        <w:p w14:paraId="03FF3807" w14:textId="32A391B2" w:rsidR="00715787" w:rsidRDefault="00715787">
          <w:pPr>
            <w:pStyle w:val="TOC2"/>
            <w:tabs>
              <w:tab w:val="right" w:leader="dot" w:pos="9628"/>
            </w:tabs>
            <w:rPr>
              <w:rFonts w:asciiTheme="minorHAnsi" w:eastAsiaTheme="minorEastAsia" w:hAnsiTheme="minorHAnsi" w:cstheme="minorBidi"/>
              <w:noProof/>
              <w:kern w:val="2"/>
              <w14:ligatures w14:val="standardContextual"/>
            </w:rPr>
          </w:pPr>
          <w:hyperlink w:anchor="_Toc234710570" w:history="1">
            <w:r w:rsidRPr="005E6E3F">
              <w:rPr>
                <w:rStyle w:val="Hyperlink"/>
                <w:noProof/>
              </w:rPr>
              <w:t>4.3 Limitations of the Expected Findings</w:t>
            </w:r>
            <w:r>
              <w:rPr>
                <w:noProof/>
                <w:webHidden/>
              </w:rPr>
              <w:tab/>
            </w:r>
            <w:r>
              <w:rPr>
                <w:noProof/>
                <w:webHidden/>
              </w:rPr>
              <w:fldChar w:fldCharType="begin"/>
            </w:r>
            <w:r>
              <w:rPr>
                <w:noProof/>
                <w:webHidden/>
              </w:rPr>
              <w:instrText xml:space="preserve"> PAGEREF _Toc234710570 \h </w:instrText>
            </w:r>
            <w:r>
              <w:rPr>
                <w:noProof/>
                <w:webHidden/>
              </w:rPr>
            </w:r>
            <w:r>
              <w:rPr>
                <w:noProof/>
                <w:webHidden/>
              </w:rPr>
              <w:fldChar w:fldCharType="separate"/>
            </w:r>
            <w:r>
              <w:rPr>
                <w:noProof/>
                <w:webHidden/>
              </w:rPr>
              <w:t>37</w:t>
            </w:r>
            <w:r>
              <w:rPr>
                <w:noProof/>
                <w:webHidden/>
              </w:rPr>
              <w:fldChar w:fldCharType="end"/>
            </w:r>
          </w:hyperlink>
        </w:p>
        <w:p w14:paraId="71150F53" w14:textId="0AFC007A"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1" w:history="1">
            <w:r w:rsidRPr="005E6E3F">
              <w:rPr>
                <w:rStyle w:val="Hyperlink"/>
                <w:noProof/>
              </w:rPr>
              <w:t>5.  Project Timeline</w:t>
            </w:r>
            <w:r>
              <w:rPr>
                <w:noProof/>
                <w:webHidden/>
              </w:rPr>
              <w:tab/>
            </w:r>
            <w:r>
              <w:rPr>
                <w:noProof/>
                <w:webHidden/>
              </w:rPr>
              <w:fldChar w:fldCharType="begin"/>
            </w:r>
            <w:r>
              <w:rPr>
                <w:noProof/>
                <w:webHidden/>
              </w:rPr>
              <w:instrText xml:space="preserve"> PAGEREF _Toc234710571 \h </w:instrText>
            </w:r>
            <w:r>
              <w:rPr>
                <w:noProof/>
                <w:webHidden/>
              </w:rPr>
            </w:r>
            <w:r>
              <w:rPr>
                <w:noProof/>
                <w:webHidden/>
              </w:rPr>
              <w:fldChar w:fldCharType="separate"/>
            </w:r>
            <w:r>
              <w:rPr>
                <w:noProof/>
                <w:webHidden/>
              </w:rPr>
              <w:t>38</w:t>
            </w:r>
            <w:r>
              <w:rPr>
                <w:noProof/>
                <w:webHidden/>
              </w:rPr>
              <w:fldChar w:fldCharType="end"/>
            </w:r>
          </w:hyperlink>
        </w:p>
        <w:p w14:paraId="4FF9D87D" w14:textId="3B56A99A"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2" w:history="1">
            <w:r w:rsidRPr="005E6E3F">
              <w:rPr>
                <w:rStyle w:val="Hyperlink"/>
                <w:noProof/>
              </w:rPr>
              <w:t>6. References</w:t>
            </w:r>
            <w:r>
              <w:rPr>
                <w:noProof/>
                <w:webHidden/>
              </w:rPr>
              <w:tab/>
            </w:r>
            <w:r>
              <w:rPr>
                <w:noProof/>
                <w:webHidden/>
              </w:rPr>
              <w:fldChar w:fldCharType="begin"/>
            </w:r>
            <w:r>
              <w:rPr>
                <w:noProof/>
                <w:webHidden/>
              </w:rPr>
              <w:instrText xml:space="preserve"> PAGEREF _Toc234710572 \h </w:instrText>
            </w:r>
            <w:r>
              <w:rPr>
                <w:noProof/>
                <w:webHidden/>
              </w:rPr>
            </w:r>
            <w:r>
              <w:rPr>
                <w:noProof/>
                <w:webHidden/>
              </w:rPr>
              <w:fldChar w:fldCharType="separate"/>
            </w:r>
            <w:r>
              <w:rPr>
                <w:noProof/>
                <w:webHidden/>
              </w:rPr>
              <w:t>39</w:t>
            </w:r>
            <w:r>
              <w:rPr>
                <w:noProof/>
                <w:webHidden/>
              </w:rPr>
              <w:fldChar w:fldCharType="end"/>
            </w:r>
          </w:hyperlink>
        </w:p>
        <w:p w14:paraId="3EF31EA2" w14:textId="7189D071"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3" w:history="1">
            <w:r w:rsidRPr="005E6E3F">
              <w:rPr>
                <w:rStyle w:val="Hyperlink"/>
                <w:noProof/>
              </w:rPr>
              <w:t>Appendix A – Summary of Key Literature Reviewed</w:t>
            </w:r>
            <w:r>
              <w:rPr>
                <w:noProof/>
                <w:webHidden/>
              </w:rPr>
              <w:tab/>
            </w:r>
            <w:r>
              <w:rPr>
                <w:noProof/>
                <w:webHidden/>
              </w:rPr>
              <w:fldChar w:fldCharType="begin"/>
            </w:r>
            <w:r>
              <w:rPr>
                <w:noProof/>
                <w:webHidden/>
              </w:rPr>
              <w:instrText xml:space="preserve"> PAGEREF _Toc234710573 \h </w:instrText>
            </w:r>
            <w:r>
              <w:rPr>
                <w:noProof/>
                <w:webHidden/>
              </w:rPr>
            </w:r>
            <w:r>
              <w:rPr>
                <w:noProof/>
                <w:webHidden/>
              </w:rPr>
              <w:fldChar w:fldCharType="separate"/>
            </w:r>
            <w:r>
              <w:rPr>
                <w:noProof/>
                <w:webHidden/>
              </w:rPr>
              <w:t>41</w:t>
            </w:r>
            <w:r>
              <w:rPr>
                <w:noProof/>
                <w:webHidden/>
              </w:rPr>
              <w:fldChar w:fldCharType="end"/>
            </w:r>
          </w:hyperlink>
        </w:p>
        <w:p w14:paraId="0FEB03EC" w14:textId="79AAB891"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4" w:history="1">
            <w:r w:rsidRPr="005E6E3F">
              <w:rPr>
                <w:rStyle w:val="Hyperlink"/>
                <w:noProof/>
              </w:rPr>
              <w:t>Appendix B - Research Methodology Flowchart</w:t>
            </w:r>
            <w:r>
              <w:rPr>
                <w:noProof/>
                <w:webHidden/>
              </w:rPr>
              <w:tab/>
            </w:r>
            <w:r>
              <w:rPr>
                <w:noProof/>
                <w:webHidden/>
              </w:rPr>
              <w:fldChar w:fldCharType="begin"/>
            </w:r>
            <w:r>
              <w:rPr>
                <w:noProof/>
                <w:webHidden/>
              </w:rPr>
              <w:instrText xml:space="preserve"> PAGEREF _Toc234710574 \h </w:instrText>
            </w:r>
            <w:r>
              <w:rPr>
                <w:noProof/>
                <w:webHidden/>
              </w:rPr>
            </w:r>
            <w:r>
              <w:rPr>
                <w:noProof/>
                <w:webHidden/>
              </w:rPr>
              <w:fldChar w:fldCharType="separate"/>
            </w:r>
            <w:r>
              <w:rPr>
                <w:noProof/>
                <w:webHidden/>
              </w:rPr>
              <w:t>43</w:t>
            </w:r>
            <w:r>
              <w:rPr>
                <w:noProof/>
                <w:webHidden/>
              </w:rPr>
              <w:fldChar w:fldCharType="end"/>
            </w:r>
          </w:hyperlink>
        </w:p>
        <w:p w14:paraId="46022AC2" w14:textId="736AE02D"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5" w:history="1">
            <w:r w:rsidRPr="005E6E3F">
              <w:rPr>
                <w:rStyle w:val="Hyperlink"/>
                <w:noProof/>
              </w:rPr>
              <w:t>Appendix C – Sample Survey Instrument</w:t>
            </w:r>
            <w:r>
              <w:rPr>
                <w:noProof/>
                <w:webHidden/>
              </w:rPr>
              <w:tab/>
            </w:r>
            <w:r>
              <w:rPr>
                <w:noProof/>
                <w:webHidden/>
              </w:rPr>
              <w:fldChar w:fldCharType="begin"/>
            </w:r>
            <w:r>
              <w:rPr>
                <w:noProof/>
                <w:webHidden/>
              </w:rPr>
              <w:instrText xml:space="preserve"> PAGEREF _Toc234710575 \h </w:instrText>
            </w:r>
            <w:r>
              <w:rPr>
                <w:noProof/>
                <w:webHidden/>
              </w:rPr>
            </w:r>
            <w:r>
              <w:rPr>
                <w:noProof/>
                <w:webHidden/>
              </w:rPr>
              <w:fldChar w:fldCharType="separate"/>
            </w:r>
            <w:r>
              <w:rPr>
                <w:noProof/>
                <w:webHidden/>
              </w:rPr>
              <w:t>46</w:t>
            </w:r>
            <w:r>
              <w:rPr>
                <w:noProof/>
                <w:webHidden/>
              </w:rPr>
              <w:fldChar w:fldCharType="end"/>
            </w:r>
          </w:hyperlink>
        </w:p>
        <w:p w14:paraId="5C2F2CE4" w14:textId="026A9FFA"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6" w:history="1">
            <w:r w:rsidRPr="005E6E3F">
              <w:rPr>
                <w:rStyle w:val="Hyperlink"/>
                <w:noProof/>
              </w:rPr>
              <w:t>Appendix D - Software and Hardware Requirements</w:t>
            </w:r>
            <w:r>
              <w:rPr>
                <w:noProof/>
                <w:webHidden/>
              </w:rPr>
              <w:tab/>
            </w:r>
            <w:r>
              <w:rPr>
                <w:noProof/>
                <w:webHidden/>
              </w:rPr>
              <w:fldChar w:fldCharType="begin"/>
            </w:r>
            <w:r>
              <w:rPr>
                <w:noProof/>
                <w:webHidden/>
              </w:rPr>
              <w:instrText xml:space="preserve"> PAGEREF _Toc234710576 \h </w:instrText>
            </w:r>
            <w:r>
              <w:rPr>
                <w:noProof/>
                <w:webHidden/>
              </w:rPr>
            </w:r>
            <w:r>
              <w:rPr>
                <w:noProof/>
                <w:webHidden/>
              </w:rPr>
              <w:fldChar w:fldCharType="separate"/>
            </w:r>
            <w:r>
              <w:rPr>
                <w:noProof/>
                <w:webHidden/>
              </w:rPr>
              <w:t>47</w:t>
            </w:r>
            <w:r>
              <w:rPr>
                <w:noProof/>
                <w:webHidden/>
              </w:rPr>
              <w:fldChar w:fldCharType="end"/>
            </w:r>
          </w:hyperlink>
        </w:p>
        <w:p w14:paraId="18DA0D8F" w14:textId="2AD8831B"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7" w:history="1">
            <w:r w:rsidRPr="005E6E3F">
              <w:rPr>
                <w:rStyle w:val="Hyperlink"/>
                <w:noProof/>
              </w:rPr>
              <w:t>Appendix E - Anticipated Results</w:t>
            </w:r>
            <w:r>
              <w:rPr>
                <w:noProof/>
                <w:webHidden/>
              </w:rPr>
              <w:tab/>
            </w:r>
            <w:r>
              <w:rPr>
                <w:noProof/>
                <w:webHidden/>
              </w:rPr>
              <w:fldChar w:fldCharType="begin"/>
            </w:r>
            <w:r>
              <w:rPr>
                <w:noProof/>
                <w:webHidden/>
              </w:rPr>
              <w:instrText xml:space="preserve"> PAGEREF _Toc234710577 \h </w:instrText>
            </w:r>
            <w:r>
              <w:rPr>
                <w:noProof/>
                <w:webHidden/>
              </w:rPr>
            </w:r>
            <w:r>
              <w:rPr>
                <w:noProof/>
                <w:webHidden/>
              </w:rPr>
              <w:fldChar w:fldCharType="separate"/>
            </w:r>
            <w:r>
              <w:rPr>
                <w:noProof/>
                <w:webHidden/>
              </w:rPr>
              <w:t>48</w:t>
            </w:r>
            <w:r>
              <w:rPr>
                <w:noProof/>
                <w:webHidden/>
              </w:rPr>
              <w:fldChar w:fldCharType="end"/>
            </w:r>
          </w:hyperlink>
        </w:p>
        <w:p w14:paraId="0046DB8E" w14:textId="2B5045BD"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8" w:history="1">
            <w:r w:rsidRPr="005E6E3F">
              <w:rPr>
                <w:rStyle w:val="Hyperlink"/>
                <w:noProof/>
              </w:rPr>
              <w:t>Appendix F - Proposed Trust-by-Design Framework</w:t>
            </w:r>
            <w:r>
              <w:rPr>
                <w:noProof/>
                <w:webHidden/>
              </w:rPr>
              <w:tab/>
            </w:r>
            <w:r>
              <w:rPr>
                <w:noProof/>
                <w:webHidden/>
              </w:rPr>
              <w:fldChar w:fldCharType="begin"/>
            </w:r>
            <w:r>
              <w:rPr>
                <w:noProof/>
                <w:webHidden/>
              </w:rPr>
              <w:instrText xml:space="preserve"> PAGEREF _Toc234710578 \h </w:instrText>
            </w:r>
            <w:r>
              <w:rPr>
                <w:noProof/>
                <w:webHidden/>
              </w:rPr>
            </w:r>
            <w:r>
              <w:rPr>
                <w:noProof/>
                <w:webHidden/>
              </w:rPr>
              <w:fldChar w:fldCharType="separate"/>
            </w:r>
            <w:r>
              <w:rPr>
                <w:noProof/>
                <w:webHidden/>
              </w:rPr>
              <w:t>50</w:t>
            </w:r>
            <w:r>
              <w:rPr>
                <w:noProof/>
                <w:webHidden/>
              </w:rPr>
              <w:fldChar w:fldCharType="end"/>
            </w:r>
          </w:hyperlink>
        </w:p>
        <w:p w14:paraId="39617755" w14:textId="52528EAD"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79" w:history="1">
            <w:r w:rsidRPr="005E6E3F">
              <w:rPr>
                <w:rStyle w:val="Hyperlink"/>
                <w:noProof/>
              </w:rPr>
              <w:t>Appendix G - Project Risk Register.</w:t>
            </w:r>
            <w:r>
              <w:rPr>
                <w:noProof/>
                <w:webHidden/>
              </w:rPr>
              <w:tab/>
            </w:r>
            <w:r>
              <w:rPr>
                <w:noProof/>
                <w:webHidden/>
              </w:rPr>
              <w:fldChar w:fldCharType="begin"/>
            </w:r>
            <w:r>
              <w:rPr>
                <w:noProof/>
                <w:webHidden/>
              </w:rPr>
              <w:instrText xml:space="preserve"> PAGEREF _Toc234710579 \h </w:instrText>
            </w:r>
            <w:r>
              <w:rPr>
                <w:noProof/>
                <w:webHidden/>
              </w:rPr>
            </w:r>
            <w:r>
              <w:rPr>
                <w:noProof/>
                <w:webHidden/>
              </w:rPr>
              <w:fldChar w:fldCharType="separate"/>
            </w:r>
            <w:r>
              <w:rPr>
                <w:noProof/>
                <w:webHidden/>
              </w:rPr>
              <w:t>51</w:t>
            </w:r>
            <w:r>
              <w:rPr>
                <w:noProof/>
                <w:webHidden/>
              </w:rPr>
              <w:fldChar w:fldCharType="end"/>
            </w:r>
          </w:hyperlink>
        </w:p>
        <w:p w14:paraId="6B2BB9D1" w14:textId="4217944C" w:rsidR="00715787" w:rsidRDefault="00715787">
          <w:pPr>
            <w:pStyle w:val="TOC1"/>
            <w:tabs>
              <w:tab w:val="right" w:leader="dot" w:pos="9628"/>
            </w:tabs>
            <w:rPr>
              <w:rFonts w:asciiTheme="minorHAnsi" w:eastAsiaTheme="minorEastAsia" w:hAnsiTheme="minorHAnsi" w:cstheme="minorBidi"/>
              <w:noProof/>
              <w:kern w:val="2"/>
              <w14:ligatures w14:val="standardContextual"/>
            </w:rPr>
          </w:pPr>
          <w:hyperlink w:anchor="_Toc234710580" w:history="1">
            <w:r w:rsidRPr="005E6E3F">
              <w:rPr>
                <w:rStyle w:val="Hyperlink"/>
                <w:noProof/>
              </w:rPr>
              <w:t>Appendix H - Project Timeline</w:t>
            </w:r>
            <w:r>
              <w:rPr>
                <w:noProof/>
                <w:webHidden/>
              </w:rPr>
              <w:tab/>
            </w:r>
            <w:r>
              <w:rPr>
                <w:noProof/>
                <w:webHidden/>
              </w:rPr>
              <w:fldChar w:fldCharType="begin"/>
            </w:r>
            <w:r>
              <w:rPr>
                <w:noProof/>
                <w:webHidden/>
              </w:rPr>
              <w:instrText xml:space="preserve"> PAGEREF _Toc234710580 \h </w:instrText>
            </w:r>
            <w:r>
              <w:rPr>
                <w:noProof/>
                <w:webHidden/>
              </w:rPr>
            </w:r>
            <w:r>
              <w:rPr>
                <w:noProof/>
                <w:webHidden/>
              </w:rPr>
              <w:fldChar w:fldCharType="separate"/>
            </w:r>
            <w:r>
              <w:rPr>
                <w:noProof/>
                <w:webHidden/>
              </w:rPr>
              <w:t>52</w:t>
            </w:r>
            <w:r>
              <w:rPr>
                <w:noProof/>
                <w:webHidden/>
              </w:rPr>
              <w:fldChar w:fldCharType="end"/>
            </w:r>
          </w:hyperlink>
        </w:p>
        <w:p w14:paraId="7167DCB2" w14:textId="07846929" w:rsidR="00E10073" w:rsidRPr="001172CF" w:rsidRDefault="00E10073">
          <w:r w:rsidRPr="001172CF">
            <w:rPr>
              <w:b/>
              <w:bCs/>
            </w:rPr>
            <w:fldChar w:fldCharType="end"/>
          </w:r>
        </w:p>
      </w:sdtContent>
    </w:sdt>
    <w:p w14:paraId="7891CDB8" w14:textId="77777777" w:rsidR="00B37289" w:rsidRPr="001172CF" w:rsidRDefault="00B37289">
      <w:pPr>
        <w:spacing w:before="200"/>
      </w:pPr>
    </w:p>
    <w:p w14:paraId="0C8E081E" w14:textId="77777777" w:rsidR="00B37289" w:rsidRPr="001172CF" w:rsidRDefault="008C4330">
      <w:r w:rsidRPr="001172CF">
        <w:br w:type="page"/>
      </w:r>
    </w:p>
    <w:p w14:paraId="3FDA10EF" w14:textId="77777777" w:rsidR="00B37289" w:rsidRPr="001172CF" w:rsidRDefault="008C4330">
      <w:pPr>
        <w:pBdr>
          <w:bottom w:val="single" w:sz="8" w:space="4" w:color="1A5276"/>
        </w:pBdr>
        <w:spacing w:after="160"/>
      </w:pPr>
      <w:r w:rsidRPr="001172CF">
        <w:rPr>
          <w:b/>
          <w:bCs/>
          <w:color w:val="1A5276"/>
          <w:sz w:val="32"/>
          <w:szCs w:val="32"/>
        </w:rPr>
        <w:lastRenderedPageBreak/>
        <w:t>List of Figures</w:t>
      </w:r>
    </w:p>
    <w:p w14:paraId="44391750" w14:textId="4B7188E0" w:rsidR="008509A0" w:rsidRDefault="00DB1A07" w:rsidP="00DB1A07">
      <w:pPr>
        <w:spacing w:before="60" w:after="60"/>
        <w:rPr>
          <w:rFonts w:eastAsia="Calibri"/>
          <w:color w:val="1A1A1A"/>
          <w:sz w:val="22"/>
          <w:szCs w:val="22"/>
        </w:rPr>
      </w:pPr>
      <w:r w:rsidRPr="00572767">
        <w:rPr>
          <w:rFonts w:eastAsia="Calibri"/>
          <w:b/>
          <w:bCs/>
          <w:color w:val="1A4A6E"/>
          <w:sz w:val="22"/>
          <w:szCs w:val="22"/>
        </w:rPr>
        <w:t>Figure 1</w:t>
      </w:r>
      <w:r w:rsidRPr="00572767">
        <w:rPr>
          <w:rFonts w:eastAsia="Calibri"/>
          <w:color w:val="1A1A1A"/>
          <w:sz w:val="22"/>
          <w:szCs w:val="22"/>
        </w:rPr>
        <w:t xml:space="preserve">   Key Factors Influencing Consumer Trust in Web Applications</w:t>
      </w:r>
      <w:r w:rsidR="00C72D29">
        <w:rPr>
          <w:rFonts w:eastAsia="Calibri"/>
          <w:color w:val="1A1A1A"/>
          <w:sz w:val="22"/>
          <w:szCs w:val="22"/>
        </w:rPr>
        <w:t>…………………………</w:t>
      </w:r>
      <w:r w:rsidR="008509A0">
        <w:rPr>
          <w:rFonts w:eastAsia="Calibri"/>
          <w:color w:val="1A1A1A"/>
          <w:sz w:val="22"/>
          <w:szCs w:val="22"/>
        </w:rPr>
        <w:t>………8-9</w:t>
      </w:r>
    </w:p>
    <w:p w14:paraId="2AD6AC7E" w14:textId="6542CC6F" w:rsidR="00DB1A07" w:rsidRPr="00572767" w:rsidRDefault="00DB1A07" w:rsidP="00DB1A07">
      <w:pPr>
        <w:spacing w:before="60" w:after="60"/>
        <w:rPr>
          <w:sz w:val="22"/>
          <w:szCs w:val="22"/>
        </w:rPr>
      </w:pPr>
      <w:r w:rsidRPr="00572767">
        <w:rPr>
          <w:rFonts w:eastAsia="Calibri"/>
          <w:b/>
          <w:bCs/>
          <w:color w:val="1A4A6E"/>
          <w:sz w:val="22"/>
          <w:szCs w:val="22"/>
        </w:rPr>
        <w:t>Figure 2</w:t>
      </w:r>
      <w:r w:rsidRPr="00572767">
        <w:rPr>
          <w:rFonts w:eastAsia="Calibri"/>
          <w:color w:val="1A1A1A"/>
          <w:sz w:val="22"/>
          <w:szCs w:val="22"/>
        </w:rPr>
        <w:t xml:space="preserve">   The Privacy Paradox</w:t>
      </w:r>
      <w:r w:rsidR="00597BB2">
        <w:rPr>
          <w:rFonts w:eastAsia="Calibri"/>
          <w:color w:val="1A1A1A"/>
          <w:sz w:val="22"/>
          <w:szCs w:val="22"/>
        </w:rPr>
        <w:t xml:space="preserve"> - </w:t>
      </w:r>
      <w:r w:rsidRPr="00572767">
        <w:rPr>
          <w:rFonts w:eastAsia="Calibri"/>
          <w:color w:val="1A1A1A"/>
          <w:sz w:val="22"/>
          <w:szCs w:val="22"/>
        </w:rPr>
        <w:t>Attitudes versus Behaviours of UK Internet Users</w:t>
      </w:r>
      <w:r w:rsidR="00C72D29">
        <w:rPr>
          <w:rFonts w:eastAsia="Calibri"/>
          <w:color w:val="1A1A1A"/>
          <w:sz w:val="22"/>
          <w:szCs w:val="22"/>
        </w:rPr>
        <w:t>……………………</w:t>
      </w:r>
      <w:r w:rsidR="00347069">
        <w:rPr>
          <w:rFonts w:eastAsia="Calibri"/>
          <w:color w:val="1A1A1A"/>
          <w:sz w:val="22"/>
          <w:szCs w:val="22"/>
        </w:rPr>
        <w:t>….</w:t>
      </w:r>
      <w:r w:rsidR="008509A0">
        <w:rPr>
          <w:rFonts w:eastAsia="Calibri"/>
          <w:color w:val="1A1A1A"/>
          <w:sz w:val="22"/>
          <w:szCs w:val="22"/>
        </w:rPr>
        <w:t>12</w:t>
      </w:r>
      <w:r w:rsidRPr="00572767">
        <w:rPr>
          <w:rFonts w:eastAsia="Calibri"/>
          <w:color w:val="AAAAAA"/>
          <w:sz w:val="22"/>
          <w:szCs w:val="22"/>
        </w:rPr>
        <w:t xml:space="preserve">   </w:t>
      </w:r>
    </w:p>
    <w:p w14:paraId="08A43691" w14:textId="4CED07C3" w:rsidR="00DB1A07" w:rsidRPr="00572767" w:rsidRDefault="00DB1A07" w:rsidP="00DB1A07">
      <w:pPr>
        <w:spacing w:before="60" w:after="60"/>
        <w:rPr>
          <w:sz w:val="22"/>
          <w:szCs w:val="22"/>
        </w:rPr>
      </w:pPr>
      <w:r w:rsidRPr="00572767">
        <w:rPr>
          <w:rFonts w:eastAsia="Calibri"/>
          <w:b/>
          <w:bCs/>
          <w:color w:val="1A4A6E"/>
          <w:sz w:val="22"/>
          <w:szCs w:val="22"/>
        </w:rPr>
        <w:t>Figure 3</w:t>
      </w:r>
      <w:r w:rsidRPr="00572767">
        <w:rPr>
          <w:rFonts w:eastAsia="Calibri"/>
          <w:color w:val="1A1A1A"/>
          <w:sz w:val="22"/>
          <w:szCs w:val="22"/>
        </w:rPr>
        <w:t xml:space="preserve">   Conceptual Research Model</w:t>
      </w:r>
      <w:r w:rsidR="00597BB2">
        <w:rPr>
          <w:rFonts w:eastAsia="Calibri"/>
          <w:color w:val="1A1A1A"/>
          <w:sz w:val="22"/>
          <w:szCs w:val="22"/>
        </w:rPr>
        <w:t xml:space="preserve"> - </w:t>
      </w:r>
      <w:r w:rsidRPr="00572767">
        <w:rPr>
          <w:rFonts w:eastAsia="Calibri"/>
          <w:color w:val="1A1A1A"/>
          <w:sz w:val="22"/>
          <w:szCs w:val="22"/>
        </w:rPr>
        <w:t>Trust Factors, GDPR Awareness, and Overall Trust</w:t>
      </w:r>
      <w:r w:rsidR="00A74CD3" w:rsidRPr="00A74CD3">
        <w:rPr>
          <w:rFonts w:eastAsia="Calibri"/>
          <w:sz w:val="22"/>
          <w:szCs w:val="22"/>
        </w:rPr>
        <w:t>……………</w:t>
      </w:r>
      <w:r w:rsidR="002209F7">
        <w:rPr>
          <w:rFonts w:eastAsia="Calibri"/>
          <w:sz w:val="22"/>
          <w:szCs w:val="22"/>
        </w:rPr>
        <w:t>..</w:t>
      </w:r>
      <w:r w:rsidR="00E25889">
        <w:rPr>
          <w:rFonts w:eastAsia="Calibri"/>
          <w:sz w:val="22"/>
          <w:szCs w:val="22"/>
        </w:rPr>
        <w:t>14</w:t>
      </w:r>
    </w:p>
    <w:p w14:paraId="1ECE1585" w14:textId="20903CC2" w:rsidR="00DB1A07" w:rsidRPr="00572767" w:rsidRDefault="00DB1A07" w:rsidP="00DB1A07">
      <w:pPr>
        <w:spacing w:before="60" w:after="60"/>
        <w:rPr>
          <w:sz w:val="22"/>
          <w:szCs w:val="22"/>
        </w:rPr>
      </w:pPr>
      <w:r w:rsidRPr="00572767">
        <w:rPr>
          <w:rFonts w:eastAsia="Calibri"/>
          <w:b/>
          <w:bCs/>
          <w:color w:val="1A4A6E"/>
          <w:sz w:val="22"/>
          <w:szCs w:val="22"/>
        </w:rPr>
        <w:t>Figure 4</w:t>
      </w:r>
      <w:r w:rsidRPr="00572767">
        <w:rPr>
          <w:rFonts w:eastAsia="Calibri"/>
          <w:color w:val="1A1A1A"/>
          <w:sz w:val="22"/>
          <w:szCs w:val="22"/>
        </w:rPr>
        <w:t xml:space="preserve">   Research Hypotheses </w:t>
      </w:r>
      <w:r w:rsidR="009A490D">
        <w:rPr>
          <w:rFonts w:eastAsia="Calibri"/>
          <w:color w:val="1A1A1A"/>
          <w:sz w:val="22"/>
          <w:szCs w:val="22"/>
        </w:rPr>
        <w:t>………………</w:t>
      </w:r>
      <w:r w:rsidR="00C72D29">
        <w:rPr>
          <w:rFonts w:eastAsia="Calibri"/>
          <w:color w:val="1A1A1A"/>
          <w:sz w:val="22"/>
          <w:szCs w:val="22"/>
        </w:rPr>
        <w:t>……………………………………………………………</w:t>
      </w:r>
      <w:r w:rsidR="002209F7">
        <w:rPr>
          <w:rFonts w:eastAsia="Calibri"/>
          <w:color w:val="1A1A1A"/>
          <w:sz w:val="22"/>
          <w:szCs w:val="22"/>
        </w:rPr>
        <w:t>..24</w:t>
      </w:r>
    </w:p>
    <w:p w14:paraId="631C55AC" w14:textId="6225FFFC" w:rsidR="00DB1A07" w:rsidRPr="00572767" w:rsidRDefault="00DB1A07" w:rsidP="00DB1A07">
      <w:pPr>
        <w:spacing w:before="60" w:after="60"/>
        <w:rPr>
          <w:sz w:val="22"/>
          <w:szCs w:val="22"/>
        </w:rPr>
      </w:pPr>
      <w:r w:rsidRPr="00572767">
        <w:rPr>
          <w:rFonts w:eastAsia="Calibri"/>
          <w:b/>
          <w:bCs/>
          <w:color w:val="1A4A6E"/>
          <w:sz w:val="22"/>
          <w:szCs w:val="22"/>
        </w:rPr>
        <w:t>Figure B1</w:t>
      </w:r>
      <w:r w:rsidRPr="00572767">
        <w:rPr>
          <w:rFonts w:eastAsia="Calibri"/>
          <w:color w:val="1A1A1A"/>
          <w:sz w:val="22"/>
          <w:szCs w:val="22"/>
        </w:rPr>
        <w:t xml:space="preserve">   Research Design and Methodology Flowchart</w:t>
      </w:r>
      <w:r w:rsidRPr="00572767">
        <w:rPr>
          <w:rFonts w:eastAsia="Calibri"/>
          <w:color w:val="AAAAAA"/>
          <w:sz w:val="22"/>
          <w:szCs w:val="22"/>
        </w:rPr>
        <w:t xml:space="preserve">   </w:t>
      </w:r>
      <w:r w:rsidR="009A490D" w:rsidRPr="00A910ED">
        <w:rPr>
          <w:rFonts w:eastAsia="Calibri"/>
          <w:sz w:val="22"/>
          <w:szCs w:val="22"/>
        </w:rPr>
        <w:t>………………………………………………</w:t>
      </w:r>
      <w:r w:rsidR="002209F7" w:rsidRPr="00A910ED">
        <w:rPr>
          <w:rFonts w:eastAsia="Calibri"/>
          <w:sz w:val="22"/>
          <w:szCs w:val="22"/>
        </w:rPr>
        <w:t>..31</w:t>
      </w:r>
    </w:p>
    <w:p w14:paraId="2A5914AA" w14:textId="71E1C2A3" w:rsidR="00DB1A07" w:rsidRPr="00572767" w:rsidRDefault="00DB1A07" w:rsidP="00DB1A07">
      <w:pPr>
        <w:spacing w:before="60" w:after="60"/>
        <w:rPr>
          <w:sz w:val="22"/>
          <w:szCs w:val="22"/>
        </w:rPr>
      </w:pPr>
      <w:r w:rsidRPr="00572767">
        <w:rPr>
          <w:rFonts w:eastAsia="Calibri"/>
          <w:b/>
          <w:bCs/>
          <w:color w:val="1A4A6E"/>
          <w:sz w:val="22"/>
          <w:szCs w:val="22"/>
        </w:rPr>
        <w:t>Figure H1</w:t>
      </w:r>
      <w:r w:rsidRPr="00572767">
        <w:rPr>
          <w:rFonts w:eastAsia="Calibri"/>
          <w:color w:val="1A1A1A"/>
          <w:sz w:val="22"/>
          <w:szCs w:val="22"/>
        </w:rPr>
        <w:t xml:space="preserve">   Project Timeline</w:t>
      </w:r>
      <w:r w:rsidR="00597BB2">
        <w:rPr>
          <w:rFonts w:eastAsia="Calibri"/>
          <w:color w:val="1A1A1A"/>
          <w:sz w:val="22"/>
          <w:szCs w:val="22"/>
        </w:rPr>
        <w:t xml:space="preserve"> - </w:t>
      </w:r>
      <w:r w:rsidR="00D274AD">
        <w:rPr>
          <w:rFonts w:eastAsia="Calibri"/>
          <w:color w:val="1A1A1A"/>
          <w:sz w:val="22"/>
          <w:szCs w:val="22"/>
        </w:rPr>
        <w:t>10 Weeks</w:t>
      </w:r>
      <w:r w:rsidR="009A490D" w:rsidRPr="006B26C8">
        <w:rPr>
          <w:rFonts w:eastAsia="Calibri"/>
          <w:sz w:val="22"/>
          <w:szCs w:val="22"/>
        </w:rPr>
        <w:t>………………………………………………………………</w:t>
      </w:r>
      <w:r w:rsidR="006B26C8" w:rsidRPr="006B26C8">
        <w:rPr>
          <w:rFonts w:eastAsia="Calibri"/>
          <w:sz w:val="22"/>
          <w:szCs w:val="22"/>
        </w:rPr>
        <w:t>……52</w:t>
      </w:r>
    </w:p>
    <w:p w14:paraId="2BC876D8" w14:textId="77777777" w:rsidR="00B37289" w:rsidRPr="001172CF" w:rsidRDefault="00B37289">
      <w:pPr>
        <w:spacing w:before="80"/>
      </w:pPr>
    </w:p>
    <w:p w14:paraId="0340DAF9" w14:textId="77777777" w:rsidR="00B37289" w:rsidRPr="001172CF" w:rsidRDefault="00B37289">
      <w:pPr>
        <w:spacing w:before="200"/>
      </w:pPr>
    </w:p>
    <w:p w14:paraId="6A1D4045" w14:textId="77777777" w:rsidR="00B37289" w:rsidRPr="001172CF" w:rsidRDefault="008C4330">
      <w:pPr>
        <w:pBdr>
          <w:bottom w:val="single" w:sz="8" w:space="4" w:color="1A5276"/>
        </w:pBdr>
        <w:spacing w:after="160"/>
      </w:pPr>
      <w:r w:rsidRPr="001172CF">
        <w:rPr>
          <w:b/>
          <w:bCs/>
          <w:color w:val="1A5276"/>
          <w:sz w:val="32"/>
          <w:szCs w:val="32"/>
        </w:rPr>
        <w:t>List of Tables</w:t>
      </w:r>
    </w:p>
    <w:p w14:paraId="7F3791A6" w14:textId="77777777" w:rsidR="00B37289" w:rsidRPr="00572767" w:rsidRDefault="00B37289">
      <w:pPr>
        <w:spacing w:before="80"/>
        <w:rPr>
          <w:sz w:val="22"/>
          <w:szCs w:val="22"/>
        </w:rPr>
      </w:pPr>
    </w:p>
    <w:p w14:paraId="15A5D47A" w14:textId="7F583358" w:rsidR="00B31035" w:rsidRDefault="00B31035" w:rsidP="00B31035">
      <w:pPr>
        <w:spacing w:before="60" w:after="60"/>
        <w:rPr>
          <w:sz w:val="22"/>
          <w:szCs w:val="22"/>
        </w:rPr>
      </w:pPr>
      <w:r>
        <w:rPr>
          <w:rFonts w:eastAsia="Calibri"/>
          <w:b/>
          <w:bCs/>
          <w:color w:val="1A4A6E"/>
          <w:sz w:val="22"/>
          <w:szCs w:val="22"/>
        </w:rPr>
        <w:t>Table 1</w:t>
      </w:r>
      <w:r>
        <w:rPr>
          <w:rFonts w:eastAsia="Calibri"/>
          <w:color w:val="1A1A1A"/>
          <w:sz w:val="22"/>
          <w:szCs w:val="22"/>
        </w:rPr>
        <w:t xml:space="preserve">   Research Objectives, Methods and Expected Outputs…………………………………………</w:t>
      </w:r>
      <w:r w:rsidR="00E94565">
        <w:rPr>
          <w:rFonts w:eastAsia="Calibri"/>
          <w:color w:val="1A1A1A"/>
          <w:sz w:val="22"/>
          <w:szCs w:val="22"/>
        </w:rPr>
        <w:t>….</w:t>
      </w:r>
      <w:r w:rsidR="00B7272D">
        <w:rPr>
          <w:rFonts w:eastAsia="Calibri"/>
          <w:color w:val="1A1A1A"/>
          <w:sz w:val="22"/>
          <w:szCs w:val="22"/>
        </w:rPr>
        <w:t>13</w:t>
      </w:r>
    </w:p>
    <w:p w14:paraId="15D4F83B" w14:textId="40A7A725" w:rsidR="00B31035" w:rsidRDefault="00B31035" w:rsidP="00B31035">
      <w:pPr>
        <w:spacing w:before="60" w:after="60"/>
        <w:rPr>
          <w:sz w:val="22"/>
          <w:szCs w:val="22"/>
        </w:rPr>
      </w:pPr>
      <w:r>
        <w:rPr>
          <w:rFonts w:eastAsia="Calibri"/>
          <w:b/>
          <w:bCs/>
          <w:color w:val="1A4A6E"/>
          <w:sz w:val="22"/>
          <w:szCs w:val="22"/>
        </w:rPr>
        <w:t>Table 2</w:t>
      </w:r>
      <w:r>
        <w:rPr>
          <w:rFonts w:eastAsia="Calibri"/>
          <w:color w:val="1A1A1A"/>
          <w:sz w:val="22"/>
          <w:szCs w:val="22"/>
        </w:rPr>
        <w:t xml:space="preserve">   Literature Review - Five-Theme Summary and Research Gap………………………………</w:t>
      </w:r>
      <w:r w:rsidR="000E38D5">
        <w:rPr>
          <w:rFonts w:eastAsia="Calibri"/>
          <w:color w:val="1A1A1A"/>
          <w:sz w:val="22"/>
          <w:szCs w:val="22"/>
        </w:rPr>
        <w:t>…</w:t>
      </w:r>
      <w:r w:rsidR="00E94565">
        <w:rPr>
          <w:rFonts w:eastAsia="Calibri"/>
          <w:color w:val="1A1A1A"/>
          <w:sz w:val="22"/>
          <w:szCs w:val="22"/>
        </w:rPr>
        <w:t>..</w:t>
      </w:r>
      <w:r w:rsidR="00DB6E5A">
        <w:rPr>
          <w:rFonts w:eastAsia="Calibri"/>
          <w:color w:val="1A1A1A"/>
          <w:sz w:val="22"/>
          <w:szCs w:val="22"/>
        </w:rPr>
        <w:t>.</w:t>
      </w:r>
      <w:r w:rsidR="00E94565">
        <w:rPr>
          <w:rFonts w:eastAsia="Calibri"/>
          <w:color w:val="1A1A1A"/>
          <w:sz w:val="22"/>
          <w:szCs w:val="22"/>
        </w:rPr>
        <w:t>.</w:t>
      </w:r>
      <w:r w:rsidR="00B7272D">
        <w:rPr>
          <w:rFonts w:eastAsia="Calibri"/>
          <w:color w:val="1A1A1A"/>
          <w:sz w:val="22"/>
          <w:szCs w:val="22"/>
        </w:rPr>
        <w:t>18</w:t>
      </w:r>
    </w:p>
    <w:p w14:paraId="2643B3D8" w14:textId="0FBE59FA" w:rsidR="00B31035" w:rsidRDefault="00B31035" w:rsidP="00B31035">
      <w:pPr>
        <w:spacing w:before="60" w:after="60"/>
        <w:rPr>
          <w:sz w:val="22"/>
          <w:szCs w:val="22"/>
        </w:rPr>
      </w:pPr>
      <w:r>
        <w:rPr>
          <w:rFonts w:eastAsia="Calibri"/>
          <w:b/>
          <w:bCs/>
          <w:color w:val="1A4A6E"/>
          <w:sz w:val="22"/>
          <w:szCs w:val="22"/>
        </w:rPr>
        <w:t>Table 3</w:t>
      </w:r>
      <w:r>
        <w:rPr>
          <w:rFonts w:eastAsia="Calibri"/>
          <w:color w:val="1A1A1A"/>
          <w:sz w:val="22"/>
          <w:szCs w:val="22"/>
        </w:rPr>
        <w:t xml:space="preserve">   Research Methodology - Layered Framework…………………………………………………</w:t>
      </w:r>
      <w:r w:rsidR="00E94565">
        <w:rPr>
          <w:rFonts w:eastAsia="Calibri"/>
          <w:color w:val="1A1A1A"/>
          <w:sz w:val="22"/>
          <w:szCs w:val="22"/>
        </w:rPr>
        <w:t>…..</w:t>
      </w:r>
      <w:r w:rsidR="00BC2C37">
        <w:rPr>
          <w:rFonts w:eastAsia="Calibri"/>
          <w:color w:val="1A1A1A"/>
          <w:sz w:val="22"/>
          <w:szCs w:val="22"/>
        </w:rPr>
        <w:t>27</w:t>
      </w:r>
    </w:p>
    <w:p w14:paraId="0E573918" w14:textId="2256F939" w:rsidR="00B31035" w:rsidRDefault="00B31035" w:rsidP="00B31035">
      <w:pPr>
        <w:spacing w:before="60" w:after="60"/>
        <w:rPr>
          <w:sz w:val="22"/>
          <w:szCs w:val="22"/>
        </w:rPr>
      </w:pPr>
      <w:r>
        <w:rPr>
          <w:rFonts w:eastAsia="Calibri"/>
          <w:b/>
          <w:bCs/>
          <w:color w:val="1A4A6E"/>
          <w:sz w:val="22"/>
          <w:szCs w:val="22"/>
        </w:rPr>
        <w:t>Table 4</w:t>
      </w:r>
      <w:r>
        <w:rPr>
          <w:rFonts w:eastAsia="Calibri"/>
          <w:color w:val="1A1A1A"/>
          <w:sz w:val="22"/>
          <w:szCs w:val="22"/>
        </w:rPr>
        <w:t xml:space="preserve">   Research Design and Methodology - Summary Reference Card………………………………</w:t>
      </w:r>
      <w:r w:rsidR="00E94565">
        <w:rPr>
          <w:rFonts w:eastAsia="Calibri"/>
          <w:color w:val="1A1A1A"/>
          <w:sz w:val="22"/>
          <w:szCs w:val="22"/>
        </w:rPr>
        <w:t>…..</w:t>
      </w:r>
      <w:r w:rsidR="00DB6E5A">
        <w:rPr>
          <w:rFonts w:eastAsia="Calibri"/>
          <w:color w:val="1A1A1A"/>
          <w:sz w:val="22"/>
          <w:szCs w:val="22"/>
        </w:rPr>
        <w:t>28</w:t>
      </w:r>
    </w:p>
    <w:p w14:paraId="4335F61B" w14:textId="07129968" w:rsidR="00B31035" w:rsidRDefault="00B31035" w:rsidP="00B31035">
      <w:pPr>
        <w:spacing w:before="60" w:after="60"/>
        <w:rPr>
          <w:sz w:val="22"/>
          <w:szCs w:val="22"/>
        </w:rPr>
      </w:pPr>
      <w:r>
        <w:rPr>
          <w:rFonts w:eastAsia="Calibri"/>
          <w:b/>
          <w:bCs/>
          <w:color w:val="1A4A6E"/>
          <w:sz w:val="22"/>
          <w:szCs w:val="22"/>
        </w:rPr>
        <w:t>Table 5</w:t>
      </w:r>
      <w:r>
        <w:rPr>
          <w:rFonts w:eastAsia="Calibri"/>
          <w:color w:val="1A1A1A"/>
          <w:sz w:val="22"/>
          <w:szCs w:val="22"/>
        </w:rPr>
        <w:t xml:space="preserve">   Statistical Analysis Pipeline - Methods, Objectives, and Outputs………………………………</w:t>
      </w:r>
      <w:r w:rsidR="00E94565">
        <w:rPr>
          <w:rFonts w:eastAsia="Calibri"/>
          <w:color w:val="1A1A1A"/>
          <w:sz w:val="22"/>
          <w:szCs w:val="22"/>
        </w:rPr>
        <w:t>…</w:t>
      </w:r>
      <w:r w:rsidR="00136400">
        <w:rPr>
          <w:rFonts w:eastAsia="Calibri"/>
          <w:color w:val="1A1A1A"/>
          <w:sz w:val="22"/>
          <w:szCs w:val="22"/>
        </w:rPr>
        <w:t>31</w:t>
      </w:r>
    </w:p>
    <w:p w14:paraId="082F3FFB" w14:textId="4FA00118" w:rsidR="00B31035" w:rsidRDefault="00B31035" w:rsidP="00B31035">
      <w:pPr>
        <w:spacing w:before="60" w:after="60"/>
        <w:rPr>
          <w:sz w:val="22"/>
          <w:szCs w:val="22"/>
        </w:rPr>
      </w:pPr>
      <w:r>
        <w:rPr>
          <w:rFonts w:eastAsia="Calibri"/>
          <w:b/>
          <w:bCs/>
          <w:color w:val="1A4A6E"/>
          <w:sz w:val="22"/>
          <w:szCs w:val="22"/>
        </w:rPr>
        <w:t>Table A1</w:t>
      </w:r>
      <w:r>
        <w:rPr>
          <w:rFonts w:eastAsia="Calibri"/>
          <w:color w:val="1A1A1A"/>
          <w:sz w:val="22"/>
          <w:szCs w:val="22"/>
        </w:rPr>
        <w:t xml:space="preserve">   Key Literature - Contributions and Relevance to This Study………………………………</w:t>
      </w:r>
      <w:r w:rsidR="00905FF5">
        <w:rPr>
          <w:rFonts w:eastAsia="Calibri"/>
          <w:color w:val="1A1A1A"/>
          <w:sz w:val="22"/>
          <w:szCs w:val="22"/>
        </w:rPr>
        <w:t>...41-42</w:t>
      </w:r>
    </w:p>
    <w:p w14:paraId="17B62F51" w14:textId="3E5ECEFF" w:rsidR="00B31035" w:rsidRDefault="00B31035" w:rsidP="00B31035">
      <w:pPr>
        <w:spacing w:before="60" w:after="60"/>
        <w:rPr>
          <w:sz w:val="22"/>
          <w:szCs w:val="22"/>
        </w:rPr>
      </w:pPr>
      <w:r>
        <w:rPr>
          <w:rFonts w:eastAsia="Calibri"/>
          <w:b/>
          <w:bCs/>
          <w:color w:val="1A4A6E"/>
          <w:sz w:val="22"/>
          <w:szCs w:val="22"/>
        </w:rPr>
        <w:t>Table B</w:t>
      </w:r>
      <w:r w:rsidR="00E94565">
        <w:rPr>
          <w:rFonts w:eastAsia="Calibri"/>
          <w:b/>
          <w:bCs/>
          <w:color w:val="1A4A6E"/>
          <w:sz w:val="22"/>
          <w:szCs w:val="22"/>
        </w:rPr>
        <w:t>2</w:t>
      </w:r>
      <w:r>
        <w:rPr>
          <w:rFonts w:eastAsia="Calibri"/>
          <w:color w:val="1A1A1A"/>
          <w:sz w:val="22"/>
          <w:szCs w:val="22"/>
        </w:rPr>
        <w:t xml:space="preserve">   Systematic Literature Review Screening Summary……………………………………………</w:t>
      </w:r>
      <w:r w:rsidR="00E94565">
        <w:rPr>
          <w:rFonts w:eastAsia="Calibri"/>
          <w:color w:val="1A1A1A"/>
          <w:sz w:val="22"/>
          <w:szCs w:val="22"/>
        </w:rPr>
        <w:t>...44</w:t>
      </w:r>
    </w:p>
    <w:p w14:paraId="4341F391" w14:textId="213A066F" w:rsidR="00B31035" w:rsidRDefault="00B31035" w:rsidP="00B31035">
      <w:pPr>
        <w:spacing w:before="60" w:after="60"/>
        <w:rPr>
          <w:sz w:val="22"/>
          <w:szCs w:val="22"/>
        </w:rPr>
      </w:pPr>
      <w:r>
        <w:rPr>
          <w:rFonts w:eastAsia="Calibri"/>
          <w:b/>
          <w:bCs/>
          <w:color w:val="1A4A6E"/>
          <w:sz w:val="22"/>
          <w:szCs w:val="22"/>
        </w:rPr>
        <w:t>Table C1</w:t>
      </w:r>
      <w:r>
        <w:rPr>
          <w:rFonts w:eastAsia="Calibri"/>
          <w:color w:val="1A1A1A"/>
          <w:sz w:val="22"/>
          <w:szCs w:val="22"/>
        </w:rPr>
        <w:t xml:space="preserve">   Sample Survey Instrument Items………………………………………………………………</w:t>
      </w:r>
      <w:r w:rsidR="00FC0D86">
        <w:rPr>
          <w:rFonts w:eastAsia="Calibri"/>
          <w:color w:val="1A1A1A"/>
          <w:sz w:val="22"/>
          <w:szCs w:val="22"/>
        </w:rPr>
        <w:t>…</w:t>
      </w:r>
      <w:r w:rsidR="00E94565">
        <w:rPr>
          <w:rFonts w:eastAsia="Calibri"/>
          <w:color w:val="1A1A1A"/>
          <w:sz w:val="22"/>
          <w:szCs w:val="22"/>
        </w:rPr>
        <w:t>46</w:t>
      </w:r>
    </w:p>
    <w:p w14:paraId="5429E3E8" w14:textId="4FB49EFB" w:rsidR="00B31035" w:rsidRDefault="00B31035" w:rsidP="00B31035">
      <w:pPr>
        <w:spacing w:before="60" w:after="60"/>
        <w:rPr>
          <w:sz w:val="22"/>
          <w:szCs w:val="22"/>
        </w:rPr>
      </w:pPr>
      <w:r>
        <w:rPr>
          <w:rFonts w:eastAsia="Calibri"/>
          <w:b/>
          <w:bCs/>
          <w:color w:val="1A4A6E"/>
          <w:sz w:val="22"/>
          <w:szCs w:val="22"/>
        </w:rPr>
        <w:t>Table D1</w:t>
      </w:r>
      <w:r>
        <w:rPr>
          <w:rFonts w:eastAsia="Calibri"/>
          <w:color w:val="1A1A1A"/>
          <w:sz w:val="22"/>
          <w:szCs w:val="22"/>
        </w:rPr>
        <w:t xml:space="preserve">   Software and Hardware Requirements…………………………………………………………</w:t>
      </w:r>
      <w:r w:rsidR="00296E97">
        <w:rPr>
          <w:rFonts w:eastAsia="Calibri"/>
          <w:color w:val="1A1A1A"/>
          <w:sz w:val="22"/>
          <w:szCs w:val="22"/>
        </w:rPr>
        <w:t>...47</w:t>
      </w:r>
    </w:p>
    <w:p w14:paraId="66191A23" w14:textId="68F61DC2" w:rsidR="00B31035" w:rsidRDefault="00B31035" w:rsidP="00B31035">
      <w:pPr>
        <w:spacing w:before="60" w:after="60"/>
        <w:rPr>
          <w:sz w:val="22"/>
          <w:szCs w:val="22"/>
        </w:rPr>
      </w:pPr>
      <w:r>
        <w:rPr>
          <w:rFonts w:eastAsia="Calibri"/>
          <w:b/>
          <w:bCs/>
          <w:color w:val="1A4A6E"/>
          <w:sz w:val="22"/>
          <w:szCs w:val="22"/>
        </w:rPr>
        <w:t>Table E1</w:t>
      </w:r>
      <w:r>
        <w:rPr>
          <w:rFonts w:eastAsia="Calibri"/>
          <w:color w:val="1A1A1A"/>
          <w:sz w:val="22"/>
          <w:szCs w:val="22"/>
        </w:rPr>
        <w:t xml:space="preserve">   Anticipated Hypothesis Outcomes - Supported and Rejected Scenarios………………………</w:t>
      </w:r>
      <w:r w:rsidR="00296E97">
        <w:rPr>
          <w:rFonts w:eastAsia="Calibri"/>
          <w:color w:val="1A1A1A"/>
          <w:sz w:val="22"/>
          <w:szCs w:val="22"/>
        </w:rPr>
        <w:t>...48</w:t>
      </w:r>
    </w:p>
    <w:p w14:paraId="6C0CAF44" w14:textId="432096E4" w:rsidR="00B31035" w:rsidRDefault="00B31035" w:rsidP="00B31035">
      <w:pPr>
        <w:spacing w:before="60" w:after="60"/>
        <w:rPr>
          <w:sz w:val="22"/>
          <w:szCs w:val="22"/>
        </w:rPr>
      </w:pPr>
      <w:r>
        <w:rPr>
          <w:rFonts w:eastAsia="Calibri"/>
          <w:b/>
          <w:bCs/>
          <w:color w:val="1A4A6E"/>
          <w:sz w:val="22"/>
          <w:szCs w:val="22"/>
        </w:rPr>
        <w:t>Table E2</w:t>
      </w:r>
      <w:r>
        <w:rPr>
          <w:rFonts w:eastAsia="Calibri"/>
          <w:color w:val="1A1A1A"/>
          <w:sz w:val="22"/>
          <w:szCs w:val="22"/>
        </w:rPr>
        <w:t xml:space="preserve">   Expected Research Findings…………………………………………………………………</w:t>
      </w:r>
      <w:r w:rsidR="006E1C29">
        <w:rPr>
          <w:rFonts w:eastAsia="Calibri"/>
          <w:color w:val="1A1A1A"/>
          <w:sz w:val="22"/>
          <w:szCs w:val="22"/>
        </w:rPr>
        <w:t>.48-49</w:t>
      </w:r>
    </w:p>
    <w:p w14:paraId="68323A43" w14:textId="5D4B55D3" w:rsidR="00E6629B" w:rsidRDefault="00E6629B" w:rsidP="00B31035">
      <w:pPr>
        <w:spacing w:before="60" w:after="60"/>
        <w:rPr>
          <w:rFonts w:eastAsia="Calibri"/>
          <w:b/>
          <w:bCs/>
          <w:color w:val="1A4A6E"/>
          <w:sz w:val="22"/>
          <w:szCs w:val="22"/>
        </w:rPr>
      </w:pPr>
      <w:r>
        <w:rPr>
          <w:rFonts w:eastAsia="Calibri"/>
          <w:b/>
          <w:bCs/>
          <w:color w:val="1A4A6E"/>
          <w:sz w:val="22"/>
          <w:szCs w:val="22"/>
        </w:rPr>
        <w:t>Table F1</w:t>
      </w:r>
      <w:r w:rsidR="00117BEF">
        <w:rPr>
          <w:rFonts w:eastAsia="Calibri"/>
          <w:b/>
          <w:bCs/>
          <w:color w:val="1A4A6E"/>
          <w:sz w:val="22"/>
          <w:szCs w:val="22"/>
        </w:rPr>
        <w:t xml:space="preserve">   </w:t>
      </w:r>
      <w:r w:rsidR="005D590B" w:rsidRPr="00117BEF">
        <w:rPr>
          <w:rFonts w:eastAsia="Calibri"/>
          <w:sz w:val="22"/>
          <w:szCs w:val="22"/>
        </w:rPr>
        <w:t>Proposed Trust by Design Framework</w:t>
      </w:r>
      <w:r w:rsidR="00117BEF" w:rsidRPr="00117BEF">
        <w:rPr>
          <w:rFonts w:eastAsia="Calibri"/>
          <w:sz w:val="22"/>
          <w:szCs w:val="22"/>
        </w:rPr>
        <w:t xml:space="preserve"> for UK web App</w:t>
      </w:r>
      <w:r w:rsidR="00117BEF">
        <w:rPr>
          <w:rFonts w:eastAsia="Calibri"/>
          <w:sz w:val="22"/>
          <w:szCs w:val="22"/>
        </w:rPr>
        <w:t>………………………………………</w:t>
      </w:r>
      <w:r w:rsidR="004F2359">
        <w:rPr>
          <w:rFonts w:eastAsia="Calibri"/>
          <w:sz w:val="22"/>
          <w:szCs w:val="22"/>
        </w:rPr>
        <w:t>...</w:t>
      </w:r>
      <w:r w:rsidR="00212983">
        <w:rPr>
          <w:rFonts w:eastAsia="Calibri"/>
          <w:sz w:val="22"/>
          <w:szCs w:val="22"/>
        </w:rPr>
        <w:t>50</w:t>
      </w:r>
    </w:p>
    <w:p w14:paraId="3DACBBE3" w14:textId="5D5A044E" w:rsidR="00B31035" w:rsidRDefault="00B31035" w:rsidP="00B31035">
      <w:pPr>
        <w:spacing w:before="60" w:after="60"/>
        <w:rPr>
          <w:sz w:val="22"/>
          <w:szCs w:val="22"/>
        </w:rPr>
      </w:pPr>
      <w:r>
        <w:rPr>
          <w:rFonts w:eastAsia="Calibri"/>
          <w:b/>
          <w:bCs/>
          <w:color w:val="1A4A6E"/>
          <w:sz w:val="22"/>
          <w:szCs w:val="22"/>
        </w:rPr>
        <w:t>Table G1</w:t>
      </w:r>
      <w:r>
        <w:rPr>
          <w:rFonts w:eastAsia="Calibri"/>
          <w:color w:val="1A1A1A"/>
          <w:sz w:val="22"/>
          <w:szCs w:val="22"/>
        </w:rPr>
        <w:t xml:space="preserve">   Project Risk Register……………………………………………………………………………</w:t>
      </w:r>
      <w:r w:rsidR="004F2359">
        <w:rPr>
          <w:rFonts w:eastAsia="Calibri"/>
          <w:color w:val="1A1A1A"/>
          <w:sz w:val="22"/>
          <w:szCs w:val="22"/>
        </w:rPr>
        <w:t>..51</w:t>
      </w:r>
    </w:p>
    <w:p w14:paraId="26B0DACB" w14:textId="0569231E" w:rsidR="00B31035" w:rsidRDefault="00B31035" w:rsidP="00B31035">
      <w:pPr>
        <w:spacing w:before="60" w:after="60"/>
        <w:rPr>
          <w:sz w:val="22"/>
          <w:szCs w:val="22"/>
        </w:rPr>
      </w:pPr>
      <w:r>
        <w:rPr>
          <w:rFonts w:eastAsia="Calibri"/>
          <w:b/>
          <w:bCs/>
          <w:color w:val="1A4A6E"/>
          <w:sz w:val="22"/>
          <w:szCs w:val="22"/>
        </w:rPr>
        <w:t>Table H1</w:t>
      </w:r>
      <w:r>
        <w:rPr>
          <w:rFonts w:eastAsia="Calibri"/>
          <w:color w:val="1A1A1A"/>
          <w:sz w:val="22"/>
          <w:szCs w:val="22"/>
        </w:rPr>
        <w:t xml:space="preserve">   Project Milestones and Deliverables……………………………………………………………</w:t>
      </w:r>
      <w:r w:rsidR="00DD11AC">
        <w:rPr>
          <w:rFonts w:eastAsia="Calibri"/>
          <w:color w:val="1A1A1A"/>
          <w:sz w:val="22"/>
          <w:szCs w:val="22"/>
        </w:rPr>
        <w:t>..52</w:t>
      </w:r>
    </w:p>
    <w:p w14:paraId="0A0F2652" w14:textId="4C773E82" w:rsidR="0035640B" w:rsidRPr="00572767" w:rsidRDefault="0035640B" w:rsidP="0035640B">
      <w:pPr>
        <w:spacing w:before="60" w:after="60"/>
        <w:rPr>
          <w:sz w:val="22"/>
          <w:szCs w:val="22"/>
        </w:rPr>
      </w:pPr>
    </w:p>
    <w:p w14:paraId="26D45D4A" w14:textId="77777777" w:rsidR="00B37289" w:rsidRPr="001172CF" w:rsidRDefault="008C4330">
      <w:r w:rsidRPr="001172CF">
        <w:br w:type="page"/>
      </w:r>
    </w:p>
    <w:p w14:paraId="3C0B96F5" w14:textId="77777777" w:rsidR="00B37289" w:rsidRPr="001172CF" w:rsidRDefault="008C4330">
      <w:pPr>
        <w:pBdr>
          <w:bottom w:val="single" w:sz="8" w:space="8" w:color="1A5276"/>
        </w:pBdr>
        <w:spacing w:after="80"/>
        <w:jc w:val="center"/>
      </w:pPr>
      <w:r w:rsidRPr="001172CF">
        <w:rPr>
          <w:b/>
          <w:bCs/>
          <w:color w:val="1A5276"/>
          <w:sz w:val="34"/>
          <w:szCs w:val="34"/>
        </w:rPr>
        <w:lastRenderedPageBreak/>
        <w:t>What Factors Determine Whether UK Adults Trust a Web Application With Their Personal Data?</w:t>
      </w:r>
    </w:p>
    <w:p w14:paraId="23AAFBE3" w14:textId="77777777" w:rsidR="00B37289" w:rsidRPr="001172CF" w:rsidRDefault="008C4330">
      <w:pPr>
        <w:spacing w:before="40" w:after="240"/>
        <w:jc w:val="center"/>
        <w:rPr>
          <w:i/>
          <w:iCs/>
          <w:color w:val="21618C"/>
        </w:rPr>
      </w:pPr>
      <w:r w:rsidRPr="001172CF">
        <w:rPr>
          <w:i/>
          <w:iCs/>
          <w:color w:val="21618C"/>
        </w:rPr>
        <w:t>A Post-GDPR Empirical Investigation</w:t>
      </w:r>
    </w:p>
    <w:p w14:paraId="718E06DB" w14:textId="77777777" w:rsidR="00E24395" w:rsidRPr="001172CF" w:rsidRDefault="00E24395">
      <w:pPr>
        <w:spacing w:before="40" w:after="240"/>
        <w:jc w:val="center"/>
      </w:pPr>
    </w:p>
    <w:p w14:paraId="76CFA3F2" w14:textId="29F19413" w:rsidR="0092704B" w:rsidRPr="008B4FD7" w:rsidRDefault="008B4FD7" w:rsidP="008B4FD7">
      <w:pPr>
        <w:pStyle w:val="Heading1"/>
      </w:pPr>
      <w:bookmarkStart w:id="2" w:name="_Toc234710534"/>
      <w:r>
        <w:t>1.</w:t>
      </w:r>
      <w:r w:rsidR="008C4330" w:rsidRPr="008B4FD7">
        <w:t>Introduction</w:t>
      </w:r>
      <w:bookmarkEnd w:id="2"/>
    </w:p>
    <w:p w14:paraId="1D58272B" w14:textId="77777777" w:rsidR="00981ADF" w:rsidRPr="001172CF" w:rsidRDefault="00981ADF" w:rsidP="009E2526">
      <w:pPr>
        <w:spacing w:line="360" w:lineRule="auto"/>
        <w:jc w:val="both"/>
      </w:pPr>
      <w:r w:rsidRPr="001172CF">
        <w:t>Trust has become one of the defining challenges of modern web application development. As organisations increasingly rely on web applications to deliver commercial, healthcare, financial, and public services, users are routinely required to disclose increasing volumes of personal information. Consequently, understanding the factors that influence trust has become an important research challenge spanning Human–Computer Interaction (HCI), Information Systems (IS), cybersecurity, and web application development [2], [3], [12].</w:t>
      </w:r>
    </w:p>
    <w:p w14:paraId="4FFD0350" w14:textId="0A453D95" w:rsidR="00981ADF" w:rsidRPr="001172CF" w:rsidRDefault="00981ADF" w:rsidP="009E2526">
      <w:pPr>
        <w:spacing w:line="360" w:lineRule="auto"/>
        <w:jc w:val="both"/>
      </w:pPr>
      <w:r w:rsidRPr="001172CF">
        <w:t>Despite significant advances in security technologies and the introduction of the General Data Protection Regulation (GDPR), users continue to express concerns regarding privacy, security, and the trustworthiness of online services [4]–[7]. Recent studies suggest that while regulatory frameworks have strengthened legal protections, they have not fully resolved the psychological and behavioural factors influencing users' willingness to trust web applications with their personal data [4]–[6].</w:t>
      </w:r>
    </w:p>
    <w:p w14:paraId="3874E968" w14:textId="77777777" w:rsidR="00981ADF" w:rsidRPr="001172CF" w:rsidRDefault="00981ADF" w:rsidP="009E2526">
      <w:pPr>
        <w:spacing w:line="360" w:lineRule="auto"/>
        <w:jc w:val="both"/>
      </w:pPr>
      <w:r w:rsidRPr="001172CF">
        <w:t>This proposal investigates the factors that determine whether UK adults trust a web application with their personal data in the post-GDPR environment. It seeks to identify and rank the technical, privacy-related, organisational, and design factors that most strongly influence trust, while examining whether GDPR awareness moderates the relationship between privacy concerns and trust behaviour. By addressing an important gap in the existing literature, the study aims to contribute both to academic understanding and to professional web application design through the development of an evidence-based Trust-by-Design Framework.</w:t>
      </w:r>
    </w:p>
    <w:p w14:paraId="782B1059" w14:textId="191FF9CD" w:rsidR="00981ADF" w:rsidRPr="001172CF" w:rsidRDefault="00981ADF" w:rsidP="009E2526">
      <w:pPr>
        <w:spacing w:line="360" w:lineRule="auto"/>
        <w:jc w:val="both"/>
      </w:pPr>
      <w:r w:rsidRPr="001172CF">
        <w:t>The remainder of this proposal is organised as follows. Section 1.1 provides the research context and current developments, followed by the research problem, research aim, objectives, and significance of the study. Chapter 2 critically reviews the literature and identifies the research gap, leading to the development of the research hypotheses. Chapter 3 presents the proposed methodology, while Chapter 4 outlines the anticipated outcomes, limitations, and project timeline.</w:t>
      </w:r>
    </w:p>
    <w:p w14:paraId="14BA74EC" w14:textId="77777777" w:rsidR="000124E2" w:rsidRPr="001172CF" w:rsidRDefault="000124E2">
      <w:pPr>
        <w:rPr>
          <w:rFonts w:eastAsia="Arial"/>
          <w:b/>
          <w:bCs/>
          <w:color w:val="21618C"/>
          <w:sz w:val="25"/>
          <w:szCs w:val="25"/>
        </w:rPr>
      </w:pPr>
      <w:r w:rsidRPr="001172CF">
        <w:br w:type="page"/>
      </w:r>
    </w:p>
    <w:p w14:paraId="2D077A7B" w14:textId="274171E0" w:rsidR="00981ADF" w:rsidRPr="001172CF" w:rsidRDefault="00981ADF" w:rsidP="00981ADF">
      <w:pPr>
        <w:pStyle w:val="Heading2"/>
        <w:spacing w:line="276" w:lineRule="auto"/>
        <w:rPr>
          <w:rFonts w:ascii="Times New Roman" w:hAnsi="Times New Roman" w:cs="Times New Roman"/>
        </w:rPr>
      </w:pPr>
      <w:bookmarkStart w:id="3" w:name="_Toc234710535"/>
      <w:r w:rsidRPr="001172CF">
        <w:rPr>
          <w:rFonts w:ascii="Times New Roman" w:hAnsi="Times New Roman" w:cs="Times New Roman"/>
        </w:rPr>
        <w:lastRenderedPageBreak/>
        <w:t>1.1 Context and Background</w:t>
      </w:r>
      <w:bookmarkEnd w:id="3"/>
    </w:p>
    <w:p w14:paraId="4330E847" w14:textId="5648EED3" w:rsidR="004F78AE" w:rsidRPr="001172CF" w:rsidRDefault="004F78AE" w:rsidP="009E2526">
      <w:pPr>
        <w:spacing w:after="160" w:line="360" w:lineRule="auto"/>
        <w:jc w:val="both"/>
      </w:pPr>
      <w:r w:rsidRPr="001172CF">
        <w:t xml:space="preserve">Web applications have become the primary gateway through which individuals interact with digital services, supporting activities ranging from online banking and e-commerce to healthcare, education, and government services. As organisations increasingly rely on web applications to deliver essential services, users are routinely required to disclose sensitive personal information, including financial details, health records, identity information, home addresses, and behavioural data. </w:t>
      </w:r>
      <w:r w:rsidR="00B259CE" w:rsidRPr="00B259CE">
        <w:t>This growing dependence on digital services has prompted increasing academic interest in understanding how trust is established, maintained, and influenced within modern web applications [2], [3], [20].</w:t>
      </w:r>
    </w:p>
    <w:p w14:paraId="464BCAA7" w14:textId="77777777" w:rsidR="004F78AE" w:rsidRPr="001172CF" w:rsidRDefault="004F78AE" w:rsidP="009E2526">
      <w:pPr>
        <w:spacing w:after="160" w:line="360" w:lineRule="auto"/>
        <w:jc w:val="both"/>
      </w:pPr>
      <w:r w:rsidRPr="001172CF">
        <w:t>The rapid digital transformation of society has significantly increased both the opportunities and risks associated with online services. Advances in cloud computing, artificial intelligence, mobile technologies, and personalised digital services have improved the accessibility and functionality of web applications while simultaneously increasing the amount of personal data organisations collect, process, and store. At the same time, cyber threats, phishing attacks, large-scale data breaches, and fraudulent online services have become increasingly sophisticated, making it progressively more difficult for users to distinguish legitimate web applications from malicious ones. As a result, establishing and maintaining user trust has become a critical challenge for organisations seeking to encourage the adoption of digital services and sustain long-term user relationships [1], [7], [19].</w:t>
      </w:r>
    </w:p>
    <w:p w14:paraId="64AA40DB" w14:textId="77777777" w:rsidR="004F78AE" w:rsidRPr="001172CF" w:rsidRDefault="004F78AE" w:rsidP="009E2526">
      <w:pPr>
        <w:spacing w:after="160" w:line="360" w:lineRule="auto"/>
        <w:jc w:val="both"/>
      </w:pPr>
      <w:r w:rsidRPr="001172CF">
        <w:t>This challenge is reflected in recent UK digital trends. UK adults made over 9.3 billion digital payments in 2023 alone, while the NHS App exceeded 35 million registered users by early 2025. Despite this widespread adoption, consumer confidence remains fragile. According to the Thales 2024 Digital Trust Index [1], 57% of consumers experienced website access or security issues during the previous year, while only 22% reported prioritising convenience over security when registering for a new digital service. Together, these findings demonstrate that although web applications have become embedded within everyday life, concerns surrounding privacy, security, and organisational trustworthiness continue to influence users' willingness to share personal information.</w:t>
      </w:r>
    </w:p>
    <w:p w14:paraId="728709BE" w14:textId="0EC78B75" w:rsidR="004F78AE" w:rsidRPr="001172CF" w:rsidRDefault="004F78AE" w:rsidP="009E2526">
      <w:pPr>
        <w:spacing w:after="160" w:line="360" w:lineRule="auto"/>
        <w:jc w:val="both"/>
      </w:pPr>
      <w:r w:rsidRPr="001172CF">
        <w:t>As the use of web applications has expanded, understanding why users choose to trust</w:t>
      </w:r>
      <w:r w:rsidR="001172CF">
        <w:t xml:space="preserve"> </w:t>
      </w:r>
      <w:r w:rsidRPr="001172CF">
        <w:t>or distrust</w:t>
      </w:r>
      <w:r w:rsidR="001172CF">
        <w:t xml:space="preserve"> </w:t>
      </w:r>
      <w:r w:rsidRPr="001172CF">
        <w:t xml:space="preserve">digital systems has become a major area of research within Information Systems and Human–Computer Interaction. Numerous theoretical models have been proposed to explain technology adoption and trust formation. Among the most influential is the Technology Acceptance Model (TAM), introduced by Davis [2], which proposes that Perceived Usefulness (PU) and Perceived Ease of Use (PEoU) are the primary determinants of technology acceptance. Venkatesh et al. [3] subsequently extended this work through the Unified Theory of Acceptance and Use of Technology (UTAUT), integrating eight earlier acceptance models into a broader framework comprising Performance Expectancy, Effort Expectancy, Social Influence, and Facilitating Conditions. Although </w:t>
      </w:r>
      <w:r w:rsidRPr="001172CF">
        <w:lastRenderedPageBreak/>
        <w:t>both models have significantly advanced understanding of technology adoption, they treat trust primarily as a supporting construct rather than as a central determinant of behavioural intention. This limitation has attracted increasing scholarly attention as modern web applications have become substantially more data-intensive, privacy-sensitive, and dependent upon users' willingness to disclose personal information [27], [28].</w:t>
      </w:r>
    </w:p>
    <w:p w14:paraId="418DA55A" w14:textId="77777777" w:rsidR="004F78AE" w:rsidRPr="001172CF" w:rsidRDefault="004F78AE" w:rsidP="009E2526">
      <w:pPr>
        <w:spacing w:after="160" w:line="360" w:lineRule="auto"/>
        <w:jc w:val="both"/>
      </w:pPr>
      <w:r w:rsidRPr="001172CF">
        <w:t xml:space="preserve">The introduction of the General Data Protection Regulation (GDPR) in 2018, together with its UK implementation through the UK GDPR, fundamentally reshaped the legal framework governing the collection, processing, and protection of personal data. One of its principal objectives was to strengthen public trust by increasing organisational transparency, accountability, and user control over personal information. However, seven years after its implementation, the evidence regarding its effectiveness remains mixed. Fox et al. [4] found that well-designed GDPR privacy labels can positively influence users' perceptions of trustworthiness and control. In contrast, Kulyk et al. [5] reported that GDPR cookie consent notices have had little effect on users' actual behaviour, while </w:t>
      </w:r>
      <w:proofErr w:type="spellStart"/>
      <w:r w:rsidRPr="001172CF">
        <w:t>Aridor</w:t>
      </w:r>
      <w:proofErr w:type="spellEnd"/>
      <w:r w:rsidRPr="001172CF">
        <w:t xml:space="preserve"> et al. [6] demonstrated that GDPR implementation reduced the number of trackable users without significantly increasing the trust of those who remained. Collectively, these findings suggest that although GDPR has strengthened the legal protection of personal data, regulatory compliance alone may be insufficient to explain how trust develops within contemporary web applications. Consequently, the psychological mechanisms underpinning user trust remain only partially understood, particularly within the UK post-GDPR context.</w:t>
      </w:r>
    </w:p>
    <w:p w14:paraId="378C4B8A" w14:textId="23299717" w:rsidR="00B37289" w:rsidRPr="001172CF" w:rsidRDefault="002D1300" w:rsidP="002D1300">
      <w:pPr>
        <w:spacing w:after="160" w:line="360" w:lineRule="auto"/>
        <w:jc w:val="both"/>
      </w:pPr>
      <w:r w:rsidRPr="00C843A8">
        <w:rPr>
          <w:b/>
          <w:bCs/>
        </w:rPr>
        <w:t>Figure 1</w:t>
      </w:r>
      <w:r w:rsidRPr="002D1300">
        <w:t xml:space="preserve"> highlights the factors consumers consider most important when deciding whether to trust a web application. Adapted from the Thales Digital Trust Index [1] and the Cisco Consumer Privacy Survey [7], it provides current evidence that complements the academic literature discussed throughout this proposal. While security and privacy remain the strongest influences on consumer trust, the findings also show that factors such as organisational reputation, interface design, and user reviews play an important role. Together, these findings suggest that trust is shaped by a combination of technical safeguards and users' perceptions, reinforcing the need to investigate which trust factors have the greatest influence within UK web applications.</w:t>
      </w:r>
    </w:p>
    <w:tbl>
      <w:tblPr>
        <w:tblW w:w="96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75"/>
        <w:gridCol w:w="4113"/>
        <w:gridCol w:w="2219"/>
        <w:gridCol w:w="717"/>
      </w:tblGrid>
      <w:tr w:rsidR="00B37289" w:rsidRPr="001172CF" w14:paraId="57283FFF" w14:textId="77777777" w:rsidTr="00572767">
        <w:trPr>
          <w:trHeight w:val="345"/>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1C3AC21B" w14:textId="77777777" w:rsidR="00B37289" w:rsidRPr="001172CF" w:rsidRDefault="008C4330" w:rsidP="00DC727A">
            <w:pPr>
              <w:spacing w:line="276" w:lineRule="auto"/>
            </w:pPr>
            <w:r w:rsidRPr="001172CF">
              <w:rPr>
                <w:sz w:val="19"/>
                <w:szCs w:val="19"/>
              </w:rPr>
              <w:t>Data privacy &amp; security</w:t>
            </w:r>
          </w:p>
        </w:tc>
        <w:tc>
          <w:tcPr>
            <w:tcW w:w="4113" w:type="dxa"/>
            <w:tcBorders>
              <w:top w:val="none" w:sz="0" w:space="0" w:color="FFFFFF"/>
              <w:left w:val="none" w:sz="0" w:space="0" w:color="FFFFFF"/>
              <w:bottom w:val="none" w:sz="0" w:space="0" w:color="FFFFFF"/>
              <w:right w:val="none" w:sz="0" w:space="0" w:color="FFFFFF"/>
            </w:tcBorders>
            <w:shd w:val="clear" w:color="auto" w:fill="1A5276"/>
            <w:tcMar>
              <w:top w:w="50" w:type="dxa"/>
              <w:left w:w="0" w:type="dxa"/>
              <w:bottom w:w="50" w:type="dxa"/>
              <w:right w:w="0" w:type="dxa"/>
            </w:tcMar>
          </w:tcPr>
          <w:p w14:paraId="1535388A"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35C6B87C"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23A04949" w14:textId="77777777" w:rsidR="00B37289" w:rsidRPr="001172CF" w:rsidRDefault="008C4330" w:rsidP="00DC727A">
            <w:pPr>
              <w:spacing w:line="276" w:lineRule="auto"/>
            </w:pPr>
            <w:r w:rsidRPr="001172CF">
              <w:rPr>
                <w:b/>
                <w:bCs/>
                <w:color w:val="1A5276"/>
                <w:sz w:val="19"/>
                <w:szCs w:val="19"/>
              </w:rPr>
              <w:t>89%</w:t>
            </w:r>
          </w:p>
        </w:tc>
      </w:tr>
      <w:tr w:rsidR="00B37289" w:rsidRPr="001172CF" w14:paraId="7A99695A" w14:textId="77777777" w:rsidTr="00572767">
        <w:trPr>
          <w:trHeight w:val="345"/>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3E2C089B" w14:textId="77777777" w:rsidR="00B37289" w:rsidRPr="001172CF" w:rsidRDefault="008C4330" w:rsidP="00DC727A">
            <w:pPr>
              <w:spacing w:line="276" w:lineRule="auto"/>
            </w:pPr>
            <w:r w:rsidRPr="001172CF">
              <w:rPr>
                <w:sz w:val="19"/>
                <w:szCs w:val="19"/>
              </w:rPr>
              <w:t>Transparent privacy policy</w:t>
            </w:r>
          </w:p>
        </w:tc>
        <w:tc>
          <w:tcPr>
            <w:tcW w:w="4113" w:type="dxa"/>
            <w:tcBorders>
              <w:top w:val="none" w:sz="0" w:space="0" w:color="FFFFFF"/>
              <w:left w:val="none" w:sz="0" w:space="0" w:color="FFFFFF"/>
              <w:bottom w:val="none" w:sz="0" w:space="0" w:color="FFFFFF"/>
              <w:right w:val="none" w:sz="0" w:space="0" w:color="FFFFFF"/>
            </w:tcBorders>
            <w:shd w:val="clear" w:color="auto" w:fill="21618C"/>
            <w:tcMar>
              <w:top w:w="50" w:type="dxa"/>
              <w:left w:w="0" w:type="dxa"/>
              <w:bottom w:w="50" w:type="dxa"/>
              <w:right w:w="0" w:type="dxa"/>
            </w:tcMar>
          </w:tcPr>
          <w:p w14:paraId="3A52FC86"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1CAE6ED5"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6ADEA629" w14:textId="77777777" w:rsidR="00B37289" w:rsidRPr="001172CF" w:rsidRDefault="008C4330" w:rsidP="00DC727A">
            <w:pPr>
              <w:spacing w:line="276" w:lineRule="auto"/>
            </w:pPr>
            <w:r w:rsidRPr="001172CF">
              <w:rPr>
                <w:b/>
                <w:bCs/>
                <w:color w:val="21618C"/>
                <w:sz w:val="19"/>
                <w:szCs w:val="19"/>
              </w:rPr>
              <w:t>81%</w:t>
            </w:r>
          </w:p>
        </w:tc>
      </w:tr>
      <w:tr w:rsidR="00B37289" w:rsidRPr="001172CF" w14:paraId="67EF0CE2" w14:textId="77777777" w:rsidTr="00572767">
        <w:trPr>
          <w:trHeight w:val="332"/>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6A6BA8A4" w14:textId="77777777" w:rsidR="00B37289" w:rsidRPr="001172CF" w:rsidRDefault="008C4330" w:rsidP="00DC727A">
            <w:pPr>
              <w:spacing w:line="276" w:lineRule="auto"/>
            </w:pPr>
            <w:r w:rsidRPr="001172CF">
              <w:rPr>
                <w:sz w:val="19"/>
                <w:szCs w:val="19"/>
              </w:rPr>
              <w:t>SSL/HTTPS certificate</w:t>
            </w:r>
          </w:p>
        </w:tc>
        <w:tc>
          <w:tcPr>
            <w:tcW w:w="4113" w:type="dxa"/>
            <w:tcBorders>
              <w:top w:val="none" w:sz="0" w:space="0" w:color="FFFFFF"/>
              <w:left w:val="none" w:sz="0" w:space="0" w:color="FFFFFF"/>
              <w:bottom w:val="none" w:sz="0" w:space="0" w:color="FFFFFF"/>
              <w:right w:val="none" w:sz="0" w:space="0" w:color="FFFFFF"/>
            </w:tcBorders>
            <w:shd w:val="clear" w:color="auto" w:fill="2874A6"/>
            <w:tcMar>
              <w:top w:w="50" w:type="dxa"/>
              <w:left w:w="0" w:type="dxa"/>
              <w:bottom w:w="50" w:type="dxa"/>
              <w:right w:w="0" w:type="dxa"/>
            </w:tcMar>
          </w:tcPr>
          <w:p w14:paraId="3F317AAA"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683B927D"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506FB13B" w14:textId="77777777" w:rsidR="00B37289" w:rsidRPr="001172CF" w:rsidRDefault="008C4330" w:rsidP="00DC727A">
            <w:pPr>
              <w:spacing w:line="276" w:lineRule="auto"/>
            </w:pPr>
            <w:r w:rsidRPr="001172CF">
              <w:rPr>
                <w:b/>
                <w:bCs/>
                <w:color w:val="2874A6"/>
                <w:sz w:val="19"/>
                <w:szCs w:val="19"/>
              </w:rPr>
              <w:t>76%</w:t>
            </w:r>
          </w:p>
        </w:tc>
      </w:tr>
      <w:tr w:rsidR="00B37289" w:rsidRPr="001172CF" w14:paraId="57D49A82" w14:textId="77777777" w:rsidTr="00572767">
        <w:trPr>
          <w:trHeight w:val="345"/>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58CE1BE2" w14:textId="77777777" w:rsidR="00B37289" w:rsidRPr="001172CF" w:rsidRDefault="008C4330" w:rsidP="00DC727A">
            <w:pPr>
              <w:spacing w:line="276" w:lineRule="auto"/>
            </w:pPr>
            <w:r w:rsidRPr="001172CF">
              <w:rPr>
                <w:sz w:val="19"/>
                <w:szCs w:val="19"/>
              </w:rPr>
              <w:t>Brand/company reputation</w:t>
            </w:r>
          </w:p>
        </w:tc>
        <w:tc>
          <w:tcPr>
            <w:tcW w:w="4113" w:type="dxa"/>
            <w:tcBorders>
              <w:top w:val="none" w:sz="0" w:space="0" w:color="FFFFFF"/>
              <w:left w:val="none" w:sz="0" w:space="0" w:color="FFFFFF"/>
              <w:bottom w:val="none" w:sz="0" w:space="0" w:color="FFFFFF"/>
              <w:right w:val="none" w:sz="0" w:space="0" w:color="FFFFFF"/>
            </w:tcBorders>
            <w:shd w:val="clear" w:color="auto" w:fill="3498DB"/>
            <w:tcMar>
              <w:top w:w="50" w:type="dxa"/>
              <w:left w:w="0" w:type="dxa"/>
              <w:bottom w:w="50" w:type="dxa"/>
              <w:right w:w="0" w:type="dxa"/>
            </w:tcMar>
          </w:tcPr>
          <w:p w14:paraId="76108883"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7351FA81"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2B041CE0" w14:textId="77777777" w:rsidR="00B37289" w:rsidRPr="001172CF" w:rsidRDefault="008C4330" w:rsidP="00DC727A">
            <w:pPr>
              <w:spacing w:line="276" w:lineRule="auto"/>
            </w:pPr>
            <w:r w:rsidRPr="001172CF">
              <w:rPr>
                <w:b/>
                <w:bCs/>
                <w:color w:val="3498DB"/>
                <w:sz w:val="19"/>
                <w:szCs w:val="19"/>
              </w:rPr>
              <w:t>71%</w:t>
            </w:r>
          </w:p>
        </w:tc>
      </w:tr>
      <w:tr w:rsidR="00B37289" w:rsidRPr="001172CF" w14:paraId="7C2DD6E1" w14:textId="77777777" w:rsidTr="00572767">
        <w:trPr>
          <w:trHeight w:val="345"/>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123864F7" w14:textId="77777777" w:rsidR="00B37289" w:rsidRPr="001172CF" w:rsidRDefault="008C4330" w:rsidP="00DC727A">
            <w:pPr>
              <w:spacing w:line="276" w:lineRule="auto"/>
            </w:pPr>
            <w:r w:rsidRPr="001172CF">
              <w:rPr>
                <w:sz w:val="19"/>
                <w:szCs w:val="19"/>
              </w:rPr>
              <w:t>Easy-to-manage settings</w:t>
            </w:r>
          </w:p>
        </w:tc>
        <w:tc>
          <w:tcPr>
            <w:tcW w:w="4113" w:type="dxa"/>
            <w:tcBorders>
              <w:top w:val="none" w:sz="0" w:space="0" w:color="FFFFFF"/>
              <w:left w:val="none" w:sz="0" w:space="0" w:color="FFFFFF"/>
              <w:bottom w:val="none" w:sz="0" w:space="0" w:color="FFFFFF"/>
              <w:right w:val="none" w:sz="0" w:space="0" w:color="FFFFFF"/>
            </w:tcBorders>
            <w:shd w:val="clear" w:color="auto" w:fill="5DADE2"/>
            <w:tcMar>
              <w:top w:w="50" w:type="dxa"/>
              <w:left w:w="0" w:type="dxa"/>
              <w:bottom w:w="50" w:type="dxa"/>
              <w:right w:w="0" w:type="dxa"/>
            </w:tcMar>
          </w:tcPr>
          <w:p w14:paraId="18861540"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6AE9F098"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2BBFE7D6" w14:textId="77777777" w:rsidR="00B37289" w:rsidRPr="001172CF" w:rsidRDefault="008C4330" w:rsidP="00DC727A">
            <w:pPr>
              <w:spacing w:line="276" w:lineRule="auto"/>
            </w:pPr>
            <w:r w:rsidRPr="001172CF">
              <w:rPr>
                <w:b/>
                <w:bCs/>
                <w:color w:val="5DADE2"/>
                <w:sz w:val="19"/>
                <w:szCs w:val="19"/>
              </w:rPr>
              <w:t>66%</w:t>
            </w:r>
          </w:p>
        </w:tc>
      </w:tr>
      <w:tr w:rsidR="00B37289" w:rsidRPr="001172CF" w14:paraId="53D8B50D" w14:textId="77777777" w:rsidTr="00572767">
        <w:trPr>
          <w:trHeight w:val="345"/>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0599634A" w14:textId="77777777" w:rsidR="00B37289" w:rsidRPr="001172CF" w:rsidRDefault="008C4330" w:rsidP="00DC727A">
            <w:pPr>
              <w:spacing w:line="276" w:lineRule="auto"/>
            </w:pPr>
            <w:r w:rsidRPr="001172CF">
              <w:rPr>
                <w:sz w:val="19"/>
                <w:szCs w:val="19"/>
              </w:rPr>
              <w:t>Positive user reviews</w:t>
            </w:r>
          </w:p>
        </w:tc>
        <w:tc>
          <w:tcPr>
            <w:tcW w:w="4113" w:type="dxa"/>
            <w:tcBorders>
              <w:top w:val="none" w:sz="0" w:space="0" w:color="FFFFFF"/>
              <w:left w:val="none" w:sz="0" w:space="0" w:color="FFFFFF"/>
              <w:bottom w:val="none" w:sz="0" w:space="0" w:color="FFFFFF"/>
              <w:right w:val="none" w:sz="0" w:space="0" w:color="FFFFFF"/>
            </w:tcBorders>
            <w:shd w:val="clear" w:color="auto" w:fill="85C1E9"/>
            <w:tcMar>
              <w:top w:w="50" w:type="dxa"/>
              <w:left w:w="0" w:type="dxa"/>
              <w:bottom w:w="50" w:type="dxa"/>
              <w:right w:w="0" w:type="dxa"/>
            </w:tcMar>
          </w:tcPr>
          <w:p w14:paraId="6882B093"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78BCD50F"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7F46A299" w14:textId="77777777" w:rsidR="00B37289" w:rsidRPr="001172CF" w:rsidRDefault="008C4330" w:rsidP="00DC727A">
            <w:pPr>
              <w:spacing w:line="276" w:lineRule="auto"/>
            </w:pPr>
            <w:r w:rsidRPr="001172CF">
              <w:rPr>
                <w:b/>
                <w:bCs/>
                <w:color w:val="85C1E9"/>
                <w:sz w:val="19"/>
                <w:szCs w:val="19"/>
              </w:rPr>
              <w:t>59%</w:t>
            </w:r>
          </w:p>
        </w:tc>
      </w:tr>
      <w:tr w:rsidR="00B37289" w:rsidRPr="001172CF" w14:paraId="56261DD9" w14:textId="77777777" w:rsidTr="00572767">
        <w:trPr>
          <w:trHeight w:val="332"/>
        </w:trPr>
        <w:tc>
          <w:tcPr>
            <w:tcW w:w="2575"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3BA69C19" w14:textId="77777777" w:rsidR="00B37289" w:rsidRPr="001172CF" w:rsidRDefault="008C4330" w:rsidP="00DC727A">
            <w:pPr>
              <w:spacing w:line="276" w:lineRule="auto"/>
            </w:pPr>
            <w:r w:rsidRPr="001172CF">
              <w:rPr>
                <w:sz w:val="19"/>
                <w:szCs w:val="19"/>
              </w:rPr>
              <w:lastRenderedPageBreak/>
              <w:t>Professional visual design</w:t>
            </w:r>
          </w:p>
        </w:tc>
        <w:tc>
          <w:tcPr>
            <w:tcW w:w="4113" w:type="dxa"/>
            <w:tcBorders>
              <w:top w:val="none" w:sz="0" w:space="0" w:color="FFFFFF"/>
              <w:left w:val="none" w:sz="0" w:space="0" w:color="FFFFFF"/>
              <w:bottom w:val="none" w:sz="0" w:space="0" w:color="FFFFFF"/>
              <w:right w:val="none" w:sz="0" w:space="0" w:color="FFFFFF"/>
            </w:tcBorders>
            <w:shd w:val="clear" w:color="auto" w:fill="AED6F1"/>
            <w:tcMar>
              <w:top w:w="50" w:type="dxa"/>
              <w:left w:w="0" w:type="dxa"/>
              <w:bottom w:w="50" w:type="dxa"/>
              <w:right w:w="0" w:type="dxa"/>
            </w:tcMar>
          </w:tcPr>
          <w:p w14:paraId="01BF45E6" w14:textId="77777777" w:rsidR="00B37289" w:rsidRPr="001172CF" w:rsidRDefault="00B37289" w:rsidP="00DC727A">
            <w:pPr>
              <w:spacing w:line="276" w:lineRule="auto"/>
            </w:pPr>
          </w:p>
        </w:tc>
        <w:tc>
          <w:tcPr>
            <w:tcW w:w="2219" w:type="dxa"/>
            <w:tcBorders>
              <w:top w:val="none" w:sz="0" w:space="0" w:color="FFFFFF"/>
              <w:left w:val="none" w:sz="0" w:space="0" w:color="FFFFFF"/>
              <w:bottom w:val="none" w:sz="0" w:space="0" w:color="FFFFFF"/>
              <w:right w:val="none" w:sz="0" w:space="0" w:color="FFFFFF"/>
            </w:tcBorders>
            <w:shd w:val="clear" w:color="auto" w:fill="ECF0F1"/>
            <w:tcMar>
              <w:top w:w="50" w:type="dxa"/>
              <w:left w:w="0" w:type="dxa"/>
              <w:bottom w:w="50" w:type="dxa"/>
              <w:right w:w="0" w:type="dxa"/>
            </w:tcMar>
          </w:tcPr>
          <w:p w14:paraId="21E941BA" w14:textId="77777777" w:rsidR="00B37289" w:rsidRPr="001172CF" w:rsidRDefault="00B37289" w:rsidP="00DC727A">
            <w:pPr>
              <w:spacing w:line="276" w:lineRule="auto"/>
            </w:pPr>
          </w:p>
        </w:tc>
        <w:tc>
          <w:tcPr>
            <w:tcW w:w="717" w:type="dxa"/>
            <w:tcBorders>
              <w:top w:val="none" w:sz="0" w:space="0" w:color="FFFFFF"/>
              <w:left w:val="none" w:sz="0" w:space="0" w:color="FFFFFF"/>
              <w:bottom w:val="none" w:sz="0" w:space="0" w:color="FFFFFF"/>
              <w:right w:val="none" w:sz="0" w:space="0" w:color="FFFFFF"/>
            </w:tcBorders>
            <w:tcMar>
              <w:top w:w="50" w:type="dxa"/>
              <w:left w:w="80" w:type="dxa"/>
              <w:bottom w:w="50" w:type="dxa"/>
              <w:right w:w="80" w:type="dxa"/>
            </w:tcMar>
          </w:tcPr>
          <w:p w14:paraId="0C8B46C1" w14:textId="77777777" w:rsidR="00B37289" w:rsidRPr="001172CF" w:rsidRDefault="008C4330" w:rsidP="00DC727A">
            <w:pPr>
              <w:spacing w:line="276" w:lineRule="auto"/>
            </w:pPr>
            <w:r w:rsidRPr="001172CF">
              <w:rPr>
                <w:b/>
                <w:bCs/>
                <w:color w:val="AED6F1"/>
                <w:sz w:val="19"/>
                <w:szCs w:val="19"/>
              </w:rPr>
              <w:t>52%</w:t>
            </w:r>
          </w:p>
        </w:tc>
      </w:tr>
    </w:tbl>
    <w:p w14:paraId="0F53EF78" w14:textId="77777777" w:rsidR="00124654" w:rsidRPr="001172CF" w:rsidRDefault="00E62832" w:rsidP="00DC727A">
      <w:pPr>
        <w:spacing w:after="60" w:line="276" w:lineRule="auto"/>
        <w:jc w:val="center"/>
        <w:rPr>
          <w:color w:val="156082" w:themeColor="accent1"/>
        </w:rPr>
      </w:pPr>
      <w:r w:rsidRPr="001172CF">
        <w:rPr>
          <w:color w:val="156082" w:themeColor="accent1"/>
          <w:sz w:val="20"/>
          <w:szCs w:val="20"/>
        </w:rPr>
        <w:t>Figure 1: Key Factors Influencing Consumer Trust in Web Applications [8], [9].</w:t>
      </w:r>
    </w:p>
    <w:p w14:paraId="221675B5" w14:textId="77777777" w:rsidR="00B37289" w:rsidRPr="001172CF" w:rsidRDefault="00B37289" w:rsidP="00DC727A">
      <w:pPr>
        <w:spacing w:before="80" w:line="276" w:lineRule="auto"/>
        <w:jc w:val="both"/>
      </w:pPr>
    </w:p>
    <w:p w14:paraId="52AE738D" w14:textId="3CF935A0" w:rsidR="00B37289" w:rsidRPr="001172CF" w:rsidRDefault="009E2526" w:rsidP="001172CF">
      <w:pPr>
        <w:spacing w:line="360" w:lineRule="auto"/>
        <w:jc w:val="both"/>
      </w:pPr>
      <w:r w:rsidRPr="00C843A8">
        <w:rPr>
          <w:b/>
          <w:bCs/>
        </w:rPr>
        <w:t>Figure 1</w:t>
      </w:r>
      <w:r w:rsidRPr="001172CF">
        <w:t xml:space="preserve"> demonstrates a clear hierarchy of trust factors. Security and privacy-related variables occupy the three highest positions, with data privacy and security (89%), transparent privacy policies (81%), and SSL/HTTPS certificates (76%) emerging as the strongest influences on consumer trust. However, organisational reputation, user reviews, and professional visual design also contribute meaningfully to users' trust decisions, indicating that trust cannot be explained solely through technical security mechanisms. Instead, trust appears to emerge from the interaction of technical, organisational, and psychological factors. This provides a strong rationale for the multivariable regression approach proposed in this study, which will evaluate the independent contribution of each trust factor and ultimately inform the development of a practical Trust-by-Design Framework for UK web developers.</w:t>
      </w:r>
    </w:p>
    <w:p w14:paraId="02E22480" w14:textId="610E0768" w:rsidR="00B37289" w:rsidRPr="001172CF" w:rsidRDefault="008C4330" w:rsidP="005A2712">
      <w:pPr>
        <w:pStyle w:val="Heading2"/>
        <w:rPr>
          <w:rFonts w:ascii="Times New Roman" w:hAnsi="Times New Roman" w:cs="Times New Roman"/>
        </w:rPr>
      </w:pPr>
      <w:bookmarkStart w:id="4" w:name="_Toc234710536"/>
      <w:r w:rsidRPr="001172CF">
        <w:rPr>
          <w:rFonts w:ascii="Times New Roman" w:hAnsi="Times New Roman" w:cs="Times New Roman"/>
        </w:rPr>
        <w:t>1.2 Research Problem</w:t>
      </w:r>
      <w:bookmarkEnd w:id="4"/>
    </w:p>
    <w:p w14:paraId="2E442D5A" w14:textId="1AACCC54" w:rsidR="00E27849" w:rsidRPr="001172CF" w:rsidRDefault="0036550C" w:rsidP="007772A5">
      <w:pPr>
        <w:spacing w:line="360" w:lineRule="auto"/>
        <w:jc w:val="both"/>
      </w:pPr>
      <w:r w:rsidRPr="001172CF">
        <w:t>This section establishes the central research problem through a formal problem statement and six literature-based challenges linked directly to the research objectives. Together, these demonstrate that UK web developers and UX practitioners lack empirically validated, post-GDPR guidance on which trust signals to prioritise because existing theories, empirical evidence, and design frameworks remain outdated, fragmented, or insufficiently representative of the contemporary UK context.</w:t>
      </w:r>
    </w:p>
    <w:p w14:paraId="389EED82" w14:textId="77777777" w:rsidR="00B37289" w:rsidRPr="003071F7" w:rsidRDefault="008C4330" w:rsidP="003071F7">
      <w:pPr>
        <w:pStyle w:val="Heading3"/>
      </w:pPr>
      <w:bookmarkStart w:id="5" w:name="_Toc234710537"/>
      <w:r w:rsidRPr="003071F7">
        <w:t>1.2.1 Problem Statement</w:t>
      </w:r>
      <w:bookmarkEnd w:id="5"/>
    </w:p>
    <w:p w14:paraId="440A781C" w14:textId="77777777" w:rsidR="00B37289" w:rsidRPr="001172CF" w:rsidRDefault="008C4330" w:rsidP="007772A5">
      <w:pPr>
        <w:pBdr>
          <w:left w:val="single" w:sz="12" w:space="8" w:color="1A5276"/>
        </w:pBdr>
        <w:spacing w:before="120" w:after="120" w:line="360" w:lineRule="auto"/>
        <w:jc w:val="both"/>
      </w:pPr>
      <w:r w:rsidRPr="001172CF">
        <w:t>Despite nearly three decades of research into technology acceptance, and seven years of GDPR implementation, no empirically grounded, UK-specific model exists that identifies and ranks the factors most strongly associated with adult user trust in web applications in the post-GDPR regulatory environment.</w:t>
      </w:r>
    </w:p>
    <w:p w14:paraId="4CC4A189" w14:textId="7D5732D8" w:rsidR="004A7B6A" w:rsidRDefault="008C4330" w:rsidP="007B2B1B">
      <w:pPr>
        <w:spacing w:before="80" w:after="110" w:line="360" w:lineRule="auto"/>
        <w:jc w:val="both"/>
      </w:pPr>
      <w:r w:rsidRPr="001172CF">
        <w:t>This is not merely an academic gap. Web developers and UX designers in the UK currently have no evidence-based, UK-calibrated guidance on which trust signals to prioritise when building applications that ask users for personal data. They rely on industry heuristics, vendor-produced reports, or research conducted in other national and regulatory contexts.</w:t>
      </w:r>
    </w:p>
    <w:p w14:paraId="2E75EB46" w14:textId="77777777" w:rsidR="00B37289" w:rsidRPr="003071F7" w:rsidRDefault="008C4330" w:rsidP="003071F7">
      <w:pPr>
        <w:pStyle w:val="Heading3"/>
      </w:pPr>
      <w:bookmarkStart w:id="6" w:name="_Toc234710538"/>
      <w:r w:rsidRPr="003071F7">
        <w:t>1.2.2 Current Challenges</w:t>
      </w:r>
      <w:bookmarkEnd w:id="6"/>
    </w:p>
    <w:p w14:paraId="539B64B8" w14:textId="6A841F5B" w:rsidR="006F399F" w:rsidRPr="001172CF" w:rsidRDefault="008C4330" w:rsidP="006D62B0">
      <w:pPr>
        <w:spacing w:before="80" w:after="110" w:line="360" w:lineRule="auto"/>
        <w:jc w:val="both"/>
      </w:pPr>
      <w:r w:rsidRPr="001172CF">
        <w:t xml:space="preserve">The following </w:t>
      </w:r>
      <w:r w:rsidR="00091EE1" w:rsidRPr="001172CF">
        <w:t>six</w:t>
      </w:r>
      <w:r w:rsidRPr="001172CF">
        <w:t xml:space="preserve"> interconnected challenges collectively define why this research is both </w:t>
      </w:r>
      <w:r w:rsidR="00D83444" w:rsidRPr="001172CF">
        <w:t>timely</w:t>
      </w:r>
      <w:r w:rsidRPr="001172CF">
        <w:t xml:space="preserve"> and necessary. </w:t>
      </w:r>
      <w:r w:rsidR="00415454" w:rsidRPr="001172CF">
        <w:t xml:space="preserve">Each </w:t>
      </w:r>
      <w:r w:rsidR="006D62B0" w:rsidRPr="001172CF">
        <w:t>identifies a limitation in current knowledge, and directly informs one or more of the research objectives presented in Section 1.3.</w:t>
      </w:r>
    </w:p>
    <w:p w14:paraId="1CD3BD29" w14:textId="74496E6A" w:rsidR="00964848" w:rsidRPr="00BC166A" w:rsidRDefault="008C4330" w:rsidP="001172CF">
      <w:pPr>
        <w:pStyle w:val="ListParagraph"/>
        <w:numPr>
          <w:ilvl w:val="0"/>
          <w:numId w:val="2"/>
        </w:numPr>
        <w:spacing w:before="70" w:after="70" w:line="360" w:lineRule="auto"/>
        <w:jc w:val="both"/>
        <w:rPr>
          <w:rFonts w:ascii="Times New Roman" w:hAnsi="Times New Roman" w:cs="Times New Roman"/>
          <w:sz w:val="24"/>
          <w:szCs w:val="24"/>
        </w:rPr>
      </w:pPr>
      <w:r w:rsidRPr="00BC166A">
        <w:rPr>
          <w:rFonts w:ascii="Times New Roman" w:hAnsi="Times New Roman" w:cs="Times New Roman"/>
          <w:b/>
          <w:bCs/>
          <w:color w:val="156082" w:themeColor="accent1"/>
          <w:sz w:val="24"/>
          <w:szCs w:val="24"/>
        </w:rPr>
        <w:lastRenderedPageBreak/>
        <w:t xml:space="preserve">The Privacy Paradox persists in post-GDPR environments. </w:t>
      </w:r>
      <w:proofErr w:type="spellStart"/>
      <w:r w:rsidRPr="00BC166A">
        <w:rPr>
          <w:rFonts w:ascii="Times New Roman" w:hAnsi="Times New Roman" w:cs="Times New Roman"/>
          <w:sz w:val="24"/>
          <w:szCs w:val="24"/>
        </w:rPr>
        <w:t>Kokolakis</w:t>
      </w:r>
      <w:proofErr w:type="spellEnd"/>
      <w:r w:rsidRPr="00BC166A">
        <w:rPr>
          <w:rFonts w:ascii="Times New Roman" w:hAnsi="Times New Roman" w:cs="Times New Roman"/>
          <w:sz w:val="24"/>
          <w:szCs w:val="24"/>
        </w:rPr>
        <w:t xml:space="preserve"> </w:t>
      </w:r>
      <w:r w:rsidRPr="00BC166A">
        <w:rPr>
          <w:rFonts w:ascii="Times New Roman" w:hAnsi="Times New Roman" w:cs="Times New Roman"/>
          <w:b/>
          <w:bCs/>
          <w:color w:val="1A5276"/>
          <w:sz w:val="24"/>
          <w:szCs w:val="24"/>
        </w:rPr>
        <w:t>[9]</w:t>
      </w:r>
      <w:r w:rsidRPr="00BC166A">
        <w:rPr>
          <w:rFonts w:ascii="Times New Roman" w:hAnsi="Times New Roman" w:cs="Times New Roman"/>
          <w:sz w:val="24"/>
          <w:szCs w:val="24"/>
        </w:rPr>
        <w:t xml:space="preserve"> defines the Privacy Paradox as the systematic gap between </w:t>
      </w:r>
      <w:r w:rsidR="00CF25BA" w:rsidRPr="00BC166A">
        <w:rPr>
          <w:rFonts w:ascii="Times New Roman" w:hAnsi="Times New Roman" w:cs="Times New Roman"/>
          <w:sz w:val="24"/>
          <w:szCs w:val="24"/>
        </w:rPr>
        <w:t>users</w:t>
      </w:r>
      <w:r w:rsidRPr="00BC166A">
        <w:rPr>
          <w:rFonts w:ascii="Times New Roman" w:hAnsi="Times New Roman" w:cs="Times New Roman"/>
          <w:sz w:val="24"/>
          <w:szCs w:val="24"/>
        </w:rPr>
        <w:t xml:space="preserve"> stated concern for privacy and their actual disclosure behaviour. Bélanger and </w:t>
      </w:r>
      <w:proofErr w:type="spellStart"/>
      <w:r w:rsidRPr="00BC166A">
        <w:rPr>
          <w:rFonts w:ascii="Times New Roman" w:hAnsi="Times New Roman" w:cs="Times New Roman"/>
          <w:sz w:val="24"/>
          <w:szCs w:val="24"/>
        </w:rPr>
        <w:t>Crossler</w:t>
      </w:r>
      <w:proofErr w:type="spellEnd"/>
      <w:r w:rsidRPr="00BC166A">
        <w:rPr>
          <w:rFonts w:ascii="Times New Roman" w:hAnsi="Times New Roman" w:cs="Times New Roman"/>
          <w:sz w:val="24"/>
          <w:szCs w:val="24"/>
        </w:rPr>
        <w:t xml:space="preserve"> [</w:t>
      </w:r>
      <w:r w:rsidR="00A0620D" w:rsidRPr="00BC166A">
        <w:rPr>
          <w:rFonts w:ascii="Times New Roman" w:hAnsi="Times New Roman" w:cs="Times New Roman"/>
          <w:sz w:val="24"/>
          <w:szCs w:val="24"/>
        </w:rPr>
        <w:t>2</w:t>
      </w:r>
      <w:r w:rsidR="008B7E69" w:rsidRPr="00BC166A">
        <w:rPr>
          <w:rFonts w:ascii="Times New Roman" w:hAnsi="Times New Roman" w:cs="Times New Roman"/>
          <w:sz w:val="24"/>
          <w:szCs w:val="24"/>
        </w:rPr>
        <w:t>5</w:t>
      </w:r>
      <w:r w:rsidRPr="00BC166A">
        <w:rPr>
          <w:rFonts w:ascii="Times New Roman" w:hAnsi="Times New Roman" w:cs="Times New Roman"/>
          <w:sz w:val="24"/>
          <w:szCs w:val="24"/>
        </w:rPr>
        <w:t>] identified this attitude–behaviour gap as one of the most persistent unresolved issues in Information Systems (IS) research, highlighting the longstanding difficulty of predicting privacy-related behaviour from stated attitudes alone. Wang and Chen [10] confirmed that this paradox continues to persist in contemporary surveillance-driven digital environments. Cisco's 2024 Consumer Privacy Survey [7] found that 82% of consumers express concern about privacy, yet only 9% read privacy policies fully before submitting personal data [11]. The continued presence of this gap despite stronger regulatory frameworks such as GDPR suggests that legal compliance alone may be insufficient to influence user behaviour. Instead, psychological, social, and usability factors also appear to shape privacy-related decision-making.</w:t>
      </w:r>
    </w:p>
    <w:p w14:paraId="343C7988" w14:textId="77777777" w:rsidR="006F399F" w:rsidRPr="001172CF" w:rsidRDefault="006F399F" w:rsidP="006F399F">
      <w:pPr>
        <w:pStyle w:val="ListParagraph"/>
        <w:spacing w:before="70" w:after="70" w:line="360" w:lineRule="auto"/>
        <w:ind w:left="720"/>
        <w:jc w:val="both"/>
        <w:rPr>
          <w:rFonts w:ascii="Times New Roman" w:hAnsi="Times New Roman" w:cs="Times New Roman"/>
        </w:rPr>
      </w:pPr>
    </w:p>
    <w:p w14:paraId="397D05E7" w14:textId="1AD7F58A" w:rsidR="00B73DFF" w:rsidRDefault="00B73DFF" w:rsidP="001172CF">
      <w:pPr>
        <w:numPr>
          <w:ilvl w:val="0"/>
          <w:numId w:val="5"/>
        </w:numPr>
        <w:spacing w:before="80" w:after="110" w:line="352" w:lineRule="auto"/>
        <w:jc w:val="both"/>
      </w:pPr>
      <w:r w:rsidRPr="006F399F">
        <w:rPr>
          <w:b/>
          <w:bCs/>
          <w:color w:val="156082" w:themeColor="accent1"/>
        </w:rPr>
        <w:t>The persistence of the Privacy Paradox also exposes limitations within the theoretical models traditionally used to explain technology adoption.</w:t>
      </w:r>
      <w:r w:rsidRPr="006F399F">
        <w:rPr>
          <w:color w:val="156082" w:themeColor="accent1"/>
        </w:rPr>
        <w:t xml:space="preserve"> </w:t>
      </w:r>
      <w:r w:rsidRPr="001172CF">
        <w:t xml:space="preserve">Davis's original Technology Acceptance Model (TAM) [2] does not explicitly include trust as a construct. Venkatesh et al.'s Unified Theory of Acceptance and Use of Technology (UTAUT) [3] </w:t>
      </w:r>
      <w:r w:rsidR="00CF25BA" w:rsidRPr="001172CF">
        <w:t>incorporate</w:t>
      </w:r>
      <w:r w:rsidRPr="001172CF">
        <w:t xml:space="preserve"> Social Influence, which partially captures reputational trust, but does not model data-specific trust concerns. Neither model was developed for contexts in which personal data disclosure is central to user interaction, a condition that has become the norm rather than the exception in modern web applications. Consequently, technology adoption models alone may be insufficient for explaining behaviour in privacy-sensitive digital environments, where trust in data handling practices can be as influential as perceived usefulness or perceived ease of use. </w:t>
      </w:r>
    </w:p>
    <w:p w14:paraId="54087A93" w14:textId="77777777" w:rsidR="006F399F" w:rsidRPr="001172CF" w:rsidRDefault="006F399F" w:rsidP="006F399F">
      <w:pPr>
        <w:spacing w:before="80" w:after="110" w:line="352" w:lineRule="auto"/>
        <w:ind w:left="720"/>
        <w:jc w:val="both"/>
      </w:pPr>
    </w:p>
    <w:p w14:paraId="6A9BF842" w14:textId="301C1B23" w:rsidR="006F399F" w:rsidRPr="001172CF" w:rsidRDefault="00B73DFF" w:rsidP="006F399F">
      <w:pPr>
        <w:numPr>
          <w:ilvl w:val="0"/>
          <w:numId w:val="5"/>
        </w:numPr>
        <w:spacing w:before="80" w:after="110" w:line="352" w:lineRule="auto"/>
        <w:jc w:val="both"/>
      </w:pPr>
      <w:r w:rsidRPr="006F399F">
        <w:rPr>
          <w:b/>
          <w:bCs/>
          <w:color w:val="156082" w:themeColor="accent1"/>
        </w:rPr>
        <w:t>These theoretical limitations extend beyond technology acceptance models to trust-specific frameworks.</w:t>
      </w:r>
      <w:r w:rsidRPr="001172CF">
        <w:t xml:space="preserve"> McKnight et al.'s trust-building model [12], widely regarded as one of the most influential empirical trust frameworks in Information Systems research, was developed in 2002, before the introduction of GDPR, before widespread smartphone adoption, and before large-scale data breaches became a frequent feature of public discourse. Its Structural Assurance construct has not been comprehensively re-evaluated within the context of modern data protection legislation and contemporary privacy expectations. Consequently, it remains uncertain whether traditional indicators of structural assurance adequately capture users' trust perceptions in environments where awareness of consent mechanisms, organisational accountability, and data protection rights has increased substantially. </w:t>
      </w:r>
    </w:p>
    <w:p w14:paraId="487FFF8C" w14:textId="576D7F5E" w:rsidR="00B73DFF" w:rsidRDefault="00B73DFF" w:rsidP="00B73DFF">
      <w:pPr>
        <w:numPr>
          <w:ilvl w:val="0"/>
          <w:numId w:val="5"/>
        </w:numPr>
        <w:spacing w:before="80" w:after="110" w:line="352" w:lineRule="auto"/>
        <w:jc w:val="both"/>
      </w:pPr>
      <w:r w:rsidRPr="006F399F">
        <w:rPr>
          <w:b/>
          <w:bCs/>
          <w:color w:val="156082" w:themeColor="accent1"/>
        </w:rPr>
        <w:lastRenderedPageBreak/>
        <w:t>Beyond theoretical models, uncertainty also remains regarding the practical interface features that communicate trustworthiness.</w:t>
      </w:r>
      <w:r w:rsidRPr="006F399F">
        <w:rPr>
          <w:color w:val="156082" w:themeColor="accent1"/>
        </w:rPr>
        <w:t xml:space="preserve"> </w:t>
      </w:r>
      <w:r w:rsidRPr="001172CF">
        <w:t xml:space="preserve">Fogg et al.'s landmark study [13] demonstrated that </w:t>
      </w:r>
      <w:r w:rsidR="008C5D97">
        <w:t>visual design characteristics strongly influence website credibility</w:t>
      </w:r>
      <w:r w:rsidRPr="001172CF">
        <w:t xml:space="preserve">; however, </w:t>
      </w:r>
      <w:r w:rsidR="008C5D97">
        <w:t>it was conducted</w:t>
      </w:r>
      <w:r w:rsidRPr="001172CF">
        <w:t xml:space="preserve"> in 2001, before the emergence of responsive web design, mobile-first interfaces, and modern privacy legislation. Zieglmeier and </w:t>
      </w:r>
      <w:proofErr w:type="spellStart"/>
      <w:r w:rsidRPr="001172CF">
        <w:t>Lehene's</w:t>
      </w:r>
      <w:proofErr w:type="spellEnd"/>
      <w:r w:rsidRPr="001172CF">
        <w:t xml:space="preserve"> systematic review [14] concluded that despite more than two decades of research, no consensus exists regarding which specific user interface attributes most consistently communicate trustworthiness to users. This lack of agreement limits practitioners' ability to implement evidence-based trust-enhancing design strategies and highlights the need for contemporary empirical validation of specific interface features. </w:t>
      </w:r>
    </w:p>
    <w:p w14:paraId="4561811D" w14:textId="77777777" w:rsidR="006F399F" w:rsidRPr="001172CF" w:rsidRDefault="006F399F" w:rsidP="006F399F">
      <w:pPr>
        <w:spacing w:before="80" w:after="110" w:line="352" w:lineRule="auto"/>
        <w:jc w:val="both"/>
      </w:pPr>
    </w:p>
    <w:p w14:paraId="03FD6BB4" w14:textId="3714229D" w:rsidR="00B73DFF" w:rsidRDefault="00B73DFF" w:rsidP="00B73DFF">
      <w:pPr>
        <w:numPr>
          <w:ilvl w:val="0"/>
          <w:numId w:val="5"/>
        </w:numPr>
        <w:spacing w:before="80" w:after="110" w:line="352" w:lineRule="auto"/>
        <w:jc w:val="both"/>
      </w:pPr>
      <w:r w:rsidRPr="006F399F">
        <w:rPr>
          <w:b/>
          <w:bCs/>
          <w:color w:val="156082" w:themeColor="accent1"/>
        </w:rPr>
        <w:t>Even where contemporary empirical evidence exists, it remains limited in geographical and contextual scope.</w:t>
      </w:r>
      <w:r w:rsidRPr="006F399F">
        <w:rPr>
          <w:color w:val="156082" w:themeColor="accent1"/>
        </w:rPr>
        <w:t xml:space="preserve"> </w:t>
      </w:r>
      <w:r w:rsidRPr="001172CF">
        <w:t xml:space="preserve">The most relevant recent UK study, conducted by Goodman et al. [15], examined trust in health data sharing among 1,200 UK adults. However, it focused exclusively on healthcare and did not investigate the broader range of web application contexts encountered by UK adults in everyday life, nor did it evaluate the relative importance of multiple trust signals. Consequently, no empirically validated UK-specific post-GDPR dataset currently exists that identifies and ranks the relative importance of privacy, security, organisational, and design-related trust signals across consumer-facing web applications. </w:t>
      </w:r>
    </w:p>
    <w:p w14:paraId="67A9878B" w14:textId="77777777" w:rsidR="006F399F" w:rsidRPr="001172CF" w:rsidRDefault="006F399F" w:rsidP="006F399F">
      <w:pPr>
        <w:spacing w:before="80" w:after="110" w:line="352" w:lineRule="auto"/>
        <w:jc w:val="both"/>
      </w:pPr>
    </w:p>
    <w:p w14:paraId="2D768657" w14:textId="77777777" w:rsidR="00B73DFF" w:rsidRPr="001172CF" w:rsidRDefault="00B73DFF" w:rsidP="00B73DFF">
      <w:pPr>
        <w:numPr>
          <w:ilvl w:val="0"/>
          <w:numId w:val="5"/>
        </w:numPr>
        <w:spacing w:before="80" w:after="110" w:line="352" w:lineRule="auto"/>
        <w:jc w:val="both"/>
      </w:pPr>
      <w:r w:rsidRPr="006F399F">
        <w:rPr>
          <w:b/>
          <w:bCs/>
          <w:color w:val="156082" w:themeColor="accent1"/>
        </w:rPr>
        <w:t>This lack of comprehensive UK evidence also extends to the comparative evaluation of individual trust signals.</w:t>
      </w:r>
      <w:r w:rsidRPr="006F399F">
        <w:rPr>
          <w:color w:val="156082" w:themeColor="accent1"/>
        </w:rPr>
        <w:t xml:space="preserve"> </w:t>
      </w:r>
      <w:r w:rsidRPr="001172CF">
        <w:t xml:space="preserve">Security-related trust signals are widely recognised as important determinants of online trust. Gulati et al. [16], in a systematic review of 47 Human–Computer Interaction studies, identified security indicators as among the strongest predictors of users' trust across digital platforms. Similarly, industry evidence suggests that visible security mechanisms, including SSL/HTTPS certificates, increase users' perceptions of website credibility and safety [8]. However, despite this broad consensus, no UK-specific post-GDPR study has empirically compared the relative importance of security indicators alongside other trust determinants, including privacy policies, organisational reputation, interface design, and user reviews. Consequently, UK web developers and UX practitioners continue to lack evidence-based guidance regarding which trust signals should be prioritised when designing applications that request personal information. </w:t>
      </w:r>
    </w:p>
    <w:p w14:paraId="744C4117" w14:textId="3E9D28F4" w:rsidR="00B73DFF" w:rsidRPr="001172CF" w:rsidRDefault="00B73DFF" w:rsidP="00B73DFF">
      <w:pPr>
        <w:spacing w:before="80" w:after="110" w:line="352" w:lineRule="auto"/>
        <w:jc w:val="both"/>
      </w:pPr>
      <w:r w:rsidRPr="001172CF">
        <w:rPr>
          <w:b/>
          <w:bCs/>
        </w:rPr>
        <w:t>Figure 2</w:t>
      </w:r>
      <w:r w:rsidRPr="001172CF">
        <w:t xml:space="preserve"> illustrates the Privacy Paradox by comparing UK consumers' stated privacy concerns with their observed privacy-related behaviours. By visualising the disparity between attitudes and actions, </w:t>
      </w:r>
      <w:r w:rsidRPr="001172CF">
        <w:lastRenderedPageBreak/>
        <w:t>the figure provides empirical justification for examining whether privacy concern moderates the relationship between trust signals and users' willingness to disclose personal information.</w:t>
      </w:r>
    </w:p>
    <w:p w14:paraId="27DFEF5A" w14:textId="77777777" w:rsidR="00B73DFF" w:rsidRPr="001172CF" w:rsidRDefault="00B73DFF" w:rsidP="00B73DFF">
      <w:pPr>
        <w:spacing w:before="80" w:after="110" w:line="352" w:lineRule="auto"/>
        <w:jc w:val="both"/>
      </w:pPr>
    </w:p>
    <w:p w14:paraId="53CA520F" w14:textId="77777777" w:rsidR="00E825C1" w:rsidRPr="004A274A" w:rsidRDefault="00E825C1" w:rsidP="00E825C1">
      <w:pPr>
        <w:spacing w:before="80" w:after="110" w:line="350" w:lineRule="auto"/>
        <w:jc w:val="center"/>
        <w:rPr>
          <w:i/>
          <w:iCs/>
          <w:color w:val="156082" w:themeColor="accent1"/>
          <w:sz w:val="20"/>
          <w:szCs w:val="20"/>
        </w:rPr>
      </w:pPr>
      <w:r w:rsidRPr="004A274A">
        <w:rPr>
          <w:noProof/>
          <w:sz w:val="20"/>
          <w:szCs w:val="20"/>
        </w:rPr>
        <w:drawing>
          <wp:inline distT="0" distB="0" distL="0" distR="0" wp14:anchorId="062F62B8" wp14:editId="51A19CF4">
            <wp:extent cx="5996305" cy="1805940"/>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6007850" cy="1809417"/>
                    </a:xfrm>
                    <a:prstGeom prst="rect">
                      <a:avLst/>
                    </a:prstGeom>
                  </pic:spPr>
                </pic:pic>
              </a:graphicData>
            </a:graphic>
          </wp:inline>
        </w:drawing>
      </w:r>
    </w:p>
    <w:p w14:paraId="7C85D943" w14:textId="01CCE6B1" w:rsidR="00B73DFF" w:rsidRDefault="00E825C1" w:rsidP="00E825C1">
      <w:pPr>
        <w:spacing w:before="80" w:after="110" w:line="350" w:lineRule="auto"/>
        <w:jc w:val="center"/>
        <w:rPr>
          <w:i/>
          <w:iCs/>
          <w:color w:val="156082" w:themeColor="accent1"/>
          <w:sz w:val="20"/>
          <w:szCs w:val="20"/>
        </w:rPr>
      </w:pPr>
      <w:r w:rsidRPr="004A274A">
        <w:rPr>
          <w:i/>
          <w:iCs/>
          <w:color w:val="156082" w:themeColor="accent1"/>
          <w:sz w:val="20"/>
          <w:szCs w:val="20"/>
        </w:rPr>
        <w:t>Figure 2: The Privacy Paradox - Attitudes vs Behaviours of UK Internet Users [9], [7], [11].</w:t>
      </w:r>
    </w:p>
    <w:p w14:paraId="12A924D4" w14:textId="77777777" w:rsidR="00E825C1" w:rsidRPr="00E825C1" w:rsidRDefault="00E825C1" w:rsidP="00E825C1">
      <w:pPr>
        <w:spacing w:before="80" w:after="110" w:line="350" w:lineRule="auto"/>
        <w:jc w:val="center"/>
        <w:rPr>
          <w:i/>
          <w:iCs/>
          <w:color w:val="156082" w:themeColor="accent1"/>
          <w:sz w:val="20"/>
          <w:szCs w:val="20"/>
        </w:rPr>
      </w:pPr>
    </w:p>
    <w:p w14:paraId="164B7689" w14:textId="77777777" w:rsidR="0008181B" w:rsidRDefault="0008181B" w:rsidP="00B73DFF">
      <w:pPr>
        <w:spacing w:before="80" w:after="110" w:line="352" w:lineRule="auto"/>
        <w:jc w:val="both"/>
      </w:pPr>
      <w:r w:rsidRPr="0008181B">
        <w:rPr>
          <w:b/>
          <w:bCs/>
        </w:rPr>
        <w:t>Figure 2</w:t>
      </w:r>
      <w:r w:rsidRPr="0008181B">
        <w:t xml:space="preserve"> provides strong empirical evidence that the Privacy Paradox remains evident within the UK post-GDPR environment. While </w:t>
      </w:r>
      <w:r w:rsidRPr="0008181B">
        <w:rPr>
          <w:b/>
          <w:bCs/>
        </w:rPr>
        <w:t>82%</w:t>
      </w:r>
      <w:r w:rsidRPr="0008181B">
        <w:t xml:space="preserve"> of UK internet users report concerns about their online privacy, only </w:t>
      </w:r>
      <w:r w:rsidRPr="0008181B">
        <w:rPr>
          <w:b/>
          <w:bCs/>
        </w:rPr>
        <w:t>9%</w:t>
      </w:r>
      <w:r w:rsidRPr="0008181B">
        <w:t xml:space="preserve"> read privacy policies in full, and relatively few modify their behaviour by changing applications because of privacy concerns (</w:t>
      </w:r>
      <w:r w:rsidRPr="0008181B">
        <w:rPr>
          <w:b/>
          <w:bCs/>
        </w:rPr>
        <w:t>31%</w:t>
      </w:r>
      <w:r w:rsidRPr="0008181B">
        <w:t>) or paying more for privacy-respecting services (</w:t>
      </w:r>
      <w:r w:rsidRPr="0008181B">
        <w:rPr>
          <w:b/>
          <w:bCs/>
        </w:rPr>
        <w:t>27%</w:t>
      </w:r>
      <w:r w:rsidRPr="0008181B">
        <w:t>) [7], [9], [11]. The substantial gap between stated attitudes and observed behaviours suggests that privacy concerns alone are insufficient to explain trust-related decision-making. Consequently, this study proposes that GDPR awareness may moderate the relationship between privacy concerns and users' willingness to trust web applications, a relationship that will be examined through the moderation analysis described in Objective O4.</w:t>
      </w:r>
    </w:p>
    <w:p w14:paraId="3D59EA9D" w14:textId="77777777" w:rsidR="00E825C1" w:rsidRDefault="00B73DFF" w:rsidP="00E825C1">
      <w:pPr>
        <w:spacing w:before="80" w:after="110" w:line="352" w:lineRule="auto"/>
        <w:jc w:val="both"/>
      </w:pPr>
      <w:r w:rsidRPr="001172CF">
        <w:t>Collectively, these six challenges demonstrate that although substantial progress has been made in understanding technology adoption, online trust, and privacy behaviour, important gaps remain within the UK post-GDPR context. Existing theories, empirical studies, and practitioner guidance do not provide a comprehensive, evidence-based understanding of which trust signals most strongly influence users' willingness to disclose personal information through web applications. Addressing these gaps forms the central motivation for this research and provides the foundation for the research aim, objectives, and hypotheses presented in the following sections.</w:t>
      </w:r>
    </w:p>
    <w:p w14:paraId="3966DBCE" w14:textId="73EF45E9" w:rsidR="00B37289" w:rsidRPr="00E825C1" w:rsidRDefault="008C4330" w:rsidP="00E825C1">
      <w:pPr>
        <w:pStyle w:val="Heading2"/>
        <w:rPr>
          <w:rFonts w:eastAsia="Times New Roman"/>
          <w:color w:val="auto"/>
          <w:sz w:val="24"/>
          <w:szCs w:val="24"/>
        </w:rPr>
      </w:pPr>
      <w:bookmarkStart w:id="7" w:name="_Toc234710539"/>
      <w:r w:rsidRPr="001172CF">
        <w:t>1.3 Research Aim and Objectives</w:t>
      </w:r>
      <w:bookmarkEnd w:id="7"/>
    </w:p>
    <w:p w14:paraId="3A0B4008" w14:textId="4F6E9C46" w:rsidR="009147AE" w:rsidRPr="001172CF" w:rsidRDefault="008C4330" w:rsidP="009147AE">
      <w:pPr>
        <w:pStyle w:val="Heading3"/>
        <w:rPr>
          <w:rFonts w:ascii="Times New Roman" w:hAnsi="Times New Roman" w:cs="Times New Roman"/>
        </w:rPr>
      </w:pPr>
      <w:bookmarkStart w:id="8" w:name="_Toc234710540"/>
      <w:r w:rsidRPr="001172CF">
        <w:rPr>
          <w:rFonts w:ascii="Times New Roman" w:hAnsi="Times New Roman" w:cs="Times New Roman"/>
        </w:rPr>
        <w:t>1.3.1 Aim</w:t>
      </w:r>
      <w:bookmarkEnd w:id="8"/>
    </w:p>
    <w:p w14:paraId="2634BD2C" w14:textId="77B5BA19" w:rsidR="00867FD9" w:rsidRPr="001172CF" w:rsidRDefault="005C31D2" w:rsidP="00084A05">
      <w:pPr>
        <w:spacing w:before="80" w:after="110" w:line="352" w:lineRule="auto"/>
        <w:jc w:val="both"/>
      </w:pPr>
      <w:r>
        <w:t>This study aims</w:t>
      </w:r>
      <w:r w:rsidR="00867FD9" w:rsidRPr="001172CF">
        <w:t xml:space="preserve"> to identify and rank the factors influencing UK adults' trust in web applications, examine the moderating effect of GDPR awareness on the relationship between privacy concerns and </w:t>
      </w:r>
      <w:r w:rsidR="00867FD9" w:rsidRPr="001172CF">
        <w:lastRenderedPageBreak/>
        <w:t>trust behaviour, and develop an evidence-based Trust-by-Design Framework to inform the design of trustworthy web applications in the UK.</w:t>
      </w:r>
    </w:p>
    <w:p w14:paraId="2793D54C" w14:textId="7530ACA9" w:rsidR="00B37289" w:rsidRPr="001172CF" w:rsidRDefault="008C4330" w:rsidP="00DC727A">
      <w:pPr>
        <w:pStyle w:val="Heading3"/>
        <w:spacing w:line="276" w:lineRule="auto"/>
        <w:rPr>
          <w:rFonts w:ascii="Times New Roman" w:hAnsi="Times New Roman" w:cs="Times New Roman"/>
        </w:rPr>
      </w:pPr>
      <w:bookmarkStart w:id="9" w:name="_Toc234710541"/>
      <w:r w:rsidRPr="001172CF">
        <w:rPr>
          <w:rFonts w:ascii="Times New Roman" w:hAnsi="Times New Roman" w:cs="Times New Roman"/>
        </w:rPr>
        <w:t>1.3.2 Objectives</w:t>
      </w:r>
      <w:bookmarkEnd w:id="9"/>
    </w:p>
    <w:p w14:paraId="2E47B3B6" w14:textId="18B669F7" w:rsidR="00B37289" w:rsidRPr="001172CF" w:rsidRDefault="00D6200E" w:rsidP="00674A98">
      <w:pPr>
        <w:spacing w:after="160" w:line="360" w:lineRule="auto"/>
        <w:jc w:val="both"/>
      </w:pPr>
      <w:r w:rsidRPr="001172CF">
        <w:t xml:space="preserve">The research aim will be achieved through five SMART objectives. Each objective is specific, measurable, achievable within the proposed </w:t>
      </w:r>
      <w:r w:rsidR="00674A98">
        <w:t>six</w:t>
      </w:r>
      <w:r w:rsidRPr="001172CF">
        <w:t xml:space="preserve">-month timeframe, directly aligned with the research problem, and designed to contribute towards the overall aim of the study. </w:t>
      </w:r>
      <w:r w:rsidRPr="00C843A8">
        <w:rPr>
          <w:b/>
          <w:bCs/>
        </w:rPr>
        <w:t>Table 1</w:t>
      </w:r>
      <w:r w:rsidRPr="001172CF">
        <w:t xml:space="preserve"> maps each objective to the proposed research method and expected output, demonstrating how the methodology is logically derived from the research objectives.</w:t>
      </w:r>
    </w:p>
    <w:p w14:paraId="0FC60864" w14:textId="77777777" w:rsidR="009147AE" w:rsidRPr="009A269B" w:rsidRDefault="009147AE">
      <w:pPr>
        <w:spacing w:before="40" w:after="80"/>
        <w:jc w:val="center"/>
        <w:rPr>
          <w:b/>
          <w:bCs/>
          <w:i/>
          <w:iCs/>
          <w:color w:val="156082" w:themeColor="accent1"/>
          <w:sz w:val="20"/>
          <w:szCs w:val="20"/>
        </w:rPr>
      </w:pPr>
    </w:p>
    <w:p w14:paraId="3B3C8B71" w14:textId="133CEEC9" w:rsidR="00B37289" w:rsidRPr="009A269B" w:rsidRDefault="008C4330" w:rsidP="00FF4F5A">
      <w:pPr>
        <w:spacing w:before="40" w:after="80"/>
        <w:rPr>
          <w:color w:val="156082" w:themeColor="accent1"/>
        </w:rPr>
      </w:pPr>
      <w:r w:rsidRPr="009A269B">
        <w:rPr>
          <w:b/>
          <w:bCs/>
          <w:i/>
          <w:iCs/>
          <w:color w:val="156082" w:themeColor="accent1"/>
          <w:sz w:val="20"/>
          <w:szCs w:val="20"/>
        </w:rPr>
        <w:t xml:space="preserve">Table </w:t>
      </w:r>
      <w:r w:rsidR="00E76AC4" w:rsidRPr="009A269B">
        <w:rPr>
          <w:b/>
          <w:bCs/>
          <w:i/>
          <w:iCs/>
          <w:color w:val="156082" w:themeColor="accent1"/>
          <w:sz w:val="20"/>
          <w:szCs w:val="20"/>
        </w:rPr>
        <w:t>1</w:t>
      </w:r>
      <w:r w:rsidRPr="009A269B">
        <w:rPr>
          <w:b/>
          <w:bCs/>
          <w:i/>
          <w:iCs/>
          <w:color w:val="156082" w:themeColor="accent1"/>
          <w:sz w:val="20"/>
          <w:szCs w:val="20"/>
        </w:rPr>
        <w:t>: Research Objectives, Methods and Expected Outputs</w:t>
      </w:r>
    </w:p>
    <w:tbl>
      <w:tblPr>
        <w:tblW w:w="94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3"/>
        <w:gridCol w:w="3852"/>
        <w:gridCol w:w="2087"/>
        <w:gridCol w:w="2949"/>
      </w:tblGrid>
      <w:tr w:rsidR="00B37289" w:rsidRPr="001172CF" w14:paraId="060AA74E" w14:textId="77777777" w:rsidTr="005C31D2">
        <w:trPr>
          <w:trHeight w:val="230"/>
        </w:trPr>
        <w:tc>
          <w:tcPr>
            <w:tcW w:w="603" w:type="dxa"/>
            <w:tcBorders>
              <w:top w:val="single" w:sz="1" w:space="0" w:color="CCCCCC"/>
              <w:left w:val="single" w:sz="1" w:space="0" w:color="CCCCCC"/>
              <w:bottom w:val="single" w:sz="1" w:space="0" w:color="CCCCCC"/>
              <w:right w:val="single" w:sz="1" w:space="0" w:color="CCCCCC"/>
            </w:tcBorders>
            <w:shd w:val="clear" w:color="auto" w:fill="21618C"/>
            <w:tcMar>
              <w:top w:w="80" w:type="dxa"/>
              <w:left w:w="120" w:type="dxa"/>
              <w:bottom w:w="80" w:type="dxa"/>
              <w:right w:w="120" w:type="dxa"/>
            </w:tcMar>
          </w:tcPr>
          <w:p w14:paraId="1CBE40D9" w14:textId="77777777" w:rsidR="00B37289" w:rsidRPr="001172CF" w:rsidRDefault="008C4330">
            <w:pPr>
              <w:rPr>
                <w:sz w:val="20"/>
                <w:szCs w:val="20"/>
              </w:rPr>
            </w:pPr>
            <w:proofErr w:type="spellStart"/>
            <w:r w:rsidRPr="001172CF">
              <w:rPr>
                <w:b/>
                <w:bCs/>
                <w:color w:val="FFFFFF"/>
                <w:sz w:val="20"/>
                <w:szCs w:val="20"/>
              </w:rPr>
              <w:t>Obj</w:t>
            </w:r>
            <w:proofErr w:type="spellEnd"/>
          </w:p>
        </w:tc>
        <w:tc>
          <w:tcPr>
            <w:tcW w:w="3852" w:type="dxa"/>
            <w:tcBorders>
              <w:top w:val="single" w:sz="1" w:space="0" w:color="CCCCCC"/>
              <w:left w:val="single" w:sz="1" w:space="0" w:color="CCCCCC"/>
              <w:bottom w:val="single" w:sz="1" w:space="0" w:color="CCCCCC"/>
              <w:right w:val="single" w:sz="1" w:space="0" w:color="CCCCCC"/>
            </w:tcBorders>
            <w:shd w:val="clear" w:color="auto" w:fill="21618C"/>
            <w:tcMar>
              <w:top w:w="80" w:type="dxa"/>
              <w:left w:w="120" w:type="dxa"/>
              <w:bottom w:w="80" w:type="dxa"/>
              <w:right w:w="120" w:type="dxa"/>
            </w:tcMar>
          </w:tcPr>
          <w:p w14:paraId="49CA93A8" w14:textId="77777777" w:rsidR="00B37289" w:rsidRPr="001172CF" w:rsidRDefault="008C4330">
            <w:pPr>
              <w:rPr>
                <w:sz w:val="20"/>
                <w:szCs w:val="20"/>
              </w:rPr>
            </w:pPr>
            <w:r w:rsidRPr="001172CF">
              <w:rPr>
                <w:b/>
                <w:bCs/>
                <w:color w:val="FFFFFF"/>
                <w:sz w:val="20"/>
                <w:szCs w:val="20"/>
              </w:rPr>
              <w:t>Objective</w:t>
            </w:r>
          </w:p>
        </w:tc>
        <w:tc>
          <w:tcPr>
            <w:tcW w:w="2087" w:type="dxa"/>
            <w:tcBorders>
              <w:top w:val="single" w:sz="1" w:space="0" w:color="CCCCCC"/>
              <w:left w:val="single" w:sz="1" w:space="0" w:color="CCCCCC"/>
              <w:bottom w:val="single" w:sz="1" w:space="0" w:color="CCCCCC"/>
              <w:right w:val="single" w:sz="1" w:space="0" w:color="CCCCCC"/>
            </w:tcBorders>
            <w:shd w:val="clear" w:color="auto" w:fill="21618C"/>
            <w:tcMar>
              <w:top w:w="80" w:type="dxa"/>
              <w:left w:w="120" w:type="dxa"/>
              <w:bottom w:w="80" w:type="dxa"/>
              <w:right w:w="120" w:type="dxa"/>
            </w:tcMar>
          </w:tcPr>
          <w:p w14:paraId="7B8F712A" w14:textId="77777777" w:rsidR="00B37289" w:rsidRPr="001172CF" w:rsidRDefault="008C4330">
            <w:pPr>
              <w:rPr>
                <w:sz w:val="20"/>
                <w:szCs w:val="20"/>
              </w:rPr>
            </w:pPr>
            <w:r w:rsidRPr="001172CF">
              <w:rPr>
                <w:b/>
                <w:bCs/>
                <w:color w:val="FFFFFF"/>
                <w:sz w:val="20"/>
                <w:szCs w:val="20"/>
              </w:rPr>
              <w:t>Method</w:t>
            </w:r>
          </w:p>
        </w:tc>
        <w:tc>
          <w:tcPr>
            <w:tcW w:w="2949" w:type="dxa"/>
            <w:tcBorders>
              <w:top w:val="single" w:sz="1" w:space="0" w:color="CCCCCC"/>
              <w:left w:val="single" w:sz="1" w:space="0" w:color="CCCCCC"/>
              <w:bottom w:val="single" w:sz="1" w:space="0" w:color="CCCCCC"/>
              <w:right w:val="single" w:sz="1" w:space="0" w:color="CCCCCC"/>
            </w:tcBorders>
            <w:shd w:val="clear" w:color="auto" w:fill="21618C"/>
            <w:tcMar>
              <w:top w:w="80" w:type="dxa"/>
              <w:left w:w="120" w:type="dxa"/>
              <w:bottom w:w="80" w:type="dxa"/>
              <w:right w:w="120" w:type="dxa"/>
            </w:tcMar>
          </w:tcPr>
          <w:p w14:paraId="48F54FFE" w14:textId="77777777" w:rsidR="00B37289" w:rsidRPr="001172CF" w:rsidRDefault="008C4330">
            <w:pPr>
              <w:rPr>
                <w:sz w:val="20"/>
                <w:szCs w:val="20"/>
              </w:rPr>
            </w:pPr>
            <w:r w:rsidRPr="001172CF">
              <w:rPr>
                <w:b/>
                <w:bCs/>
                <w:color w:val="FFFFFF"/>
                <w:sz w:val="20"/>
                <w:szCs w:val="20"/>
              </w:rPr>
              <w:t>Expected Output</w:t>
            </w:r>
          </w:p>
        </w:tc>
      </w:tr>
      <w:tr w:rsidR="00B37289" w:rsidRPr="001172CF" w14:paraId="5D9A4020" w14:textId="77777777" w:rsidTr="005C31D2">
        <w:trPr>
          <w:trHeight w:val="1383"/>
        </w:trPr>
        <w:tc>
          <w:tcPr>
            <w:tcW w:w="60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1C1219E" w14:textId="77777777" w:rsidR="00B37289" w:rsidRPr="001172CF" w:rsidRDefault="008C4330">
            <w:pPr>
              <w:rPr>
                <w:sz w:val="20"/>
                <w:szCs w:val="20"/>
              </w:rPr>
            </w:pPr>
            <w:r w:rsidRPr="001172CF">
              <w:rPr>
                <w:b/>
                <w:bCs/>
                <w:color w:val="1A5276"/>
                <w:sz w:val="20"/>
                <w:szCs w:val="20"/>
              </w:rPr>
              <w:t>O1</w:t>
            </w:r>
          </w:p>
        </w:tc>
        <w:tc>
          <w:tcPr>
            <w:tcW w:w="3852"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93392C6" w14:textId="7ACFF693" w:rsidR="00B37289" w:rsidRPr="001172CF" w:rsidRDefault="009D61AA">
            <w:pPr>
              <w:rPr>
                <w:sz w:val="20"/>
                <w:szCs w:val="20"/>
              </w:rPr>
            </w:pPr>
            <w:r w:rsidRPr="001172CF">
              <w:rPr>
                <w:sz w:val="20"/>
                <w:szCs w:val="20"/>
              </w:rPr>
              <w:t>Critically evaluate the literature on technology acceptance, online trust, the Privacy Paradox, and GDPR-era web application research to identify theoretical foundations, research gaps, and opportunities for empirical investigation.</w:t>
            </w:r>
          </w:p>
        </w:tc>
        <w:tc>
          <w:tcPr>
            <w:tcW w:w="20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A9290BE" w14:textId="77777777" w:rsidR="00B37289" w:rsidRPr="001172CF" w:rsidRDefault="008C4330">
            <w:pPr>
              <w:rPr>
                <w:sz w:val="20"/>
                <w:szCs w:val="20"/>
              </w:rPr>
            </w:pPr>
            <w:r w:rsidRPr="001172CF">
              <w:rPr>
                <w:color w:val="000000"/>
                <w:sz w:val="20"/>
                <w:szCs w:val="20"/>
              </w:rPr>
              <w:t>Systematic literature review</w:t>
            </w:r>
          </w:p>
        </w:tc>
        <w:tc>
          <w:tcPr>
            <w:tcW w:w="2949"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3C7A88F" w14:textId="77777777" w:rsidR="00B37289" w:rsidRPr="001172CF" w:rsidRDefault="008C4330">
            <w:pPr>
              <w:rPr>
                <w:sz w:val="20"/>
                <w:szCs w:val="20"/>
              </w:rPr>
            </w:pPr>
            <w:r w:rsidRPr="001172CF">
              <w:rPr>
                <w:color w:val="000000"/>
                <w:sz w:val="20"/>
                <w:szCs w:val="20"/>
              </w:rPr>
              <w:t>Structured literature map identifying key theories, methods, and gaps</w:t>
            </w:r>
          </w:p>
        </w:tc>
      </w:tr>
      <w:tr w:rsidR="00B37289" w:rsidRPr="001172CF" w14:paraId="4358C7AD" w14:textId="77777777" w:rsidTr="005C31D2">
        <w:trPr>
          <w:trHeight w:val="1152"/>
        </w:trPr>
        <w:tc>
          <w:tcPr>
            <w:tcW w:w="60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19B0517" w14:textId="77777777" w:rsidR="00B37289" w:rsidRPr="001172CF" w:rsidRDefault="008C4330">
            <w:pPr>
              <w:rPr>
                <w:sz w:val="20"/>
                <w:szCs w:val="20"/>
              </w:rPr>
            </w:pPr>
            <w:r w:rsidRPr="001172CF">
              <w:rPr>
                <w:b/>
                <w:bCs/>
                <w:color w:val="1A5276"/>
                <w:sz w:val="20"/>
                <w:szCs w:val="20"/>
              </w:rPr>
              <w:t>O2</w:t>
            </w:r>
          </w:p>
        </w:tc>
        <w:tc>
          <w:tcPr>
            <w:tcW w:w="3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1EE154" w14:textId="3576EB04" w:rsidR="00B37289" w:rsidRPr="001172CF" w:rsidRDefault="008C4330">
            <w:pPr>
              <w:rPr>
                <w:sz w:val="20"/>
                <w:szCs w:val="20"/>
              </w:rPr>
            </w:pPr>
            <w:r w:rsidRPr="001172CF">
              <w:rPr>
                <w:color w:val="000000"/>
                <w:sz w:val="20"/>
                <w:szCs w:val="20"/>
              </w:rPr>
              <w:t>Design and distribute an online survey measuring UK adults' trust perceptions across six web application contexts (banking, retail, health</w:t>
            </w:r>
            <w:r w:rsidR="00A2589D" w:rsidRPr="001172CF">
              <w:rPr>
                <w:color w:val="000000"/>
                <w:sz w:val="20"/>
                <w:szCs w:val="20"/>
              </w:rPr>
              <w:t>care</w:t>
            </w:r>
            <w:r w:rsidRPr="001172CF">
              <w:rPr>
                <w:color w:val="000000"/>
                <w:sz w:val="20"/>
                <w:szCs w:val="20"/>
              </w:rPr>
              <w:t>, social media, government, entertainment)</w:t>
            </w:r>
          </w:p>
        </w:tc>
        <w:tc>
          <w:tcPr>
            <w:tcW w:w="2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B7202B" w14:textId="65D1E2A2" w:rsidR="00B37289" w:rsidRPr="001172CF" w:rsidRDefault="00622CE4">
            <w:pPr>
              <w:rPr>
                <w:sz w:val="20"/>
                <w:szCs w:val="20"/>
              </w:rPr>
            </w:pPr>
            <w:r w:rsidRPr="001172CF">
              <w:rPr>
                <w:color w:val="000000"/>
                <w:sz w:val="20"/>
                <w:szCs w:val="20"/>
              </w:rPr>
              <w:t xml:space="preserve">Online </w:t>
            </w:r>
            <w:r w:rsidR="008C4330" w:rsidRPr="001172CF">
              <w:rPr>
                <w:color w:val="000000"/>
                <w:sz w:val="20"/>
                <w:szCs w:val="20"/>
              </w:rPr>
              <w:t>Survey (n=180–220)</w:t>
            </w:r>
          </w:p>
        </w:tc>
        <w:tc>
          <w:tcPr>
            <w:tcW w:w="294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59EFFF" w14:textId="78E367D6" w:rsidR="00B37289" w:rsidRPr="001172CF" w:rsidRDefault="00E8453D">
            <w:pPr>
              <w:rPr>
                <w:sz w:val="20"/>
                <w:szCs w:val="20"/>
              </w:rPr>
            </w:pPr>
            <w:r w:rsidRPr="001172CF">
              <w:rPr>
                <w:sz w:val="20"/>
                <w:szCs w:val="20"/>
              </w:rPr>
              <w:t>Quantitative dataset of trust perceptions across six application sectors.</w:t>
            </w:r>
          </w:p>
        </w:tc>
      </w:tr>
      <w:tr w:rsidR="00B37289" w:rsidRPr="001172CF" w14:paraId="286D2EAA" w14:textId="77777777" w:rsidTr="005C31D2">
        <w:trPr>
          <w:trHeight w:val="1165"/>
        </w:trPr>
        <w:tc>
          <w:tcPr>
            <w:tcW w:w="60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3FF120F9" w14:textId="77777777" w:rsidR="00B37289" w:rsidRPr="001172CF" w:rsidRDefault="008C4330">
            <w:pPr>
              <w:rPr>
                <w:sz w:val="20"/>
                <w:szCs w:val="20"/>
              </w:rPr>
            </w:pPr>
            <w:r w:rsidRPr="001172CF">
              <w:rPr>
                <w:b/>
                <w:bCs/>
                <w:color w:val="1A5276"/>
                <w:sz w:val="20"/>
                <w:szCs w:val="20"/>
              </w:rPr>
              <w:t>O3</w:t>
            </w:r>
          </w:p>
        </w:tc>
        <w:tc>
          <w:tcPr>
            <w:tcW w:w="3852"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208AC43B" w14:textId="5A523DF0" w:rsidR="00B37289" w:rsidRPr="001172CF" w:rsidRDefault="008C4330">
            <w:pPr>
              <w:rPr>
                <w:sz w:val="20"/>
                <w:szCs w:val="20"/>
              </w:rPr>
            </w:pPr>
            <w:r w:rsidRPr="001172CF">
              <w:rPr>
                <w:color w:val="000000"/>
                <w:sz w:val="20"/>
                <w:szCs w:val="20"/>
              </w:rPr>
              <w:t>Identify which trust factors</w:t>
            </w:r>
            <w:r w:rsidR="00622CE4" w:rsidRPr="001172CF">
              <w:rPr>
                <w:color w:val="000000"/>
                <w:sz w:val="20"/>
                <w:szCs w:val="20"/>
              </w:rPr>
              <w:t>,</w:t>
            </w:r>
            <w:r w:rsidRPr="001172CF">
              <w:rPr>
                <w:color w:val="000000"/>
                <w:sz w:val="20"/>
                <w:szCs w:val="20"/>
              </w:rPr>
              <w:t xml:space="preserve"> security signals, privacy policy transparency, design quality, brand reputation, and GDPR awareness</w:t>
            </w:r>
            <w:r w:rsidR="00D2533B" w:rsidRPr="001172CF">
              <w:rPr>
                <w:color w:val="000000"/>
                <w:sz w:val="20"/>
                <w:szCs w:val="20"/>
              </w:rPr>
              <w:t xml:space="preserve"> </w:t>
            </w:r>
            <w:r w:rsidRPr="001172CF">
              <w:rPr>
                <w:color w:val="000000"/>
                <w:sz w:val="20"/>
                <w:szCs w:val="20"/>
              </w:rPr>
              <w:t>most strongly predict trust</w:t>
            </w:r>
          </w:p>
        </w:tc>
        <w:tc>
          <w:tcPr>
            <w:tcW w:w="20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696C1C3" w14:textId="0E4036CB" w:rsidR="00B37289" w:rsidRPr="001172CF" w:rsidRDefault="00D2533B">
            <w:pPr>
              <w:rPr>
                <w:sz w:val="20"/>
                <w:szCs w:val="20"/>
              </w:rPr>
            </w:pPr>
            <w:r w:rsidRPr="001172CF">
              <w:rPr>
                <w:color w:val="000000"/>
                <w:sz w:val="20"/>
                <w:szCs w:val="20"/>
              </w:rPr>
              <w:t xml:space="preserve">Multiple </w:t>
            </w:r>
            <w:r w:rsidR="008C4330" w:rsidRPr="001172CF">
              <w:rPr>
                <w:color w:val="000000"/>
                <w:sz w:val="20"/>
                <w:szCs w:val="20"/>
              </w:rPr>
              <w:t>Regression analysis (SPSS)</w:t>
            </w:r>
          </w:p>
        </w:tc>
        <w:tc>
          <w:tcPr>
            <w:tcW w:w="2949"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093FD66" w14:textId="77777777" w:rsidR="00B37289" w:rsidRPr="001172CF" w:rsidRDefault="008C4330">
            <w:pPr>
              <w:rPr>
                <w:sz w:val="20"/>
                <w:szCs w:val="20"/>
              </w:rPr>
            </w:pPr>
            <w:r w:rsidRPr="001172CF">
              <w:rPr>
                <w:color w:val="000000"/>
                <w:sz w:val="20"/>
                <w:szCs w:val="20"/>
              </w:rPr>
              <w:t>Ranked model of trust predictors with statistical significance</w:t>
            </w:r>
          </w:p>
        </w:tc>
      </w:tr>
      <w:tr w:rsidR="00B37289" w:rsidRPr="001172CF" w14:paraId="4151D27D" w14:textId="77777777" w:rsidTr="005C31D2">
        <w:trPr>
          <w:trHeight w:val="1383"/>
        </w:trPr>
        <w:tc>
          <w:tcPr>
            <w:tcW w:w="60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A3E5DA" w14:textId="77777777" w:rsidR="00B37289" w:rsidRPr="001172CF" w:rsidRDefault="008C4330">
            <w:pPr>
              <w:rPr>
                <w:sz w:val="20"/>
                <w:szCs w:val="20"/>
              </w:rPr>
            </w:pPr>
            <w:r w:rsidRPr="001172CF">
              <w:rPr>
                <w:b/>
                <w:bCs/>
                <w:color w:val="1A5276"/>
                <w:sz w:val="20"/>
                <w:szCs w:val="20"/>
              </w:rPr>
              <w:t>O4</w:t>
            </w:r>
          </w:p>
        </w:tc>
        <w:tc>
          <w:tcPr>
            <w:tcW w:w="3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B5E1F1" w14:textId="39D57BF8" w:rsidR="00B37289" w:rsidRPr="001172CF" w:rsidRDefault="000C1993">
            <w:pPr>
              <w:rPr>
                <w:sz w:val="20"/>
                <w:szCs w:val="20"/>
              </w:rPr>
            </w:pPr>
            <w:r w:rsidRPr="001172CF">
              <w:rPr>
                <w:sz w:val="20"/>
                <w:szCs w:val="20"/>
              </w:rPr>
              <w:t>Examine whether GDPR awareness moderates the relationship between privacy concerns and trust behaviour, providing an empirical assessment of the Privacy Paradox within the UK post-GDPR context.</w:t>
            </w:r>
          </w:p>
        </w:tc>
        <w:tc>
          <w:tcPr>
            <w:tcW w:w="20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A9BD3B" w14:textId="360074CA" w:rsidR="00B37289" w:rsidRPr="001172CF" w:rsidRDefault="008C4330">
            <w:pPr>
              <w:rPr>
                <w:sz w:val="20"/>
                <w:szCs w:val="20"/>
              </w:rPr>
            </w:pPr>
            <w:r w:rsidRPr="001172CF">
              <w:rPr>
                <w:color w:val="000000"/>
                <w:sz w:val="20"/>
                <w:szCs w:val="20"/>
              </w:rPr>
              <w:t>Moderation analysis (PROCESS macro</w:t>
            </w:r>
            <w:r w:rsidR="000C1993" w:rsidRPr="001172CF">
              <w:rPr>
                <w:color w:val="000000"/>
                <w:sz w:val="20"/>
                <w:szCs w:val="20"/>
              </w:rPr>
              <w:t xml:space="preserve"> v4</w:t>
            </w:r>
            <w:r w:rsidRPr="001172CF">
              <w:rPr>
                <w:color w:val="000000"/>
                <w:sz w:val="20"/>
                <w:szCs w:val="20"/>
              </w:rPr>
              <w:t>)</w:t>
            </w:r>
          </w:p>
        </w:tc>
        <w:tc>
          <w:tcPr>
            <w:tcW w:w="294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CD62BD" w14:textId="49FE9521" w:rsidR="00B37289" w:rsidRPr="001172CF" w:rsidRDefault="00B706C2">
            <w:pPr>
              <w:rPr>
                <w:sz w:val="20"/>
                <w:szCs w:val="20"/>
              </w:rPr>
            </w:pPr>
            <w:r w:rsidRPr="001172CF">
              <w:rPr>
                <w:sz w:val="20"/>
                <w:szCs w:val="20"/>
              </w:rPr>
              <w:t>Evidence supporting or challenging the moderating effect of GDPR awareness.</w:t>
            </w:r>
          </w:p>
        </w:tc>
      </w:tr>
      <w:tr w:rsidR="00B37289" w:rsidRPr="001172CF" w14:paraId="71EE35AF" w14:textId="77777777" w:rsidTr="005C31D2">
        <w:trPr>
          <w:trHeight w:val="1165"/>
        </w:trPr>
        <w:tc>
          <w:tcPr>
            <w:tcW w:w="60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B04D98D" w14:textId="77777777" w:rsidR="00B37289" w:rsidRPr="001172CF" w:rsidRDefault="008C4330">
            <w:pPr>
              <w:rPr>
                <w:sz w:val="20"/>
                <w:szCs w:val="20"/>
              </w:rPr>
            </w:pPr>
            <w:r w:rsidRPr="001172CF">
              <w:rPr>
                <w:b/>
                <w:bCs/>
                <w:color w:val="1A5276"/>
                <w:sz w:val="20"/>
                <w:szCs w:val="20"/>
              </w:rPr>
              <w:t>O5</w:t>
            </w:r>
          </w:p>
        </w:tc>
        <w:tc>
          <w:tcPr>
            <w:tcW w:w="3852"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41AF5C1" w14:textId="4D0AF7AC" w:rsidR="00B37289" w:rsidRPr="001172CF" w:rsidRDefault="004923AA">
            <w:pPr>
              <w:rPr>
                <w:sz w:val="20"/>
                <w:szCs w:val="20"/>
              </w:rPr>
            </w:pPr>
            <w:r w:rsidRPr="001172CF">
              <w:rPr>
                <w:sz w:val="20"/>
                <w:szCs w:val="20"/>
              </w:rPr>
              <w:t>Develop an evidence-based Trust-by-Design Framework for UK web developers by synthesising the empirical findings into practical design recommendations.</w:t>
            </w:r>
          </w:p>
        </w:tc>
        <w:tc>
          <w:tcPr>
            <w:tcW w:w="20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1952A696" w14:textId="77777777" w:rsidR="00B37289" w:rsidRPr="001172CF" w:rsidRDefault="008C4330">
            <w:pPr>
              <w:rPr>
                <w:sz w:val="20"/>
                <w:szCs w:val="20"/>
              </w:rPr>
            </w:pPr>
            <w:r w:rsidRPr="001172CF">
              <w:rPr>
                <w:color w:val="000000"/>
                <w:sz w:val="20"/>
                <w:szCs w:val="20"/>
              </w:rPr>
              <w:t>Framework synthesis</w:t>
            </w:r>
          </w:p>
        </w:tc>
        <w:tc>
          <w:tcPr>
            <w:tcW w:w="2949"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12CD882F" w14:textId="22220105" w:rsidR="00B37289" w:rsidRPr="001172CF" w:rsidRDefault="00443437">
            <w:pPr>
              <w:rPr>
                <w:sz w:val="20"/>
                <w:szCs w:val="20"/>
              </w:rPr>
            </w:pPr>
            <w:r w:rsidRPr="001172CF">
              <w:rPr>
                <w:sz w:val="20"/>
                <w:szCs w:val="20"/>
              </w:rPr>
              <w:t>Trust-by-Design Framework with evidence-based recommendations for practice</w:t>
            </w:r>
          </w:p>
        </w:tc>
      </w:tr>
    </w:tbl>
    <w:p w14:paraId="5A8E66C5" w14:textId="77777777" w:rsidR="00B37289" w:rsidRPr="001172CF" w:rsidRDefault="00B37289">
      <w:pPr>
        <w:spacing w:before="80"/>
      </w:pPr>
    </w:p>
    <w:p w14:paraId="52FE36B2" w14:textId="77777777" w:rsidR="00D66C77" w:rsidRDefault="00D66C77" w:rsidP="00B37226">
      <w:pPr>
        <w:spacing w:after="160" w:line="360" w:lineRule="auto"/>
        <w:jc w:val="both"/>
      </w:pPr>
      <w:r w:rsidRPr="00C843A8">
        <w:rPr>
          <w:b/>
          <w:bCs/>
        </w:rPr>
        <w:t>Table 1</w:t>
      </w:r>
      <w:r w:rsidRPr="001172CF">
        <w:t xml:space="preserve"> demonstrates the logical progression of the research from the critical evaluation of existing literature, through primary data collection and quantitative analysis, to the development of a practical Trust-by-Design Framework. This sequential approach ensures that every stage of the methodology is directly aligned with the research aim and objectives.</w:t>
      </w:r>
    </w:p>
    <w:p w14:paraId="69113BD6" w14:textId="5E1C372B" w:rsidR="004318F6" w:rsidRPr="009B552B" w:rsidRDefault="00D5228E" w:rsidP="00CC6827">
      <w:pPr>
        <w:spacing w:after="200" w:line="360" w:lineRule="auto"/>
        <w:jc w:val="both"/>
        <w:rPr>
          <w:rFonts w:eastAsia="Calibri"/>
          <w:color w:val="1A1A1A"/>
        </w:rPr>
      </w:pPr>
      <w:r w:rsidRPr="00C843A8">
        <w:rPr>
          <w:rFonts w:eastAsia="Calibri"/>
          <w:b/>
          <w:bCs/>
          <w:color w:val="1A1A1A"/>
        </w:rPr>
        <w:lastRenderedPageBreak/>
        <w:t>Figure 3</w:t>
      </w:r>
      <w:r w:rsidRPr="00D5228E">
        <w:rPr>
          <w:rFonts w:eastAsia="Calibri"/>
          <w:color w:val="1A1A1A"/>
        </w:rPr>
        <w:t xml:space="preserve"> presents the conceptual research model underpinning this study. The model maps the relationships between the independent variables (the 18 trust factors measured across Sections B and C of the survey instrument), the moderating variable (GDPR awareness, measured in Section B), and the dependent variable (overall trust score, measured in Section D). The three formal hypotheses are positioned as directional relationships within the model, demonstrating how each hypothesis connects the variables and how the study’s analytical methods</w:t>
      </w:r>
      <w:r>
        <w:rPr>
          <w:rFonts w:eastAsia="Calibri"/>
          <w:color w:val="1A1A1A"/>
        </w:rPr>
        <w:t xml:space="preserve">, </w:t>
      </w:r>
      <w:r w:rsidRPr="00D5228E">
        <w:rPr>
          <w:rFonts w:eastAsia="Calibri"/>
          <w:color w:val="1A1A1A"/>
        </w:rPr>
        <w:t>multiple regression (H1), PROCESS macro moderation analysis (H2), and one-way ANOVA (H3)</w:t>
      </w:r>
      <w:r>
        <w:rPr>
          <w:rFonts w:eastAsia="Calibri"/>
          <w:color w:val="1A1A1A"/>
        </w:rPr>
        <w:t xml:space="preserve">, </w:t>
      </w:r>
      <w:r w:rsidRPr="00D5228E">
        <w:rPr>
          <w:rFonts w:eastAsia="Calibri"/>
          <w:color w:val="1A1A1A"/>
        </w:rPr>
        <w:t>each test a specific relationship within the framework.</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00"/>
        <w:gridCol w:w="1400"/>
        <w:gridCol w:w="4400"/>
      </w:tblGrid>
      <w:tr w:rsidR="00D5228E" w14:paraId="04B890B0" w14:textId="77777777" w:rsidTr="00AA24C6">
        <w:tc>
          <w:tcPr>
            <w:tcW w:w="3800" w:type="dxa"/>
            <w:tcBorders>
              <w:top w:val="single" w:sz="18" w:space="0" w:color="1A4A6E"/>
              <w:left w:val="single" w:sz="18" w:space="0" w:color="1A4A6E"/>
              <w:bottom w:val="single" w:sz="18" w:space="0" w:color="1A4A6E"/>
              <w:right w:val="single" w:sz="18" w:space="0" w:color="1A4A6E"/>
            </w:tcBorders>
            <w:shd w:val="clear" w:color="auto" w:fill="D6EAF8"/>
            <w:vAlign w:val="center"/>
          </w:tcPr>
          <w:p w14:paraId="546CE42E" w14:textId="77777777" w:rsidR="00D5228E" w:rsidRDefault="00D5228E" w:rsidP="00AA24C6">
            <w:pPr>
              <w:spacing w:before="120" w:after="40"/>
              <w:jc w:val="center"/>
            </w:pPr>
            <w:r>
              <w:rPr>
                <w:rFonts w:ascii="Calibri" w:eastAsia="Calibri" w:hAnsi="Calibri" w:cs="Calibri"/>
                <w:b/>
                <w:bCs/>
                <w:color w:val="1A4A6E"/>
                <w:sz w:val="19"/>
                <w:szCs w:val="19"/>
              </w:rPr>
              <w:t>Independent Variables</w:t>
            </w:r>
          </w:p>
          <w:p w14:paraId="707A9A31" w14:textId="77777777" w:rsidR="00D5228E" w:rsidRDefault="00D5228E" w:rsidP="00AA24C6">
            <w:pPr>
              <w:spacing w:after="80"/>
              <w:jc w:val="center"/>
            </w:pPr>
            <w:r>
              <w:rPr>
                <w:rFonts w:ascii="Calibri" w:eastAsia="Calibri" w:hAnsi="Calibri" w:cs="Calibri"/>
                <w:b/>
                <w:bCs/>
                <w:color w:val="2E6DA4"/>
                <w:sz w:val="17"/>
                <w:szCs w:val="17"/>
              </w:rPr>
              <w:t>(Trust Factors)</w:t>
            </w:r>
          </w:p>
          <w:p w14:paraId="2A7A2FB4" w14:textId="77777777" w:rsidR="00D5228E" w:rsidRDefault="00D5228E" w:rsidP="00AA24C6">
            <w:pPr>
              <w:spacing w:after="80"/>
              <w:jc w:val="center"/>
            </w:pPr>
            <w:r>
              <w:rPr>
                <w:rFonts w:ascii="Calibri" w:eastAsia="Calibri" w:hAnsi="Calibri" w:cs="Calibri"/>
                <w:color w:val="AED6F1"/>
                <w:sz w:val="14"/>
                <w:szCs w:val="14"/>
              </w:rPr>
              <w:t>─────────────────</w:t>
            </w:r>
          </w:p>
          <w:p w14:paraId="2C84E76E"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Security signals (SSL, MFA, encryption notices)</w:t>
            </w:r>
          </w:p>
          <w:p w14:paraId="01AF350A"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Privacy policy transparency</w:t>
            </w:r>
          </w:p>
          <w:p w14:paraId="39927E73"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Organisational reputation &amp; trust marks</w:t>
            </w:r>
          </w:p>
          <w:p w14:paraId="4409D600"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Visual design quality &amp; professionalism</w:t>
            </w:r>
          </w:p>
          <w:p w14:paraId="48638EC6"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Cookie consent &amp; data control practices</w:t>
            </w:r>
          </w:p>
          <w:p w14:paraId="2E69146D"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Third-party endorsements &amp; reviews</w:t>
            </w:r>
          </w:p>
          <w:p w14:paraId="104172EA"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Perceived data minimisation</w:t>
            </w:r>
          </w:p>
          <w:p w14:paraId="39E24244" w14:textId="77777777" w:rsidR="00D5228E" w:rsidRDefault="00D5228E" w:rsidP="00AA24C6">
            <w:pPr>
              <w:spacing w:before="30" w:after="30"/>
              <w:ind w:left="160" w:hanging="140"/>
            </w:pPr>
            <w:r>
              <w:rPr>
                <w:rFonts w:ascii="Cambria Math" w:eastAsia="Calibri" w:hAnsi="Cambria Math" w:cs="Cambria Math"/>
                <w:b/>
                <w:bCs/>
                <w:color w:val="2E6DA4"/>
                <w:sz w:val="17"/>
                <w:szCs w:val="17"/>
              </w:rPr>
              <w:t>▸</w:t>
            </w:r>
            <w:r>
              <w:rPr>
                <w:rFonts w:ascii="Calibri" w:eastAsia="Calibri" w:hAnsi="Calibri" w:cs="Calibri"/>
                <w:b/>
                <w:bCs/>
                <w:color w:val="2E6DA4"/>
                <w:sz w:val="17"/>
                <w:szCs w:val="17"/>
              </w:rPr>
              <w:t xml:space="preserve">  </w:t>
            </w:r>
            <w:r>
              <w:rPr>
                <w:rFonts w:ascii="Calibri" w:eastAsia="Calibri" w:hAnsi="Calibri" w:cs="Calibri"/>
                <w:color w:val="1A1A1A"/>
                <w:sz w:val="17"/>
                <w:szCs w:val="17"/>
              </w:rPr>
              <w:t>Past experience of data breaches</w:t>
            </w:r>
          </w:p>
          <w:p w14:paraId="3814FA94" w14:textId="77777777" w:rsidR="00D5228E" w:rsidRDefault="00D5228E" w:rsidP="00AA24C6">
            <w:pPr>
              <w:spacing w:before="80" w:after="120"/>
              <w:jc w:val="center"/>
            </w:pPr>
            <w:r>
              <w:rPr>
                <w:rFonts w:ascii="Calibri" w:eastAsia="Calibri" w:hAnsi="Calibri" w:cs="Calibri"/>
                <w:i/>
                <w:iCs/>
                <w:color w:val="555555"/>
                <w:sz w:val="15"/>
                <w:szCs w:val="15"/>
              </w:rPr>
              <w:t>(18 items total — Sections B &amp; C)</w:t>
            </w:r>
          </w:p>
        </w:tc>
        <w:tc>
          <w:tcPr>
            <w:tcW w:w="1400" w:type="dxa"/>
            <w:shd w:val="clear" w:color="auto" w:fill="FFFFFF"/>
            <w:vAlign w:val="center"/>
          </w:tcPr>
          <w:p w14:paraId="17DDCB5F" w14:textId="77777777" w:rsidR="00D5228E" w:rsidRDefault="00D5228E" w:rsidP="00AA24C6">
            <w:pPr>
              <w:spacing w:after="20"/>
              <w:jc w:val="center"/>
            </w:pPr>
            <w:r>
              <w:rPr>
                <w:rFonts w:ascii="Calibri" w:eastAsia="Calibri" w:hAnsi="Calibri" w:cs="Calibri"/>
                <w:b/>
                <w:bCs/>
                <w:color w:val="1A4A6E"/>
                <w:sz w:val="17"/>
                <w:szCs w:val="17"/>
              </w:rPr>
              <w:t>H1</w:t>
            </w:r>
          </w:p>
          <w:p w14:paraId="32CFB98E" w14:textId="77777777" w:rsidR="00D5228E" w:rsidRDefault="00D5228E" w:rsidP="00AA24C6">
            <w:pPr>
              <w:spacing w:after="60"/>
              <w:jc w:val="center"/>
            </w:pPr>
            <w:r>
              <w:rPr>
                <w:rFonts w:ascii="Calibri" w:eastAsia="Calibri" w:hAnsi="Calibri" w:cs="Calibri"/>
                <w:b/>
                <w:bCs/>
                <w:color w:val="1A4A6E"/>
                <w:sz w:val="20"/>
                <w:szCs w:val="20"/>
              </w:rPr>
              <w:t>──────</w:t>
            </w:r>
            <w:r>
              <w:rPr>
                <w:rFonts w:ascii="Arial" w:eastAsia="Calibri" w:hAnsi="Arial" w:cs="Arial"/>
                <w:b/>
                <w:bCs/>
                <w:color w:val="1A4A6E"/>
                <w:sz w:val="20"/>
                <w:szCs w:val="20"/>
              </w:rPr>
              <w:t>►</w:t>
            </w:r>
          </w:p>
          <w:p w14:paraId="660E3F58" w14:textId="77777777" w:rsidR="00D5228E" w:rsidRDefault="00D5228E" w:rsidP="00AA24C6">
            <w:pPr>
              <w:spacing w:before="20" w:after="20"/>
              <w:jc w:val="center"/>
            </w:pPr>
            <w:r>
              <w:rPr>
                <w:rFonts w:ascii="Calibri" w:eastAsia="Calibri" w:hAnsi="Calibri" w:cs="Calibri"/>
                <w:b/>
                <w:bCs/>
                <w:color w:val="1A4A6E"/>
                <w:sz w:val="17"/>
                <w:szCs w:val="17"/>
              </w:rPr>
              <w:t>H3</w:t>
            </w:r>
          </w:p>
          <w:p w14:paraId="4BA10D1A" w14:textId="77777777" w:rsidR="00D5228E" w:rsidRDefault="00D5228E" w:rsidP="00AA24C6">
            <w:pPr>
              <w:jc w:val="center"/>
            </w:pPr>
            <w:r>
              <w:rPr>
                <w:rFonts w:ascii="Calibri" w:eastAsia="Calibri" w:hAnsi="Calibri" w:cs="Calibri"/>
                <w:b/>
                <w:bCs/>
                <w:color w:val="1A4A6E"/>
                <w:sz w:val="20"/>
                <w:szCs w:val="20"/>
              </w:rPr>
              <w:t>──────</w:t>
            </w:r>
            <w:r>
              <w:rPr>
                <w:rFonts w:ascii="Arial" w:eastAsia="Calibri" w:hAnsi="Arial" w:cs="Arial"/>
                <w:b/>
                <w:bCs/>
                <w:color w:val="1A4A6E"/>
                <w:sz w:val="20"/>
                <w:szCs w:val="20"/>
              </w:rPr>
              <w:t>►</w:t>
            </w:r>
          </w:p>
          <w:p w14:paraId="7C807B21" w14:textId="77777777" w:rsidR="00D5228E" w:rsidRDefault="00D5228E" w:rsidP="00AA24C6">
            <w:pPr>
              <w:jc w:val="center"/>
            </w:pPr>
            <w:r>
              <w:rPr>
                <w:rFonts w:ascii="Calibri" w:eastAsia="Calibri" w:hAnsi="Calibri" w:cs="Calibri"/>
                <w:i/>
                <w:iCs/>
                <w:color w:val="555555"/>
                <w:sz w:val="14"/>
                <w:szCs w:val="14"/>
              </w:rPr>
              <w:t>(sectors)</w:t>
            </w:r>
          </w:p>
        </w:tc>
        <w:tc>
          <w:tcPr>
            <w:tcW w:w="4400" w:type="dxa"/>
            <w:tcBorders>
              <w:top w:val="single" w:sz="18" w:space="0" w:color="2E6DA4"/>
              <w:left w:val="single" w:sz="18" w:space="0" w:color="2E6DA4"/>
              <w:bottom w:val="single" w:sz="18" w:space="0" w:color="2E6DA4"/>
              <w:right w:val="single" w:sz="18" w:space="0" w:color="2E6DA4"/>
            </w:tcBorders>
            <w:shd w:val="clear" w:color="auto" w:fill="1A4A6E"/>
            <w:vAlign w:val="center"/>
          </w:tcPr>
          <w:p w14:paraId="68009546" w14:textId="77777777" w:rsidR="00D5228E" w:rsidRDefault="00D5228E" w:rsidP="00AA24C6">
            <w:pPr>
              <w:spacing w:before="120" w:after="40"/>
              <w:jc w:val="center"/>
            </w:pPr>
            <w:r>
              <w:rPr>
                <w:rFonts w:ascii="Calibri" w:eastAsia="Calibri" w:hAnsi="Calibri" w:cs="Calibri"/>
                <w:b/>
                <w:bCs/>
                <w:color w:val="FFFFFF"/>
                <w:sz w:val="19"/>
                <w:szCs w:val="19"/>
              </w:rPr>
              <w:t>Dependent Variable</w:t>
            </w:r>
          </w:p>
          <w:p w14:paraId="796B9B08" w14:textId="77777777" w:rsidR="00D5228E" w:rsidRDefault="00D5228E" w:rsidP="00AA24C6">
            <w:pPr>
              <w:spacing w:after="60"/>
              <w:jc w:val="center"/>
            </w:pPr>
            <w:r>
              <w:rPr>
                <w:rFonts w:ascii="Calibri" w:eastAsia="Calibri" w:hAnsi="Calibri" w:cs="Calibri"/>
                <w:color w:val="AED6F1"/>
                <w:sz w:val="14"/>
                <w:szCs w:val="14"/>
              </w:rPr>
              <w:t>─────────────────</w:t>
            </w:r>
          </w:p>
          <w:p w14:paraId="302784BB" w14:textId="77777777" w:rsidR="00D5228E" w:rsidRDefault="00D5228E" w:rsidP="00AA24C6">
            <w:pPr>
              <w:spacing w:after="20"/>
              <w:jc w:val="center"/>
            </w:pPr>
            <w:r>
              <w:rPr>
                <w:rFonts w:ascii="Calibri" w:eastAsia="Calibri" w:hAnsi="Calibri" w:cs="Calibri"/>
                <w:b/>
                <w:bCs/>
                <w:color w:val="FFFFFF"/>
                <w:sz w:val="22"/>
                <w:szCs w:val="22"/>
              </w:rPr>
              <w:t>Overall Trust Score</w:t>
            </w:r>
          </w:p>
          <w:p w14:paraId="771BD977" w14:textId="77777777" w:rsidR="00D5228E" w:rsidRDefault="00D5228E" w:rsidP="00AA24C6">
            <w:pPr>
              <w:spacing w:after="20"/>
              <w:jc w:val="center"/>
            </w:pPr>
            <w:r>
              <w:rPr>
                <w:rFonts w:ascii="Calibri" w:eastAsia="Calibri" w:hAnsi="Calibri" w:cs="Calibri"/>
                <w:color w:val="AED6F1"/>
                <w:sz w:val="18"/>
                <w:szCs w:val="18"/>
              </w:rPr>
              <w:t>in Web Application</w:t>
            </w:r>
          </w:p>
          <w:p w14:paraId="02729AC7" w14:textId="77777777" w:rsidR="00D5228E" w:rsidRDefault="00D5228E" w:rsidP="00AA24C6">
            <w:pPr>
              <w:spacing w:after="60"/>
              <w:jc w:val="center"/>
            </w:pPr>
            <w:r>
              <w:rPr>
                <w:rFonts w:ascii="Calibri" w:eastAsia="Calibri" w:hAnsi="Calibri" w:cs="Calibri"/>
                <w:i/>
                <w:iCs/>
                <w:color w:val="AED6F1"/>
                <w:sz w:val="17"/>
                <w:szCs w:val="17"/>
              </w:rPr>
              <w:t>(1–10 scale per sector)</w:t>
            </w:r>
          </w:p>
          <w:p w14:paraId="01A8712E" w14:textId="77777777" w:rsidR="00D5228E" w:rsidRDefault="00D5228E" w:rsidP="00AA24C6">
            <w:pPr>
              <w:spacing w:after="60"/>
              <w:jc w:val="center"/>
            </w:pPr>
            <w:r>
              <w:rPr>
                <w:rFonts w:ascii="Calibri" w:eastAsia="Calibri" w:hAnsi="Calibri" w:cs="Calibri"/>
                <w:color w:val="AED6F1"/>
                <w:sz w:val="14"/>
                <w:szCs w:val="14"/>
              </w:rPr>
              <w:t>─────────────────</w:t>
            </w:r>
          </w:p>
          <w:p w14:paraId="360A9D9F" w14:textId="77777777" w:rsidR="00D5228E" w:rsidRDefault="00D5228E" w:rsidP="00AA24C6">
            <w:pPr>
              <w:spacing w:after="30"/>
              <w:jc w:val="center"/>
            </w:pPr>
            <w:r>
              <w:rPr>
                <w:rFonts w:ascii="Calibri" w:eastAsia="Calibri" w:hAnsi="Calibri" w:cs="Calibri"/>
                <w:b/>
                <w:bCs/>
                <w:color w:val="FFFFFF"/>
                <w:sz w:val="17"/>
                <w:szCs w:val="17"/>
              </w:rPr>
              <w:t>Six web application sectors:</w:t>
            </w:r>
          </w:p>
          <w:p w14:paraId="504DB82B" w14:textId="77777777" w:rsidR="00D5228E" w:rsidRDefault="00D5228E" w:rsidP="00AA24C6">
            <w:pPr>
              <w:spacing w:after="20"/>
              <w:jc w:val="center"/>
            </w:pPr>
            <w:r>
              <w:rPr>
                <w:rFonts w:ascii="Calibri" w:eastAsia="Calibri" w:hAnsi="Calibri" w:cs="Calibri"/>
                <w:color w:val="AED6F1"/>
                <w:sz w:val="16"/>
                <w:szCs w:val="16"/>
              </w:rPr>
              <w:t>Banking  ·  Retail  ·  NHS/Health</w:t>
            </w:r>
          </w:p>
          <w:p w14:paraId="509F276E" w14:textId="77777777" w:rsidR="00D5228E" w:rsidRDefault="00D5228E" w:rsidP="00AA24C6">
            <w:pPr>
              <w:spacing w:after="120"/>
              <w:jc w:val="center"/>
            </w:pPr>
            <w:r>
              <w:rPr>
                <w:rFonts w:ascii="Calibri" w:eastAsia="Calibri" w:hAnsi="Calibri" w:cs="Calibri"/>
                <w:color w:val="AED6F1"/>
                <w:sz w:val="16"/>
                <w:szCs w:val="16"/>
              </w:rPr>
              <w:t>Social Media  ·  Government  ·  Streaming</w:t>
            </w:r>
          </w:p>
        </w:tc>
      </w:tr>
      <w:tr w:rsidR="00D5228E" w14:paraId="2E0BB7A7" w14:textId="77777777" w:rsidTr="00AA24C6">
        <w:tc>
          <w:tcPr>
            <w:tcW w:w="9600" w:type="dxa"/>
            <w:gridSpan w:val="3"/>
            <w:shd w:val="clear" w:color="auto" w:fill="FFFFFF"/>
          </w:tcPr>
          <w:p w14:paraId="37936EBA" w14:textId="77777777" w:rsidR="00D5228E" w:rsidRDefault="00D5228E" w:rsidP="00AA24C6">
            <w:pPr>
              <w:spacing w:before="40" w:after="40"/>
              <w:jc w:val="center"/>
            </w:pPr>
          </w:p>
        </w:tc>
      </w:tr>
      <w:tr w:rsidR="00D5228E" w14:paraId="47C726F5" w14:textId="77777777" w:rsidTr="00AA24C6">
        <w:tc>
          <w:tcPr>
            <w:tcW w:w="9600" w:type="dxa"/>
            <w:gridSpan w:val="3"/>
            <w:tcBorders>
              <w:top w:val="single" w:sz="18" w:space="0" w:color="F1C40F"/>
              <w:left w:val="single" w:sz="18" w:space="0" w:color="F1C40F"/>
              <w:bottom w:val="single" w:sz="18" w:space="0" w:color="F1C40F"/>
              <w:right w:val="single" w:sz="18" w:space="0" w:color="F1C40F"/>
            </w:tcBorders>
            <w:shd w:val="clear" w:color="auto" w:fill="FEF9E7"/>
            <w:vAlign w:val="center"/>
          </w:tcPr>
          <w:p w14:paraId="12915298" w14:textId="77777777" w:rsidR="00D5228E" w:rsidRDefault="00D5228E" w:rsidP="00AA24C6">
            <w:pPr>
              <w:spacing w:before="100" w:after="40"/>
              <w:jc w:val="center"/>
            </w:pPr>
            <w:r>
              <w:rPr>
                <w:rFonts w:ascii="Arial" w:eastAsia="Calibri" w:hAnsi="Arial" w:cs="Arial"/>
                <w:b/>
                <w:bCs/>
                <w:color w:val="9A7D0A"/>
                <w:sz w:val="22"/>
                <w:szCs w:val="22"/>
              </w:rPr>
              <w:t>▲</w:t>
            </w:r>
            <w:r>
              <w:rPr>
                <w:rFonts w:ascii="Calibri" w:eastAsia="Calibri" w:hAnsi="Calibri" w:cs="Calibri"/>
                <w:b/>
                <w:bCs/>
                <w:color w:val="9A7D0A"/>
                <w:sz w:val="22"/>
                <w:szCs w:val="22"/>
              </w:rPr>
              <w:t xml:space="preserve">  </w:t>
            </w:r>
            <w:r>
              <w:rPr>
                <w:rFonts w:ascii="Calibri" w:eastAsia="Calibri" w:hAnsi="Calibri" w:cs="Calibri"/>
                <w:b/>
                <w:bCs/>
                <w:color w:val="9A7D0A"/>
                <w:sz w:val="18"/>
                <w:szCs w:val="18"/>
              </w:rPr>
              <w:t xml:space="preserve">H2 — Moderating Variable:  </w:t>
            </w:r>
            <w:r>
              <w:rPr>
                <w:rFonts w:ascii="Calibri" w:eastAsia="Calibri" w:hAnsi="Calibri" w:cs="Calibri"/>
                <w:b/>
                <w:bCs/>
                <w:color w:val="9A7D0A"/>
                <w:sz w:val="20"/>
                <w:szCs w:val="20"/>
              </w:rPr>
              <w:t>GDPR Awareness</w:t>
            </w:r>
            <w:r>
              <w:rPr>
                <w:rFonts w:ascii="Calibri" w:eastAsia="Calibri" w:hAnsi="Calibri" w:cs="Calibri"/>
                <w:b/>
                <w:bCs/>
                <w:color w:val="9A7D0A"/>
                <w:sz w:val="22"/>
                <w:szCs w:val="22"/>
              </w:rPr>
              <w:t xml:space="preserve">  </w:t>
            </w:r>
            <w:r>
              <w:rPr>
                <w:rFonts w:ascii="Arial" w:eastAsia="Calibri" w:hAnsi="Arial" w:cs="Arial"/>
                <w:b/>
                <w:bCs/>
                <w:color w:val="9A7D0A"/>
                <w:sz w:val="22"/>
                <w:szCs w:val="22"/>
              </w:rPr>
              <w:t>▲</w:t>
            </w:r>
          </w:p>
          <w:p w14:paraId="6C1A4B49" w14:textId="77777777" w:rsidR="00D5228E" w:rsidRDefault="00D5228E" w:rsidP="00AA24C6">
            <w:pPr>
              <w:spacing w:after="100"/>
              <w:jc w:val="center"/>
            </w:pPr>
            <w:r>
              <w:rPr>
                <w:rFonts w:ascii="Calibri" w:eastAsia="Calibri" w:hAnsi="Calibri" w:cs="Calibri"/>
                <w:i/>
                <w:iCs/>
                <w:color w:val="9A7D0A"/>
                <w:sz w:val="16"/>
                <w:szCs w:val="16"/>
              </w:rPr>
              <w:t>Moderates the relationship between privacy concern and trust behaviour  (6-item scale adapted from Prince et al. [21])</w:t>
            </w:r>
          </w:p>
        </w:tc>
      </w:tr>
    </w:tbl>
    <w:p w14:paraId="3E2E4D29" w14:textId="77777777" w:rsidR="00D5228E" w:rsidRDefault="00D5228E" w:rsidP="00D5228E">
      <w:pPr>
        <w:spacing w:before="160" w:after="100"/>
      </w:pPr>
    </w:p>
    <w:p w14:paraId="1152F4AA" w14:textId="77777777" w:rsidR="00D5228E" w:rsidRPr="009A269B" w:rsidRDefault="00D5228E" w:rsidP="00D5228E">
      <w:pPr>
        <w:spacing w:after="100"/>
        <w:rPr>
          <w:sz w:val="20"/>
          <w:szCs w:val="20"/>
        </w:rPr>
      </w:pPr>
      <w:r w:rsidRPr="009A269B">
        <w:rPr>
          <w:rFonts w:ascii="Calibri" w:eastAsia="Calibri" w:hAnsi="Calibri" w:cs="Calibri"/>
          <w:b/>
          <w:bCs/>
          <w:color w:val="1A4A6E"/>
          <w:sz w:val="20"/>
          <w:szCs w:val="20"/>
        </w:rPr>
        <w:t>Hypothesis Summary</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00"/>
        <w:gridCol w:w="8800"/>
      </w:tblGrid>
      <w:tr w:rsidR="00D5228E" w14:paraId="771219F5" w14:textId="77777777" w:rsidTr="00AA24C6">
        <w:trPr>
          <w:tblHeader/>
        </w:trPr>
        <w:tc>
          <w:tcPr>
            <w:tcW w:w="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680DE46" w14:textId="77777777" w:rsidR="00D5228E" w:rsidRDefault="00D5228E" w:rsidP="00AA24C6">
            <w:pPr>
              <w:spacing w:before="70" w:after="70"/>
              <w:jc w:val="center"/>
            </w:pPr>
          </w:p>
        </w:tc>
        <w:tc>
          <w:tcPr>
            <w:tcW w:w="8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8DBE5F8" w14:textId="77777777" w:rsidR="00D5228E" w:rsidRDefault="00D5228E" w:rsidP="00AA24C6">
            <w:pPr>
              <w:spacing w:before="70" w:after="70"/>
              <w:jc w:val="center"/>
            </w:pPr>
            <w:r>
              <w:rPr>
                <w:rFonts w:ascii="Calibri" w:eastAsia="Calibri" w:hAnsi="Calibri" w:cs="Calibri"/>
                <w:b/>
                <w:bCs/>
                <w:color w:val="FFFFFF"/>
                <w:sz w:val="17"/>
                <w:szCs w:val="17"/>
              </w:rPr>
              <w:t>Hypothesis</w:t>
            </w:r>
          </w:p>
        </w:tc>
      </w:tr>
      <w:tr w:rsidR="00D5228E" w14:paraId="1494F304" w14:textId="77777777" w:rsidTr="00AA24C6">
        <w:tc>
          <w:tcPr>
            <w:tcW w:w="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C7AB50F" w14:textId="77777777" w:rsidR="00D5228E" w:rsidRDefault="00D5228E" w:rsidP="00AA24C6">
            <w:pPr>
              <w:spacing w:before="80" w:after="80"/>
              <w:jc w:val="center"/>
            </w:pPr>
            <w:r>
              <w:rPr>
                <w:rFonts w:ascii="Calibri" w:eastAsia="Calibri" w:hAnsi="Calibri" w:cs="Calibri"/>
                <w:b/>
                <w:bCs/>
                <w:color w:val="FFFFFF"/>
                <w:sz w:val="18"/>
                <w:szCs w:val="18"/>
              </w:rPr>
              <w:t>H1</w:t>
            </w:r>
          </w:p>
        </w:tc>
        <w:tc>
          <w:tcPr>
            <w:tcW w:w="88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A80A709" w14:textId="77777777" w:rsidR="00D5228E" w:rsidRDefault="00D5228E" w:rsidP="00AA24C6">
            <w:pPr>
              <w:spacing w:before="80" w:after="80"/>
            </w:pPr>
            <w:r>
              <w:rPr>
                <w:rFonts w:ascii="Calibri" w:eastAsia="Calibri" w:hAnsi="Calibri" w:cs="Calibri"/>
                <w:color w:val="1A1A1A"/>
                <w:sz w:val="17"/>
                <w:szCs w:val="17"/>
              </w:rPr>
              <w:t>Security-related signals (SSL/HTTPS, encryption notices, MFA) are the strongest independent predictors of overall trust — tested using multiple regression analysis in SPSS</w:t>
            </w:r>
          </w:p>
        </w:tc>
      </w:tr>
      <w:tr w:rsidR="00D5228E" w14:paraId="03DADAB9" w14:textId="77777777" w:rsidTr="00AA24C6">
        <w:tc>
          <w:tcPr>
            <w:tcW w:w="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13BA5C3" w14:textId="77777777" w:rsidR="00D5228E" w:rsidRDefault="00D5228E" w:rsidP="00AA24C6">
            <w:pPr>
              <w:spacing w:before="80" w:after="80"/>
              <w:jc w:val="center"/>
            </w:pPr>
            <w:r>
              <w:rPr>
                <w:rFonts w:ascii="Calibri" w:eastAsia="Calibri" w:hAnsi="Calibri" w:cs="Calibri"/>
                <w:b/>
                <w:bCs/>
                <w:color w:val="FFFFFF"/>
                <w:sz w:val="18"/>
                <w:szCs w:val="18"/>
              </w:rPr>
              <w:t>H2</w:t>
            </w:r>
          </w:p>
        </w:tc>
        <w:tc>
          <w:tcPr>
            <w:tcW w:w="88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853045A" w14:textId="77777777" w:rsidR="00D5228E" w:rsidRDefault="00D5228E" w:rsidP="00AA24C6">
            <w:pPr>
              <w:spacing w:before="80" w:after="80"/>
            </w:pPr>
            <w:r>
              <w:rPr>
                <w:rFonts w:ascii="Calibri" w:eastAsia="Calibri" w:hAnsi="Calibri" w:cs="Calibri"/>
                <w:color w:val="1A1A1A"/>
                <w:sz w:val="17"/>
                <w:szCs w:val="17"/>
              </w:rPr>
              <w:t>GDPR awareness positively moderates the relationship between privacy concern and trust behaviour, reducing the Privacy Paradox — tested using Hayes' PROCESS macro (v4) at α = 0.05</w:t>
            </w:r>
          </w:p>
        </w:tc>
      </w:tr>
      <w:tr w:rsidR="00D5228E" w14:paraId="7AFCE425" w14:textId="77777777" w:rsidTr="00AA24C6">
        <w:tc>
          <w:tcPr>
            <w:tcW w:w="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E059F81" w14:textId="77777777" w:rsidR="00D5228E" w:rsidRDefault="00D5228E" w:rsidP="00AA24C6">
            <w:pPr>
              <w:spacing w:before="80" w:after="80"/>
              <w:jc w:val="center"/>
            </w:pPr>
            <w:r>
              <w:rPr>
                <w:rFonts w:ascii="Calibri" w:eastAsia="Calibri" w:hAnsi="Calibri" w:cs="Calibri"/>
                <w:b/>
                <w:bCs/>
                <w:color w:val="FFFFFF"/>
                <w:sz w:val="18"/>
                <w:szCs w:val="18"/>
              </w:rPr>
              <w:t>H3</w:t>
            </w:r>
          </w:p>
        </w:tc>
        <w:tc>
          <w:tcPr>
            <w:tcW w:w="88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8C50FD3" w14:textId="77777777" w:rsidR="00D5228E" w:rsidRDefault="00D5228E" w:rsidP="00AA24C6">
            <w:pPr>
              <w:spacing w:before="80" w:after="80"/>
            </w:pPr>
            <w:r>
              <w:rPr>
                <w:rFonts w:ascii="Calibri" w:eastAsia="Calibri" w:hAnsi="Calibri" w:cs="Calibri"/>
                <w:color w:val="1A1A1A"/>
                <w:sz w:val="17"/>
                <w:szCs w:val="17"/>
              </w:rPr>
              <w:t>Overall trust scores differ significantly across the six web application sectors — tested using one-way ANOVA with Tukey post-hoc comparisons</w:t>
            </w:r>
          </w:p>
        </w:tc>
      </w:tr>
    </w:tbl>
    <w:p w14:paraId="52C95F1E" w14:textId="4CEE7F4F" w:rsidR="00D5228E" w:rsidRPr="00CC6827" w:rsidRDefault="00CC6827" w:rsidP="009A269B">
      <w:pPr>
        <w:spacing w:before="120" w:after="200"/>
        <w:jc w:val="center"/>
        <w:rPr>
          <w:color w:val="156082" w:themeColor="accent1"/>
          <w:sz w:val="20"/>
          <w:szCs w:val="20"/>
        </w:rPr>
      </w:pPr>
      <w:r w:rsidRPr="00CC6827">
        <w:rPr>
          <w:rFonts w:ascii="Calibri" w:eastAsia="Calibri" w:hAnsi="Calibri" w:cs="Calibri"/>
          <w:i/>
          <w:iCs/>
          <w:color w:val="1A4A6E"/>
          <w:sz w:val="20"/>
          <w:szCs w:val="20"/>
        </w:rPr>
        <w:t>Figure 3: Conceptual Research Model</w:t>
      </w:r>
      <w:r>
        <w:rPr>
          <w:rFonts w:ascii="Calibri" w:eastAsia="Calibri" w:hAnsi="Calibri" w:cs="Calibri"/>
          <w:i/>
          <w:iCs/>
          <w:color w:val="1A4A6E"/>
          <w:sz w:val="20"/>
          <w:szCs w:val="20"/>
        </w:rPr>
        <w:t xml:space="preserve"> -</w:t>
      </w:r>
      <w:r w:rsidRPr="00CC6827">
        <w:rPr>
          <w:rFonts w:ascii="Calibri" w:eastAsia="Calibri" w:hAnsi="Calibri" w:cs="Calibri"/>
          <w:i/>
          <w:iCs/>
          <w:color w:val="1A4A6E"/>
          <w:sz w:val="20"/>
          <w:szCs w:val="20"/>
        </w:rPr>
        <w:t xml:space="preserve"> Trust Factors, GDPR Awareness, and Overall, Trust in UK Web Applications/ </w:t>
      </w:r>
      <w:r w:rsidR="00D5228E" w:rsidRPr="00CC6827">
        <w:rPr>
          <w:rFonts w:ascii="Calibri" w:eastAsia="Calibri" w:hAnsi="Calibri" w:cs="Calibri"/>
          <w:i/>
          <w:iCs/>
          <w:color w:val="156082" w:themeColor="accent1"/>
          <w:sz w:val="20"/>
          <w:szCs w:val="20"/>
        </w:rPr>
        <w:t>Source: Generated by author (2026).</w:t>
      </w:r>
    </w:p>
    <w:p w14:paraId="48D3C3E6" w14:textId="2DA05188" w:rsidR="003A3AF1" w:rsidRDefault="00D5228E" w:rsidP="00D5228E">
      <w:pPr>
        <w:spacing w:after="80" w:line="360" w:lineRule="auto"/>
        <w:jc w:val="both"/>
      </w:pPr>
      <w:r w:rsidRPr="00D5228E">
        <w:rPr>
          <w:rFonts w:ascii="Calibri" w:eastAsia="Calibri" w:hAnsi="Calibri" w:cs="Calibri"/>
          <w:color w:val="1A1A1A"/>
        </w:rPr>
        <w:t xml:space="preserve">The conceptual model demonstrates that this study adopts a multivariable analytical approach rather than examining trust as a single undifferentiated construct. The 18 independent trust factors are positioned as parallel predictors of overall trust, enabling multiple regression analysis to identify and rank their independent contributions while statistically controlling for all remaining variables simultaneously. GDPR awareness is positioned as a moderator rather than a direct predictor of trust, consistent with the theoretical grounding provided by Dinev and Hart [18] and </w:t>
      </w:r>
      <w:proofErr w:type="spellStart"/>
      <w:r w:rsidRPr="00D5228E">
        <w:rPr>
          <w:rFonts w:ascii="Calibri" w:eastAsia="Calibri" w:hAnsi="Calibri" w:cs="Calibri"/>
          <w:color w:val="1A1A1A"/>
        </w:rPr>
        <w:t>Dienlin</w:t>
      </w:r>
      <w:proofErr w:type="spellEnd"/>
      <w:r w:rsidRPr="00D5228E">
        <w:rPr>
          <w:rFonts w:ascii="Calibri" w:eastAsia="Calibri" w:hAnsi="Calibri" w:cs="Calibri"/>
          <w:color w:val="1A1A1A"/>
        </w:rPr>
        <w:t xml:space="preserve"> and </w:t>
      </w:r>
      <w:proofErr w:type="spellStart"/>
      <w:r w:rsidRPr="00D5228E">
        <w:rPr>
          <w:rFonts w:ascii="Calibri" w:eastAsia="Calibri" w:hAnsi="Calibri" w:cs="Calibri"/>
          <w:color w:val="1A1A1A"/>
        </w:rPr>
        <w:t>Trepte</w:t>
      </w:r>
      <w:proofErr w:type="spellEnd"/>
      <w:r w:rsidRPr="00D5228E">
        <w:rPr>
          <w:rFonts w:ascii="Calibri" w:eastAsia="Calibri" w:hAnsi="Calibri" w:cs="Calibri"/>
          <w:color w:val="1A1A1A"/>
        </w:rPr>
        <w:t xml:space="preserve"> </w:t>
      </w:r>
      <w:r w:rsidRPr="00D5228E">
        <w:rPr>
          <w:rFonts w:ascii="Calibri" w:eastAsia="Calibri" w:hAnsi="Calibri" w:cs="Calibri"/>
          <w:color w:val="1A1A1A"/>
        </w:rPr>
        <w:lastRenderedPageBreak/>
        <w:t>[17], who identified awareness of privacy rights as a contextual factor that may alter the relationship between privacy concern and disclosure behaviour rather than predicting trust directly. The six web application sectors (banking, retail, NHS/health, social media, government, streaming) provide the context for the H3 comparison, with trust scores collected per sector enabling ANOVA to determine whether contextual differences are statistically significant. Together, the three hypotheses and their associated analytical methods are directly derived from the five research objectives set out in Table 1 and the critical gaps identified in the literature review in Chapter 2.</w:t>
      </w:r>
    </w:p>
    <w:p w14:paraId="4ED9E738" w14:textId="77777777" w:rsidR="003110AF" w:rsidRPr="001172CF" w:rsidRDefault="003110AF" w:rsidP="0044428B">
      <w:pPr>
        <w:pStyle w:val="Heading2"/>
        <w:spacing w:line="360" w:lineRule="auto"/>
        <w:rPr>
          <w:rFonts w:ascii="Times New Roman" w:hAnsi="Times New Roman" w:cs="Times New Roman"/>
        </w:rPr>
      </w:pPr>
      <w:bookmarkStart w:id="10" w:name="_Toc234710542"/>
      <w:r w:rsidRPr="001172CF">
        <w:rPr>
          <w:rFonts w:ascii="Times New Roman" w:hAnsi="Times New Roman" w:cs="Times New Roman"/>
        </w:rPr>
        <w:t>1.4 Significance of the Research</w:t>
      </w:r>
      <w:bookmarkEnd w:id="10"/>
    </w:p>
    <w:p w14:paraId="3A0832D5" w14:textId="77777777" w:rsidR="007E2DFD" w:rsidRDefault="006A4011" w:rsidP="007E2DFD">
      <w:pPr>
        <w:spacing w:line="360" w:lineRule="auto"/>
        <w:jc w:val="both"/>
      </w:pPr>
      <w:r w:rsidRPr="001172CF">
        <w:t>This section outlines the significance of the proposed research by considering both its academic contribution to Information Systems research and its practical contribution to the design and development of trustworthy web applications.</w:t>
      </w:r>
    </w:p>
    <w:p w14:paraId="0BF59D40" w14:textId="77777777" w:rsidR="007E2DFD" w:rsidRDefault="007E2DFD" w:rsidP="007E2DFD">
      <w:pPr>
        <w:spacing w:line="360" w:lineRule="auto"/>
        <w:jc w:val="both"/>
      </w:pPr>
    </w:p>
    <w:p w14:paraId="18883AF2" w14:textId="6792F609" w:rsidR="003110AF" w:rsidRPr="004A2982" w:rsidRDefault="003110AF" w:rsidP="007E2DFD">
      <w:pPr>
        <w:pStyle w:val="Heading3"/>
      </w:pPr>
      <w:bookmarkStart w:id="11" w:name="_Toc234710543"/>
      <w:r w:rsidRPr="004A2982">
        <w:t>1.4.1 Academic Significance</w:t>
      </w:r>
      <w:bookmarkEnd w:id="11"/>
    </w:p>
    <w:p w14:paraId="3D4A0319" w14:textId="77777777" w:rsidR="003110AF" w:rsidRPr="001172CF" w:rsidRDefault="003110AF" w:rsidP="00A6486B">
      <w:pPr>
        <w:spacing w:after="160" w:line="360" w:lineRule="auto"/>
        <w:jc w:val="both"/>
      </w:pPr>
      <w:r w:rsidRPr="001172CF">
        <w:t>Three converging developments make this research both timely and significant. First, web applications have become the primary interface through which UK adults access essential services and routinely disclose personal information. Second, GDPR has fundamentally reshaped the legal and regulatory framework governing the collection, processing, and protection of personal data. Third, despite these developments, limited evidence exists regarding how trust forms within the post-GDPR environment or which trust signals most strongly influence users' willingness to disclose personal information.</w:t>
      </w:r>
    </w:p>
    <w:p w14:paraId="5B659DDD" w14:textId="463A70B7" w:rsidR="003110AF" w:rsidRPr="001172CF" w:rsidRDefault="003110AF" w:rsidP="00A6486B">
      <w:pPr>
        <w:spacing w:after="160" w:line="360" w:lineRule="auto"/>
        <w:jc w:val="both"/>
      </w:pPr>
      <w:r w:rsidRPr="001172CF">
        <w:t>This study contributes to theory by critically re-evaluating two of the most influential frameworks in Information Systems research</w:t>
      </w:r>
      <w:r w:rsidR="00437EF5" w:rsidRPr="001172CF">
        <w:t xml:space="preserve">, </w:t>
      </w:r>
      <w:r w:rsidRPr="001172CF">
        <w:t>McKnight et al.'s trust-building model [12] and Davis's Technology Acceptance Model (TAM) [2]</w:t>
      </w:r>
      <w:r w:rsidR="00437EF5" w:rsidRPr="001172CF">
        <w:t xml:space="preserve">, </w:t>
      </w:r>
      <w:r w:rsidRPr="001172CF">
        <w:t>within the contemporary UK post-GDPR context. Both frameworks were developed before GDPR, before widespread smartphone adoption, and before large-scale data breaches became a routine feature of the digital landscape. Consequently, testing their continued applicability is not simply a replication exercise but an opportunity to determine whether these established theories remain suitable for explaining trust in modern web applications.</w:t>
      </w:r>
      <w:r w:rsidR="009B777F">
        <w:t xml:space="preserve"> </w:t>
      </w:r>
      <w:r w:rsidR="009B777F" w:rsidRPr="009B777F">
        <w:t>What makes this study particularly distinct is that it is the first to examine these frameworks within a context where regulatory structural assurance is legally mandated rather than voluntarily provided</w:t>
      </w:r>
      <w:r w:rsidR="00E91F85">
        <w:t xml:space="preserve"> - </w:t>
      </w:r>
      <w:r w:rsidR="009B777F" w:rsidRPr="009B777F">
        <w:t>a fundamentally different condition that may alter how users interpret institutional trust signals and which no previous study has empirically investigated.</w:t>
      </w:r>
    </w:p>
    <w:p w14:paraId="64660192" w14:textId="77777777" w:rsidR="003110AF" w:rsidRPr="001172CF" w:rsidRDefault="003110AF" w:rsidP="00A6486B">
      <w:pPr>
        <w:spacing w:after="160" w:line="360" w:lineRule="auto"/>
        <w:jc w:val="both"/>
      </w:pPr>
      <w:r w:rsidRPr="001172CF">
        <w:lastRenderedPageBreak/>
        <w:t xml:space="preserve">Two specific theoretical contributions distinguish this study from existing research. First, McKnight et al.'s [12] Structural Assurance construct has not been empirically examined in an environment where legal protections such as GDPR are mandatory rather than voluntary, potentially altering how users interpret institutional trust. Second, no study has investigated whether GDPR awareness moderates the Privacy Paradox, despite </w:t>
      </w:r>
      <w:proofErr w:type="spellStart"/>
      <w:r w:rsidRPr="001172CF">
        <w:t>Kokolakis</w:t>
      </w:r>
      <w:proofErr w:type="spellEnd"/>
      <w:r w:rsidRPr="001172CF">
        <w:t xml:space="preserve"> [9] identifying the attitude–behaviour gap as one of the most persistent unresolved issues within Information Systems research. More recent work by Schuetz et al. [27] and </w:t>
      </w:r>
      <w:proofErr w:type="spellStart"/>
      <w:r w:rsidRPr="001172CF">
        <w:t>Lacity</w:t>
      </w:r>
      <w:proofErr w:type="spellEnd"/>
      <w:r w:rsidRPr="001172CF">
        <w:t xml:space="preserve"> et al. [28] similarly identifies trust, privacy, and responsible digital governance as continuing research priorities, reinforcing the relevance and originality of the proposed study.</w:t>
      </w:r>
    </w:p>
    <w:p w14:paraId="6B05BB66" w14:textId="7D8698AA" w:rsidR="00011198" w:rsidRDefault="003110AF" w:rsidP="00A6486B">
      <w:pPr>
        <w:spacing w:after="160" w:line="360" w:lineRule="auto"/>
        <w:jc w:val="both"/>
      </w:pPr>
      <w:r w:rsidRPr="001172CF">
        <w:t>Beyond extending existing theory, this research also contributes methodologically by integrating multiple regression analysis, moderation analysis, and cross-sector comparison within a single empirical model. Examining multiple trust signals simultaneously provides a more comprehensive understanding of trust formation than studies focusing on individual factors in isolation.</w:t>
      </w:r>
    </w:p>
    <w:p w14:paraId="7D511E21" w14:textId="77777777" w:rsidR="007E2DFD" w:rsidRPr="001172CF" w:rsidRDefault="007E2DFD" w:rsidP="00A6486B">
      <w:pPr>
        <w:spacing w:after="160" w:line="360" w:lineRule="auto"/>
        <w:jc w:val="both"/>
      </w:pPr>
    </w:p>
    <w:p w14:paraId="7E362270" w14:textId="77777777" w:rsidR="003110AF" w:rsidRPr="004A2982" w:rsidRDefault="003110AF" w:rsidP="004A2982">
      <w:pPr>
        <w:pStyle w:val="Heading3"/>
      </w:pPr>
      <w:bookmarkStart w:id="12" w:name="_Toc234710544"/>
      <w:r w:rsidRPr="004A2982">
        <w:t>1.4.2 Practical Significance</w:t>
      </w:r>
      <w:bookmarkEnd w:id="12"/>
    </w:p>
    <w:p w14:paraId="7DD42609" w14:textId="466E141F" w:rsidR="003110AF" w:rsidRPr="001172CF" w:rsidRDefault="00DF7617" w:rsidP="00DF7617">
      <w:pPr>
        <w:spacing w:after="160" w:line="360" w:lineRule="auto"/>
      </w:pPr>
      <w:r w:rsidRPr="001172CF">
        <w:t>The practical contribution of this research extends beyond academia by providing evidence-based guidance for web developers, organisations, policymakers, and researchers operating within the UK digital environment.</w:t>
      </w:r>
    </w:p>
    <w:p w14:paraId="4EC41125" w14:textId="467EB502" w:rsidR="003110AF" w:rsidRPr="001172CF" w:rsidRDefault="003110AF" w:rsidP="00A6486B">
      <w:pPr>
        <w:numPr>
          <w:ilvl w:val="0"/>
          <w:numId w:val="8"/>
        </w:numPr>
        <w:spacing w:after="160" w:line="360" w:lineRule="auto"/>
        <w:jc w:val="both"/>
      </w:pPr>
      <w:r w:rsidRPr="00123752">
        <w:t>Web developers and UX practitioners will be able to use the proposed Trust-by-Design Framework</w:t>
      </w:r>
      <w:r w:rsidRPr="001172CF">
        <w:t xml:space="preserve"> </w:t>
      </w:r>
      <w:r w:rsidR="001F1487" w:rsidRPr="00123752">
        <w:rPr>
          <w:b/>
          <w:bCs/>
        </w:rPr>
        <w:t>Append</w:t>
      </w:r>
      <w:r w:rsidR="00123752" w:rsidRPr="00123752">
        <w:rPr>
          <w:b/>
          <w:bCs/>
        </w:rPr>
        <w:t>ix F (FigureF1</w:t>
      </w:r>
      <w:r w:rsidRPr="00123752">
        <w:rPr>
          <w:b/>
          <w:bCs/>
        </w:rPr>
        <w:t>)</w:t>
      </w:r>
      <w:r w:rsidRPr="001172CF">
        <w:t xml:space="preserve"> to prioritise the trust signals that have the greatest influence on user trust, supporting more effective and evidence-based web application design. </w:t>
      </w:r>
    </w:p>
    <w:p w14:paraId="52D2853E" w14:textId="77777777" w:rsidR="003110AF" w:rsidRPr="00123752" w:rsidRDefault="003110AF" w:rsidP="00A6486B">
      <w:pPr>
        <w:numPr>
          <w:ilvl w:val="0"/>
          <w:numId w:val="8"/>
        </w:numPr>
        <w:spacing w:after="160" w:line="360" w:lineRule="auto"/>
        <w:jc w:val="both"/>
      </w:pPr>
      <w:r w:rsidRPr="00123752">
        <w:t>UK organisations</w:t>
      </w:r>
      <w:r w:rsidRPr="001172CF">
        <w:t xml:space="preserve"> subject to UK GDPR will be able to benchmark their web applications against an empirically derived trust model, helping to strengthen consumer confidence and reduce reputational risks associated with data protection failures. This is increasingly important, as the </w:t>
      </w:r>
      <w:proofErr w:type="spellStart"/>
      <w:r w:rsidRPr="00123752">
        <w:t>Vercara</w:t>
      </w:r>
      <w:proofErr w:type="spellEnd"/>
      <w:r w:rsidRPr="00123752">
        <w:t xml:space="preserve"> Consumer Trust Report [20] found that 70% of consumers would stop purchasing from a company following a data breach. </w:t>
      </w:r>
    </w:p>
    <w:p w14:paraId="714E7C54" w14:textId="77777777" w:rsidR="003110AF" w:rsidRPr="001172CF" w:rsidRDefault="003110AF" w:rsidP="00A6486B">
      <w:pPr>
        <w:numPr>
          <w:ilvl w:val="0"/>
          <w:numId w:val="8"/>
        </w:numPr>
        <w:spacing w:after="160" w:line="360" w:lineRule="auto"/>
        <w:jc w:val="both"/>
      </w:pPr>
      <w:r w:rsidRPr="00123752">
        <w:t>Policymakers and regulators, including th</w:t>
      </w:r>
      <w:r w:rsidRPr="001172CF">
        <w:t xml:space="preserve">e Information Commissioner's Office (ICO) [19] and the Competition and Markets Authority (CMA), may use the findings to inform future digital literacy initiatives, transparency guidance, and policy development aimed at improving public trust in digital services. </w:t>
      </w:r>
    </w:p>
    <w:p w14:paraId="6B04966D" w14:textId="77777777" w:rsidR="003110AF" w:rsidRPr="001172CF" w:rsidRDefault="003110AF" w:rsidP="00A6486B">
      <w:pPr>
        <w:numPr>
          <w:ilvl w:val="0"/>
          <w:numId w:val="8"/>
        </w:numPr>
        <w:spacing w:after="160" w:line="360" w:lineRule="auto"/>
        <w:jc w:val="both"/>
      </w:pPr>
      <w:r w:rsidRPr="00123752">
        <w:lastRenderedPageBreak/>
        <w:t>Researchers w</w:t>
      </w:r>
      <w:r w:rsidRPr="001172CF">
        <w:t>ill gain the first UK-specific, multi-sector empirical dataset examining trust in web applications within the post-GDPR environment, providing a foundation for future studies investigating digital trust, privacy, and technology adoption.</w:t>
      </w:r>
    </w:p>
    <w:p w14:paraId="0381836F" w14:textId="791EA9F5" w:rsidR="00B37289" w:rsidRPr="001172CF" w:rsidRDefault="008B4FD7" w:rsidP="00AD71F4">
      <w:pPr>
        <w:pStyle w:val="Heading1"/>
      </w:pPr>
      <w:bookmarkStart w:id="13" w:name="_Toc234710545"/>
      <w:r>
        <w:t xml:space="preserve">2. </w:t>
      </w:r>
      <w:r w:rsidR="008C4330" w:rsidRPr="001172CF">
        <w:t>Literature Review</w:t>
      </w:r>
      <w:bookmarkEnd w:id="13"/>
      <w:r w:rsidR="008C4330" w:rsidRPr="001172CF">
        <w:rPr>
          <w:color w:val="888888"/>
          <w:sz w:val="20"/>
          <w:szCs w:val="20"/>
        </w:rPr>
        <w:t xml:space="preserve">  </w:t>
      </w:r>
    </w:p>
    <w:p w14:paraId="29C44E5C" w14:textId="7FCF3FD7" w:rsidR="00A50CF1" w:rsidRPr="001172CF" w:rsidRDefault="00A50CF1" w:rsidP="00A50CF1">
      <w:pPr>
        <w:spacing w:line="360" w:lineRule="auto"/>
        <w:jc w:val="both"/>
      </w:pPr>
      <w:r w:rsidRPr="001172CF">
        <w:t>This section reviews the theoretical and empirical literature underpinning the study, covering the systematic review protocol, five thematic areas, the theoretical frameworks, key gaps, and an overall summary.</w:t>
      </w:r>
    </w:p>
    <w:p w14:paraId="1A9BDD72" w14:textId="6942264D" w:rsidR="00B37289" w:rsidRPr="001172CF" w:rsidRDefault="008C4330">
      <w:pPr>
        <w:pStyle w:val="Heading2"/>
        <w:rPr>
          <w:rFonts w:ascii="Times New Roman" w:hAnsi="Times New Roman" w:cs="Times New Roman"/>
        </w:rPr>
      </w:pPr>
      <w:bookmarkStart w:id="14" w:name="_Toc234710546"/>
      <w:r w:rsidRPr="001172CF">
        <w:rPr>
          <w:rFonts w:ascii="Times New Roman" w:hAnsi="Times New Roman" w:cs="Times New Roman"/>
        </w:rPr>
        <w:t>2.1 Introduction to the Literature Review</w:t>
      </w:r>
      <w:bookmarkEnd w:id="14"/>
    </w:p>
    <w:p w14:paraId="292B4E17" w14:textId="77777777" w:rsidR="00C66BAD" w:rsidRPr="001172CF" w:rsidRDefault="00C66BAD" w:rsidP="00C66BAD">
      <w:pPr>
        <w:spacing w:before="80" w:after="110" w:line="352" w:lineRule="auto"/>
        <w:jc w:val="both"/>
      </w:pPr>
      <w:r w:rsidRPr="001172CF">
        <w:t xml:space="preserve">This chapter critically reviews the theoretical and empirical literature underpinning the proposed study. The review spans four decades of research, from Davis's Technology Acceptance Model (TAM) [2] to recent post-GDPR studies published in 2024 and 2025. It is organised around five interconnected themes: </w:t>
      </w:r>
      <w:r w:rsidRPr="001172CF">
        <w:rPr>
          <w:b/>
          <w:bCs/>
        </w:rPr>
        <w:t>(1)</w:t>
      </w:r>
      <w:r w:rsidRPr="001172CF">
        <w:t xml:space="preserve"> technology acceptance models and trust; </w:t>
      </w:r>
      <w:r w:rsidRPr="001172CF">
        <w:rPr>
          <w:b/>
          <w:bCs/>
        </w:rPr>
        <w:t>(2)</w:t>
      </w:r>
      <w:r w:rsidRPr="001172CF">
        <w:t xml:space="preserve"> online trust models; </w:t>
      </w:r>
      <w:r w:rsidRPr="001172CF">
        <w:rPr>
          <w:b/>
          <w:bCs/>
        </w:rPr>
        <w:t>(3)</w:t>
      </w:r>
      <w:r w:rsidRPr="001172CF">
        <w:t xml:space="preserve"> the Privacy Paradox; </w:t>
      </w:r>
      <w:r w:rsidRPr="001172CF">
        <w:rPr>
          <w:b/>
          <w:bCs/>
        </w:rPr>
        <w:t>(4)</w:t>
      </w:r>
      <w:r w:rsidRPr="001172CF">
        <w:t xml:space="preserve"> the impact of GDPR on trust and behaviour; and </w:t>
      </w:r>
      <w:r w:rsidRPr="001172CF">
        <w:rPr>
          <w:b/>
          <w:bCs/>
        </w:rPr>
        <w:t>(5)</w:t>
      </w:r>
      <w:r w:rsidRPr="001172CF">
        <w:t xml:space="preserve"> design and credibility as trust signals. Sources were identified through systematic searches of IEEE Xplore, ACM Digital Library, Scopus, and Google Scholar, with priority given to peer-reviewed journal articles, systematic reviews, and highly cited empirical studies. Industry reports from Cisco [7] and Thales [1] are included solely to provide contemporary contextual statistics and are clearly distinguished from the academic literature throughout the review.</w:t>
      </w:r>
    </w:p>
    <w:p w14:paraId="2D77D369" w14:textId="14144497" w:rsidR="00DC727A" w:rsidRPr="001172CF" w:rsidRDefault="00E54545" w:rsidP="00BC7065">
      <w:pPr>
        <w:spacing w:before="80" w:after="110" w:line="352" w:lineRule="auto"/>
        <w:jc w:val="both"/>
      </w:pPr>
      <w:r w:rsidRPr="001172CF">
        <w:t>The literature demonstrates a clear temporal progression. Foundational theories, including Davis's TAM [2], McKnight et al.'s trust model [12], and Corritore et al.'s online trust framework [8], were developed before smartphones, social media, and GDPR fundamentally reshaped the digital landscape. Although more recent empirical studies [4], [5], [15] have begun to examine trust in the GDPR era, they typically focus on individual sectors or specific trust mechanisms rather than providing a comprehensive UK-wide evaluation across multiple web application contexts. Consequently, a significant gap remains in understanding the relative importance of trust signals within contemporary UK web applications, thereby establishing the research gap addressed by the present study.</w:t>
      </w:r>
    </w:p>
    <w:p w14:paraId="1C853AFE" w14:textId="4172CCCB" w:rsidR="00742B05" w:rsidRDefault="003E7971" w:rsidP="00742B05">
      <w:pPr>
        <w:spacing w:before="80" w:after="110" w:line="352" w:lineRule="auto"/>
        <w:jc w:val="both"/>
      </w:pPr>
      <w:r w:rsidRPr="00742B05">
        <w:t xml:space="preserve">A summary of the principal studies reviewed, including their theoretical contributions and relevance to this research, is provided in </w:t>
      </w:r>
      <w:r w:rsidRPr="00742B05">
        <w:rPr>
          <w:b/>
          <w:bCs/>
        </w:rPr>
        <w:t>Appendix A</w:t>
      </w:r>
      <w:r w:rsidRPr="00742B05">
        <w:t>.</w:t>
      </w:r>
      <w:r w:rsidR="00EB1062">
        <w:t xml:space="preserve"> </w:t>
      </w:r>
      <w:r w:rsidR="00EB1062" w:rsidRPr="00EB1062">
        <w:t>The appendix serves as a reference guide, allowing the main body of this chapter to focus on critical evaluation rather than descriptive summaries</w:t>
      </w:r>
      <w:r w:rsidR="00EC2608">
        <w:t>.</w:t>
      </w:r>
    </w:p>
    <w:p w14:paraId="43AA63B8" w14:textId="77777777" w:rsidR="009B552B" w:rsidRDefault="003E7971" w:rsidP="00306686">
      <w:r w:rsidRPr="00742B05">
        <w:t xml:space="preserve"> </w:t>
      </w:r>
    </w:p>
    <w:p w14:paraId="4446A505" w14:textId="77777777" w:rsidR="009B552B" w:rsidRDefault="009B552B">
      <w:pPr>
        <w:rPr>
          <w:rFonts w:ascii="Arial" w:eastAsia="Arial" w:hAnsi="Arial" w:cs="Arial"/>
          <w:b/>
          <w:bCs/>
          <w:color w:val="21618C"/>
          <w:sz w:val="25"/>
          <w:szCs w:val="25"/>
        </w:rPr>
      </w:pPr>
      <w:r>
        <w:br w:type="page"/>
      </w:r>
    </w:p>
    <w:p w14:paraId="08EA34AB" w14:textId="7AC0749D" w:rsidR="00B37289" w:rsidRPr="007864ED" w:rsidRDefault="008C4330" w:rsidP="007864ED">
      <w:pPr>
        <w:pStyle w:val="Heading2"/>
      </w:pPr>
      <w:bookmarkStart w:id="15" w:name="_Toc234710547"/>
      <w:r w:rsidRPr="001172CF">
        <w:lastRenderedPageBreak/>
        <w:t xml:space="preserve">2.2 </w:t>
      </w:r>
      <w:r w:rsidR="00952797" w:rsidRPr="001172CF">
        <w:t>Critical Thematic Review</w:t>
      </w:r>
      <w:r w:rsidR="006A72C0" w:rsidRPr="001172CF">
        <w:t xml:space="preserve"> of the Literature</w:t>
      </w:r>
      <w:bookmarkEnd w:id="15"/>
    </w:p>
    <w:p w14:paraId="0F5F8F66" w14:textId="4112A662" w:rsidR="00502162" w:rsidRDefault="002955CA" w:rsidP="002955CA">
      <w:pPr>
        <w:spacing w:line="360" w:lineRule="auto"/>
        <w:jc w:val="both"/>
      </w:pPr>
      <w:r w:rsidRPr="001172CF">
        <w:t>This section critically reviews the literature through five interconnected themes, establishing the theoretical foundation for the study, identifying the research gap, and informing the hypotheses developed later in this chapter.</w:t>
      </w:r>
      <w:r w:rsidR="00FF3B9F">
        <w:t xml:space="preserve"> </w:t>
      </w:r>
      <w:r w:rsidR="00ED7283" w:rsidRPr="00FF4F5A">
        <w:rPr>
          <w:b/>
          <w:bCs/>
        </w:rPr>
        <w:t xml:space="preserve">Table </w:t>
      </w:r>
      <w:r w:rsidR="00821419" w:rsidRPr="00FF4F5A">
        <w:rPr>
          <w:b/>
          <w:bCs/>
        </w:rPr>
        <w:t>2</w:t>
      </w:r>
      <w:r w:rsidR="00ED7283" w:rsidRPr="00ED7283">
        <w:t xml:space="preserve"> below provides a structured overview of the five themes, summarising the key argument and critical limitation within each before the themes are discussed in full.</w:t>
      </w:r>
    </w:p>
    <w:p w14:paraId="793963D5" w14:textId="2083F508" w:rsidR="00C9535B" w:rsidRPr="00FF4F5A" w:rsidRDefault="00ED7283" w:rsidP="00C9535B">
      <w:pPr>
        <w:spacing w:before="60" w:after="120"/>
        <w:rPr>
          <w:b/>
          <w:bCs/>
        </w:rPr>
      </w:pPr>
      <w:r w:rsidRPr="00FF4F5A">
        <w:rPr>
          <w:rFonts w:eastAsia="Calibri"/>
          <w:b/>
          <w:bCs/>
          <w:i/>
          <w:iCs/>
          <w:color w:val="156082" w:themeColor="accent1"/>
          <w:sz w:val="20"/>
          <w:szCs w:val="20"/>
        </w:rPr>
        <w:t xml:space="preserve">Table </w:t>
      </w:r>
      <w:r w:rsidR="00821419" w:rsidRPr="00FF4F5A">
        <w:rPr>
          <w:rFonts w:eastAsia="Calibri"/>
          <w:b/>
          <w:bCs/>
          <w:i/>
          <w:iCs/>
          <w:color w:val="156082" w:themeColor="accent1"/>
          <w:sz w:val="20"/>
          <w:szCs w:val="20"/>
        </w:rPr>
        <w:t>2</w:t>
      </w:r>
      <w:r w:rsidRPr="00FF4F5A">
        <w:rPr>
          <w:rFonts w:eastAsia="Calibri"/>
          <w:b/>
          <w:bCs/>
          <w:i/>
          <w:iCs/>
          <w:color w:val="156082" w:themeColor="accent1"/>
          <w:sz w:val="20"/>
          <w:szCs w:val="20"/>
        </w:rPr>
        <w:t>: Literature Review — Five-Theme Summary and Research Gap</w:t>
      </w:r>
    </w:p>
    <w:tbl>
      <w:tblPr>
        <w:tblW w:w="96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68"/>
        <w:gridCol w:w="5213"/>
        <w:gridCol w:w="3586"/>
      </w:tblGrid>
      <w:tr w:rsidR="00C9535B" w14:paraId="5C93DB63" w14:textId="77777777" w:rsidTr="00252D9A">
        <w:trPr>
          <w:trHeight w:val="371"/>
          <w:tblHeader/>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9B7E535" w14:textId="77777777" w:rsidR="00C9535B" w:rsidRDefault="00C9535B" w:rsidP="00AA24C6">
            <w:pPr>
              <w:spacing w:before="80" w:after="80"/>
              <w:jc w:val="center"/>
            </w:pPr>
            <w:r>
              <w:rPr>
                <w:rFonts w:ascii="Calibri" w:eastAsia="Calibri" w:hAnsi="Calibri" w:cs="Calibri"/>
                <w:b/>
                <w:bCs/>
                <w:color w:val="FFFFFF"/>
                <w:sz w:val="17"/>
                <w:szCs w:val="17"/>
              </w:rPr>
              <w:t>Theme</w:t>
            </w:r>
          </w:p>
        </w:tc>
        <w:tc>
          <w:tcPr>
            <w:tcW w:w="5213"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EE0DB6D" w14:textId="77777777" w:rsidR="00C9535B" w:rsidRDefault="00C9535B" w:rsidP="00AA24C6">
            <w:pPr>
              <w:spacing w:before="80" w:after="80"/>
            </w:pPr>
            <w:r>
              <w:rPr>
                <w:rFonts w:ascii="Calibri" w:eastAsia="Calibri" w:hAnsi="Calibri" w:cs="Calibri"/>
                <w:b/>
                <w:bCs/>
                <w:color w:val="FFFFFF"/>
                <w:sz w:val="17"/>
                <w:szCs w:val="17"/>
              </w:rPr>
              <w:t>Key Argument &amp; Evidence</w:t>
            </w:r>
          </w:p>
        </w:tc>
        <w:tc>
          <w:tcPr>
            <w:tcW w:w="3586"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34EAEC6" w14:textId="77777777" w:rsidR="00C9535B" w:rsidRDefault="00C9535B" w:rsidP="00AA24C6">
            <w:pPr>
              <w:spacing w:before="80" w:after="80"/>
            </w:pPr>
            <w:r>
              <w:rPr>
                <w:rFonts w:ascii="Calibri" w:eastAsia="Calibri" w:hAnsi="Calibri" w:cs="Calibri"/>
                <w:b/>
                <w:bCs/>
                <w:color w:val="FFFFFF"/>
                <w:sz w:val="17"/>
                <w:szCs w:val="17"/>
              </w:rPr>
              <w:t>Critical Limitation / Gap</w:t>
            </w:r>
          </w:p>
        </w:tc>
      </w:tr>
      <w:tr w:rsidR="00C9535B" w14:paraId="0D7DC0FB" w14:textId="77777777" w:rsidTr="00252D9A">
        <w:trPr>
          <w:trHeight w:val="1028"/>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F544FAA" w14:textId="77777777" w:rsidR="00C9535B" w:rsidRDefault="00C9535B" w:rsidP="00AA24C6">
            <w:pPr>
              <w:spacing w:before="30" w:after="10"/>
              <w:jc w:val="center"/>
            </w:pPr>
            <w:r>
              <w:rPr>
                <w:rFonts w:ascii="Calibri" w:eastAsia="Calibri" w:hAnsi="Calibri" w:cs="Calibri"/>
                <w:b/>
                <w:bCs/>
                <w:color w:val="AED6F1"/>
                <w:sz w:val="16"/>
                <w:szCs w:val="16"/>
              </w:rPr>
              <w:t>T1</w:t>
            </w:r>
          </w:p>
          <w:p w14:paraId="5080F969" w14:textId="77777777" w:rsidR="00C9535B" w:rsidRDefault="00C9535B" w:rsidP="00AA24C6">
            <w:pPr>
              <w:spacing w:after="80"/>
              <w:jc w:val="center"/>
            </w:pPr>
            <w:r>
              <w:rPr>
                <w:rFonts w:ascii="Calibri" w:eastAsia="Calibri" w:hAnsi="Calibri" w:cs="Calibri"/>
                <w:b/>
                <w:bCs/>
                <w:color w:val="FFFFFF"/>
                <w:sz w:val="15"/>
                <w:szCs w:val="15"/>
              </w:rPr>
              <w:t>Technology Acceptance</w:t>
            </w:r>
          </w:p>
        </w:tc>
        <w:tc>
          <w:tcPr>
            <w:tcW w:w="521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EED0403" w14:textId="77777777" w:rsidR="00C9535B" w:rsidRDefault="00C9535B" w:rsidP="00AA24C6">
            <w:pPr>
              <w:spacing w:before="80" w:after="80"/>
            </w:pPr>
            <w:r>
              <w:rPr>
                <w:rFonts w:ascii="Calibri" w:eastAsia="Calibri" w:hAnsi="Calibri" w:cs="Calibri"/>
                <w:color w:val="1A1A1A"/>
                <w:sz w:val="17"/>
                <w:szCs w:val="17"/>
              </w:rPr>
              <w:t>TAM [2] and UTAUT [3] explain adoption through usefulness and ease of use but treat trust as secondary. Neither model addresses privacy-sensitive data disclosure, which is central to modern web applications [27], [28].</w:t>
            </w:r>
          </w:p>
        </w:tc>
        <w:tc>
          <w:tcPr>
            <w:tcW w:w="3586"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5BFE33E" w14:textId="77777777" w:rsidR="00C9535B" w:rsidRDefault="00C9535B" w:rsidP="00AA24C6">
            <w:pPr>
              <w:spacing w:before="80" w:after="80"/>
            </w:pPr>
            <w:r>
              <w:rPr>
                <w:rFonts w:ascii="Calibri" w:eastAsia="Calibri" w:hAnsi="Calibri" w:cs="Calibri"/>
                <w:i/>
                <w:iCs/>
                <w:color w:val="7B0000"/>
                <w:sz w:val="17"/>
                <w:szCs w:val="17"/>
              </w:rPr>
              <w:t>TAM/UTAUT predate GDPR and were designed for workplace, not consumer-facing, contexts. Trust must be treated as a primary construct.</w:t>
            </w:r>
          </w:p>
        </w:tc>
      </w:tr>
      <w:tr w:rsidR="00C9535B" w14:paraId="229DD702" w14:textId="77777777" w:rsidTr="00AA24C6">
        <w:trPr>
          <w:trHeight w:val="271"/>
        </w:trPr>
        <w:tc>
          <w:tcPr>
            <w:tcW w:w="9667" w:type="dxa"/>
            <w:gridSpan w:val="3"/>
            <w:shd w:val="clear" w:color="auto" w:fill="FFFFFF"/>
            <w:vAlign w:val="center"/>
          </w:tcPr>
          <w:p w14:paraId="2C610F89" w14:textId="77777777" w:rsidR="00C9535B" w:rsidRDefault="00C9535B" w:rsidP="00AA24C6">
            <w:pPr>
              <w:spacing w:before="20" w:after="20"/>
              <w:jc w:val="center"/>
            </w:pPr>
            <w:r>
              <w:rPr>
                <w:rFonts w:ascii="Arial" w:eastAsia="Calibri" w:hAnsi="Arial" w:cs="Arial"/>
                <w:b/>
                <w:bCs/>
                <w:color w:val="AED6F1"/>
                <w:sz w:val="20"/>
                <w:szCs w:val="20"/>
              </w:rPr>
              <w:t>▼</w:t>
            </w:r>
          </w:p>
        </w:tc>
      </w:tr>
      <w:tr w:rsidR="00C9535B" w14:paraId="7C6CB66E" w14:textId="77777777" w:rsidTr="00252D9A">
        <w:trPr>
          <w:trHeight w:val="1015"/>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C4E3235" w14:textId="77777777" w:rsidR="00C9535B" w:rsidRDefault="00C9535B" w:rsidP="00AA24C6">
            <w:pPr>
              <w:spacing w:before="30" w:after="10"/>
              <w:jc w:val="center"/>
            </w:pPr>
            <w:r>
              <w:rPr>
                <w:rFonts w:ascii="Calibri" w:eastAsia="Calibri" w:hAnsi="Calibri" w:cs="Calibri"/>
                <w:b/>
                <w:bCs/>
                <w:color w:val="AED6F1"/>
                <w:sz w:val="16"/>
                <w:szCs w:val="16"/>
              </w:rPr>
              <w:t>T2</w:t>
            </w:r>
          </w:p>
          <w:p w14:paraId="7EE8E3DB" w14:textId="77777777" w:rsidR="00C9535B" w:rsidRDefault="00C9535B" w:rsidP="00AA24C6">
            <w:pPr>
              <w:spacing w:after="80"/>
              <w:jc w:val="center"/>
            </w:pPr>
            <w:r>
              <w:rPr>
                <w:rFonts w:ascii="Calibri" w:eastAsia="Calibri" w:hAnsi="Calibri" w:cs="Calibri"/>
                <w:b/>
                <w:bCs/>
                <w:color w:val="FFFFFF"/>
                <w:sz w:val="15"/>
                <w:szCs w:val="15"/>
              </w:rPr>
              <w:t>Online Trust Models</w:t>
            </w:r>
          </w:p>
        </w:tc>
        <w:tc>
          <w:tcPr>
            <w:tcW w:w="5213"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77A4923" w14:textId="77777777" w:rsidR="00C9535B" w:rsidRDefault="00C9535B" w:rsidP="00AA24C6">
            <w:pPr>
              <w:spacing w:before="80" w:after="80"/>
            </w:pPr>
            <w:r>
              <w:rPr>
                <w:rFonts w:ascii="Calibri" w:eastAsia="Calibri" w:hAnsi="Calibri" w:cs="Calibri"/>
                <w:color w:val="1A1A1A"/>
                <w:sz w:val="17"/>
                <w:szCs w:val="17"/>
              </w:rPr>
              <w:t>McKnight et al. [12] establish Trusting Beliefs and Structural Assurance as core antecedents. Corritore et al. [8] add credibility and risk. Gulati et al. [16] (47-study SLR) confirm security and design are the strongest predictors.</w:t>
            </w:r>
          </w:p>
        </w:tc>
        <w:tc>
          <w:tcPr>
            <w:tcW w:w="3586" w:type="dxa"/>
            <w:tcBorders>
              <w:top w:val="single" w:sz="2" w:space="0" w:color="D5D8DC"/>
              <w:left w:val="single" w:sz="2" w:space="0" w:color="D5D8DC"/>
              <w:bottom w:val="single" w:sz="2" w:space="0" w:color="D5D8DC"/>
              <w:right w:val="single" w:sz="2" w:space="0" w:color="D5D8DC"/>
            </w:tcBorders>
            <w:shd w:val="clear" w:color="auto" w:fill="F0F4F8"/>
            <w:vAlign w:val="center"/>
          </w:tcPr>
          <w:p w14:paraId="395491DE" w14:textId="77777777" w:rsidR="00C9535B" w:rsidRDefault="00C9535B" w:rsidP="00AA24C6">
            <w:pPr>
              <w:spacing w:before="80" w:after="80"/>
            </w:pPr>
            <w:r>
              <w:rPr>
                <w:rFonts w:ascii="Calibri" w:eastAsia="Calibri" w:hAnsi="Calibri" w:cs="Calibri"/>
                <w:i/>
                <w:iCs/>
                <w:color w:val="7B0000"/>
                <w:sz w:val="17"/>
                <w:szCs w:val="17"/>
              </w:rPr>
              <w:t>Most empirical validation predates GDPR and uses non-UK samples. Structural Assurance has not been tested where regulatory protection is legally mandated.</w:t>
            </w:r>
          </w:p>
        </w:tc>
      </w:tr>
      <w:tr w:rsidR="00C9535B" w14:paraId="11745FD2" w14:textId="77777777" w:rsidTr="00AA24C6">
        <w:trPr>
          <w:trHeight w:val="284"/>
        </w:trPr>
        <w:tc>
          <w:tcPr>
            <w:tcW w:w="9667" w:type="dxa"/>
            <w:gridSpan w:val="3"/>
            <w:shd w:val="clear" w:color="auto" w:fill="FFFFFF"/>
            <w:vAlign w:val="center"/>
          </w:tcPr>
          <w:p w14:paraId="719F906B" w14:textId="77777777" w:rsidR="00C9535B" w:rsidRDefault="00C9535B" w:rsidP="00AA24C6">
            <w:pPr>
              <w:spacing w:before="20" w:after="20"/>
              <w:jc w:val="center"/>
            </w:pPr>
            <w:r>
              <w:rPr>
                <w:rFonts w:ascii="Arial" w:eastAsia="Calibri" w:hAnsi="Arial" w:cs="Arial"/>
                <w:b/>
                <w:bCs/>
                <w:color w:val="AED6F1"/>
                <w:sz w:val="20"/>
                <w:szCs w:val="20"/>
              </w:rPr>
              <w:t>▼</w:t>
            </w:r>
          </w:p>
        </w:tc>
      </w:tr>
      <w:tr w:rsidR="00C9535B" w14:paraId="4FFABCB1" w14:textId="77777777" w:rsidTr="00252D9A">
        <w:trPr>
          <w:trHeight w:val="1015"/>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88CB403" w14:textId="77777777" w:rsidR="00C9535B" w:rsidRDefault="00C9535B" w:rsidP="00AA24C6">
            <w:pPr>
              <w:spacing w:before="30" w:after="10"/>
              <w:jc w:val="center"/>
            </w:pPr>
            <w:r>
              <w:rPr>
                <w:rFonts w:ascii="Calibri" w:eastAsia="Calibri" w:hAnsi="Calibri" w:cs="Calibri"/>
                <w:b/>
                <w:bCs/>
                <w:color w:val="AED6F1"/>
                <w:sz w:val="16"/>
                <w:szCs w:val="16"/>
              </w:rPr>
              <w:t>T3</w:t>
            </w:r>
          </w:p>
          <w:p w14:paraId="08E29DD3" w14:textId="77777777" w:rsidR="00C9535B" w:rsidRDefault="00C9535B" w:rsidP="00AA24C6">
            <w:pPr>
              <w:spacing w:after="80"/>
              <w:jc w:val="center"/>
            </w:pPr>
            <w:r>
              <w:rPr>
                <w:rFonts w:ascii="Calibri" w:eastAsia="Calibri" w:hAnsi="Calibri" w:cs="Calibri"/>
                <w:b/>
                <w:bCs/>
                <w:color w:val="FFFFFF"/>
                <w:sz w:val="15"/>
                <w:szCs w:val="15"/>
              </w:rPr>
              <w:t>The Privacy Paradox</w:t>
            </w:r>
          </w:p>
        </w:tc>
        <w:tc>
          <w:tcPr>
            <w:tcW w:w="521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8CD6D1C" w14:textId="77777777" w:rsidR="00C9535B" w:rsidRDefault="00C9535B" w:rsidP="00AA24C6">
            <w:pPr>
              <w:spacing w:before="80" w:after="80"/>
            </w:pPr>
            <w:proofErr w:type="spellStart"/>
            <w:r>
              <w:rPr>
                <w:rFonts w:ascii="Calibri" w:eastAsia="Calibri" w:hAnsi="Calibri" w:cs="Calibri"/>
                <w:color w:val="1A1A1A"/>
                <w:sz w:val="17"/>
                <w:szCs w:val="17"/>
              </w:rPr>
              <w:t>Kokolakis</w:t>
            </w:r>
            <w:proofErr w:type="spellEnd"/>
            <w:r>
              <w:rPr>
                <w:rFonts w:ascii="Calibri" w:eastAsia="Calibri" w:hAnsi="Calibri" w:cs="Calibri"/>
                <w:color w:val="1A1A1A"/>
                <w:sz w:val="17"/>
                <w:szCs w:val="17"/>
              </w:rPr>
              <w:t xml:space="preserve"> [9] identifies cognitive dissonance, bounded rationality, and optimism bias as explanations. </w:t>
            </w:r>
            <w:proofErr w:type="spellStart"/>
            <w:r>
              <w:rPr>
                <w:rFonts w:ascii="Calibri" w:eastAsia="Calibri" w:hAnsi="Calibri" w:cs="Calibri"/>
                <w:color w:val="1A1A1A"/>
                <w:sz w:val="17"/>
                <w:szCs w:val="17"/>
              </w:rPr>
              <w:t>Alashoor</w:t>
            </w:r>
            <w:proofErr w:type="spellEnd"/>
            <w:r>
              <w:rPr>
                <w:rFonts w:ascii="Calibri" w:eastAsia="Calibri" w:hAnsi="Calibri" w:cs="Calibri"/>
                <w:color w:val="1A1A1A"/>
                <w:sz w:val="17"/>
                <w:szCs w:val="17"/>
              </w:rPr>
              <w:t xml:space="preserve"> et al. [26] add depletion and mood. Dinev &amp; Hart [18] frame disclosure as a privacy calculus mediated by trust.</w:t>
            </w:r>
          </w:p>
        </w:tc>
        <w:tc>
          <w:tcPr>
            <w:tcW w:w="3586"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BDFB39E" w14:textId="77777777" w:rsidR="00C9535B" w:rsidRDefault="00C9535B" w:rsidP="00AA24C6">
            <w:pPr>
              <w:spacing w:before="80" w:after="80"/>
            </w:pPr>
            <w:r>
              <w:rPr>
                <w:rFonts w:ascii="Calibri" w:eastAsia="Calibri" w:hAnsi="Calibri" w:cs="Calibri"/>
                <w:i/>
                <w:iCs/>
                <w:color w:val="7B0000"/>
                <w:sz w:val="17"/>
                <w:szCs w:val="17"/>
              </w:rPr>
              <w:t>No empirical test of whether GDPR awareness reduces the paradox for UK adults across multiple sectors.</w:t>
            </w:r>
          </w:p>
        </w:tc>
      </w:tr>
      <w:tr w:rsidR="00C9535B" w14:paraId="7F9F97D9" w14:textId="77777777" w:rsidTr="00AA24C6">
        <w:trPr>
          <w:trHeight w:val="271"/>
        </w:trPr>
        <w:tc>
          <w:tcPr>
            <w:tcW w:w="9667" w:type="dxa"/>
            <w:gridSpan w:val="3"/>
            <w:shd w:val="clear" w:color="auto" w:fill="FFFFFF"/>
            <w:vAlign w:val="center"/>
          </w:tcPr>
          <w:p w14:paraId="6125BBB9" w14:textId="77777777" w:rsidR="00C9535B" w:rsidRDefault="00C9535B" w:rsidP="00AA24C6">
            <w:pPr>
              <w:spacing w:before="20" w:after="20"/>
              <w:jc w:val="center"/>
            </w:pPr>
            <w:r>
              <w:rPr>
                <w:rFonts w:ascii="Arial" w:eastAsia="Calibri" w:hAnsi="Arial" w:cs="Arial"/>
                <w:b/>
                <w:bCs/>
                <w:color w:val="AED6F1"/>
                <w:sz w:val="20"/>
                <w:szCs w:val="20"/>
              </w:rPr>
              <w:t>▼</w:t>
            </w:r>
          </w:p>
        </w:tc>
      </w:tr>
      <w:tr w:rsidR="00C9535B" w14:paraId="673A882A" w14:textId="77777777" w:rsidTr="00252D9A">
        <w:trPr>
          <w:trHeight w:val="1028"/>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8915266" w14:textId="77777777" w:rsidR="00C9535B" w:rsidRDefault="00C9535B" w:rsidP="00AA24C6">
            <w:pPr>
              <w:spacing w:before="30" w:after="10"/>
              <w:jc w:val="center"/>
            </w:pPr>
            <w:r>
              <w:rPr>
                <w:rFonts w:ascii="Calibri" w:eastAsia="Calibri" w:hAnsi="Calibri" w:cs="Calibri"/>
                <w:b/>
                <w:bCs/>
                <w:color w:val="AED6F1"/>
                <w:sz w:val="16"/>
                <w:szCs w:val="16"/>
              </w:rPr>
              <w:t>T4</w:t>
            </w:r>
          </w:p>
          <w:p w14:paraId="6A12E28D" w14:textId="77777777" w:rsidR="00C9535B" w:rsidRDefault="00C9535B" w:rsidP="00AA24C6">
            <w:pPr>
              <w:spacing w:after="80"/>
              <w:jc w:val="center"/>
            </w:pPr>
            <w:r>
              <w:rPr>
                <w:rFonts w:ascii="Calibri" w:eastAsia="Calibri" w:hAnsi="Calibri" w:cs="Calibri"/>
                <w:b/>
                <w:bCs/>
                <w:color w:val="FFFFFF"/>
                <w:sz w:val="15"/>
                <w:szCs w:val="15"/>
              </w:rPr>
              <w:t>GDPR and Trust</w:t>
            </w:r>
          </w:p>
        </w:tc>
        <w:tc>
          <w:tcPr>
            <w:tcW w:w="5213"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18A30B5" w14:textId="77777777" w:rsidR="00C9535B" w:rsidRDefault="00C9535B" w:rsidP="00AA24C6">
            <w:pPr>
              <w:spacing w:before="80" w:after="80"/>
            </w:pPr>
            <w:r>
              <w:rPr>
                <w:rFonts w:ascii="Calibri" w:eastAsia="Calibri" w:hAnsi="Calibri" w:cs="Calibri"/>
                <w:color w:val="1A1A1A"/>
                <w:sz w:val="17"/>
                <w:szCs w:val="17"/>
              </w:rPr>
              <w:t xml:space="preserve">Fox et al. [4] find GDPR labels can improve perceived control. Prince et al. [21] link GDPR literacy to empowerment. But Kulyk et al. [5] and </w:t>
            </w:r>
            <w:proofErr w:type="spellStart"/>
            <w:r>
              <w:rPr>
                <w:rFonts w:ascii="Calibri" w:eastAsia="Calibri" w:hAnsi="Calibri" w:cs="Calibri"/>
                <w:color w:val="1A1A1A"/>
                <w:sz w:val="17"/>
                <w:szCs w:val="17"/>
              </w:rPr>
              <w:t>Aridor</w:t>
            </w:r>
            <w:proofErr w:type="spellEnd"/>
            <w:r>
              <w:rPr>
                <w:rFonts w:ascii="Calibri" w:eastAsia="Calibri" w:hAnsi="Calibri" w:cs="Calibri"/>
                <w:color w:val="1A1A1A"/>
                <w:sz w:val="17"/>
                <w:szCs w:val="17"/>
              </w:rPr>
              <w:t xml:space="preserve"> et al. [6] show regulatory compliance alone does not build trust.</w:t>
            </w:r>
          </w:p>
        </w:tc>
        <w:tc>
          <w:tcPr>
            <w:tcW w:w="3586" w:type="dxa"/>
            <w:tcBorders>
              <w:top w:val="single" w:sz="2" w:space="0" w:color="D5D8DC"/>
              <w:left w:val="single" w:sz="2" w:space="0" w:color="D5D8DC"/>
              <w:bottom w:val="single" w:sz="2" w:space="0" w:color="D5D8DC"/>
              <w:right w:val="single" w:sz="2" w:space="0" w:color="D5D8DC"/>
            </w:tcBorders>
            <w:shd w:val="clear" w:color="auto" w:fill="F0F4F8"/>
            <w:vAlign w:val="center"/>
          </w:tcPr>
          <w:p w14:paraId="5D7B88C3" w14:textId="77777777" w:rsidR="00C9535B" w:rsidRDefault="00C9535B" w:rsidP="00AA24C6">
            <w:pPr>
              <w:spacing w:before="80" w:after="80"/>
            </w:pPr>
            <w:r>
              <w:rPr>
                <w:rFonts w:ascii="Calibri" w:eastAsia="Calibri" w:hAnsi="Calibri" w:cs="Calibri"/>
                <w:i/>
                <w:iCs/>
                <w:color w:val="7B0000"/>
                <w:sz w:val="17"/>
                <w:szCs w:val="17"/>
              </w:rPr>
              <w:t>GDPR awareness as a moderating variable has been theorised but not empirically tested in a multi-sector UK context.</w:t>
            </w:r>
          </w:p>
        </w:tc>
      </w:tr>
      <w:tr w:rsidR="00C9535B" w14:paraId="06A5C9D0" w14:textId="77777777" w:rsidTr="00AA24C6">
        <w:trPr>
          <w:trHeight w:val="271"/>
        </w:trPr>
        <w:tc>
          <w:tcPr>
            <w:tcW w:w="9667" w:type="dxa"/>
            <w:gridSpan w:val="3"/>
            <w:shd w:val="clear" w:color="auto" w:fill="FFFFFF"/>
            <w:vAlign w:val="center"/>
          </w:tcPr>
          <w:p w14:paraId="4B869F9B" w14:textId="77777777" w:rsidR="00C9535B" w:rsidRDefault="00C9535B" w:rsidP="00AA24C6">
            <w:pPr>
              <w:spacing w:before="20" w:after="20"/>
              <w:jc w:val="center"/>
            </w:pPr>
            <w:r>
              <w:rPr>
                <w:rFonts w:ascii="Arial" w:eastAsia="Calibri" w:hAnsi="Arial" w:cs="Arial"/>
                <w:b/>
                <w:bCs/>
                <w:color w:val="AED6F1"/>
                <w:sz w:val="20"/>
                <w:szCs w:val="20"/>
              </w:rPr>
              <w:t>▼</w:t>
            </w:r>
          </w:p>
        </w:tc>
      </w:tr>
      <w:tr w:rsidR="00C9535B" w14:paraId="599D85D6" w14:textId="77777777" w:rsidTr="00252D9A">
        <w:trPr>
          <w:trHeight w:val="1015"/>
        </w:trPr>
        <w:tc>
          <w:tcPr>
            <w:tcW w:w="86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13BF580" w14:textId="77777777" w:rsidR="00C9535B" w:rsidRDefault="00C9535B" w:rsidP="00AA24C6">
            <w:pPr>
              <w:spacing w:before="30" w:after="10"/>
              <w:jc w:val="center"/>
            </w:pPr>
            <w:r>
              <w:rPr>
                <w:rFonts w:ascii="Calibri" w:eastAsia="Calibri" w:hAnsi="Calibri" w:cs="Calibri"/>
                <w:b/>
                <w:bCs/>
                <w:color w:val="AED6F1"/>
                <w:sz w:val="16"/>
                <w:szCs w:val="16"/>
              </w:rPr>
              <w:t>T5</w:t>
            </w:r>
          </w:p>
          <w:p w14:paraId="1445E72D" w14:textId="77777777" w:rsidR="00C9535B" w:rsidRDefault="00C9535B" w:rsidP="00AA24C6">
            <w:pPr>
              <w:spacing w:after="80"/>
              <w:jc w:val="center"/>
            </w:pPr>
            <w:r>
              <w:rPr>
                <w:rFonts w:ascii="Calibri" w:eastAsia="Calibri" w:hAnsi="Calibri" w:cs="Calibri"/>
                <w:b/>
                <w:bCs/>
                <w:color w:val="FFFFFF"/>
                <w:sz w:val="15"/>
                <w:szCs w:val="15"/>
              </w:rPr>
              <w:t>Design and Credibility</w:t>
            </w:r>
          </w:p>
        </w:tc>
        <w:tc>
          <w:tcPr>
            <w:tcW w:w="521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8C25B40" w14:textId="77777777" w:rsidR="00C9535B" w:rsidRDefault="00C9535B" w:rsidP="00AA24C6">
            <w:pPr>
              <w:spacing w:before="80" w:after="80"/>
            </w:pPr>
            <w:r>
              <w:rPr>
                <w:rFonts w:ascii="Calibri" w:eastAsia="Calibri" w:hAnsi="Calibri" w:cs="Calibri"/>
                <w:color w:val="1A1A1A"/>
                <w:sz w:val="17"/>
                <w:szCs w:val="17"/>
              </w:rPr>
              <w:t xml:space="preserve">Fogg et al. [13] identify visual design as the strongest credibility signal. Zieglmeier &amp; </w:t>
            </w:r>
            <w:proofErr w:type="spellStart"/>
            <w:r>
              <w:rPr>
                <w:rFonts w:ascii="Calibri" w:eastAsia="Calibri" w:hAnsi="Calibri" w:cs="Calibri"/>
                <w:color w:val="1A1A1A"/>
                <w:sz w:val="17"/>
                <w:szCs w:val="17"/>
              </w:rPr>
              <w:t>Lehene</w:t>
            </w:r>
            <w:proofErr w:type="spellEnd"/>
            <w:r>
              <w:rPr>
                <w:rFonts w:ascii="Calibri" w:eastAsia="Calibri" w:hAnsi="Calibri" w:cs="Calibri"/>
                <w:color w:val="1A1A1A"/>
                <w:sz w:val="17"/>
                <w:szCs w:val="17"/>
              </w:rPr>
              <w:t xml:space="preserve"> [14] develop a four-category UI trust taxonomy. Mohamed et al. [23] show integrated, unobtrusive security increases trust.</w:t>
            </w:r>
          </w:p>
        </w:tc>
        <w:tc>
          <w:tcPr>
            <w:tcW w:w="3586"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3337F0B" w14:textId="77777777" w:rsidR="00C9535B" w:rsidRDefault="00C9535B" w:rsidP="00AA24C6">
            <w:pPr>
              <w:spacing w:before="80" w:after="80"/>
            </w:pPr>
            <w:r>
              <w:rPr>
                <w:rFonts w:ascii="Calibri" w:eastAsia="Calibri" w:hAnsi="Calibri" w:cs="Calibri"/>
                <w:i/>
                <w:iCs/>
                <w:color w:val="7B0000"/>
                <w:sz w:val="17"/>
                <w:szCs w:val="17"/>
              </w:rPr>
              <w:t>No consensus on which design attributes most reliably signal trust for UK users under GDPR; most evidence is pre-GDPR or non-UK.</w:t>
            </w:r>
          </w:p>
        </w:tc>
      </w:tr>
      <w:tr w:rsidR="00C9535B" w14:paraId="0B095137" w14:textId="77777777" w:rsidTr="00AA24C6">
        <w:trPr>
          <w:trHeight w:val="284"/>
        </w:trPr>
        <w:tc>
          <w:tcPr>
            <w:tcW w:w="9667" w:type="dxa"/>
            <w:gridSpan w:val="3"/>
            <w:shd w:val="clear" w:color="auto" w:fill="FFFFFF"/>
            <w:vAlign w:val="center"/>
          </w:tcPr>
          <w:p w14:paraId="0B244F77" w14:textId="77777777" w:rsidR="00C9535B" w:rsidRDefault="00C9535B" w:rsidP="00AA24C6">
            <w:pPr>
              <w:spacing w:before="20" w:after="20"/>
              <w:jc w:val="center"/>
            </w:pPr>
            <w:r>
              <w:rPr>
                <w:rFonts w:ascii="Arial" w:eastAsia="Calibri" w:hAnsi="Arial" w:cs="Arial"/>
                <w:b/>
                <w:bCs/>
                <w:color w:val="AED6F1"/>
                <w:sz w:val="20"/>
                <w:szCs w:val="20"/>
              </w:rPr>
              <w:t>▼</w:t>
            </w:r>
          </w:p>
        </w:tc>
      </w:tr>
      <w:tr w:rsidR="00C9535B" w14:paraId="0724C59C" w14:textId="77777777" w:rsidTr="00AA24C6">
        <w:trPr>
          <w:trHeight w:val="631"/>
        </w:trPr>
        <w:tc>
          <w:tcPr>
            <w:tcW w:w="9667" w:type="dxa"/>
            <w:gridSpan w:val="3"/>
            <w:tcBorders>
              <w:top w:val="single" w:sz="4" w:space="0" w:color="FFFFFF"/>
              <w:left w:val="single" w:sz="4" w:space="0" w:color="FFFFFF"/>
              <w:bottom w:val="single" w:sz="4" w:space="0" w:color="FFFFFF"/>
              <w:right w:val="single" w:sz="4" w:space="0" w:color="FFFFFF"/>
            </w:tcBorders>
            <w:shd w:val="clear" w:color="auto" w:fill="1A4A6E"/>
            <w:vAlign w:val="center"/>
          </w:tcPr>
          <w:p w14:paraId="7F7D5B4E" w14:textId="77777777" w:rsidR="00C9535B" w:rsidRDefault="00C9535B" w:rsidP="00AA24C6">
            <w:pPr>
              <w:spacing w:before="100" w:after="100"/>
            </w:pPr>
            <w:r>
              <w:rPr>
                <w:rFonts w:ascii="Calibri" w:eastAsia="Calibri" w:hAnsi="Calibri" w:cs="Calibri"/>
                <w:b/>
                <w:bCs/>
                <w:color w:val="AED6F1"/>
                <w:sz w:val="17"/>
                <w:szCs w:val="17"/>
              </w:rPr>
              <w:t xml:space="preserve">Research Gap: </w:t>
            </w:r>
            <w:r>
              <w:rPr>
                <w:rFonts w:ascii="Calibri" w:eastAsia="Calibri" w:hAnsi="Calibri" w:cs="Calibri"/>
                <w:color w:val="FFFFFF"/>
                <w:sz w:val="17"/>
                <w:szCs w:val="17"/>
              </w:rPr>
              <w:t>No UK-specific post-GDPR study has simultaneously examined multiple trust factors across several web application sectors with a representative adult sample — directly motivating the present study.</w:t>
            </w:r>
          </w:p>
        </w:tc>
      </w:tr>
    </w:tbl>
    <w:p w14:paraId="1155535F" w14:textId="1FD5CF44" w:rsidR="00C9535B" w:rsidRPr="00252D9A" w:rsidRDefault="00252D9A" w:rsidP="00C9535B">
      <w:pPr>
        <w:spacing w:before="60" w:after="160"/>
        <w:jc w:val="center"/>
        <w:rPr>
          <w:color w:val="156082" w:themeColor="accent1"/>
          <w:sz w:val="20"/>
          <w:szCs w:val="20"/>
        </w:rPr>
      </w:pPr>
      <w:r w:rsidRPr="00252D9A">
        <w:rPr>
          <w:rFonts w:ascii="Calibri" w:eastAsia="Calibri" w:hAnsi="Calibri" w:cs="Calibri"/>
          <w:i/>
          <w:iCs/>
          <w:color w:val="156082" w:themeColor="accent1"/>
          <w:sz w:val="20"/>
          <w:szCs w:val="20"/>
        </w:rPr>
        <w:t xml:space="preserve"> Source: Generated by author (2026). </w:t>
      </w:r>
    </w:p>
    <w:p w14:paraId="7A8BCC66" w14:textId="77777777" w:rsidR="00C9535B" w:rsidRDefault="00C9535B" w:rsidP="00C9535B">
      <w:pPr>
        <w:spacing w:before="60" w:after="80" w:line="360" w:lineRule="auto"/>
        <w:jc w:val="both"/>
        <w:rPr>
          <w:rFonts w:ascii="Calibri" w:eastAsia="Calibri" w:hAnsi="Calibri" w:cs="Calibri"/>
          <w:color w:val="1A1A1A"/>
        </w:rPr>
      </w:pPr>
    </w:p>
    <w:p w14:paraId="116C29B9" w14:textId="77937D09" w:rsidR="00C9535B" w:rsidRDefault="009B552B" w:rsidP="00C9535B">
      <w:pPr>
        <w:spacing w:before="60" w:after="80" w:line="360" w:lineRule="auto"/>
        <w:jc w:val="both"/>
        <w:rPr>
          <w:rFonts w:ascii="Calibri" w:eastAsia="Calibri" w:hAnsi="Calibri" w:cs="Calibri"/>
          <w:color w:val="1A1A1A"/>
        </w:rPr>
      </w:pPr>
      <w:r w:rsidRPr="00FF4F5A">
        <w:rPr>
          <w:rFonts w:ascii="Calibri" w:eastAsia="Calibri" w:hAnsi="Calibri" w:cs="Calibri"/>
          <w:b/>
          <w:bCs/>
          <w:color w:val="1A1A1A"/>
        </w:rPr>
        <w:t>Table</w:t>
      </w:r>
      <w:r w:rsidR="00C9535B" w:rsidRPr="00FF4F5A">
        <w:rPr>
          <w:rFonts w:ascii="Calibri" w:eastAsia="Calibri" w:hAnsi="Calibri" w:cs="Calibri"/>
          <w:b/>
          <w:bCs/>
          <w:color w:val="1A1A1A"/>
        </w:rPr>
        <w:t xml:space="preserve"> </w:t>
      </w:r>
      <w:r w:rsidR="0022371D" w:rsidRPr="00FF4F5A">
        <w:rPr>
          <w:rFonts w:ascii="Calibri" w:eastAsia="Calibri" w:hAnsi="Calibri" w:cs="Calibri"/>
          <w:b/>
          <w:bCs/>
          <w:color w:val="1A1A1A"/>
        </w:rPr>
        <w:t>2</w:t>
      </w:r>
      <w:r w:rsidR="00C9535B" w:rsidRPr="00C9535B">
        <w:rPr>
          <w:rFonts w:ascii="Calibri" w:eastAsia="Calibri" w:hAnsi="Calibri" w:cs="Calibri"/>
          <w:color w:val="1A1A1A"/>
        </w:rPr>
        <w:t xml:space="preserve"> maps the five interconnected themes reviewed in this section, identifying the critical limitation within each theme that directly motivates this study’s design. Each theme is discussed in full below.</w:t>
      </w:r>
    </w:p>
    <w:p w14:paraId="2654BA39" w14:textId="77777777" w:rsidR="00314A86" w:rsidRPr="00314A86" w:rsidRDefault="00314A86" w:rsidP="00314A86">
      <w:pPr>
        <w:spacing w:line="360" w:lineRule="auto"/>
        <w:jc w:val="both"/>
        <w:rPr>
          <w:b/>
          <w:bCs/>
          <w:color w:val="156082" w:themeColor="accent1"/>
        </w:rPr>
      </w:pPr>
      <w:r w:rsidRPr="00314A86">
        <w:rPr>
          <w:b/>
          <w:bCs/>
          <w:color w:val="156082" w:themeColor="accent1"/>
        </w:rPr>
        <w:t>Theme 1: Technology Acceptance Models and the Problem of Trust</w:t>
      </w:r>
    </w:p>
    <w:p w14:paraId="1B78E936" w14:textId="0FCC4903" w:rsidR="00314A86" w:rsidRDefault="00314A86" w:rsidP="00314A86">
      <w:pPr>
        <w:spacing w:line="360" w:lineRule="auto"/>
        <w:jc w:val="both"/>
      </w:pPr>
      <w:r w:rsidRPr="00314A86">
        <w:t xml:space="preserve">Davis's Technology Acceptance Model (TAM) [2] proposes that Perceived Usefulness and Perceived Ease of Use drive technology adoption, while Venkatesh et al.'s Unified Theory of Acceptance and Use of Technology (UTAUT) [3] </w:t>
      </w:r>
      <w:r w:rsidR="00C057DD">
        <w:t>extend</w:t>
      </w:r>
      <w:r w:rsidRPr="00314A86">
        <w:t xml:space="preserve"> this by integrating eight acceptance models, explaining up </w:t>
      </w:r>
      <w:r w:rsidRPr="00314A86">
        <w:lastRenderedPageBreak/>
        <w:t>to 70% of behavioural intention variance in organisational settings. However, both models were developed for workplace information systems and treat trust as an indirect influence rather than a primary construct. Neither explicitly considers users' confidence in an organisation's ability to protect personal information</w:t>
      </w:r>
      <w:r>
        <w:t xml:space="preserve">, </w:t>
      </w:r>
      <w:r w:rsidRPr="00314A86">
        <w:t>a defining characteristic of contemporary web applications. As digital services have become increasingly data-intensive and privacy-sensitive, functional and usability-based explanations are no longer sufficient to explain trust, particularly within the post-GDPR environment where users routinely disclose personal information [27], [28]. Consequently, TAM and UTAUT provide valuable theoretical foundations but require extension through trust-specific constructs, forming the basis of the present study.</w:t>
      </w:r>
    </w:p>
    <w:p w14:paraId="71B2A6F8" w14:textId="77777777" w:rsidR="00314A86" w:rsidRPr="00314A86" w:rsidRDefault="00314A86" w:rsidP="00314A86">
      <w:pPr>
        <w:spacing w:line="360" w:lineRule="auto"/>
        <w:jc w:val="both"/>
      </w:pPr>
    </w:p>
    <w:p w14:paraId="0897818E" w14:textId="77777777" w:rsidR="00314A86" w:rsidRPr="00314A86" w:rsidRDefault="00314A86" w:rsidP="00314A86">
      <w:pPr>
        <w:spacing w:line="360" w:lineRule="auto"/>
        <w:jc w:val="both"/>
        <w:rPr>
          <w:b/>
          <w:bCs/>
          <w:color w:val="156082" w:themeColor="accent1"/>
        </w:rPr>
      </w:pPr>
      <w:r w:rsidRPr="00314A86">
        <w:rPr>
          <w:b/>
          <w:bCs/>
          <w:color w:val="156082" w:themeColor="accent1"/>
        </w:rPr>
        <w:t>Theme 2: Online Trust Models</w:t>
      </w:r>
    </w:p>
    <w:p w14:paraId="3751DC42" w14:textId="77777777" w:rsidR="00314A86" w:rsidRDefault="00314A86" w:rsidP="00314A86">
      <w:pPr>
        <w:spacing w:line="360" w:lineRule="auto"/>
        <w:jc w:val="both"/>
      </w:pPr>
      <w:r w:rsidRPr="00314A86">
        <w:t xml:space="preserve">McKnight et al. [12] provide one of the most influential trust frameworks in Information Systems research, conceptualising trust through Trusting Beliefs (competence, benevolence, and integrity) and identifying Structural Assurance, Reputation, and Website Quality as key antecedents. Corritore et al. [8] extend this perspective by emphasising credibility and perceived risk, while Fogg et al. [13] demonstrate that visual design is a primary determinant of website credibility. Building on this work, Zieglmeier and </w:t>
      </w:r>
      <w:proofErr w:type="spellStart"/>
      <w:r w:rsidRPr="00314A86">
        <w:t>Lehene</w:t>
      </w:r>
      <w:proofErr w:type="spellEnd"/>
      <w:r w:rsidRPr="00314A86">
        <w:t xml:space="preserve"> [14] develop a taxonomy of trustworthy user interface elements, showing that trust emerges from the interaction of multiple design, information, and security factors. More recently, Gulati et al.'s [16] systematic review of 47 Human–Computer Interaction studies confirms that security and design remain the most consistent predictors of trust. However, most of this evidence predates GDPR and is based on non-UK populations. Goodman et al. [15] provide the closest UK comparison through a census-matched sample of 1,200 adults but focus exclusively on health data sharing. Furthermore, existing studies typically examine individual trust signals in isolation rather than comparing their relative importance, leaving uncertainty regarding which factors most strongly influence trust within contemporary UK web applications.</w:t>
      </w:r>
    </w:p>
    <w:p w14:paraId="6FDBEA53" w14:textId="77777777" w:rsidR="00314A86" w:rsidRPr="00314A86" w:rsidRDefault="00314A86" w:rsidP="00314A86">
      <w:pPr>
        <w:spacing w:line="360" w:lineRule="auto"/>
        <w:jc w:val="both"/>
      </w:pPr>
    </w:p>
    <w:p w14:paraId="5A7BA83E" w14:textId="77777777" w:rsidR="00314A86" w:rsidRPr="00314A86" w:rsidRDefault="00314A86" w:rsidP="00314A86">
      <w:pPr>
        <w:spacing w:line="360" w:lineRule="auto"/>
        <w:jc w:val="both"/>
        <w:rPr>
          <w:b/>
          <w:bCs/>
          <w:color w:val="156082" w:themeColor="accent1"/>
        </w:rPr>
      </w:pPr>
      <w:r w:rsidRPr="00314A86">
        <w:rPr>
          <w:b/>
          <w:bCs/>
          <w:color w:val="156082" w:themeColor="accent1"/>
        </w:rPr>
        <w:t>Theme 3: The Privacy Paradox</w:t>
      </w:r>
    </w:p>
    <w:p w14:paraId="54F22B50" w14:textId="7C970E96" w:rsidR="00314A86" w:rsidRDefault="00314A86" w:rsidP="00314A86">
      <w:pPr>
        <w:spacing w:line="360" w:lineRule="auto"/>
        <w:jc w:val="both"/>
      </w:pPr>
      <w:r w:rsidRPr="00314A86">
        <w:t>The Privacy Paradox</w:t>
      </w:r>
      <w:r>
        <w:t xml:space="preserve">, </w:t>
      </w:r>
      <w:r w:rsidRPr="00314A86">
        <w:t xml:space="preserve">the inconsistency between </w:t>
      </w:r>
      <w:r w:rsidR="00506800" w:rsidRPr="00314A86">
        <w:t>users</w:t>
      </w:r>
      <w:r w:rsidRPr="00314A86">
        <w:t xml:space="preserve"> stated privacy concerns and their actual disclosure behaviour</w:t>
      </w:r>
      <w:r>
        <w:t xml:space="preserve">, </w:t>
      </w:r>
      <w:r w:rsidRPr="00314A86">
        <w:t xml:space="preserve">remains one of the most persistent unresolved issues in Information Systems research [25]. </w:t>
      </w:r>
      <w:proofErr w:type="spellStart"/>
      <w:r w:rsidRPr="00314A86">
        <w:t>Kokolakis</w:t>
      </w:r>
      <w:proofErr w:type="spellEnd"/>
      <w:r w:rsidRPr="00314A86">
        <w:t xml:space="preserve"> [9] attributes this gap to cognitive dissonance, bounded rationality, and optimism bias. </w:t>
      </w:r>
      <w:proofErr w:type="spellStart"/>
      <w:r w:rsidRPr="00314A86">
        <w:t>Dienlin</w:t>
      </w:r>
      <w:proofErr w:type="spellEnd"/>
      <w:r w:rsidRPr="00314A86">
        <w:t xml:space="preserve"> and </w:t>
      </w:r>
      <w:proofErr w:type="spellStart"/>
      <w:r w:rsidRPr="00314A86">
        <w:t>Trepte</w:t>
      </w:r>
      <w:proofErr w:type="spellEnd"/>
      <w:r w:rsidRPr="00314A86">
        <w:t xml:space="preserve"> [17] suggest that improved digital literacy strengthens privacy-protective behaviour over time, whereas </w:t>
      </w:r>
      <w:proofErr w:type="spellStart"/>
      <w:r w:rsidRPr="00314A86">
        <w:t>Alashoor</w:t>
      </w:r>
      <w:proofErr w:type="spellEnd"/>
      <w:r w:rsidRPr="00314A86">
        <w:t xml:space="preserve"> et al. [26] demonstrate that cognitive depletion and positive mood reduce privacy-protective behaviour even among individuals with high privacy concern. Wang and Chen [10] further show that platform design often encourages disclosure by making privacy protection more effortful, while Dinev and Hart [18] explain disclosure decisions </w:t>
      </w:r>
      <w:r w:rsidRPr="00314A86">
        <w:lastRenderedPageBreak/>
        <w:t xml:space="preserve">through a privacy calculus in which trust mediates perceived costs and benefits. </w:t>
      </w:r>
      <w:proofErr w:type="spellStart"/>
      <w:r w:rsidRPr="00314A86">
        <w:t>Acquisti</w:t>
      </w:r>
      <w:proofErr w:type="spellEnd"/>
      <w:r w:rsidRPr="00314A86">
        <w:t xml:space="preserve"> et al. [22] similarly argue that systematic cognitive biases frequently undermine rational privacy decision-making. Despite these advances, no empirical study has examined whether GDPR awareness moderates the Privacy Paradox among UK adults across multiple web application sectors, directly motivating Hypothesis H2.</w:t>
      </w:r>
    </w:p>
    <w:p w14:paraId="5E15C1C3" w14:textId="77777777" w:rsidR="00314A86" w:rsidRPr="00314A86" w:rsidRDefault="00314A86" w:rsidP="00314A86">
      <w:pPr>
        <w:spacing w:line="360" w:lineRule="auto"/>
        <w:jc w:val="both"/>
      </w:pPr>
    </w:p>
    <w:p w14:paraId="69747F44" w14:textId="77777777" w:rsidR="00314A86" w:rsidRPr="00314A86" w:rsidRDefault="00314A86" w:rsidP="00314A86">
      <w:pPr>
        <w:spacing w:line="360" w:lineRule="auto"/>
        <w:jc w:val="both"/>
        <w:rPr>
          <w:b/>
          <w:bCs/>
          <w:color w:val="156082" w:themeColor="accent1"/>
        </w:rPr>
      </w:pPr>
      <w:r w:rsidRPr="00314A86">
        <w:rPr>
          <w:b/>
          <w:bCs/>
          <w:color w:val="156082" w:themeColor="accent1"/>
        </w:rPr>
        <w:t>Theme 4: GDPR and Its Effect on Trust</w:t>
      </w:r>
    </w:p>
    <w:p w14:paraId="3543406D" w14:textId="77777777" w:rsidR="00314A86" w:rsidRDefault="00314A86" w:rsidP="00314A86">
      <w:pPr>
        <w:spacing w:line="360" w:lineRule="auto"/>
        <w:jc w:val="both"/>
      </w:pPr>
      <w:r w:rsidRPr="00314A86">
        <w:t xml:space="preserve">The General Data Protection Regulation (GDPR) was introduced to strengthen the protection of personal data and rebuild public confidence in digital services, yet its effect on trust remains contested. Fox et al. [4] demonstrate that well-designed GDPR privacy labels increase users' perceptions of control and trustworthiness, while Prince et al. [21] show that greater GDPR awareness improves users' sense of data empowerment. Conversely, Kulyk et al. [5] find that cookie consent notices are frequently ignored and have little influence on trust, whereas </w:t>
      </w:r>
      <w:proofErr w:type="spellStart"/>
      <w:r w:rsidRPr="00314A86">
        <w:t>Aridor</w:t>
      </w:r>
      <w:proofErr w:type="spellEnd"/>
      <w:r w:rsidRPr="00314A86">
        <w:t xml:space="preserve"> et al. [6] report that GDPR opt-in requirements reduced trackable users by 12.5% without producing measurable improvements in trust. Collectively, the evidence suggests that GDPR influences trust primarily through user awareness and privacy literacy rather than regulatory compliance alone, providing strong theoretical justification for treating GDPR awareness as a moderating variable rather than a direct predictor of trust.</w:t>
      </w:r>
    </w:p>
    <w:p w14:paraId="259BB8A9" w14:textId="77777777" w:rsidR="00314A86" w:rsidRPr="00314A86" w:rsidRDefault="00314A86" w:rsidP="00314A86">
      <w:pPr>
        <w:spacing w:line="360" w:lineRule="auto"/>
        <w:jc w:val="both"/>
      </w:pPr>
    </w:p>
    <w:p w14:paraId="700B5E93" w14:textId="77777777" w:rsidR="00314A86" w:rsidRPr="00314A86" w:rsidRDefault="00314A86" w:rsidP="00314A86">
      <w:pPr>
        <w:spacing w:line="360" w:lineRule="auto"/>
        <w:jc w:val="both"/>
        <w:rPr>
          <w:b/>
          <w:bCs/>
          <w:color w:val="156082" w:themeColor="accent1"/>
        </w:rPr>
      </w:pPr>
      <w:r w:rsidRPr="00314A86">
        <w:rPr>
          <w:b/>
          <w:bCs/>
          <w:color w:val="156082" w:themeColor="accent1"/>
        </w:rPr>
        <w:t>Theme 5: Design, Credibility, and Visual Trust Signals</w:t>
      </w:r>
    </w:p>
    <w:p w14:paraId="7F382A74" w14:textId="77777777" w:rsidR="00314A86" w:rsidRPr="00314A86" w:rsidRDefault="00314A86" w:rsidP="00314A86">
      <w:pPr>
        <w:spacing w:line="360" w:lineRule="auto"/>
        <w:jc w:val="both"/>
      </w:pPr>
      <w:r w:rsidRPr="00314A86">
        <w:t xml:space="preserve">Users form rapid trust judgements based on a web application's visual presentation and usability, making interface design an important determinant of trust alongside security and privacy. Fogg et al. [13] identify overall visual appearance as the single most influential credibility factor, while Zieglmeier and </w:t>
      </w:r>
      <w:proofErr w:type="spellStart"/>
      <w:r w:rsidRPr="00314A86">
        <w:t>Lehene</w:t>
      </w:r>
      <w:proofErr w:type="spellEnd"/>
      <w:r w:rsidRPr="00314A86">
        <w:t xml:space="preserve"> [14] categorise trust signals into information quality, design quality, security indicators, and third-party endorsements. The Thales 2024 Digital Trust Index [1] further highlights a usability gap, reporting that 66% of consumers trust organisations offering easy-to-manage privacy settings, yet only 8% believe current controls are easy to use. Mohamed et al. [23] similarly demonstrate that unobtrusive, integrated security mechanisms increase trust more effectively than highly visible security warnings. Although the literature consistently recognises the importance of design in trust formation, no consensus exists regarding which design attributes most effectively signal trust for UK users under GDPR because most evidence derives from non-UK populations or predates contemporary privacy legislation. This provides further justification for the proposed empirical investigation.</w:t>
      </w:r>
    </w:p>
    <w:p w14:paraId="64181CF0" w14:textId="77777777" w:rsidR="00AA587B" w:rsidRDefault="00AA587B" w:rsidP="00314A86">
      <w:pPr>
        <w:spacing w:line="360" w:lineRule="auto"/>
        <w:jc w:val="both"/>
        <w:rPr>
          <w:rFonts w:eastAsia="Arial"/>
          <w:b/>
          <w:bCs/>
          <w:color w:val="21618C"/>
          <w:sz w:val="25"/>
          <w:szCs w:val="25"/>
        </w:rPr>
      </w:pPr>
      <w:r>
        <w:br w:type="page"/>
      </w:r>
    </w:p>
    <w:p w14:paraId="66C5D098" w14:textId="09FAFB6C" w:rsidR="00B37289" w:rsidRPr="001172CF" w:rsidRDefault="008C4330" w:rsidP="00314A86">
      <w:pPr>
        <w:pStyle w:val="Heading2"/>
      </w:pPr>
      <w:bookmarkStart w:id="16" w:name="_Toc234710548"/>
      <w:r w:rsidRPr="001172CF">
        <w:lastRenderedPageBreak/>
        <w:t>2.3 Theoretical Frameworks</w:t>
      </w:r>
      <w:bookmarkEnd w:id="16"/>
    </w:p>
    <w:p w14:paraId="0B0A28C5" w14:textId="116F2E25" w:rsidR="006642FA" w:rsidRPr="001172CF" w:rsidRDefault="00531C20" w:rsidP="006642FA">
      <w:pPr>
        <w:spacing w:before="70" w:after="70" w:line="360" w:lineRule="auto"/>
        <w:jc w:val="both"/>
      </w:pPr>
      <w:r w:rsidRPr="001172CF">
        <w:t>The proposed research is underpinned by four complementary theoretical frameworks that collectively explain technology adoption, online trust, privacy-related decision-making, and trust formation through interface design. Together, these frameworks provide the conceptual basis for the research model, survey instrument, and hypotheses.</w:t>
      </w:r>
    </w:p>
    <w:p w14:paraId="40767381" w14:textId="77777777" w:rsidR="006642FA" w:rsidRPr="001172CF" w:rsidRDefault="006642FA" w:rsidP="006642FA">
      <w:pPr>
        <w:pStyle w:val="ListParagraph"/>
        <w:spacing w:before="70" w:after="70" w:line="276" w:lineRule="auto"/>
        <w:ind w:left="720"/>
        <w:jc w:val="both"/>
        <w:rPr>
          <w:rFonts w:ascii="Times New Roman" w:hAnsi="Times New Roman" w:cs="Times New Roman"/>
        </w:rPr>
      </w:pPr>
    </w:p>
    <w:p w14:paraId="4DE04058" w14:textId="1FCAC1B8" w:rsidR="00B37289" w:rsidRPr="00CF2030" w:rsidRDefault="008C4330" w:rsidP="006642FA">
      <w:pPr>
        <w:pStyle w:val="ListParagraph"/>
        <w:numPr>
          <w:ilvl w:val="0"/>
          <w:numId w:val="2"/>
        </w:numPr>
        <w:spacing w:before="70" w:after="70" w:line="360" w:lineRule="auto"/>
        <w:jc w:val="both"/>
        <w:rPr>
          <w:rFonts w:ascii="Times New Roman" w:hAnsi="Times New Roman" w:cs="Times New Roman"/>
          <w:sz w:val="24"/>
          <w:szCs w:val="24"/>
        </w:rPr>
      </w:pPr>
      <w:r w:rsidRPr="00CF2030">
        <w:rPr>
          <w:rFonts w:ascii="Times New Roman" w:hAnsi="Times New Roman" w:cs="Times New Roman"/>
          <w:b/>
          <w:bCs/>
          <w:color w:val="156082" w:themeColor="accent1"/>
          <w:sz w:val="24"/>
          <w:szCs w:val="24"/>
        </w:rPr>
        <w:t xml:space="preserve">Technology Acceptance Model (TAM) </w:t>
      </w:r>
      <w:r w:rsidRPr="00CF2030">
        <w:rPr>
          <w:rFonts w:ascii="Times New Roman" w:hAnsi="Times New Roman" w:cs="Times New Roman"/>
          <w:sz w:val="24"/>
          <w:szCs w:val="24"/>
        </w:rPr>
        <w:t>[2]: Provides the foundational constructs of Perceived Usefulness and Perceived Ease of Use, retained in this study as baseline predictors alongside trust-specific variables.</w:t>
      </w:r>
    </w:p>
    <w:p w14:paraId="2F1143BD" w14:textId="77777777" w:rsidR="00B37289" w:rsidRPr="00CF2030" w:rsidRDefault="008C4330" w:rsidP="006642FA">
      <w:pPr>
        <w:pStyle w:val="ListParagraph"/>
        <w:numPr>
          <w:ilvl w:val="0"/>
          <w:numId w:val="2"/>
        </w:numPr>
        <w:spacing w:before="70" w:after="70" w:line="360" w:lineRule="auto"/>
        <w:jc w:val="both"/>
        <w:rPr>
          <w:rFonts w:ascii="Times New Roman" w:hAnsi="Times New Roman" w:cs="Times New Roman"/>
          <w:sz w:val="24"/>
          <w:szCs w:val="24"/>
        </w:rPr>
      </w:pPr>
      <w:r w:rsidRPr="00CF2030">
        <w:rPr>
          <w:rFonts w:ascii="Times New Roman" w:hAnsi="Times New Roman" w:cs="Times New Roman"/>
          <w:b/>
          <w:bCs/>
          <w:color w:val="156082" w:themeColor="accent1"/>
          <w:sz w:val="24"/>
          <w:szCs w:val="24"/>
        </w:rPr>
        <w:t xml:space="preserve">McKnight et al.’s Trust-Building Model </w:t>
      </w:r>
      <w:r w:rsidRPr="00CF2030">
        <w:rPr>
          <w:rFonts w:ascii="Times New Roman" w:hAnsi="Times New Roman" w:cs="Times New Roman"/>
          <w:sz w:val="24"/>
          <w:szCs w:val="24"/>
        </w:rPr>
        <w:t>[12]: Primary theoretical framework; three-dimensional Trusting Beliefs construct (competence, benevolence, integrity) forms the basis of the survey’s dependent variable.</w:t>
      </w:r>
    </w:p>
    <w:p w14:paraId="44608659" w14:textId="77777777" w:rsidR="00B37289" w:rsidRPr="00CF2030" w:rsidRDefault="008C4330" w:rsidP="006642FA">
      <w:pPr>
        <w:pStyle w:val="ListParagraph"/>
        <w:numPr>
          <w:ilvl w:val="0"/>
          <w:numId w:val="2"/>
        </w:numPr>
        <w:spacing w:before="70" w:after="70" w:line="360" w:lineRule="auto"/>
        <w:jc w:val="both"/>
        <w:rPr>
          <w:rFonts w:ascii="Times New Roman" w:hAnsi="Times New Roman" w:cs="Times New Roman"/>
          <w:sz w:val="24"/>
          <w:szCs w:val="24"/>
        </w:rPr>
      </w:pPr>
      <w:r w:rsidRPr="00CF2030">
        <w:rPr>
          <w:rFonts w:ascii="Times New Roman" w:hAnsi="Times New Roman" w:cs="Times New Roman"/>
          <w:b/>
          <w:bCs/>
          <w:color w:val="156082" w:themeColor="accent1"/>
          <w:sz w:val="24"/>
          <w:szCs w:val="24"/>
        </w:rPr>
        <w:t xml:space="preserve">Privacy Calculus Theory (Dinev &amp; Hart </w:t>
      </w:r>
      <w:r w:rsidRPr="00CF2030">
        <w:rPr>
          <w:rFonts w:ascii="Times New Roman" w:hAnsi="Times New Roman" w:cs="Times New Roman"/>
          <w:sz w:val="24"/>
          <w:szCs w:val="24"/>
        </w:rPr>
        <w:t>[18]): Frames the user’s decision to disclose personal data as a cost-benefit calculation mediated by trust, providing theoretical grounding for the moderation analysis.</w:t>
      </w:r>
    </w:p>
    <w:p w14:paraId="460ED242" w14:textId="21B73CF8" w:rsidR="00B37289" w:rsidRPr="00CF2030" w:rsidRDefault="008C4330" w:rsidP="006642FA">
      <w:pPr>
        <w:pStyle w:val="ListParagraph"/>
        <w:numPr>
          <w:ilvl w:val="0"/>
          <w:numId w:val="2"/>
        </w:numPr>
        <w:spacing w:before="70" w:after="70" w:line="360" w:lineRule="auto"/>
        <w:jc w:val="both"/>
        <w:rPr>
          <w:rFonts w:ascii="Times New Roman" w:hAnsi="Times New Roman" w:cs="Times New Roman"/>
          <w:sz w:val="24"/>
          <w:szCs w:val="24"/>
        </w:rPr>
      </w:pPr>
      <w:r w:rsidRPr="00CF2030">
        <w:rPr>
          <w:rFonts w:ascii="Times New Roman" w:hAnsi="Times New Roman" w:cs="Times New Roman"/>
          <w:b/>
          <w:bCs/>
          <w:color w:val="156082" w:themeColor="accent1"/>
          <w:sz w:val="24"/>
          <w:szCs w:val="24"/>
        </w:rPr>
        <w:t xml:space="preserve">Zieglmeier &amp; </w:t>
      </w:r>
      <w:proofErr w:type="spellStart"/>
      <w:r w:rsidRPr="00CF2030">
        <w:rPr>
          <w:rFonts w:ascii="Times New Roman" w:hAnsi="Times New Roman" w:cs="Times New Roman"/>
          <w:b/>
          <w:bCs/>
          <w:color w:val="156082" w:themeColor="accent1"/>
          <w:sz w:val="24"/>
          <w:szCs w:val="24"/>
        </w:rPr>
        <w:t>Lehene’s</w:t>
      </w:r>
      <w:proofErr w:type="spellEnd"/>
      <w:r w:rsidRPr="00CF2030">
        <w:rPr>
          <w:rFonts w:ascii="Times New Roman" w:hAnsi="Times New Roman" w:cs="Times New Roman"/>
          <w:b/>
          <w:bCs/>
          <w:color w:val="156082" w:themeColor="accent1"/>
          <w:sz w:val="24"/>
          <w:szCs w:val="24"/>
        </w:rPr>
        <w:t xml:space="preserve"> UI Trust Taxonomy</w:t>
      </w:r>
      <w:r w:rsidRPr="00CF2030">
        <w:rPr>
          <w:rFonts w:ascii="Times New Roman" w:hAnsi="Times New Roman" w:cs="Times New Roman"/>
          <w:b/>
          <w:bCs/>
          <w:sz w:val="24"/>
          <w:szCs w:val="24"/>
        </w:rPr>
        <w:t xml:space="preserve"> </w:t>
      </w:r>
      <w:r w:rsidRPr="00CF2030">
        <w:rPr>
          <w:rFonts w:ascii="Times New Roman" w:hAnsi="Times New Roman" w:cs="Times New Roman"/>
          <w:sz w:val="24"/>
          <w:szCs w:val="24"/>
        </w:rPr>
        <w:t>[14]</w:t>
      </w:r>
      <w:r w:rsidR="004261BB" w:rsidRPr="00CF2030">
        <w:rPr>
          <w:rFonts w:ascii="Times New Roman" w:hAnsi="Times New Roman" w:cs="Times New Roman"/>
          <w:sz w:val="24"/>
          <w:szCs w:val="24"/>
        </w:rPr>
        <w:t>: Provides</w:t>
      </w:r>
      <w:r w:rsidRPr="00CF2030">
        <w:rPr>
          <w:rFonts w:ascii="Times New Roman" w:hAnsi="Times New Roman" w:cs="Times New Roman"/>
          <w:sz w:val="24"/>
          <w:szCs w:val="24"/>
        </w:rPr>
        <w:t xml:space="preserve"> a structured vocabulary for the independent variables related to web design, enabling systematic survey item development.</w:t>
      </w:r>
    </w:p>
    <w:p w14:paraId="6B62B572" w14:textId="77777777" w:rsidR="00E009A6" w:rsidRDefault="00E009A6" w:rsidP="00E009A6">
      <w:pPr>
        <w:spacing w:before="70" w:after="70" w:line="360" w:lineRule="auto"/>
        <w:jc w:val="both"/>
      </w:pPr>
    </w:p>
    <w:p w14:paraId="68512988" w14:textId="4C384DC3" w:rsidR="00E009A6" w:rsidRPr="00E009A6" w:rsidRDefault="00E009A6" w:rsidP="00E009A6">
      <w:pPr>
        <w:spacing w:before="70" w:after="70" w:line="360" w:lineRule="auto"/>
        <w:jc w:val="both"/>
      </w:pPr>
      <w:r w:rsidRPr="00E009A6">
        <w:t>Together, these four frameworks operate at complementary levels of analysis. TAM and McKnight et al. explain adoption and trust formation</w:t>
      </w:r>
      <w:r w:rsidR="00924261">
        <w:t>,</w:t>
      </w:r>
      <w:r w:rsidRPr="00E009A6">
        <w:t xml:space="preserve"> respectively, while the Privacy Calculus explains the decision to disclose, and Zieglmeier and </w:t>
      </w:r>
      <w:proofErr w:type="spellStart"/>
      <w:r w:rsidRPr="00E009A6">
        <w:t>Lehene's</w:t>
      </w:r>
      <w:proofErr w:type="spellEnd"/>
      <w:r w:rsidRPr="00E009A6">
        <w:t xml:space="preserve"> taxonomy operationalises the independent variables at the survey item level. No previous study has combined all four within a single empirical framework applied to UK web applications, which is itself a methodological contribution of the proposed research.</w:t>
      </w:r>
    </w:p>
    <w:p w14:paraId="41A50438" w14:textId="5B306233" w:rsidR="00B37289" w:rsidRPr="001172CF" w:rsidRDefault="008C4330" w:rsidP="00DC727A">
      <w:pPr>
        <w:pStyle w:val="Heading2"/>
        <w:spacing w:line="276" w:lineRule="auto"/>
        <w:jc w:val="both"/>
        <w:rPr>
          <w:rFonts w:ascii="Times New Roman" w:hAnsi="Times New Roman" w:cs="Times New Roman"/>
        </w:rPr>
      </w:pPr>
      <w:bookmarkStart w:id="17" w:name="_Toc234710549"/>
      <w:r w:rsidRPr="001172CF">
        <w:rPr>
          <w:rFonts w:ascii="Times New Roman" w:hAnsi="Times New Roman" w:cs="Times New Roman"/>
        </w:rPr>
        <w:t xml:space="preserve">2.4 </w:t>
      </w:r>
      <w:r w:rsidR="00952797" w:rsidRPr="001172CF">
        <w:rPr>
          <w:rFonts w:ascii="Times New Roman" w:hAnsi="Times New Roman" w:cs="Times New Roman"/>
        </w:rPr>
        <w:t>Research Gap</w:t>
      </w:r>
      <w:bookmarkEnd w:id="17"/>
    </w:p>
    <w:p w14:paraId="1F6A7E0A" w14:textId="518A29AF" w:rsidR="005A4BCA" w:rsidRPr="001172CF" w:rsidRDefault="005A4BCA" w:rsidP="005A4BCA">
      <w:pPr>
        <w:spacing w:before="70" w:after="70" w:line="360" w:lineRule="auto"/>
        <w:jc w:val="both"/>
      </w:pPr>
      <w:r w:rsidRPr="001172CF">
        <w:t>The critical review presented in Sections 2.2 and 2.3 highlights several important limitations in the existing literature. Together, these gaps justify the need for the present study.</w:t>
      </w:r>
    </w:p>
    <w:p w14:paraId="729FB4CD" w14:textId="3C623A7C" w:rsidR="00B37289" w:rsidRPr="001172CF" w:rsidRDefault="008C4330" w:rsidP="005A4BCA">
      <w:pPr>
        <w:pStyle w:val="ListParagraph"/>
        <w:numPr>
          <w:ilvl w:val="0"/>
          <w:numId w:val="2"/>
        </w:numPr>
        <w:spacing w:before="70" w:after="70" w:line="360" w:lineRule="auto"/>
        <w:jc w:val="both"/>
        <w:rPr>
          <w:rFonts w:ascii="Times New Roman" w:hAnsi="Times New Roman" w:cs="Times New Roman"/>
        </w:rPr>
      </w:pPr>
      <w:r w:rsidRPr="001172CF">
        <w:rPr>
          <w:rFonts w:ascii="Times New Roman" w:hAnsi="Times New Roman" w:cs="Times New Roman"/>
        </w:rPr>
        <w:t>No post-GDPR, UK-specific empirical study has measured trust in web applications across multiple sectors with a representative adult sample.</w:t>
      </w:r>
    </w:p>
    <w:p w14:paraId="73E82238" w14:textId="77777777" w:rsidR="00B37289" w:rsidRPr="001172CF" w:rsidRDefault="008C4330" w:rsidP="005A4BCA">
      <w:pPr>
        <w:pStyle w:val="ListParagraph"/>
        <w:numPr>
          <w:ilvl w:val="0"/>
          <w:numId w:val="2"/>
        </w:numPr>
        <w:spacing w:before="70" w:after="70" w:line="360" w:lineRule="auto"/>
        <w:jc w:val="both"/>
        <w:rPr>
          <w:rFonts w:ascii="Times New Roman" w:hAnsi="Times New Roman" w:cs="Times New Roman"/>
        </w:rPr>
      </w:pPr>
      <w:r w:rsidRPr="001172CF">
        <w:rPr>
          <w:rFonts w:ascii="Times New Roman" w:hAnsi="Times New Roman" w:cs="Times New Roman"/>
        </w:rPr>
        <w:t>McKnight et al.’s [12] model has not been re-validated in a GDPR-regulated context where structural assurance is legally mandated rather than voluntary.</w:t>
      </w:r>
    </w:p>
    <w:p w14:paraId="2B75A107" w14:textId="77777777" w:rsidR="00B37289" w:rsidRPr="001172CF" w:rsidRDefault="008C4330" w:rsidP="005A4BCA">
      <w:pPr>
        <w:pStyle w:val="ListParagraph"/>
        <w:numPr>
          <w:ilvl w:val="0"/>
          <w:numId w:val="2"/>
        </w:numPr>
        <w:spacing w:before="70" w:after="70" w:line="360" w:lineRule="auto"/>
        <w:jc w:val="both"/>
        <w:rPr>
          <w:rFonts w:ascii="Times New Roman" w:hAnsi="Times New Roman" w:cs="Times New Roman"/>
        </w:rPr>
      </w:pPr>
      <w:r w:rsidRPr="001172CF">
        <w:rPr>
          <w:rFonts w:ascii="Times New Roman" w:hAnsi="Times New Roman" w:cs="Times New Roman"/>
        </w:rPr>
        <w:t>The role of GDPR awareness as a moderator of the Privacy Paradox [9] has been theorised but not empirically tested with UK adults across multiple web application contexts.</w:t>
      </w:r>
    </w:p>
    <w:p w14:paraId="5AAF458F" w14:textId="77777777" w:rsidR="00B37289" w:rsidRPr="00CF2030" w:rsidRDefault="008C4330" w:rsidP="005A4BCA">
      <w:pPr>
        <w:pStyle w:val="ListParagraph"/>
        <w:numPr>
          <w:ilvl w:val="0"/>
          <w:numId w:val="2"/>
        </w:numPr>
        <w:spacing w:before="70" w:after="70" w:line="360" w:lineRule="auto"/>
        <w:jc w:val="both"/>
        <w:rPr>
          <w:rFonts w:ascii="Times New Roman" w:hAnsi="Times New Roman" w:cs="Times New Roman"/>
          <w:sz w:val="24"/>
          <w:szCs w:val="24"/>
        </w:rPr>
      </w:pPr>
      <w:r w:rsidRPr="00CF2030">
        <w:rPr>
          <w:rFonts w:ascii="Times New Roman" w:hAnsi="Times New Roman" w:cs="Times New Roman"/>
          <w:sz w:val="24"/>
          <w:szCs w:val="24"/>
        </w:rPr>
        <w:lastRenderedPageBreak/>
        <w:t xml:space="preserve">No consensus exists on which specific design attributes most reliably function as trust signals for UK users in 2025, despite the foundational work of Fogg et al. [13] and the taxonomy of Zieglmeier and </w:t>
      </w:r>
      <w:proofErr w:type="spellStart"/>
      <w:r w:rsidRPr="00CF2030">
        <w:rPr>
          <w:rFonts w:ascii="Times New Roman" w:hAnsi="Times New Roman" w:cs="Times New Roman"/>
          <w:sz w:val="24"/>
          <w:szCs w:val="24"/>
        </w:rPr>
        <w:t>Lehene</w:t>
      </w:r>
      <w:proofErr w:type="spellEnd"/>
      <w:r w:rsidRPr="00CF2030">
        <w:rPr>
          <w:rFonts w:ascii="Times New Roman" w:hAnsi="Times New Roman" w:cs="Times New Roman"/>
          <w:sz w:val="24"/>
          <w:szCs w:val="24"/>
        </w:rPr>
        <w:t xml:space="preserve"> [14].</w:t>
      </w:r>
    </w:p>
    <w:p w14:paraId="50717F4C" w14:textId="514A29F6" w:rsidR="000E1EBE" w:rsidRPr="000E1EBE" w:rsidRDefault="000E1EBE" w:rsidP="000E1EBE">
      <w:pPr>
        <w:spacing w:before="70" w:after="70" w:line="360" w:lineRule="auto"/>
        <w:jc w:val="both"/>
      </w:pPr>
      <w:r w:rsidRPr="000E1EBE">
        <w:t xml:space="preserve">These gaps persist </w:t>
      </w:r>
      <w:r w:rsidRPr="007E2DFD">
        <w:t>for three key reasons</w:t>
      </w:r>
      <w:r w:rsidRPr="000E1EBE">
        <w:t>. First, much of the empirical trust literature predates GDPR, so findings on Structural Assurance may not reflect user perceptions in today's regulated environment. Second, most studies examine trust factors individually rather than together, creating fragmented evidence that offers little guidance on their relative importance. Third, the dominance of US-based samples limits the applicability of findings to the UK. This study addresses these limitations by evaluating multiple trust factors simultaneously within a UK-specific, post-GDPR, multi-sector quantitative framework, making it both methodologically distinct and directly responsive to existing research gaps.</w:t>
      </w:r>
    </w:p>
    <w:p w14:paraId="110C6BC0" w14:textId="77777777" w:rsidR="00B37289" w:rsidRPr="001172CF" w:rsidRDefault="008C4330" w:rsidP="00DC727A">
      <w:pPr>
        <w:pStyle w:val="Heading2"/>
        <w:spacing w:line="276" w:lineRule="auto"/>
        <w:jc w:val="both"/>
        <w:rPr>
          <w:rFonts w:ascii="Times New Roman" w:hAnsi="Times New Roman" w:cs="Times New Roman"/>
        </w:rPr>
      </w:pPr>
      <w:bookmarkStart w:id="18" w:name="_Toc234710550"/>
      <w:r w:rsidRPr="001172CF">
        <w:rPr>
          <w:rFonts w:ascii="Times New Roman" w:hAnsi="Times New Roman" w:cs="Times New Roman"/>
        </w:rPr>
        <w:t>2.5 Literature Summary</w:t>
      </w:r>
      <w:bookmarkEnd w:id="18"/>
    </w:p>
    <w:p w14:paraId="2A2F46E3" w14:textId="1B151190" w:rsidR="000D701C" w:rsidRDefault="00492847" w:rsidP="007B5D88">
      <w:pPr>
        <w:spacing w:before="200" w:line="360" w:lineRule="auto"/>
        <w:jc w:val="both"/>
      </w:pPr>
      <w:r w:rsidRPr="001172CF">
        <w:t>Collectively, the literature demonstrates considerable progress in understanding technology acceptance, online trust, privacy behaviour, GDPR, and design-related trust signals. However, significant limitations remain. Existing theories largely predate GDPR or focus on individual trust mechanisms, while contemporary empirical studies are often sector-specific or conducted outside the UK. Consequently, limited evidence exists regarding the comparative importance of trust signals across multiple web application contexts within the post-GDPR UK environment. These limitations establish the research gap addressed by this study and provide the theoretical foundation for the hypotheses developed in the following section.</w:t>
      </w:r>
    </w:p>
    <w:p w14:paraId="6B69AE74" w14:textId="77777777" w:rsidR="000604D0" w:rsidRDefault="000604D0" w:rsidP="000604D0">
      <w:pPr>
        <w:pStyle w:val="Heading3"/>
      </w:pPr>
    </w:p>
    <w:p w14:paraId="27841351" w14:textId="6E91D372" w:rsidR="000604D0" w:rsidRDefault="000604D0" w:rsidP="000604D0">
      <w:pPr>
        <w:pStyle w:val="Heading3"/>
      </w:pPr>
      <w:bookmarkStart w:id="19" w:name="_Toc234710551"/>
      <w:r>
        <w:t>2.5.1 Connecting the Literature to the Methodology</w:t>
      </w:r>
      <w:bookmarkEnd w:id="19"/>
    </w:p>
    <w:p w14:paraId="10E5D55B" w14:textId="560BD804" w:rsidR="000604D0" w:rsidRPr="000604D0" w:rsidRDefault="000604D0" w:rsidP="000604D0">
      <w:pPr>
        <w:spacing w:before="60" w:after="80" w:line="360" w:lineRule="auto"/>
        <w:jc w:val="both"/>
      </w:pPr>
      <w:r w:rsidRPr="000604D0">
        <w:rPr>
          <w:rFonts w:ascii="Calibri" w:eastAsia="Calibri" w:hAnsi="Calibri" w:cs="Calibri"/>
          <w:color w:val="1A1A1A"/>
        </w:rPr>
        <w:t>The five themes reviewed above converge on a single methodological conclusion: the specific limitations of the existing literature directly determine the design choices of the present study. Theme 1 establishes that trust must be treated as a primary construct independent of usability, motivating the inclusion of 18 trust-specific variables as independent predictors rather than relying solely on TAM-derived constructs. Theme 2 confirms that McKnight et al.’s [12] Structural Assurance framework provides the strongest available measurement foundation for trust in online systems, but requires re-evaluation in a GDPR-regulated context</w:t>
      </w:r>
      <w:r>
        <w:rPr>
          <w:rFonts w:ascii="Calibri" w:eastAsia="Calibri" w:hAnsi="Calibri" w:cs="Calibri"/>
          <w:color w:val="1A1A1A"/>
        </w:rPr>
        <w:t>,</w:t>
      </w:r>
      <w:r w:rsidRPr="000604D0">
        <w:rPr>
          <w:rFonts w:ascii="Calibri" w:eastAsia="Calibri" w:hAnsi="Calibri" w:cs="Calibri"/>
          <w:color w:val="1A1A1A"/>
        </w:rPr>
        <w:t xml:space="preserve"> justifying the use of validated scale items from [12], [8], and [14] within a contemporary UK sample.</w:t>
      </w:r>
    </w:p>
    <w:p w14:paraId="5C36D01C" w14:textId="2A8AC07E" w:rsidR="000604D0" w:rsidRPr="000604D0" w:rsidRDefault="000604D0" w:rsidP="000604D0">
      <w:pPr>
        <w:spacing w:before="60" w:after="80" w:line="360" w:lineRule="auto"/>
        <w:jc w:val="both"/>
      </w:pPr>
      <w:r w:rsidRPr="000604D0">
        <w:rPr>
          <w:rFonts w:ascii="Calibri" w:eastAsia="Calibri" w:hAnsi="Calibri" w:cs="Calibri"/>
          <w:color w:val="1A1A1A"/>
        </w:rPr>
        <w:t xml:space="preserve">Theme 3 identifies the Privacy Paradox as the central unresolved challenge in this domain, with GDPR awareness proposed as a theoretically plausible moderator but never empirically tested </w:t>
      </w:r>
      <w:r w:rsidRPr="000604D0">
        <w:rPr>
          <w:rFonts w:ascii="Calibri" w:eastAsia="Calibri" w:hAnsi="Calibri" w:cs="Calibri"/>
          <w:color w:val="1A1A1A"/>
        </w:rPr>
        <w:lastRenderedPageBreak/>
        <w:t>across multiple web application sectors with UK adults</w:t>
      </w:r>
      <w:r>
        <w:rPr>
          <w:rFonts w:ascii="Calibri" w:eastAsia="Calibri" w:hAnsi="Calibri" w:cs="Calibri"/>
          <w:color w:val="1A1A1A"/>
        </w:rPr>
        <w:t>,</w:t>
      </w:r>
      <w:r w:rsidRPr="000604D0">
        <w:rPr>
          <w:rFonts w:ascii="Calibri" w:eastAsia="Calibri" w:hAnsi="Calibri" w:cs="Calibri"/>
          <w:color w:val="1A1A1A"/>
        </w:rPr>
        <w:t xml:space="preserve"> directly motivating Hypothesis H2 and the PROCESS macro moderation analysis (Objective O4). Theme 4 confirms that GDPR compliance produces inconsistent trust effects, strengthening the case for examining awareness as a moderator rather than compliance as a direct predictor. Theme 5 establishes that design and credibility signals are important and measurable trust determinants, but their relative importance compared to security and privacy signals remains empirically unresolved in the UK context</w:t>
      </w:r>
      <w:r>
        <w:rPr>
          <w:rFonts w:ascii="Calibri" w:eastAsia="Calibri" w:hAnsi="Calibri" w:cs="Calibri"/>
          <w:color w:val="1A1A1A"/>
        </w:rPr>
        <w:t>,</w:t>
      </w:r>
      <w:r w:rsidRPr="000604D0">
        <w:rPr>
          <w:rFonts w:ascii="Calibri" w:eastAsia="Calibri" w:hAnsi="Calibri" w:cs="Calibri"/>
          <w:color w:val="1A1A1A"/>
        </w:rPr>
        <w:t xml:space="preserve"> motivating the multiple regression approach that will rank all 18 factors simultaneously (Objective O3, Hypothesis H1).</w:t>
      </w:r>
    </w:p>
    <w:p w14:paraId="08B97895" w14:textId="77AC566B" w:rsidR="000604D0" w:rsidRDefault="000604D0" w:rsidP="00924261">
      <w:pPr>
        <w:spacing w:before="60" w:after="80" w:line="360" w:lineRule="auto"/>
        <w:jc w:val="both"/>
      </w:pPr>
      <w:r w:rsidRPr="000604D0">
        <w:rPr>
          <w:rFonts w:ascii="Calibri" w:eastAsia="Calibri" w:hAnsi="Calibri" w:cs="Calibri"/>
          <w:color w:val="1A1A1A"/>
        </w:rPr>
        <w:t>Collectively, the gaps identified across all five themes are not independent: they reflect a single structural absence in the literature</w:t>
      </w:r>
      <w:r>
        <w:rPr>
          <w:rFonts w:ascii="Calibri" w:eastAsia="Calibri" w:hAnsi="Calibri" w:cs="Calibri"/>
          <w:color w:val="1A1A1A"/>
        </w:rPr>
        <w:t>,</w:t>
      </w:r>
      <w:r w:rsidRPr="000604D0">
        <w:rPr>
          <w:rFonts w:ascii="Calibri" w:eastAsia="Calibri" w:hAnsi="Calibri" w:cs="Calibri"/>
          <w:color w:val="1A1A1A"/>
        </w:rPr>
        <w:t xml:space="preserve"> the lack of a comprehensive, UK-specific, post-GDPR empirical model that simultaneously examines multiple trust signals across the diverse range of web applications encountered by UK adults. The methodology described in Chapter 3 is designed precisely to fill this gap, with each analytical technique selected to address a specific limitation identified here.</w:t>
      </w:r>
    </w:p>
    <w:p w14:paraId="2F5DC3D4" w14:textId="2B525D34" w:rsidR="000D701C" w:rsidRPr="001172CF" w:rsidRDefault="000D701C" w:rsidP="000D701C">
      <w:pPr>
        <w:pStyle w:val="Heading2"/>
        <w:rPr>
          <w:rFonts w:ascii="Times New Roman" w:hAnsi="Times New Roman" w:cs="Times New Roman"/>
        </w:rPr>
      </w:pPr>
      <w:bookmarkStart w:id="20" w:name="_Toc234710552"/>
      <w:r w:rsidRPr="001172CF">
        <w:rPr>
          <w:rFonts w:ascii="Times New Roman" w:hAnsi="Times New Roman" w:cs="Times New Roman"/>
        </w:rPr>
        <w:t>2.6 Hypothesis Development</w:t>
      </w:r>
      <w:bookmarkEnd w:id="20"/>
    </w:p>
    <w:p w14:paraId="6F6BBE32" w14:textId="6C8D281D" w:rsidR="000A3149" w:rsidRPr="001172CF" w:rsidRDefault="000A3149" w:rsidP="00E513B6">
      <w:pPr>
        <w:spacing w:before="80" w:after="110" w:line="360" w:lineRule="auto"/>
        <w:jc w:val="both"/>
      </w:pPr>
      <w:r w:rsidRPr="001172CF">
        <w:t xml:space="preserve">Three formal, testable hypotheses are derived from the literature and the five research objectives above. Each is grounded in a specific theoretical source, measurable using the proposed survey instrument, and directly falsifiable, meaning a null result is itself an original and publishable finding. Figure </w:t>
      </w:r>
      <w:r w:rsidR="00070D8E">
        <w:t>4</w:t>
      </w:r>
      <w:r w:rsidRPr="001172CF">
        <w:t xml:space="preserve"> presents all three hypotheses as structured cards showing the prediction, the statistical method used to test it, and what rejection of each hypothesis would mean for the study.</w:t>
      </w:r>
    </w:p>
    <w:p w14:paraId="136C82A6" w14:textId="77777777" w:rsidR="000A3149" w:rsidRPr="001172CF" w:rsidRDefault="000A3149" w:rsidP="000A3149">
      <w:pPr>
        <w:spacing w:before="80" w:after="110" w:line="360" w:lineRule="auto"/>
        <w:jc w:val="both"/>
      </w:pPr>
    </w:p>
    <w:p w14:paraId="44DCD5DF" w14:textId="77777777" w:rsidR="000A3149" w:rsidRPr="001172CF" w:rsidRDefault="000A3149" w:rsidP="000A3149">
      <w:pPr>
        <w:spacing w:before="80" w:after="110" w:line="276" w:lineRule="auto"/>
        <w:jc w:val="center"/>
      </w:pPr>
      <w:r w:rsidRPr="001172CF">
        <w:rPr>
          <w:noProof/>
          <w:bdr w:val="single" w:sz="12" w:space="0" w:color="auto"/>
        </w:rPr>
        <w:lastRenderedPageBreak/>
        <w:drawing>
          <wp:inline distT="0" distB="0" distL="0" distR="0" wp14:anchorId="76EC1930" wp14:editId="5A8F3D59">
            <wp:extent cx="5981700" cy="5541668"/>
            <wp:effectExtent l="0" t="0" r="0" b="1905"/>
            <wp:docPr id="48256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69836" name=""/>
                    <pic:cNvPicPr/>
                  </pic:nvPicPr>
                  <pic:blipFill>
                    <a:blip r:embed="rId10"/>
                    <a:stretch>
                      <a:fillRect/>
                    </a:stretch>
                  </pic:blipFill>
                  <pic:spPr>
                    <a:xfrm>
                      <a:off x="0" y="0"/>
                      <a:ext cx="5983777" cy="5543592"/>
                    </a:xfrm>
                    <a:prstGeom prst="rect">
                      <a:avLst/>
                    </a:prstGeom>
                  </pic:spPr>
                </pic:pic>
              </a:graphicData>
            </a:graphic>
          </wp:inline>
        </w:drawing>
      </w:r>
    </w:p>
    <w:p w14:paraId="6705B55C" w14:textId="0CE39671" w:rsidR="000A3149" w:rsidRPr="00EE0A0F" w:rsidRDefault="000A3149" w:rsidP="000A3149">
      <w:pPr>
        <w:spacing w:before="160"/>
        <w:jc w:val="center"/>
        <w:rPr>
          <w:i/>
          <w:iCs/>
          <w:color w:val="156082" w:themeColor="accent1"/>
          <w:sz w:val="20"/>
          <w:szCs w:val="20"/>
        </w:rPr>
      </w:pPr>
      <w:r w:rsidRPr="00EE0A0F">
        <w:rPr>
          <w:i/>
          <w:iCs/>
          <w:color w:val="156082" w:themeColor="accent1"/>
          <w:sz w:val="20"/>
          <w:szCs w:val="20"/>
        </w:rPr>
        <w:t xml:space="preserve">Figure </w:t>
      </w:r>
      <w:r w:rsidR="00070D8E">
        <w:rPr>
          <w:i/>
          <w:iCs/>
          <w:color w:val="156082" w:themeColor="accent1"/>
          <w:sz w:val="20"/>
          <w:szCs w:val="20"/>
        </w:rPr>
        <w:t>4</w:t>
      </w:r>
      <w:r w:rsidRPr="00EE0A0F">
        <w:rPr>
          <w:i/>
          <w:iCs/>
          <w:color w:val="156082" w:themeColor="accent1"/>
          <w:sz w:val="20"/>
          <w:szCs w:val="20"/>
        </w:rPr>
        <w:t>: Research Hypotheses - Predicted Outcomes, Statistical Methods, and Literature Sources for H1, H2 and H3</w:t>
      </w:r>
      <w:r w:rsidRPr="00EE0A0F">
        <w:rPr>
          <w:color w:val="156082" w:themeColor="accent1"/>
          <w:sz w:val="20"/>
          <w:szCs w:val="20"/>
        </w:rPr>
        <w:t xml:space="preserve">. </w:t>
      </w:r>
      <w:r w:rsidRPr="00EE0A0F">
        <w:rPr>
          <w:i/>
          <w:iCs/>
          <w:color w:val="156082" w:themeColor="accent1"/>
          <w:sz w:val="20"/>
          <w:szCs w:val="20"/>
        </w:rPr>
        <w:t>Source: Generated by author (2026).</w:t>
      </w:r>
    </w:p>
    <w:p w14:paraId="610B7318" w14:textId="77777777" w:rsidR="000A3149" w:rsidRPr="001172CF" w:rsidRDefault="000A3149" w:rsidP="000A3149"/>
    <w:p w14:paraId="0F4B5669" w14:textId="77777777" w:rsidR="000A3149" w:rsidRPr="001172CF" w:rsidRDefault="000A3149" w:rsidP="000A3149"/>
    <w:p w14:paraId="617CBD35" w14:textId="4A41CAC4" w:rsidR="00C35267" w:rsidRDefault="00C35267" w:rsidP="000A3149">
      <w:pPr>
        <w:spacing w:line="360" w:lineRule="auto"/>
        <w:jc w:val="both"/>
      </w:pPr>
      <w:r w:rsidRPr="00C35267">
        <w:rPr>
          <w:b/>
          <w:bCs/>
        </w:rPr>
        <w:t xml:space="preserve">H1 </w:t>
      </w:r>
      <w:r w:rsidRPr="00C35267">
        <w:t>predicts that security-related signals</w:t>
      </w:r>
      <w:r>
        <w:t>,</w:t>
      </w:r>
      <w:r w:rsidRPr="00C35267">
        <w:t xml:space="preserve"> including visible SSL/HTTPS certificates, transparent data encryption notices, and multi-factor authentication options</w:t>
      </w:r>
      <w:r>
        <w:t xml:space="preserve">, </w:t>
      </w:r>
      <w:r w:rsidRPr="00C35267">
        <w:t>will be the strongest independent predictors of overall trust among UK adults. This prediction is grounded in McKnight et al.'s [12] Structural Assurance construct, which proposes that institutional and technical safeguards are primary antecedents of initial trust in unfamiliar online systems. The hypothesis will be tested using multiple regression analysis in SPSS, with standardised beta coefficients used to rank the independent contributions of all 18 trust factors simultaneously.</w:t>
      </w:r>
    </w:p>
    <w:p w14:paraId="40AA1DCA" w14:textId="77777777" w:rsidR="007E2DFD" w:rsidRPr="00C35267" w:rsidRDefault="007E2DFD" w:rsidP="000A3149">
      <w:pPr>
        <w:spacing w:line="360" w:lineRule="auto"/>
        <w:jc w:val="both"/>
      </w:pPr>
    </w:p>
    <w:p w14:paraId="3966F4D6" w14:textId="77777777" w:rsidR="00474DF6" w:rsidRDefault="00474DF6" w:rsidP="000A3149">
      <w:pPr>
        <w:spacing w:line="360" w:lineRule="auto"/>
        <w:jc w:val="both"/>
      </w:pPr>
      <w:r w:rsidRPr="00474DF6">
        <w:rPr>
          <w:b/>
          <w:bCs/>
        </w:rPr>
        <w:t xml:space="preserve">H2 </w:t>
      </w:r>
      <w:r w:rsidRPr="00474DF6">
        <w:t xml:space="preserve">predicts that GDPR awareness will positively moderate the relationship between privacy concern and trust behaviour, thereby reducing the magnitude of the Privacy Paradox among more informed participants. </w:t>
      </w:r>
      <w:proofErr w:type="spellStart"/>
      <w:r w:rsidRPr="00474DF6">
        <w:t>Kokolakis</w:t>
      </w:r>
      <w:proofErr w:type="spellEnd"/>
      <w:r w:rsidRPr="00474DF6">
        <w:t xml:space="preserve"> [9] identified the attitude–behaviour gap as one of the most persistent </w:t>
      </w:r>
      <w:r w:rsidRPr="00474DF6">
        <w:lastRenderedPageBreak/>
        <w:t xml:space="preserve">unresolved challenges in Information Systems research, and </w:t>
      </w:r>
      <w:proofErr w:type="spellStart"/>
      <w:r w:rsidRPr="00474DF6">
        <w:t>Dienlin</w:t>
      </w:r>
      <w:proofErr w:type="spellEnd"/>
      <w:r w:rsidRPr="00474DF6">
        <w:t xml:space="preserve"> and </w:t>
      </w:r>
      <w:proofErr w:type="spellStart"/>
      <w:r w:rsidRPr="00474DF6">
        <w:t>Trepte</w:t>
      </w:r>
      <w:proofErr w:type="spellEnd"/>
      <w:r w:rsidRPr="00474DF6">
        <w:t xml:space="preserve"> [17] demonstrated that context-specific knowledge can strengthen privacy-protective behaviour. Dinev and Hart [18] further established that trust mediates the cost–benefit calculation users perform when deciding to disclose personal information. The hypothesis will be examined using Hayes' PROCESS macro (v4), with the moderation interaction term evaluated at α = 0.05.</w:t>
      </w:r>
    </w:p>
    <w:p w14:paraId="5D7F04F8" w14:textId="77777777" w:rsidR="007E2DFD" w:rsidRDefault="007E2DFD" w:rsidP="000A3149">
      <w:pPr>
        <w:spacing w:line="360" w:lineRule="auto"/>
        <w:jc w:val="both"/>
        <w:rPr>
          <w:b/>
          <w:bCs/>
        </w:rPr>
      </w:pPr>
    </w:p>
    <w:p w14:paraId="320E6BDE" w14:textId="72161AE6" w:rsidR="003D2F60" w:rsidRPr="001172CF" w:rsidRDefault="00474DF6" w:rsidP="000A3149">
      <w:pPr>
        <w:spacing w:line="360" w:lineRule="auto"/>
        <w:jc w:val="both"/>
      </w:pPr>
      <w:r w:rsidRPr="00474DF6">
        <w:rPr>
          <w:b/>
          <w:bCs/>
        </w:rPr>
        <w:t>H3</w:t>
      </w:r>
      <w:r w:rsidRPr="00474DF6">
        <w:t xml:space="preserve"> predicts that overall trust scores will differ significantly across the six web application sectors examined in this study. Goodman et al. [15] demonstrated empirically that UK adults' trust in data sharing varies across application domains and demographic groups, suggesting that sector context is an important moderating factor. Financial and healthcare applications are expected to attract significantly higher baseline trust than social media platforms, reflecting differences in perceived data sensitivity and organisational accountability. The hypothesis will be tested using a one-way ANOVA with Tukey post-hoc comparisons to identify which specific sector pairs differ significantly.</w:t>
      </w:r>
    </w:p>
    <w:p w14:paraId="1444C13F" w14:textId="77777777" w:rsidR="000A3149" w:rsidRDefault="000A3149" w:rsidP="000A3149">
      <w:pPr>
        <w:spacing w:line="360" w:lineRule="auto"/>
      </w:pPr>
    </w:p>
    <w:p w14:paraId="6215D675" w14:textId="108695D9" w:rsidR="00FC1B51" w:rsidRPr="001172CF" w:rsidRDefault="004E1F04" w:rsidP="004E1F04">
      <w:pPr>
        <w:spacing w:line="360" w:lineRule="auto"/>
        <w:jc w:val="both"/>
      </w:pPr>
      <w:r w:rsidRPr="004E1F04">
        <w:t xml:space="preserve">Importantly, rejection of H2 would itself constitute a significant finding. If GDPR awareness is found not to moderate the Privacy Paradox, this would suggest that even informed users remain subject to the cognitive biases and situational factors identified by </w:t>
      </w:r>
      <w:proofErr w:type="spellStart"/>
      <w:r w:rsidRPr="004E1F04">
        <w:t>Alashoor</w:t>
      </w:r>
      <w:proofErr w:type="spellEnd"/>
      <w:r w:rsidRPr="004E1F04">
        <w:t xml:space="preserve"> et al. [26] and </w:t>
      </w:r>
      <w:proofErr w:type="spellStart"/>
      <w:r w:rsidRPr="004E1F04">
        <w:t>Acquisti</w:t>
      </w:r>
      <w:proofErr w:type="spellEnd"/>
      <w:r w:rsidRPr="004E1F04">
        <w:t xml:space="preserve"> et al. [22]. Such a result would have direct implications for the Information Commissioner's Office and for digital literacy programme designers, indicating that regulatory awareness initiatives alone may be insufficient to change privacy-related disclosure behaviour.</w:t>
      </w:r>
    </w:p>
    <w:p w14:paraId="111D0E92" w14:textId="77777777" w:rsidR="00DF7617" w:rsidRPr="001172CF" w:rsidRDefault="00DF7617">
      <w:pPr>
        <w:rPr>
          <w:b/>
          <w:bCs/>
          <w:color w:val="1A5276"/>
          <w:sz w:val="30"/>
          <w:szCs w:val="30"/>
        </w:rPr>
      </w:pPr>
      <w:r w:rsidRPr="001172CF">
        <w:rPr>
          <w:b/>
          <w:bCs/>
          <w:color w:val="1A5276"/>
          <w:sz w:val="30"/>
          <w:szCs w:val="30"/>
        </w:rPr>
        <w:br w:type="page"/>
      </w:r>
    </w:p>
    <w:p w14:paraId="6C111F9A" w14:textId="2F7043B7" w:rsidR="004325DF" w:rsidRPr="001172CF" w:rsidRDefault="008C4330" w:rsidP="008B4FD7">
      <w:pPr>
        <w:pStyle w:val="Heading1"/>
      </w:pPr>
      <w:bookmarkStart w:id="21" w:name="_Toc234710553"/>
      <w:r w:rsidRPr="001172CF">
        <w:lastRenderedPageBreak/>
        <w:t>3. Research Design and Methodology</w:t>
      </w:r>
      <w:bookmarkEnd w:id="21"/>
      <w:r w:rsidRPr="001172CF">
        <w:rPr>
          <w:color w:val="888888"/>
          <w:sz w:val="20"/>
          <w:szCs w:val="20"/>
        </w:rPr>
        <w:t xml:space="preserve">  </w:t>
      </w:r>
    </w:p>
    <w:p w14:paraId="1E4FC71D" w14:textId="2D5D36EE" w:rsidR="00F15BD8" w:rsidRPr="001172CF" w:rsidRDefault="004325DF" w:rsidP="004325DF">
      <w:pPr>
        <w:spacing w:line="360" w:lineRule="auto"/>
        <w:jc w:val="both"/>
      </w:pPr>
      <w:r w:rsidRPr="001172CF">
        <w:t>This chapter outlines the methodological approach adopted to investigate the factors influencing UK adults' trust in web applications. It describes the research design, data collection methods, sampling strategy, analytical techniques, research materials, ethical considerations, and procedures implemented to ensure the reliability and validity of the study. Together, these methodological decisions are designed to address the research objectives and produce findings that are robust, reliable, and applicable to the UK post-GDPR context.</w:t>
      </w:r>
    </w:p>
    <w:p w14:paraId="675AB658" w14:textId="4704CD96" w:rsidR="00B37289" w:rsidRDefault="008C4330">
      <w:pPr>
        <w:pStyle w:val="Heading2"/>
        <w:rPr>
          <w:rFonts w:ascii="Times New Roman" w:hAnsi="Times New Roman" w:cs="Times New Roman"/>
        </w:rPr>
      </w:pPr>
      <w:bookmarkStart w:id="22" w:name="_Toc234710554"/>
      <w:r w:rsidRPr="001172CF">
        <w:rPr>
          <w:rFonts w:ascii="Times New Roman" w:hAnsi="Times New Roman" w:cs="Times New Roman"/>
        </w:rPr>
        <w:t>3.1 Research Design</w:t>
      </w:r>
      <w:bookmarkEnd w:id="22"/>
    </w:p>
    <w:p w14:paraId="46A4F4EA" w14:textId="77777777" w:rsidR="006877F2" w:rsidRPr="006877F2" w:rsidRDefault="006877F2" w:rsidP="006877F2">
      <w:pPr>
        <w:spacing w:before="60" w:after="80" w:line="360" w:lineRule="auto"/>
        <w:jc w:val="both"/>
      </w:pPr>
      <w:r w:rsidRPr="006877F2">
        <w:t>This study adopts a quantitative research methodology situated within a post-positivist philosophical paradigm. Post-positivism assumes that although an objective reality exists, knowledge of that reality is inherently imperfect and can only be approximated through systematic observation and statistical analysis. This philosophical position is particularly appropriate because trust cannot be observed directly but must be inferred through measurable indicators such as users' perceptions, attitudes, and behavioural intentions. A cross-sectional survey design was selected because the study seeks to examine relationships between trust variables across a representative sample of UK adults at a single point in time rather than measure changes longitudinally. This approach enables efficient comparison across demographic groups, web application sectors, and levels of GDPR awareness while remaining consistent with comparable empirical studies undertaken by Goodman et al. [15] and Fox et al. [4].</w:t>
      </w:r>
    </w:p>
    <w:p w14:paraId="7BEF3F07" w14:textId="1090B752" w:rsidR="006D5514" w:rsidRDefault="006877F2" w:rsidP="006D5514">
      <w:pPr>
        <w:spacing w:before="60" w:after="80" w:line="360" w:lineRule="auto"/>
        <w:jc w:val="both"/>
      </w:pPr>
      <w:r w:rsidRPr="006877F2">
        <w:t>The design does not require software implementation, system development, or computational modelling. This is appropriate because the core research questions are about user perceptions and attitudes, which are most accurately captured through carefully designed self-report instruments. Johnson and Onwuegbuzie [24] note that quantitative survey methods are particularly well suited to research questions that require measurement of constructs across a sample with sufficient power to detect significant relationships.</w:t>
      </w:r>
      <w:r w:rsidR="00D31CEC">
        <w:t xml:space="preserve"> </w:t>
      </w:r>
      <w:r w:rsidR="00D84763" w:rsidRPr="00B366FB">
        <w:rPr>
          <w:b/>
          <w:bCs/>
        </w:rPr>
        <w:t xml:space="preserve">Table </w:t>
      </w:r>
      <w:r w:rsidR="00F9127B" w:rsidRPr="00B366FB">
        <w:rPr>
          <w:b/>
          <w:bCs/>
        </w:rPr>
        <w:t>3</w:t>
      </w:r>
      <w:r w:rsidR="0045043A" w:rsidRPr="0045043A">
        <w:t xml:space="preserve"> presents the overall research methodology as a layered framework, demonstrating how each methodological decision follows logically from the philosophical position adopted in Layer 1.</w:t>
      </w:r>
    </w:p>
    <w:p w14:paraId="52D55FDD" w14:textId="77777777" w:rsidR="00D31CEC" w:rsidRDefault="00D31CEC" w:rsidP="006D5514">
      <w:pPr>
        <w:spacing w:before="60" w:after="80" w:line="360" w:lineRule="auto"/>
        <w:jc w:val="both"/>
      </w:pPr>
    </w:p>
    <w:p w14:paraId="3EBB123F" w14:textId="77777777" w:rsidR="00D31CEC" w:rsidRDefault="00D31CEC" w:rsidP="006D5514">
      <w:pPr>
        <w:spacing w:before="60" w:after="80" w:line="360" w:lineRule="auto"/>
        <w:jc w:val="both"/>
      </w:pPr>
    </w:p>
    <w:p w14:paraId="0C0139E7" w14:textId="77777777" w:rsidR="00D31CEC" w:rsidRDefault="00D31CEC" w:rsidP="006D5514">
      <w:pPr>
        <w:spacing w:before="60" w:after="80" w:line="360" w:lineRule="auto"/>
        <w:jc w:val="both"/>
      </w:pPr>
    </w:p>
    <w:p w14:paraId="5B886BEF" w14:textId="77777777" w:rsidR="00D31CEC" w:rsidRDefault="00D31CEC" w:rsidP="006D5514">
      <w:pPr>
        <w:spacing w:before="60" w:after="80" w:line="360" w:lineRule="auto"/>
        <w:jc w:val="both"/>
      </w:pPr>
    </w:p>
    <w:p w14:paraId="5519310D" w14:textId="77777777" w:rsidR="001F51DA" w:rsidRDefault="001F51DA" w:rsidP="006D5514">
      <w:pPr>
        <w:spacing w:before="60" w:after="80" w:line="360" w:lineRule="auto"/>
        <w:jc w:val="both"/>
      </w:pPr>
    </w:p>
    <w:p w14:paraId="19A82788" w14:textId="77777777" w:rsidR="001F51DA" w:rsidRDefault="001F51DA" w:rsidP="006D5514">
      <w:pPr>
        <w:spacing w:before="60" w:after="80" w:line="360" w:lineRule="auto"/>
        <w:jc w:val="both"/>
      </w:pPr>
    </w:p>
    <w:p w14:paraId="0549159F" w14:textId="77777777" w:rsidR="00595526" w:rsidRDefault="00595526" w:rsidP="006D5514">
      <w:pPr>
        <w:spacing w:before="60" w:after="120"/>
      </w:pPr>
    </w:p>
    <w:p w14:paraId="74509C2F" w14:textId="57B63CD8" w:rsidR="006D5514" w:rsidRPr="001F51DA" w:rsidRDefault="00685046" w:rsidP="006D5514">
      <w:pPr>
        <w:spacing w:before="60" w:after="120"/>
        <w:rPr>
          <w:b/>
          <w:bCs/>
          <w:color w:val="156082" w:themeColor="accent1"/>
          <w:sz w:val="20"/>
          <w:szCs w:val="20"/>
        </w:rPr>
      </w:pPr>
      <w:r w:rsidRPr="001F51DA">
        <w:rPr>
          <w:b/>
          <w:bCs/>
          <w:color w:val="156082" w:themeColor="accent1"/>
          <w:sz w:val="20"/>
          <w:szCs w:val="20"/>
        </w:rPr>
        <w:t xml:space="preserve">Table </w:t>
      </w:r>
      <w:r w:rsidR="00F9127B" w:rsidRPr="001F51DA">
        <w:rPr>
          <w:b/>
          <w:bCs/>
          <w:color w:val="156082" w:themeColor="accent1"/>
          <w:sz w:val="20"/>
          <w:szCs w:val="20"/>
        </w:rPr>
        <w:t>3</w:t>
      </w:r>
      <w:r w:rsidRPr="001F51DA">
        <w:rPr>
          <w:b/>
          <w:bCs/>
          <w:color w:val="156082" w:themeColor="accent1"/>
          <w:sz w:val="20"/>
          <w:szCs w:val="20"/>
        </w:rPr>
        <w:t>: Research Methodology</w:t>
      </w:r>
      <w:r w:rsidR="00D31CEC" w:rsidRPr="001F51DA">
        <w:rPr>
          <w:b/>
          <w:bCs/>
          <w:color w:val="156082" w:themeColor="accent1"/>
          <w:sz w:val="20"/>
          <w:szCs w:val="20"/>
        </w:rPr>
        <w:t xml:space="preserve"> - </w:t>
      </w:r>
      <w:r w:rsidRPr="001F51DA">
        <w:rPr>
          <w:b/>
          <w:bCs/>
          <w:color w:val="156082" w:themeColor="accent1"/>
          <w:sz w:val="20"/>
          <w:szCs w:val="20"/>
        </w:rPr>
        <w:t xml:space="preserve">Layered Framework (adapted from Saunders et al., 2019). </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5600"/>
        <w:gridCol w:w="2800"/>
      </w:tblGrid>
      <w:tr w:rsidR="006D5514" w14:paraId="086D679B" w14:textId="77777777" w:rsidTr="0054235E">
        <w:trPr>
          <w:tblHeader/>
        </w:trPr>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5384BD0C" w14:textId="77777777" w:rsidR="006D5514" w:rsidRPr="001A12BF" w:rsidRDefault="006D5514" w:rsidP="0054235E">
            <w:pPr>
              <w:spacing w:before="55" w:after="55"/>
              <w:jc w:val="center"/>
              <w:rPr>
                <w:sz w:val="18"/>
                <w:szCs w:val="18"/>
              </w:rPr>
            </w:pPr>
            <w:r w:rsidRPr="001A12BF">
              <w:rPr>
                <w:rFonts w:ascii="Calibri" w:eastAsia="Calibri" w:hAnsi="Calibri" w:cs="Calibri"/>
                <w:b/>
                <w:bCs/>
                <w:color w:val="FFFFFF"/>
                <w:sz w:val="18"/>
                <w:szCs w:val="18"/>
              </w:rPr>
              <w:t>Layer</w:t>
            </w:r>
          </w:p>
        </w:tc>
        <w:tc>
          <w:tcPr>
            <w:tcW w:w="56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26554682" w14:textId="77777777" w:rsidR="006D5514" w:rsidRPr="001A12BF" w:rsidRDefault="006D5514" w:rsidP="0054235E">
            <w:pPr>
              <w:spacing w:before="55" w:after="55"/>
              <w:jc w:val="center"/>
              <w:rPr>
                <w:sz w:val="18"/>
                <w:szCs w:val="18"/>
              </w:rPr>
            </w:pPr>
            <w:r w:rsidRPr="001A12BF">
              <w:rPr>
                <w:rFonts w:ascii="Calibri" w:eastAsia="Calibri" w:hAnsi="Calibri" w:cs="Calibri"/>
                <w:b/>
                <w:bCs/>
                <w:color w:val="FFFFFF"/>
                <w:sz w:val="18"/>
                <w:szCs w:val="18"/>
              </w:rPr>
              <w:t>This Study</w:t>
            </w:r>
          </w:p>
        </w:tc>
        <w:tc>
          <w:tcPr>
            <w:tcW w:w="28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307EB834" w14:textId="77777777" w:rsidR="006D5514" w:rsidRPr="001A12BF" w:rsidRDefault="006D5514" w:rsidP="0054235E">
            <w:pPr>
              <w:spacing w:before="55" w:after="55"/>
              <w:jc w:val="center"/>
              <w:rPr>
                <w:sz w:val="18"/>
                <w:szCs w:val="18"/>
              </w:rPr>
            </w:pPr>
            <w:r w:rsidRPr="001A12BF">
              <w:rPr>
                <w:rFonts w:ascii="Calibri" w:eastAsia="Calibri" w:hAnsi="Calibri" w:cs="Calibri"/>
                <w:b/>
                <w:bCs/>
                <w:color w:val="FFFFFF"/>
                <w:sz w:val="18"/>
                <w:szCs w:val="18"/>
              </w:rPr>
              <w:t>Justification</w:t>
            </w:r>
          </w:p>
        </w:tc>
      </w:tr>
      <w:tr w:rsidR="006D5514" w14:paraId="13C60E96"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682C4813" w14:textId="77777777" w:rsidR="006D5514" w:rsidRDefault="006D5514" w:rsidP="0054235E">
            <w:pPr>
              <w:spacing w:before="20" w:after="4"/>
              <w:jc w:val="center"/>
            </w:pPr>
            <w:r>
              <w:rPr>
                <w:rFonts w:ascii="Calibri" w:eastAsia="Calibri" w:hAnsi="Calibri" w:cs="Calibri"/>
                <w:b/>
                <w:bCs/>
                <w:color w:val="FFFFFF"/>
                <w:sz w:val="14"/>
                <w:szCs w:val="14"/>
              </w:rPr>
              <w:t>Layer 1</w:t>
            </w:r>
          </w:p>
          <w:p w14:paraId="05D5E589" w14:textId="77777777" w:rsidR="006D5514" w:rsidRDefault="006D5514" w:rsidP="0054235E">
            <w:pPr>
              <w:spacing w:after="20"/>
              <w:jc w:val="center"/>
            </w:pPr>
            <w:r>
              <w:rPr>
                <w:rFonts w:ascii="Calibri" w:eastAsia="Calibri" w:hAnsi="Calibri" w:cs="Calibri"/>
                <w:b/>
                <w:bCs/>
                <w:color w:val="FFFFFF"/>
                <w:sz w:val="16"/>
                <w:szCs w:val="16"/>
              </w:rPr>
              <w:t>Philosophy</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79D36A12" w14:textId="77777777" w:rsidR="006D5514" w:rsidRDefault="006D5514" w:rsidP="0054235E">
            <w:pPr>
              <w:spacing w:before="90" w:after="90"/>
              <w:jc w:val="center"/>
            </w:pPr>
            <w:r>
              <w:rPr>
                <w:rFonts w:ascii="Calibri" w:eastAsia="Calibri" w:hAnsi="Calibri" w:cs="Calibri"/>
                <w:b/>
                <w:bCs/>
                <w:color w:val="1A4A6E"/>
                <w:sz w:val="17"/>
                <w:szCs w:val="17"/>
              </w:rPr>
              <w:t>Post-Positivism</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3E99224F" w14:textId="77777777" w:rsidR="006D5514" w:rsidRDefault="006D5514" w:rsidP="0054235E">
            <w:pPr>
              <w:spacing w:before="90" w:after="90"/>
            </w:pPr>
            <w:r>
              <w:rPr>
                <w:rFonts w:ascii="Calibri" w:eastAsia="Calibri" w:hAnsi="Calibri" w:cs="Calibri"/>
                <w:i/>
                <w:iCs/>
                <w:color w:val="555555"/>
                <w:sz w:val="16"/>
                <w:szCs w:val="16"/>
              </w:rPr>
              <w:t>Trust is real but unobservable — must be approximated through systematic measurement and statistical inference</w:t>
            </w:r>
          </w:p>
        </w:tc>
      </w:tr>
      <w:tr w:rsidR="006D5514" w14:paraId="63EB0B52" w14:textId="77777777" w:rsidTr="0054235E">
        <w:tc>
          <w:tcPr>
            <w:tcW w:w="9800" w:type="dxa"/>
            <w:gridSpan w:val="3"/>
            <w:shd w:val="clear" w:color="auto" w:fill="FFFFFF"/>
            <w:vAlign w:val="center"/>
          </w:tcPr>
          <w:p w14:paraId="302A5AD3"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4ABE1A93"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4B1E2B3F" w14:textId="77777777" w:rsidR="006D5514" w:rsidRDefault="006D5514" w:rsidP="0054235E">
            <w:pPr>
              <w:spacing w:before="20" w:after="4"/>
              <w:jc w:val="center"/>
            </w:pPr>
            <w:r>
              <w:rPr>
                <w:rFonts w:ascii="Calibri" w:eastAsia="Calibri" w:hAnsi="Calibri" w:cs="Calibri"/>
                <w:b/>
                <w:bCs/>
                <w:color w:val="FFFFFF"/>
                <w:sz w:val="14"/>
                <w:szCs w:val="14"/>
              </w:rPr>
              <w:t>Layer 2</w:t>
            </w:r>
          </w:p>
          <w:p w14:paraId="5F6DDD49" w14:textId="77777777" w:rsidR="006D5514" w:rsidRDefault="006D5514" w:rsidP="0054235E">
            <w:pPr>
              <w:spacing w:after="20"/>
              <w:jc w:val="center"/>
            </w:pPr>
            <w:r>
              <w:rPr>
                <w:rFonts w:ascii="Calibri" w:eastAsia="Calibri" w:hAnsi="Calibri" w:cs="Calibri"/>
                <w:b/>
                <w:bCs/>
                <w:color w:val="FFFFFF"/>
                <w:sz w:val="16"/>
                <w:szCs w:val="16"/>
              </w:rPr>
              <w:t>Approach</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14CF2BB7" w14:textId="77777777" w:rsidR="006D5514" w:rsidRDefault="006D5514" w:rsidP="0054235E">
            <w:pPr>
              <w:spacing w:before="90" w:after="90"/>
              <w:jc w:val="center"/>
            </w:pPr>
            <w:r>
              <w:rPr>
                <w:rFonts w:ascii="Calibri" w:eastAsia="Calibri" w:hAnsi="Calibri" w:cs="Calibri"/>
                <w:b/>
                <w:bCs/>
                <w:color w:val="1A4A6E"/>
                <w:sz w:val="17"/>
                <w:szCs w:val="17"/>
              </w:rPr>
              <w:t>Quantitative</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6ACCB80F" w14:textId="77777777" w:rsidR="006D5514" w:rsidRDefault="006D5514" w:rsidP="0054235E">
            <w:pPr>
              <w:spacing w:before="90" w:after="90"/>
            </w:pPr>
            <w:r>
              <w:rPr>
                <w:rFonts w:ascii="Calibri" w:eastAsia="Calibri" w:hAnsi="Calibri" w:cs="Calibri"/>
                <w:i/>
                <w:iCs/>
                <w:color w:val="555555"/>
                <w:sz w:val="16"/>
                <w:szCs w:val="16"/>
              </w:rPr>
              <w:t>Research questions require numeric measurement across a large sample with sufficient statistical power</w:t>
            </w:r>
          </w:p>
        </w:tc>
      </w:tr>
      <w:tr w:rsidR="006D5514" w14:paraId="11E44B7A" w14:textId="77777777" w:rsidTr="0054235E">
        <w:tc>
          <w:tcPr>
            <w:tcW w:w="9800" w:type="dxa"/>
            <w:gridSpan w:val="3"/>
            <w:shd w:val="clear" w:color="auto" w:fill="FFFFFF"/>
            <w:vAlign w:val="center"/>
          </w:tcPr>
          <w:p w14:paraId="7A0E4E71"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06B001F0"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7E3035B3" w14:textId="77777777" w:rsidR="006D5514" w:rsidRDefault="006D5514" w:rsidP="0054235E">
            <w:pPr>
              <w:spacing w:before="20" w:after="4"/>
              <w:jc w:val="center"/>
            </w:pPr>
            <w:r>
              <w:rPr>
                <w:rFonts w:ascii="Calibri" w:eastAsia="Calibri" w:hAnsi="Calibri" w:cs="Calibri"/>
                <w:b/>
                <w:bCs/>
                <w:color w:val="FFFFFF"/>
                <w:sz w:val="14"/>
                <w:szCs w:val="14"/>
              </w:rPr>
              <w:t>Layer 3</w:t>
            </w:r>
          </w:p>
          <w:p w14:paraId="1A88FE94" w14:textId="77777777" w:rsidR="006D5514" w:rsidRDefault="006D5514" w:rsidP="0054235E">
            <w:pPr>
              <w:spacing w:after="20"/>
              <w:jc w:val="center"/>
            </w:pPr>
            <w:r>
              <w:rPr>
                <w:rFonts w:ascii="Calibri" w:eastAsia="Calibri" w:hAnsi="Calibri" w:cs="Calibri"/>
                <w:b/>
                <w:bCs/>
                <w:color w:val="FFFFFF"/>
                <w:sz w:val="16"/>
                <w:szCs w:val="16"/>
              </w:rPr>
              <w:t>Strategy</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149B32A2" w14:textId="77777777" w:rsidR="006D5514" w:rsidRDefault="006D5514" w:rsidP="0054235E">
            <w:pPr>
              <w:spacing w:before="90" w:after="90"/>
              <w:jc w:val="center"/>
            </w:pPr>
            <w:r>
              <w:rPr>
                <w:rFonts w:ascii="Calibri" w:eastAsia="Calibri" w:hAnsi="Calibri" w:cs="Calibri"/>
                <w:b/>
                <w:bCs/>
                <w:color w:val="1A4A6E"/>
                <w:sz w:val="17"/>
                <w:szCs w:val="17"/>
              </w:rPr>
              <w:t>Survey Strategy</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20F2338A" w14:textId="77777777" w:rsidR="006D5514" w:rsidRDefault="006D5514" w:rsidP="0054235E">
            <w:pPr>
              <w:spacing w:before="90" w:after="90"/>
            </w:pPr>
            <w:r>
              <w:rPr>
                <w:rFonts w:ascii="Calibri" w:eastAsia="Calibri" w:hAnsi="Calibri" w:cs="Calibri"/>
                <w:i/>
                <w:iCs/>
                <w:color w:val="555555"/>
                <w:sz w:val="16"/>
                <w:szCs w:val="16"/>
              </w:rPr>
              <w:t>Surveys measure multiple constructs simultaneously across a dispersed UK population [24]</w:t>
            </w:r>
          </w:p>
        </w:tc>
      </w:tr>
      <w:tr w:rsidR="006D5514" w14:paraId="26092A67" w14:textId="77777777" w:rsidTr="0054235E">
        <w:tc>
          <w:tcPr>
            <w:tcW w:w="9800" w:type="dxa"/>
            <w:gridSpan w:val="3"/>
            <w:shd w:val="clear" w:color="auto" w:fill="FFFFFF"/>
            <w:vAlign w:val="center"/>
          </w:tcPr>
          <w:p w14:paraId="29470EA2"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13D8B637"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48AC8B2F" w14:textId="77777777" w:rsidR="006D5514" w:rsidRDefault="006D5514" w:rsidP="0054235E">
            <w:pPr>
              <w:spacing w:before="20" w:after="4"/>
              <w:jc w:val="center"/>
            </w:pPr>
            <w:r>
              <w:rPr>
                <w:rFonts w:ascii="Calibri" w:eastAsia="Calibri" w:hAnsi="Calibri" w:cs="Calibri"/>
                <w:b/>
                <w:bCs/>
                <w:color w:val="FFFFFF"/>
                <w:sz w:val="14"/>
                <w:szCs w:val="14"/>
              </w:rPr>
              <w:t>Layer 4</w:t>
            </w:r>
          </w:p>
          <w:p w14:paraId="1E6454C8" w14:textId="77777777" w:rsidR="006D5514" w:rsidRDefault="006D5514" w:rsidP="0054235E">
            <w:pPr>
              <w:spacing w:after="20"/>
              <w:jc w:val="center"/>
            </w:pPr>
            <w:r>
              <w:rPr>
                <w:rFonts w:ascii="Calibri" w:eastAsia="Calibri" w:hAnsi="Calibri" w:cs="Calibri"/>
                <w:b/>
                <w:bCs/>
                <w:color w:val="FFFFFF"/>
                <w:sz w:val="16"/>
                <w:szCs w:val="16"/>
              </w:rPr>
              <w:t>Design</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0A1533CF" w14:textId="77777777" w:rsidR="006D5514" w:rsidRDefault="006D5514" w:rsidP="0054235E">
            <w:pPr>
              <w:spacing w:before="90" w:after="90"/>
              <w:jc w:val="center"/>
            </w:pPr>
            <w:r>
              <w:rPr>
                <w:rFonts w:ascii="Calibri" w:eastAsia="Calibri" w:hAnsi="Calibri" w:cs="Calibri"/>
                <w:b/>
                <w:bCs/>
                <w:color w:val="1A4A6E"/>
                <w:sz w:val="17"/>
                <w:szCs w:val="17"/>
              </w:rPr>
              <w:t>Cross-Sectional</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6A7133AF" w14:textId="77777777" w:rsidR="006D5514" w:rsidRDefault="006D5514" w:rsidP="0054235E">
            <w:pPr>
              <w:spacing w:before="90" w:after="90"/>
            </w:pPr>
            <w:r>
              <w:rPr>
                <w:rFonts w:ascii="Calibri" w:eastAsia="Calibri" w:hAnsi="Calibri" w:cs="Calibri"/>
                <w:i/>
                <w:iCs/>
                <w:color w:val="555555"/>
                <w:sz w:val="16"/>
                <w:szCs w:val="16"/>
              </w:rPr>
              <w:t>Captures trust perceptions at one point in time — appropriate for multi-sector comparative study [15], [4]</w:t>
            </w:r>
          </w:p>
        </w:tc>
      </w:tr>
      <w:tr w:rsidR="006D5514" w14:paraId="6C078189" w14:textId="77777777" w:rsidTr="0054235E">
        <w:tc>
          <w:tcPr>
            <w:tcW w:w="9800" w:type="dxa"/>
            <w:gridSpan w:val="3"/>
            <w:shd w:val="clear" w:color="auto" w:fill="FFFFFF"/>
            <w:vAlign w:val="center"/>
          </w:tcPr>
          <w:p w14:paraId="7BD31632"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3AA5E2AB"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77014AE5" w14:textId="77777777" w:rsidR="006D5514" w:rsidRDefault="006D5514" w:rsidP="0054235E">
            <w:pPr>
              <w:spacing w:before="20" w:after="4"/>
              <w:jc w:val="center"/>
            </w:pPr>
            <w:r>
              <w:rPr>
                <w:rFonts w:ascii="Calibri" w:eastAsia="Calibri" w:hAnsi="Calibri" w:cs="Calibri"/>
                <w:b/>
                <w:bCs/>
                <w:color w:val="FFFFFF"/>
                <w:sz w:val="14"/>
                <w:szCs w:val="14"/>
              </w:rPr>
              <w:t>Layer 5</w:t>
            </w:r>
          </w:p>
          <w:p w14:paraId="07A32337" w14:textId="77777777" w:rsidR="006D5514" w:rsidRDefault="006D5514" w:rsidP="0054235E">
            <w:pPr>
              <w:spacing w:after="20"/>
              <w:jc w:val="center"/>
            </w:pPr>
            <w:r>
              <w:rPr>
                <w:rFonts w:ascii="Calibri" w:eastAsia="Calibri" w:hAnsi="Calibri" w:cs="Calibri"/>
                <w:b/>
                <w:bCs/>
                <w:color w:val="FFFFFF"/>
                <w:sz w:val="16"/>
                <w:szCs w:val="16"/>
              </w:rPr>
              <w:t>Data Collection</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188A9760" w14:textId="77777777" w:rsidR="006D5514" w:rsidRDefault="006D5514" w:rsidP="0054235E">
            <w:pPr>
              <w:spacing w:before="90" w:after="90"/>
              <w:jc w:val="center"/>
            </w:pPr>
            <w:r>
              <w:rPr>
                <w:rFonts w:ascii="Calibri" w:eastAsia="Calibri" w:hAnsi="Calibri" w:cs="Calibri"/>
                <w:b/>
                <w:bCs/>
                <w:color w:val="1A4A6E"/>
                <w:sz w:val="17"/>
                <w:szCs w:val="17"/>
              </w:rPr>
              <w:t>Online Questionnaire (Microsoft Forms / Qualtrics)  |  n = 180–220 UK adults  |  Convenience sampling</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17DDFFAA" w14:textId="77777777" w:rsidR="006D5514" w:rsidRDefault="006D5514" w:rsidP="0054235E">
            <w:pPr>
              <w:spacing w:before="90" w:after="90"/>
            </w:pPr>
            <w:r>
              <w:rPr>
                <w:rFonts w:ascii="Calibri" w:eastAsia="Calibri" w:hAnsi="Calibri" w:cs="Calibri"/>
                <w:i/>
                <w:iCs/>
                <w:color w:val="555555"/>
                <w:sz w:val="16"/>
                <w:szCs w:val="16"/>
              </w:rPr>
              <w:t>Anonymous, scalable, cost-effective. G*Power: power = 0.80, α = 0.05, 18 predictors</w:t>
            </w:r>
          </w:p>
        </w:tc>
      </w:tr>
      <w:tr w:rsidR="006D5514" w14:paraId="4D2F1916" w14:textId="77777777" w:rsidTr="0054235E">
        <w:tc>
          <w:tcPr>
            <w:tcW w:w="9800" w:type="dxa"/>
            <w:gridSpan w:val="3"/>
            <w:shd w:val="clear" w:color="auto" w:fill="FFFFFF"/>
            <w:vAlign w:val="center"/>
          </w:tcPr>
          <w:p w14:paraId="08F57FA9"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2FDCF16A"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156082" w:themeFill="accent1"/>
            <w:vAlign w:val="center"/>
          </w:tcPr>
          <w:p w14:paraId="22E23EA8" w14:textId="77777777" w:rsidR="006D5514" w:rsidRDefault="006D5514" w:rsidP="0054235E">
            <w:pPr>
              <w:spacing w:before="20" w:after="4"/>
              <w:jc w:val="center"/>
            </w:pPr>
            <w:r>
              <w:rPr>
                <w:rFonts w:ascii="Calibri" w:eastAsia="Calibri" w:hAnsi="Calibri" w:cs="Calibri"/>
                <w:b/>
                <w:bCs/>
                <w:color w:val="FFFFFF"/>
                <w:sz w:val="14"/>
                <w:szCs w:val="14"/>
              </w:rPr>
              <w:t>Layer 6</w:t>
            </w:r>
          </w:p>
          <w:p w14:paraId="5C8A6874" w14:textId="77777777" w:rsidR="006D5514" w:rsidRDefault="006D5514" w:rsidP="0054235E">
            <w:pPr>
              <w:spacing w:after="20"/>
              <w:jc w:val="center"/>
            </w:pPr>
            <w:r>
              <w:rPr>
                <w:rFonts w:ascii="Calibri" w:eastAsia="Calibri" w:hAnsi="Calibri" w:cs="Calibri"/>
                <w:b/>
                <w:bCs/>
                <w:color w:val="FFFFFF"/>
                <w:sz w:val="16"/>
                <w:szCs w:val="16"/>
              </w:rPr>
              <w:t>Data Analysis</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44D61789" w14:textId="77777777" w:rsidR="006D5514" w:rsidRDefault="006D5514" w:rsidP="0054235E">
            <w:pPr>
              <w:spacing w:before="90" w:after="90"/>
              <w:jc w:val="center"/>
            </w:pPr>
            <w:r>
              <w:rPr>
                <w:rFonts w:ascii="Calibri" w:eastAsia="Calibri" w:hAnsi="Calibri" w:cs="Calibri"/>
                <w:b/>
                <w:bCs/>
                <w:color w:val="1A4A6E"/>
                <w:sz w:val="17"/>
                <w:szCs w:val="17"/>
              </w:rPr>
              <w:t>1. Descriptive stats  →  2. Pearson correlation  →  3. Multiple Regression (SPSS)  →  4. PROCESS moderation  →  5. One-way ANOVA</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6451C419" w14:textId="77777777" w:rsidR="006D5514" w:rsidRDefault="006D5514" w:rsidP="0054235E">
            <w:pPr>
              <w:spacing w:before="90" w:after="90"/>
            </w:pPr>
            <w:r>
              <w:rPr>
                <w:rFonts w:ascii="Calibri" w:eastAsia="Calibri" w:hAnsi="Calibri" w:cs="Calibri"/>
                <w:i/>
                <w:iCs/>
                <w:color w:val="555555"/>
                <w:sz w:val="16"/>
                <w:szCs w:val="16"/>
              </w:rPr>
              <w:t>Each technique addresses one of the five research objectives and tests one of the three hypotheses</w:t>
            </w:r>
          </w:p>
        </w:tc>
      </w:tr>
      <w:tr w:rsidR="006D5514" w14:paraId="35831EED" w14:textId="77777777" w:rsidTr="0054235E">
        <w:tc>
          <w:tcPr>
            <w:tcW w:w="9800" w:type="dxa"/>
            <w:gridSpan w:val="3"/>
            <w:shd w:val="clear" w:color="auto" w:fill="FFFFFF"/>
            <w:vAlign w:val="center"/>
          </w:tcPr>
          <w:p w14:paraId="4A262C6D" w14:textId="77777777" w:rsidR="006D5514" w:rsidRDefault="006D5514" w:rsidP="0054235E">
            <w:pPr>
              <w:spacing w:before="8" w:after="8"/>
              <w:jc w:val="center"/>
            </w:pPr>
            <w:r>
              <w:rPr>
                <w:rFonts w:ascii="Calibri" w:eastAsia="Calibri" w:hAnsi="Calibri" w:cs="Calibri"/>
                <w:b/>
                <w:bCs/>
                <w:color w:val="AED6F1"/>
                <w:sz w:val="18"/>
                <w:szCs w:val="18"/>
              </w:rPr>
              <w:t>▼</w:t>
            </w:r>
          </w:p>
        </w:tc>
      </w:tr>
      <w:tr w:rsidR="006D5514" w14:paraId="7A8E3E9C" w14:textId="77777777" w:rsidTr="0054235E">
        <w:tc>
          <w:tcPr>
            <w:tcW w:w="1400" w:type="dxa"/>
            <w:tcBorders>
              <w:top w:val="single" w:sz="4" w:space="0" w:color="FFFFFF"/>
              <w:left w:val="single" w:sz="4" w:space="0" w:color="FFFFFF"/>
              <w:bottom w:val="single" w:sz="4" w:space="0" w:color="FFFFFF"/>
              <w:right w:val="single" w:sz="4" w:space="0" w:color="FFFFFF"/>
            </w:tcBorders>
            <w:shd w:val="clear" w:color="auto" w:fill="0D9488"/>
            <w:vAlign w:val="center"/>
          </w:tcPr>
          <w:p w14:paraId="02462EF6" w14:textId="77777777" w:rsidR="006D5514" w:rsidRDefault="006D5514" w:rsidP="0054235E">
            <w:pPr>
              <w:spacing w:before="20" w:after="4"/>
              <w:jc w:val="center"/>
            </w:pPr>
            <w:r>
              <w:rPr>
                <w:rFonts w:ascii="Calibri" w:eastAsia="Calibri" w:hAnsi="Calibri" w:cs="Calibri"/>
                <w:b/>
                <w:bCs/>
                <w:color w:val="5EEAD4"/>
                <w:sz w:val="14"/>
                <w:szCs w:val="14"/>
              </w:rPr>
              <w:t>Layer 7</w:t>
            </w:r>
          </w:p>
          <w:p w14:paraId="59844412" w14:textId="77777777" w:rsidR="006D5514" w:rsidRDefault="006D5514" w:rsidP="0054235E">
            <w:pPr>
              <w:spacing w:after="20"/>
              <w:jc w:val="center"/>
            </w:pPr>
            <w:r>
              <w:rPr>
                <w:rFonts w:ascii="Calibri" w:eastAsia="Calibri" w:hAnsi="Calibri" w:cs="Calibri"/>
                <w:b/>
                <w:bCs/>
                <w:color w:val="FFFFFF"/>
                <w:sz w:val="16"/>
                <w:szCs w:val="16"/>
              </w:rPr>
              <w:t>Output</w:t>
            </w:r>
          </w:p>
        </w:tc>
        <w:tc>
          <w:tcPr>
            <w:tcW w:w="5600" w:type="dxa"/>
            <w:tcBorders>
              <w:top w:val="single" w:sz="2" w:space="0" w:color="D5D8DC"/>
              <w:left w:val="single" w:sz="2" w:space="0" w:color="D5D8DC"/>
              <w:bottom w:val="single" w:sz="2" w:space="0" w:color="D5D8DC"/>
              <w:right w:val="single" w:sz="2" w:space="0" w:color="D5D8DC"/>
            </w:tcBorders>
            <w:shd w:val="clear" w:color="auto" w:fill="EBF5FB"/>
            <w:vAlign w:val="center"/>
          </w:tcPr>
          <w:p w14:paraId="423442EE" w14:textId="77777777" w:rsidR="006D5514" w:rsidRDefault="006D5514" w:rsidP="0054235E">
            <w:pPr>
              <w:spacing w:before="90" w:after="90"/>
              <w:jc w:val="center"/>
            </w:pPr>
            <w:r>
              <w:rPr>
                <w:rFonts w:ascii="Calibri" w:eastAsia="Calibri" w:hAnsi="Calibri" w:cs="Calibri"/>
                <w:b/>
                <w:bCs/>
                <w:color w:val="1A4A6E"/>
                <w:sz w:val="17"/>
                <w:szCs w:val="17"/>
              </w:rPr>
              <w:t>Ranked Trust Predictor Model  +  Privacy Paradox Evidence  +  Trust-by-Design Framework</w:t>
            </w:r>
          </w:p>
        </w:tc>
        <w:tc>
          <w:tcPr>
            <w:tcW w:w="28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69F86D84" w14:textId="77777777" w:rsidR="006D5514" w:rsidRDefault="006D5514" w:rsidP="0054235E">
            <w:pPr>
              <w:spacing w:before="90" w:after="90"/>
            </w:pPr>
            <w:r>
              <w:rPr>
                <w:rFonts w:ascii="Calibri" w:eastAsia="Calibri" w:hAnsi="Calibri" w:cs="Calibri"/>
                <w:i/>
                <w:iCs/>
                <w:color w:val="555555"/>
                <w:sz w:val="16"/>
                <w:szCs w:val="16"/>
              </w:rPr>
              <w:t>Empirical contribution to IS research + practical guidance for UK developers and ICO policymakers</w:t>
            </w:r>
          </w:p>
        </w:tc>
      </w:tr>
    </w:tbl>
    <w:p w14:paraId="3E04E8D3" w14:textId="0954E8DA" w:rsidR="006D5514" w:rsidRPr="00D31CEC" w:rsidRDefault="00D31CEC" w:rsidP="00D31CEC">
      <w:pPr>
        <w:spacing w:before="120"/>
        <w:jc w:val="center"/>
        <w:rPr>
          <w:color w:val="156082" w:themeColor="accent1"/>
          <w:sz w:val="20"/>
          <w:szCs w:val="20"/>
        </w:rPr>
      </w:pPr>
      <w:r w:rsidRPr="00D31CEC">
        <w:rPr>
          <w:color w:val="156082" w:themeColor="accent1"/>
          <w:sz w:val="20"/>
          <w:szCs w:val="20"/>
        </w:rPr>
        <w:t>Source: Generated by author (2026).</w:t>
      </w:r>
    </w:p>
    <w:p w14:paraId="3ECF3A8C" w14:textId="77777777" w:rsidR="00D31CEC" w:rsidRDefault="00D31CEC" w:rsidP="006D5514">
      <w:pPr>
        <w:spacing w:before="60" w:after="80" w:line="360" w:lineRule="auto"/>
        <w:jc w:val="both"/>
        <w:rPr>
          <w:rFonts w:ascii="Calibri" w:eastAsia="Calibri" w:hAnsi="Calibri" w:cs="Calibri"/>
          <w:color w:val="1A1A1A"/>
        </w:rPr>
      </w:pPr>
    </w:p>
    <w:p w14:paraId="673CF3F2" w14:textId="77777777" w:rsidR="00147EC3" w:rsidRPr="00147EC3" w:rsidRDefault="00147EC3" w:rsidP="00147EC3">
      <w:pPr>
        <w:spacing w:before="200" w:line="360" w:lineRule="auto"/>
        <w:jc w:val="both"/>
      </w:pPr>
      <w:r w:rsidRPr="00147EC3">
        <w:t>The layered structure reflects the research onion framework in which each methodological decision is determined by those made at the layer above. The post-positivist philosophical position justifies the quantitative approach, which justifies the survey strategy. The cross-sectional design captures trust perceptions at a single point in time, appropriate because the study examines relationships rather than change over time. The five-stage analysis pipeline maps directly onto the five research objectives, ensuring every analytical technique is purposefully connected to the overall research aim.</w:t>
      </w:r>
    </w:p>
    <w:p w14:paraId="28676C2C" w14:textId="77777777" w:rsidR="00147EC3" w:rsidRPr="00147EC3" w:rsidRDefault="00147EC3" w:rsidP="00147EC3">
      <w:pPr>
        <w:spacing w:before="200" w:line="360" w:lineRule="auto"/>
        <w:jc w:val="both"/>
      </w:pPr>
      <w:r w:rsidRPr="00147EC3">
        <w:t xml:space="preserve">The overall research methodology follows a sequential six-phase process, beginning with the literature review and progressing through survey development, data collection, statistical analysis, and the development of the proposed Trust-by-Design Framework. This process ensures that each methodological stage is directly informed by the preceding phase and aligned with the research objectives. A detailed overview of the complete research methodology is provided in </w:t>
      </w:r>
      <w:r w:rsidRPr="00147EC3">
        <w:rPr>
          <w:b/>
          <w:bCs/>
        </w:rPr>
        <w:t>Appendix B</w:t>
      </w:r>
      <w:r w:rsidRPr="00147EC3">
        <w:t>.</w:t>
      </w:r>
    </w:p>
    <w:p w14:paraId="7A6AD3C6" w14:textId="77777777" w:rsidR="006D5514" w:rsidRDefault="006D5514" w:rsidP="006D5514">
      <w:pPr>
        <w:spacing w:before="200"/>
      </w:pPr>
    </w:p>
    <w:p w14:paraId="1A05F3F0" w14:textId="14DD068A" w:rsidR="00B37289" w:rsidRDefault="008C4330" w:rsidP="00205021">
      <w:pPr>
        <w:pStyle w:val="Heading2"/>
        <w:rPr>
          <w:rFonts w:ascii="Times New Roman" w:hAnsi="Times New Roman" w:cs="Times New Roman"/>
        </w:rPr>
      </w:pPr>
      <w:bookmarkStart w:id="23" w:name="_Toc234710555"/>
      <w:r w:rsidRPr="00C96D19">
        <w:rPr>
          <w:rFonts w:ascii="Times New Roman" w:hAnsi="Times New Roman" w:cs="Times New Roman"/>
        </w:rPr>
        <w:lastRenderedPageBreak/>
        <w:t>3.2 Research Methods and Materials</w:t>
      </w:r>
      <w:bookmarkEnd w:id="23"/>
      <w:r w:rsidR="00C1769B" w:rsidRPr="00C96D19">
        <w:rPr>
          <w:rFonts w:ascii="Times New Roman" w:hAnsi="Times New Roman" w:cs="Times New Roman"/>
        </w:rPr>
        <w:t xml:space="preserve">    </w:t>
      </w:r>
    </w:p>
    <w:p w14:paraId="15F4F216" w14:textId="58FFD7D4" w:rsidR="00B53F38" w:rsidRPr="00B53F38" w:rsidRDefault="00B53F38" w:rsidP="00B53F38">
      <w:pPr>
        <w:spacing w:line="360" w:lineRule="auto"/>
        <w:jc w:val="both"/>
      </w:pPr>
      <w:r w:rsidRPr="00B53F38">
        <w:t>This section details the methods, instruments, and materials employed to address the five research objectives outlined in Section 1.3. Every methodological decision</w:t>
      </w:r>
      <w:r w:rsidR="00BD7536">
        <w:t xml:space="preserve">, </w:t>
      </w:r>
      <w:r w:rsidRPr="00B53F38">
        <w:t>from survey design and sampling strategy through to statistical analysis, ethical considerations, and validity procedures</w:t>
      </w:r>
      <w:r w:rsidR="00BD7536">
        <w:t>,</w:t>
      </w:r>
      <w:r w:rsidRPr="00B53F38">
        <w:t xml:space="preserve"> is directly traceable to the research aims, the literature reviewed in Chapter 2, and the practical constraints of this MSc project.</w:t>
      </w:r>
    </w:p>
    <w:p w14:paraId="70F7F514" w14:textId="77777777" w:rsidR="00B53F38" w:rsidRPr="00B53F38" w:rsidRDefault="00B53F38" w:rsidP="00B53F38">
      <w:pPr>
        <w:spacing w:line="360" w:lineRule="auto"/>
        <w:jc w:val="both"/>
      </w:pPr>
      <w:r w:rsidRPr="00595526">
        <w:rPr>
          <w:b/>
          <w:bCs/>
        </w:rPr>
        <w:t>Table 4</w:t>
      </w:r>
      <w:r w:rsidRPr="00BE6E57">
        <w:t xml:space="preserve"> provides</w:t>
      </w:r>
      <w:r w:rsidRPr="00B53F38">
        <w:t xml:space="preserve"> a complete overview of all methodological decisions before each component is described in full in the subsections below.</w:t>
      </w:r>
    </w:p>
    <w:p w14:paraId="20C5048E" w14:textId="77777777" w:rsidR="00D60200" w:rsidRDefault="00D60200" w:rsidP="00B53F38">
      <w:pPr>
        <w:spacing w:line="360" w:lineRule="auto"/>
        <w:jc w:val="both"/>
        <w:rPr>
          <w:i/>
          <w:iCs/>
        </w:rPr>
      </w:pPr>
    </w:p>
    <w:p w14:paraId="7D46C777" w14:textId="0EE9EBB2" w:rsidR="00D60200" w:rsidRPr="001F51DA" w:rsidRDefault="00B53F38" w:rsidP="00B53F38">
      <w:pPr>
        <w:spacing w:line="360" w:lineRule="auto"/>
        <w:jc w:val="both"/>
        <w:rPr>
          <w:b/>
          <w:bCs/>
          <w:i/>
          <w:iCs/>
          <w:color w:val="156082" w:themeColor="accent1"/>
          <w:sz w:val="20"/>
          <w:szCs w:val="20"/>
        </w:rPr>
      </w:pPr>
      <w:r w:rsidRPr="001F51DA">
        <w:rPr>
          <w:b/>
          <w:bCs/>
          <w:i/>
          <w:iCs/>
          <w:color w:val="156082" w:themeColor="accent1"/>
          <w:sz w:val="20"/>
          <w:szCs w:val="20"/>
        </w:rPr>
        <w:t xml:space="preserve">Table 4: Research Design and Methodology — Summary Reference Card. </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7400"/>
      </w:tblGrid>
      <w:tr w:rsidR="002451F5" w14:paraId="3CE00620" w14:textId="77777777" w:rsidTr="0054235E">
        <w:trPr>
          <w:tblHeader/>
        </w:trPr>
        <w:tc>
          <w:tcPr>
            <w:tcW w:w="24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F2586E5" w14:textId="77777777" w:rsidR="002451F5" w:rsidRDefault="002451F5" w:rsidP="0054235E">
            <w:pPr>
              <w:spacing w:before="80" w:after="80"/>
              <w:jc w:val="center"/>
            </w:pPr>
            <w:r>
              <w:rPr>
                <w:rFonts w:ascii="Calibri" w:eastAsia="Calibri" w:hAnsi="Calibri" w:cs="Calibri"/>
                <w:b/>
                <w:bCs/>
                <w:color w:val="FFFFFF"/>
                <w:sz w:val="17"/>
                <w:szCs w:val="17"/>
              </w:rPr>
              <w:t>Component</w:t>
            </w:r>
          </w:p>
        </w:tc>
        <w:tc>
          <w:tcPr>
            <w:tcW w:w="74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DB4D1C4" w14:textId="77777777" w:rsidR="002451F5" w:rsidRDefault="002451F5" w:rsidP="0054235E">
            <w:pPr>
              <w:spacing w:before="80" w:after="80"/>
              <w:jc w:val="center"/>
            </w:pPr>
            <w:r>
              <w:rPr>
                <w:rFonts w:ascii="Calibri" w:eastAsia="Calibri" w:hAnsi="Calibri" w:cs="Calibri"/>
                <w:b/>
                <w:bCs/>
                <w:color w:val="FFFFFF"/>
                <w:sz w:val="17"/>
                <w:szCs w:val="17"/>
              </w:rPr>
              <w:t>Decision &amp; Detail</w:t>
            </w:r>
          </w:p>
        </w:tc>
      </w:tr>
      <w:tr w:rsidR="002451F5" w14:paraId="065A1B84"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7957BCC2" w14:textId="77777777" w:rsidR="002451F5" w:rsidRDefault="002451F5" w:rsidP="0054235E">
            <w:pPr>
              <w:spacing w:before="80" w:after="80"/>
              <w:jc w:val="center"/>
            </w:pPr>
            <w:r>
              <w:rPr>
                <w:rFonts w:ascii="Calibri" w:eastAsia="Calibri" w:hAnsi="Calibri" w:cs="Calibri"/>
                <w:b/>
                <w:bCs/>
                <w:color w:val="1A4A6E"/>
                <w:sz w:val="17"/>
                <w:szCs w:val="17"/>
              </w:rPr>
              <w:t>Research Philosophy</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5F15517" w14:textId="77777777" w:rsidR="002451F5" w:rsidRDefault="002451F5" w:rsidP="0054235E">
            <w:pPr>
              <w:spacing w:before="80" w:after="80"/>
            </w:pPr>
            <w:r>
              <w:rPr>
                <w:rFonts w:ascii="Calibri" w:eastAsia="Calibri" w:hAnsi="Calibri" w:cs="Calibri"/>
                <w:color w:val="1A1A1A"/>
                <w:sz w:val="17"/>
                <w:szCs w:val="17"/>
              </w:rPr>
              <w:t>Post-positivism — objective reality approximated through systematic statistical measurement</w:t>
            </w:r>
          </w:p>
        </w:tc>
      </w:tr>
      <w:tr w:rsidR="002451F5" w14:paraId="771B3DB9"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9DE475B" w14:textId="77777777" w:rsidR="002451F5" w:rsidRDefault="002451F5" w:rsidP="0054235E">
            <w:pPr>
              <w:spacing w:before="80" w:after="80"/>
              <w:jc w:val="center"/>
            </w:pPr>
            <w:r>
              <w:rPr>
                <w:rFonts w:ascii="Calibri" w:eastAsia="Calibri" w:hAnsi="Calibri" w:cs="Calibri"/>
                <w:b/>
                <w:bCs/>
                <w:color w:val="1A4A6E"/>
                <w:sz w:val="17"/>
                <w:szCs w:val="17"/>
              </w:rPr>
              <w:t>Research Approach</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6F6454EF" w14:textId="77777777" w:rsidR="002451F5" w:rsidRDefault="002451F5" w:rsidP="0054235E">
            <w:pPr>
              <w:spacing w:before="80" w:after="80"/>
            </w:pPr>
            <w:r>
              <w:rPr>
                <w:rFonts w:ascii="Calibri" w:eastAsia="Calibri" w:hAnsi="Calibri" w:cs="Calibri"/>
                <w:color w:val="1A1A1A"/>
                <w:sz w:val="17"/>
                <w:szCs w:val="17"/>
              </w:rPr>
              <w:t>Quantitative — standardised numeric measures enable statistical comparison and inference</w:t>
            </w:r>
          </w:p>
        </w:tc>
      </w:tr>
      <w:tr w:rsidR="002451F5" w14:paraId="6B35CD9F"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6B1BC76F" w14:textId="77777777" w:rsidR="002451F5" w:rsidRDefault="002451F5" w:rsidP="0054235E">
            <w:pPr>
              <w:spacing w:before="80" w:after="80"/>
              <w:jc w:val="center"/>
            </w:pPr>
            <w:r>
              <w:rPr>
                <w:rFonts w:ascii="Calibri" w:eastAsia="Calibri" w:hAnsi="Calibri" w:cs="Calibri"/>
                <w:b/>
                <w:bCs/>
                <w:color w:val="1A4A6E"/>
                <w:sz w:val="17"/>
                <w:szCs w:val="17"/>
              </w:rPr>
              <w:t>Research Strategy</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3BED673" w14:textId="77777777" w:rsidR="002451F5" w:rsidRDefault="002451F5" w:rsidP="0054235E">
            <w:pPr>
              <w:spacing w:before="80" w:after="80"/>
            </w:pPr>
            <w:r>
              <w:rPr>
                <w:rFonts w:ascii="Calibri" w:eastAsia="Calibri" w:hAnsi="Calibri" w:cs="Calibri"/>
                <w:color w:val="1A1A1A"/>
                <w:sz w:val="17"/>
                <w:szCs w:val="17"/>
              </w:rPr>
              <w:t>Survey strategy — self-report questionnaire administered online to UK adults</w:t>
            </w:r>
          </w:p>
        </w:tc>
      </w:tr>
      <w:tr w:rsidR="002451F5" w14:paraId="46F47D35"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A1E306C" w14:textId="77777777" w:rsidR="002451F5" w:rsidRDefault="002451F5" w:rsidP="0054235E">
            <w:pPr>
              <w:spacing w:before="80" w:after="80"/>
              <w:jc w:val="center"/>
            </w:pPr>
            <w:r>
              <w:rPr>
                <w:rFonts w:ascii="Calibri" w:eastAsia="Calibri" w:hAnsi="Calibri" w:cs="Calibri"/>
                <w:b/>
                <w:bCs/>
                <w:color w:val="1A4A6E"/>
                <w:sz w:val="17"/>
                <w:szCs w:val="17"/>
              </w:rPr>
              <w:t>Research Design</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433442D3" w14:textId="77777777" w:rsidR="002451F5" w:rsidRDefault="002451F5" w:rsidP="0054235E">
            <w:pPr>
              <w:spacing w:before="80" w:after="80"/>
            </w:pPr>
            <w:r>
              <w:rPr>
                <w:rFonts w:ascii="Calibri" w:eastAsia="Calibri" w:hAnsi="Calibri" w:cs="Calibri"/>
                <w:color w:val="1A1A1A"/>
                <w:sz w:val="17"/>
                <w:szCs w:val="17"/>
              </w:rPr>
              <w:t>Cross-sectional — single time-point snapshot appropriate for comparative multi-sector study</w:t>
            </w:r>
          </w:p>
        </w:tc>
      </w:tr>
      <w:tr w:rsidR="002451F5" w14:paraId="4FE0B50E"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2C742AF4" w14:textId="77777777" w:rsidR="002451F5" w:rsidRDefault="002451F5" w:rsidP="0054235E">
            <w:pPr>
              <w:spacing w:before="80" w:after="80"/>
              <w:jc w:val="center"/>
            </w:pPr>
            <w:r>
              <w:rPr>
                <w:rFonts w:ascii="Calibri" w:eastAsia="Calibri" w:hAnsi="Calibri" w:cs="Calibri"/>
                <w:b/>
                <w:bCs/>
                <w:color w:val="1A4A6E"/>
                <w:sz w:val="17"/>
                <w:szCs w:val="17"/>
              </w:rPr>
              <w:t>Population</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FA09E2A" w14:textId="77777777" w:rsidR="002451F5" w:rsidRDefault="002451F5" w:rsidP="0054235E">
            <w:pPr>
              <w:spacing w:before="80" w:after="80"/>
            </w:pPr>
            <w:r>
              <w:rPr>
                <w:rFonts w:ascii="Calibri" w:eastAsia="Calibri" w:hAnsi="Calibri" w:cs="Calibri"/>
                <w:color w:val="1A1A1A"/>
                <w:sz w:val="17"/>
                <w:szCs w:val="17"/>
              </w:rPr>
              <w:t>UK adults aged 18+ who regularly use web applications (banking, retail, NHS, social media, government, streaming)</w:t>
            </w:r>
          </w:p>
        </w:tc>
      </w:tr>
      <w:tr w:rsidR="002451F5" w14:paraId="490C56AE"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A8EC767" w14:textId="77777777" w:rsidR="002451F5" w:rsidRDefault="002451F5" w:rsidP="0054235E">
            <w:pPr>
              <w:spacing w:before="80" w:after="80"/>
              <w:jc w:val="center"/>
            </w:pPr>
            <w:r>
              <w:rPr>
                <w:rFonts w:ascii="Calibri" w:eastAsia="Calibri" w:hAnsi="Calibri" w:cs="Calibri"/>
                <w:b/>
                <w:bCs/>
                <w:color w:val="1A4A6E"/>
                <w:sz w:val="17"/>
                <w:szCs w:val="17"/>
              </w:rPr>
              <w:t>Sampling</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5284BB25" w14:textId="77777777" w:rsidR="002451F5" w:rsidRDefault="002451F5" w:rsidP="0054235E">
            <w:pPr>
              <w:spacing w:before="80" w:after="80"/>
            </w:pPr>
            <w:r>
              <w:rPr>
                <w:rFonts w:ascii="Calibri" w:eastAsia="Calibri" w:hAnsi="Calibri" w:cs="Calibri"/>
                <w:color w:val="1A1A1A"/>
                <w:sz w:val="17"/>
                <w:szCs w:val="17"/>
              </w:rPr>
              <w:t>Non-probability convenience sampling — practical, cost-effective within MSc project constraints</w:t>
            </w:r>
          </w:p>
        </w:tc>
      </w:tr>
      <w:tr w:rsidR="002451F5" w14:paraId="26252792"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79661BB0" w14:textId="77777777" w:rsidR="002451F5" w:rsidRDefault="002451F5" w:rsidP="0054235E">
            <w:pPr>
              <w:spacing w:before="80" w:after="80"/>
              <w:jc w:val="center"/>
            </w:pPr>
            <w:r>
              <w:rPr>
                <w:rFonts w:ascii="Calibri" w:eastAsia="Calibri" w:hAnsi="Calibri" w:cs="Calibri"/>
                <w:b/>
                <w:bCs/>
                <w:color w:val="1A4A6E"/>
                <w:sz w:val="17"/>
                <w:szCs w:val="17"/>
              </w:rPr>
              <w:t>Sample Size</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D411DE8" w14:textId="77777777" w:rsidR="002451F5" w:rsidRDefault="002451F5" w:rsidP="0054235E">
            <w:pPr>
              <w:spacing w:before="80" w:after="80"/>
            </w:pPr>
            <w:r>
              <w:rPr>
                <w:rFonts w:ascii="Calibri" w:eastAsia="Calibri" w:hAnsi="Calibri" w:cs="Calibri"/>
                <w:color w:val="1A1A1A"/>
                <w:sz w:val="17"/>
                <w:szCs w:val="17"/>
              </w:rPr>
              <w:t>n = 180–220 (G*Power: power = 0.80, α = 0.05, 18 predictors in multiple regression)</w:t>
            </w:r>
          </w:p>
        </w:tc>
      </w:tr>
      <w:tr w:rsidR="002451F5" w14:paraId="61CE187F"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A6BE128" w14:textId="77777777" w:rsidR="002451F5" w:rsidRDefault="002451F5" w:rsidP="0054235E">
            <w:pPr>
              <w:spacing w:before="80" w:after="80"/>
              <w:jc w:val="center"/>
            </w:pPr>
            <w:r>
              <w:rPr>
                <w:rFonts w:ascii="Calibri" w:eastAsia="Calibri" w:hAnsi="Calibri" w:cs="Calibri"/>
                <w:b/>
                <w:bCs/>
                <w:color w:val="1A4A6E"/>
                <w:sz w:val="17"/>
                <w:szCs w:val="17"/>
              </w:rPr>
              <w:t>Instrument</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17A9A28F" w14:textId="77777777" w:rsidR="002451F5" w:rsidRDefault="002451F5" w:rsidP="0054235E">
            <w:pPr>
              <w:spacing w:before="80" w:after="80"/>
            </w:pPr>
            <w:r>
              <w:rPr>
                <w:rFonts w:ascii="Calibri" w:eastAsia="Calibri" w:hAnsi="Calibri" w:cs="Calibri"/>
                <w:color w:val="1A1A1A"/>
                <w:sz w:val="17"/>
                <w:szCs w:val="17"/>
              </w:rPr>
              <w:t xml:space="preserve">4-section questionnaire adapted from McKnight et al. [12], Corritore et al. [8], Zieglmeier &amp; </w:t>
            </w:r>
            <w:proofErr w:type="spellStart"/>
            <w:r>
              <w:rPr>
                <w:rFonts w:ascii="Calibri" w:eastAsia="Calibri" w:hAnsi="Calibri" w:cs="Calibri"/>
                <w:color w:val="1A1A1A"/>
                <w:sz w:val="17"/>
                <w:szCs w:val="17"/>
              </w:rPr>
              <w:t>Lehene</w:t>
            </w:r>
            <w:proofErr w:type="spellEnd"/>
            <w:r>
              <w:rPr>
                <w:rFonts w:ascii="Calibri" w:eastAsia="Calibri" w:hAnsi="Calibri" w:cs="Calibri"/>
                <w:color w:val="1A1A1A"/>
                <w:sz w:val="17"/>
                <w:szCs w:val="17"/>
              </w:rPr>
              <w:t xml:space="preserve"> [14], Prince et al. [21]</w:t>
            </w:r>
          </w:p>
        </w:tc>
      </w:tr>
      <w:tr w:rsidR="002451F5" w14:paraId="0220DB68"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3A8EA417" w14:textId="77777777" w:rsidR="002451F5" w:rsidRDefault="002451F5" w:rsidP="0054235E">
            <w:pPr>
              <w:spacing w:before="80" w:after="80"/>
              <w:jc w:val="center"/>
            </w:pPr>
            <w:r>
              <w:rPr>
                <w:rFonts w:ascii="Calibri" w:eastAsia="Calibri" w:hAnsi="Calibri" w:cs="Calibri"/>
                <w:b/>
                <w:bCs/>
                <w:color w:val="1A4A6E"/>
                <w:sz w:val="17"/>
                <w:szCs w:val="17"/>
              </w:rPr>
              <w:t>Reliability</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D39EC09" w14:textId="77777777" w:rsidR="002451F5" w:rsidRDefault="002451F5" w:rsidP="0054235E">
            <w:pPr>
              <w:spacing w:before="80" w:after="80"/>
            </w:pPr>
            <w:r>
              <w:rPr>
                <w:rFonts w:ascii="Calibri" w:eastAsia="Calibri" w:hAnsi="Calibri" w:cs="Calibri"/>
                <w:color w:val="1A1A1A"/>
                <w:sz w:val="17"/>
                <w:szCs w:val="17"/>
              </w:rPr>
              <w:t>Cronbach’s α ≥ 0.70 threshold; pilot tested with 10–15 participants before full deployment</w:t>
            </w:r>
          </w:p>
        </w:tc>
      </w:tr>
      <w:tr w:rsidR="002451F5" w14:paraId="1C4D78D3"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18DD8DB" w14:textId="77777777" w:rsidR="002451F5" w:rsidRDefault="002451F5" w:rsidP="0054235E">
            <w:pPr>
              <w:spacing w:before="80" w:after="80"/>
              <w:jc w:val="center"/>
            </w:pPr>
            <w:r>
              <w:rPr>
                <w:rFonts w:ascii="Calibri" w:eastAsia="Calibri" w:hAnsi="Calibri" w:cs="Calibri"/>
                <w:b/>
                <w:bCs/>
                <w:color w:val="1A4A6E"/>
                <w:sz w:val="17"/>
                <w:szCs w:val="17"/>
              </w:rPr>
              <w:t>Step 1 — Descriptive</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79C52C9D" w14:textId="77777777" w:rsidR="002451F5" w:rsidRDefault="002451F5" w:rsidP="0054235E">
            <w:pPr>
              <w:spacing w:before="80" w:after="80"/>
            </w:pPr>
            <w:r>
              <w:rPr>
                <w:rFonts w:ascii="Calibri" w:eastAsia="Calibri" w:hAnsi="Calibri" w:cs="Calibri"/>
                <w:color w:val="1A1A1A"/>
                <w:sz w:val="17"/>
                <w:szCs w:val="17"/>
              </w:rPr>
              <w:t>Means, SDs, frequency distributions — summarise demographics and trust scores (O1, O2)</w:t>
            </w:r>
          </w:p>
        </w:tc>
      </w:tr>
      <w:tr w:rsidR="002451F5" w14:paraId="2F0FE79C"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6320FECE" w14:textId="77777777" w:rsidR="002451F5" w:rsidRDefault="002451F5" w:rsidP="0054235E">
            <w:pPr>
              <w:spacing w:before="80" w:after="80"/>
              <w:jc w:val="center"/>
            </w:pPr>
            <w:r>
              <w:rPr>
                <w:rFonts w:ascii="Calibri" w:eastAsia="Calibri" w:hAnsi="Calibri" w:cs="Calibri"/>
                <w:b/>
                <w:bCs/>
                <w:color w:val="1A4A6E"/>
                <w:sz w:val="17"/>
                <w:szCs w:val="17"/>
              </w:rPr>
              <w:t>Step 2 — Correlation</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3DC21F8" w14:textId="77777777" w:rsidR="002451F5" w:rsidRDefault="002451F5" w:rsidP="0054235E">
            <w:pPr>
              <w:spacing w:before="80" w:after="80"/>
            </w:pPr>
            <w:r>
              <w:rPr>
                <w:rFonts w:ascii="Calibri" w:eastAsia="Calibri" w:hAnsi="Calibri" w:cs="Calibri"/>
                <w:color w:val="1A1A1A"/>
                <w:sz w:val="17"/>
                <w:szCs w:val="17"/>
              </w:rPr>
              <w:t>Pearson r — bivariate relationships between 18 trust factors and overall trust score (O3, pre-H1)</w:t>
            </w:r>
          </w:p>
        </w:tc>
      </w:tr>
      <w:tr w:rsidR="002451F5" w14:paraId="607313BB"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0350E36" w14:textId="77777777" w:rsidR="002451F5" w:rsidRDefault="002451F5" w:rsidP="0054235E">
            <w:pPr>
              <w:spacing w:before="80" w:after="80"/>
              <w:jc w:val="center"/>
            </w:pPr>
            <w:r>
              <w:rPr>
                <w:rFonts w:ascii="Calibri" w:eastAsia="Calibri" w:hAnsi="Calibri" w:cs="Calibri"/>
                <w:b/>
                <w:bCs/>
                <w:color w:val="1A4A6E"/>
                <w:sz w:val="17"/>
                <w:szCs w:val="17"/>
              </w:rPr>
              <w:t>Step 3 — Regression</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5E6EEC7B" w14:textId="77777777" w:rsidR="002451F5" w:rsidRDefault="002451F5" w:rsidP="0054235E">
            <w:pPr>
              <w:spacing w:before="80" w:after="80"/>
            </w:pPr>
            <w:r>
              <w:rPr>
                <w:rFonts w:ascii="Calibri" w:eastAsia="Calibri" w:hAnsi="Calibri" w:cs="Calibri"/>
                <w:color w:val="1A1A1A"/>
                <w:sz w:val="17"/>
                <w:szCs w:val="17"/>
              </w:rPr>
              <w:t>Multiple regression, SPSS — ranked trust predictors, standardised β coefficients (O3 → H1, α=0.05)</w:t>
            </w:r>
          </w:p>
        </w:tc>
      </w:tr>
      <w:tr w:rsidR="002451F5" w14:paraId="33EA9B61"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39C8E019" w14:textId="77777777" w:rsidR="002451F5" w:rsidRDefault="002451F5" w:rsidP="0054235E">
            <w:pPr>
              <w:spacing w:before="80" w:after="80"/>
              <w:jc w:val="center"/>
            </w:pPr>
            <w:r>
              <w:rPr>
                <w:rFonts w:ascii="Calibri" w:eastAsia="Calibri" w:hAnsi="Calibri" w:cs="Calibri"/>
                <w:b/>
                <w:bCs/>
                <w:color w:val="1A4A6E"/>
                <w:sz w:val="17"/>
                <w:szCs w:val="17"/>
              </w:rPr>
              <w:t>Step 4 — Moderation</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A49FFE3" w14:textId="77777777" w:rsidR="002451F5" w:rsidRDefault="002451F5" w:rsidP="0054235E">
            <w:pPr>
              <w:spacing w:before="80" w:after="80"/>
            </w:pPr>
            <w:r>
              <w:rPr>
                <w:rFonts w:ascii="Calibri" w:eastAsia="Calibri" w:hAnsi="Calibri" w:cs="Calibri"/>
                <w:color w:val="1A1A1A"/>
                <w:sz w:val="17"/>
                <w:szCs w:val="17"/>
              </w:rPr>
              <w:t>PROCESS macro v4 — GDPR awareness as moderator of privacy concern–trust relationship (O4 → H2, α=0.05)</w:t>
            </w:r>
          </w:p>
        </w:tc>
      </w:tr>
      <w:tr w:rsidR="002451F5" w14:paraId="45CDB8B0"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A57B201" w14:textId="77777777" w:rsidR="002451F5" w:rsidRDefault="002451F5" w:rsidP="0054235E">
            <w:pPr>
              <w:spacing w:before="80" w:after="80"/>
              <w:jc w:val="center"/>
            </w:pPr>
            <w:r>
              <w:rPr>
                <w:rFonts w:ascii="Calibri" w:eastAsia="Calibri" w:hAnsi="Calibri" w:cs="Calibri"/>
                <w:b/>
                <w:bCs/>
                <w:color w:val="1A4A6E"/>
                <w:sz w:val="17"/>
                <w:szCs w:val="17"/>
              </w:rPr>
              <w:t>Step 5 — ANOVA</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21549B12" w14:textId="77777777" w:rsidR="002451F5" w:rsidRDefault="002451F5" w:rsidP="0054235E">
            <w:pPr>
              <w:spacing w:before="80" w:after="80"/>
            </w:pPr>
            <w:r>
              <w:rPr>
                <w:rFonts w:ascii="Calibri" w:eastAsia="Calibri" w:hAnsi="Calibri" w:cs="Calibri"/>
                <w:color w:val="1A1A1A"/>
                <w:sz w:val="17"/>
                <w:szCs w:val="17"/>
              </w:rPr>
              <w:t>One-way ANOVA + Tukey post-hoc — trust differences by sector and demographics (O5 → H3, α=0.05)</w:t>
            </w:r>
          </w:p>
        </w:tc>
      </w:tr>
      <w:tr w:rsidR="002451F5" w14:paraId="6C843E9D"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F8FBFF"/>
            <w:vAlign w:val="center"/>
          </w:tcPr>
          <w:p w14:paraId="003305CB" w14:textId="77777777" w:rsidR="002451F5" w:rsidRDefault="002451F5" w:rsidP="0054235E">
            <w:pPr>
              <w:spacing w:before="80" w:after="80"/>
              <w:jc w:val="center"/>
            </w:pPr>
            <w:r>
              <w:rPr>
                <w:rFonts w:ascii="Calibri" w:eastAsia="Calibri" w:hAnsi="Calibri" w:cs="Calibri"/>
                <w:b/>
                <w:bCs/>
                <w:color w:val="1A4A6E"/>
                <w:sz w:val="17"/>
                <w:szCs w:val="17"/>
              </w:rPr>
              <w:t>Ethics</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071E5A8" w14:textId="77777777" w:rsidR="002451F5" w:rsidRDefault="002451F5" w:rsidP="0054235E">
            <w:pPr>
              <w:spacing w:before="80" w:after="80"/>
            </w:pPr>
            <w:r>
              <w:rPr>
                <w:rFonts w:ascii="Calibri" w:eastAsia="Calibri" w:hAnsi="Calibri" w:cs="Calibri"/>
                <w:color w:val="1A1A1A"/>
                <w:sz w:val="17"/>
                <w:szCs w:val="17"/>
              </w:rPr>
              <w:t>Informed consent; anonymity; UK GDPR compliance; University Ethics Committee approval before recruitment</w:t>
            </w:r>
          </w:p>
        </w:tc>
      </w:tr>
      <w:tr w:rsidR="002451F5" w14:paraId="1ED92837" w14:textId="77777777" w:rsidTr="0054235E">
        <w:tc>
          <w:tcPr>
            <w:tcW w:w="2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862FA6F" w14:textId="77777777" w:rsidR="002451F5" w:rsidRDefault="002451F5" w:rsidP="0054235E">
            <w:pPr>
              <w:spacing w:before="80" w:after="80"/>
              <w:jc w:val="center"/>
            </w:pPr>
            <w:r>
              <w:rPr>
                <w:rFonts w:ascii="Calibri" w:eastAsia="Calibri" w:hAnsi="Calibri" w:cs="Calibri"/>
                <w:b/>
                <w:bCs/>
                <w:color w:val="1A4A6E"/>
                <w:sz w:val="17"/>
                <w:szCs w:val="17"/>
              </w:rPr>
              <w:t>Output</w:t>
            </w:r>
          </w:p>
        </w:tc>
        <w:tc>
          <w:tcPr>
            <w:tcW w:w="7400" w:type="dxa"/>
            <w:tcBorders>
              <w:top w:val="single" w:sz="2" w:space="0" w:color="D5D8DC"/>
              <w:left w:val="single" w:sz="2" w:space="0" w:color="D5D8DC"/>
              <w:bottom w:val="single" w:sz="2" w:space="0" w:color="D5D8DC"/>
              <w:right w:val="single" w:sz="2" w:space="0" w:color="D5D8DC"/>
            </w:tcBorders>
            <w:shd w:val="clear" w:color="auto" w:fill="F4F8FC"/>
            <w:vAlign w:val="center"/>
          </w:tcPr>
          <w:p w14:paraId="782E2F4A" w14:textId="77777777" w:rsidR="002451F5" w:rsidRDefault="002451F5" w:rsidP="0054235E">
            <w:pPr>
              <w:spacing w:before="80" w:after="80"/>
            </w:pPr>
            <w:r>
              <w:rPr>
                <w:rFonts w:ascii="Calibri" w:eastAsia="Calibri" w:hAnsi="Calibri" w:cs="Calibri"/>
                <w:color w:val="1A1A1A"/>
                <w:sz w:val="17"/>
                <w:szCs w:val="17"/>
              </w:rPr>
              <w:t>Ranked trust predictor model + empirical Privacy Paradox test + Trust-by-Design Framework (Appendix F)</w:t>
            </w:r>
          </w:p>
        </w:tc>
      </w:tr>
    </w:tbl>
    <w:p w14:paraId="58301F5E" w14:textId="0C3BEB9A" w:rsidR="00F83300" w:rsidRDefault="00E07843" w:rsidP="00E07843">
      <w:pPr>
        <w:spacing w:line="360" w:lineRule="auto"/>
        <w:jc w:val="center"/>
      </w:pPr>
      <w:r w:rsidRPr="001F51DA">
        <w:rPr>
          <w:b/>
          <w:bCs/>
          <w:i/>
          <w:iCs/>
          <w:color w:val="156082" w:themeColor="accent1"/>
          <w:sz w:val="20"/>
          <w:szCs w:val="20"/>
        </w:rPr>
        <w:t>Source: Generated by author (2026).</w:t>
      </w:r>
    </w:p>
    <w:p w14:paraId="5402C51C" w14:textId="77777777" w:rsidR="00F510FF" w:rsidRDefault="00F510FF" w:rsidP="00F510FF">
      <w:bookmarkStart w:id="24" w:name="_Toc234710556"/>
    </w:p>
    <w:p w14:paraId="716BEBAB" w14:textId="35032081" w:rsidR="00B37289" w:rsidRPr="00842293" w:rsidRDefault="008C4330" w:rsidP="00842293">
      <w:pPr>
        <w:pStyle w:val="Heading3"/>
      </w:pPr>
      <w:r w:rsidRPr="00842293">
        <w:t>3.2.1 Research Method: Quantitative Survey</w:t>
      </w:r>
      <w:bookmarkEnd w:id="24"/>
    </w:p>
    <w:p w14:paraId="18DB6F7E" w14:textId="77777777" w:rsidR="00B43609" w:rsidRPr="001172CF" w:rsidRDefault="00B43609" w:rsidP="00B43609">
      <w:pPr>
        <w:spacing w:before="80" w:after="110" w:line="360" w:lineRule="auto"/>
        <w:jc w:val="both"/>
      </w:pPr>
      <w:r w:rsidRPr="001172CF">
        <w:t xml:space="preserve">A </w:t>
      </w:r>
      <w:r w:rsidRPr="001172CF">
        <w:rPr>
          <w:b/>
          <w:bCs/>
        </w:rPr>
        <w:t>quantitative online survey</w:t>
      </w:r>
      <w:r w:rsidRPr="001172CF">
        <w:t xml:space="preserve"> has been selected as the primary data collection method because the research aims to measure and compare trust perceptions across a relatively large sample of UK adults using standardised questions that can be analysed statistically. Quantitative surveys are particularly appropriate when investigating relationships between measurable variables, enabling objective comparison across demographic groups, web application sectors, and levels of GDPR awareness [24]. </w:t>
      </w:r>
      <w:r w:rsidRPr="001172CF">
        <w:lastRenderedPageBreak/>
        <w:t>Furthermore, an online questionnaire supports efficient data collection from geographically dispersed participants, reduces administrative costs, and enables anonymous participation, which is particularly important when investigating privacy- and trust-related attitudes.</w:t>
      </w:r>
    </w:p>
    <w:p w14:paraId="3550FEA7" w14:textId="77777777" w:rsidR="00B43609" w:rsidRPr="001172CF" w:rsidRDefault="00B43609" w:rsidP="00B43609">
      <w:pPr>
        <w:spacing w:before="80" w:after="110" w:line="360" w:lineRule="auto"/>
        <w:jc w:val="both"/>
      </w:pPr>
      <w:r w:rsidRPr="001172CF">
        <w:t>The survey will be administered to UK adults aged 18 years and over and will examine trust across six common web application contexts: online banking, retail e-commerce, NHS and healthcare services, social media, government services, and entertainment streaming platforms. Including multiple application sectors enables within-subject comparisons of trust perceptions across services that differ in perceived risk, sensitivity of personal data, and frequency of use. This multi-sector approach addresses the limitation identified by Goodman et al. [15], whose UK study focused exclusively on health data sharing and therefore could not determine whether trust differs across the broader range of web applications encountered in everyday life.</w:t>
      </w:r>
    </w:p>
    <w:p w14:paraId="7F462A40" w14:textId="77777777" w:rsidR="00B43609" w:rsidRPr="001172CF" w:rsidRDefault="00B43609" w:rsidP="00B43609">
      <w:pPr>
        <w:spacing w:before="80" w:after="110" w:line="360" w:lineRule="auto"/>
        <w:jc w:val="both"/>
      </w:pPr>
      <w:r w:rsidRPr="001172CF">
        <w:t xml:space="preserve">The questionnaire is organised into four sections. Section A collects demographic information, including age, gender, education level, frequency of web application use, and previous experience of data breaches or identity theft. Section B measures participants' awareness and understanding of GDPR using six items adapted from Prince et al. [21]. Section C measures eighteen trust-related factors using five-point Likert-scale statements adapted from validated instruments developed by McKnight et al. [12], Corritore et al. [8], and Zieglmeier and </w:t>
      </w:r>
      <w:proofErr w:type="spellStart"/>
      <w:r w:rsidRPr="001172CF">
        <w:t>Lehene</w:t>
      </w:r>
      <w:proofErr w:type="spellEnd"/>
      <w:r w:rsidRPr="001172CF">
        <w:t xml:space="preserve"> [14]. Section D asks participants to rate their overall level of trust in each of the six web application sectors using a ten-point rating scale.</w:t>
      </w:r>
    </w:p>
    <w:p w14:paraId="41CFD46F" w14:textId="6E80A5BA" w:rsidR="00B43609" w:rsidRPr="00203A2C" w:rsidRDefault="00B43609" w:rsidP="00B43609">
      <w:pPr>
        <w:spacing w:before="80" w:after="110" w:line="360" w:lineRule="auto"/>
        <w:jc w:val="both"/>
      </w:pPr>
      <w:r w:rsidRPr="001172CF">
        <w:t xml:space="preserve">To strengthen content validity, the questionnaire is based on previously validated measurement scales rather than researcher-developed items. Using established instruments improves the consistency and comparability of the findings with previous studies while reducing measurement error. </w:t>
      </w:r>
      <w:r w:rsidR="00F078F7" w:rsidRPr="001172CF">
        <w:t xml:space="preserve">To demonstrate the structure and academic basis of the questionnaire, </w:t>
      </w:r>
      <w:r w:rsidR="00F078F7" w:rsidRPr="00595526">
        <w:rPr>
          <w:b/>
          <w:bCs/>
        </w:rPr>
        <w:t>Appendix C (Table C1)</w:t>
      </w:r>
      <w:r w:rsidR="00F078F7" w:rsidRPr="00203A2C">
        <w:t xml:space="preserve"> presents representative survey items together with the validated sources from which they were adapted.</w:t>
      </w:r>
    </w:p>
    <w:p w14:paraId="5D15717A" w14:textId="77777777" w:rsidR="00B43609" w:rsidRPr="00203A2C" w:rsidRDefault="00B43609" w:rsidP="00B43609">
      <w:pPr>
        <w:spacing w:before="80" w:after="110" w:line="360" w:lineRule="auto"/>
        <w:jc w:val="both"/>
      </w:pPr>
      <w:r w:rsidRPr="00203A2C">
        <w:t>Before full deployment, the questionnaire will be pilot tested with approximately 10–15 participants to assess question clarity, completion time, and overall usability. Feedback from the pilot study will be used to refine the wording and layout of the questionnaire where necessary. The internal reliability of the multi-item scales will subsequently be evaluated using Cronbach's alpha,</w:t>
      </w:r>
      <w:r w:rsidRPr="001172CF">
        <w:t xml:space="preserve"> with values of </w:t>
      </w:r>
      <w:r w:rsidRPr="00203A2C">
        <w:t>0.70 or above considered indicative of acceptable internal consistency for behavioural research.</w:t>
      </w:r>
    </w:p>
    <w:p w14:paraId="3576B15A" w14:textId="77777777" w:rsidR="007E2DFD" w:rsidRPr="001172CF" w:rsidRDefault="007E2DFD" w:rsidP="00B43609">
      <w:pPr>
        <w:spacing w:before="80" w:after="110" w:line="360" w:lineRule="auto"/>
        <w:jc w:val="both"/>
      </w:pPr>
    </w:p>
    <w:p w14:paraId="77AF52BF" w14:textId="77777777" w:rsidR="00DD23F5" w:rsidRDefault="00DD23F5">
      <w:pPr>
        <w:rPr>
          <w:rFonts w:ascii="Arial" w:eastAsia="Arial" w:hAnsi="Arial" w:cs="Arial"/>
          <w:b/>
          <w:bCs/>
          <w:i/>
          <w:iCs/>
          <w:color w:val="2874A6"/>
          <w:sz w:val="22"/>
          <w:szCs w:val="22"/>
        </w:rPr>
      </w:pPr>
      <w:r>
        <w:br w:type="page"/>
      </w:r>
    </w:p>
    <w:p w14:paraId="23FF9E7A" w14:textId="277CBEC5" w:rsidR="00B37289" w:rsidRPr="00842293" w:rsidRDefault="008C4330" w:rsidP="00842293">
      <w:pPr>
        <w:pStyle w:val="Heading3"/>
      </w:pPr>
      <w:bookmarkStart w:id="25" w:name="_Toc234710557"/>
      <w:r w:rsidRPr="00842293">
        <w:lastRenderedPageBreak/>
        <w:t>3.2.2 Sampling and Recruitment</w:t>
      </w:r>
      <w:bookmarkEnd w:id="25"/>
    </w:p>
    <w:p w14:paraId="4BEA4FE4" w14:textId="77777777" w:rsidR="004F6510" w:rsidRPr="001172CF" w:rsidRDefault="004F6510" w:rsidP="004F6510">
      <w:pPr>
        <w:spacing w:before="80" w:after="110" w:line="360" w:lineRule="auto"/>
        <w:jc w:val="both"/>
      </w:pPr>
      <w:r w:rsidRPr="001172CF">
        <w:t>The target population for this study comprises UK adults aged 18 years and over who regularly use web applications. This population was selected because the research aims to examine trust perceptions within the UK post-GDPR environment, where adults routinely interact with online banking, retail, healthcare, government, social media, and entertainment services.</w:t>
      </w:r>
    </w:p>
    <w:p w14:paraId="7707BAD0" w14:textId="77777777" w:rsidR="004F6510" w:rsidRPr="001172CF" w:rsidRDefault="004F6510" w:rsidP="004F6510">
      <w:pPr>
        <w:spacing w:before="80" w:after="110" w:line="360" w:lineRule="auto"/>
        <w:jc w:val="both"/>
      </w:pPr>
      <w:r w:rsidRPr="001172CF">
        <w:t>A target sample of 180–220 participants will be recruited to provide sufficient statistical power for the proposed analyses. Sample size was determined using G*Power 3.1, a statistical software package used to estimate the minimum sample size required for quantitative research. The calculation assumes a statistical power of 0.80, representing an acceptable probability of detecting genuine relationships where they exist, and a significance level of α = 0.05, the standard threshold used to determine statistical significance in behavioural research.</w:t>
      </w:r>
    </w:p>
    <w:p w14:paraId="7E96A75C" w14:textId="77777777" w:rsidR="004F6510" w:rsidRPr="001172CF" w:rsidRDefault="004F6510" w:rsidP="004F6510">
      <w:pPr>
        <w:spacing w:before="80" w:after="110" w:line="360" w:lineRule="auto"/>
        <w:jc w:val="both"/>
      </w:pPr>
      <w:r w:rsidRPr="001172CF">
        <w:t>Participants will be recruited using non-probability convenience sampling, whereby individuals who meet the study's eligibility criteria and are willing to participate are invited to complete the questionnaire. Recruitment will take place through the researcher's personal and professional networks, fellow university students and staff (where appropriate), social media platforms (e.g., LinkedIn and Facebook), and UK-based online community groups. Although convenience sampling does not provide every member of the UK population with an equal probability of selection, it is widely used in postgraduate research because it is practical, cost-effective, and appropriate within the time and resource constraints of the study [24].</w:t>
      </w:r>
    </w:p>
    <w:p w14:paraId="6EBC619C" w14:textId="15849BEE" w:rsidR="00B37289" w:rsidRDefault="004F6510" w:rsidP="00842293">
      <w:pPr>
        <w:spacing w:before="80" w:after="110" w:line="360" w:lineRule="auto"/>
        <w:jc w:val="both"/>
      </w:pPr>
      <w:r w:rsidRPr="001172CF">
        <w:t>To ensure the sample is relevant to the research objectives, participants must be 18 years of age or older, currently reside in the United Kingdom, and regularly use web applications. Eligibility will be determined through screening questions at the beginning of the questionnaire. Participants who do not meet these criteria will not proceed with the survey. In addition, responses containing substantial missing data or incomplete questionnaires will be excluded during data screening before statistical analysis. Participation will be entirely voluntary, anonymous, and based on informed consent, with respondents free to withdraw at any time before submitting their questionnaire.</w:t>
      </w:r>
    </w:p>
    <w:p w14:paraId="50B4D1F7" w14:textId="77777777" w:rsidR="007E2DFD" w:rsidRDefault="007E2DFD" w:rsidP="007E2DFD"/>
    <w:p w14:paraId="4BF9A1B2" w14:textId="074DDA1A" w:rsidR="00B37289" w:rsidRPr="00842293" w:rsidRDefault="008C4330" w:rsidP="00842293">
      <w:pPr>
        <w:pStyle w:val="Heading3"/>
      </w:pPr>
      <w:bookmarkStart w:id="26" w:name="_Toc234710558"/>
      <w:r w:rsidRPr="00842293">
        <w:t>3.2.3 Data Analysis Methods</w:t>
      </w:r>
      <w:bookmarkEnd w:id="26"/>
    </w:p>
    <w:p w14:paraId="1E52B0AF" w14:textId="0DF2D17D" w:rsidR="00AD161B" w:rsidRDefault="00333689" w:rsidP="00555B8C">
      <w:pPr>
        <w:spacing w:before="40" w:after="80" w:line="360" w:lineRule="auto"/>
        <w:jc w:val="both"/>
      </w:pPr>
      <w:r w:rsidRPr="00333689">
        <w:t>The quantitative data collected through the questionnaire will be analysed using five sequential statistical techniques, each selected to address a specific research objective and hypothesis</w:t>
      </w:r>
      <w:r w:rsidRPr="00D62915">
        <w:t xml:space="preserve">. </w:t>
      </w:r>
      <w:r w:rsidR="00EB33AB" w:rsidRPr="00EE16EC">
        <w:rPr>
          <w:b/>
          <w:bCs/>
        </w:rPr>
        <w:t>Table</w:t>
      </w:r>
      <w:r w:rsidRPr="00EE16EC">
        <w:rPr>
          <w:b/>
          <w:bCs/>
        </w:rPr>
        <w:t xml:space="preserve"> </w:t>
      </w:r>
      <w:r w:rsidR="00556090" w:rsidRPr="00EE16EC">
        <w:rPr>
          <w:b/>
          <w:bCs/>
        </w:rPr>
        <w:t>5</w:t>
      </w:r>
      <w:r w:rsidRPr="00333689">
        <w:t xml:space="preserve"> presents the complete analysis pipeline, mapping each method to its corresponding objective, hypothesis, and expected output.</w:t>
      </w:r>
    </w:p>
    <w:p w14:paraId="09D31A24" w14:textId="77777777" w:rsidR="00672238" w:rsidRDefault="00672238" w:rsidP="00464C5E">
      <w:pPr>
        <w:spacing w:before="60" w:after="120"/>
        <w:rPr>
          <w:rFonts w:ascii="Calibri" w:eastAsia="Calibri" w:hAnsi="Calibri" w:cs="Calibri"/>
          <w:b/>
          <w:bCs/>
          <w:i/>
          <w:iCs/>
          <w:color w:val="156082" w:themeColor="accent1"/>
          <w:sz w:val="20"/>
          <w:szCs w:val="20"/>
        </w:rPr>
      </w:pPr>
    </w:p>
    <w:p w14:paraId="17BA7550" w14:textId="77777777" w:rsidR="00672238" w:rsidRDefault="00672238" w:rsidP="00464C5E">
      <w:pPr>
        <w:spacing w:before="60" w:after="120"/>
        <w:rPr>
          <w:rFonts w:ascii="Calibri" w:eastAsia="Calibri" w:hAnsi="Calibri" w:cs="Calibri"/>
          <w:b/>
          <w:bCs/>
          <w:i/>
          <w:iCs/>
          <w:color w:val="156082" w:themeColor="accent1"/>
          <w:sz w:val="20"/>
          <w:szCs w:val="20"/>
        </w:rPr>
      </w:pPr>
    </w:p>
    <w:p w14:paraId="7F9D42E3" w14:textId="4DD37961" w:rsidR="00464C5E" w:rsidRDefault="00EB33AB" w:rsidP="00464C5E">
      <w:pPr>
        <w:spacing w:before="60" w:after="120"/>
      </w:pPr>
      <w:r w:rsidRPr="00EB33AB">
        <w:rPr>
          <w:rFonts w:ascii="Calibri" w:eastAsia="Calibri" w:hAnsi="Calibri" w:cs="Calibri"/>
          <w:b/>
          <w:bCs/>
          <w:i/>
          <w:iCs/>
          <w:color w:val="156082" w:themeColor="accent1"/>
          <w:sz w:val="20"/>
          <w:szCs w:val="20"/>
        </w:rPr>
        <w:lastRenderedPageBreak/>
        <w:t xml:space="preserve">Table </w:t>
      </w:r>
      <w:r w:rsidR="00556090">
        <w:rPr>
          <w:rFonts w:ascii="Calibri" w:eastAsia="Calibri" w:hAnsi="Calibri" w:cs="Calibri"/>
          <w:b/>
          <w:bCs/>
          <w:i/>
          <w:iCs/>
          <w:color w:val="156082" w:themeColor="accent1"/>
          <w:sz w:val="20"/>
          <w:szCs w:val="20"/>
        </w:rPr>
        <w:t>5</w:t>
      </w:r>
      <w:r w:rsidRPr="00EB33AB">
        <w:rPr>
          <w:rFonts w:ascii="Calibri" w:eastAsia="Calibri" w:hAnsi="Calibri" w:cs="Calibri"/>
          <w:b/>
          <w:bCs/>
          <w:i/>
          <w:iCs/>
          <w:color w:val="156082" w:themeColor="accent1"/>
          <w:sz w:val="20"/>
          <w:szCs w:val="20"/>
        </w:rPr>
        <w:t xml:space="preserve">: </w:t>
      </w:r>
      <w:r w:rsidR="00672238" w:rsidRPr="00672238">
        <w:rPr>
          <w:rFonts w:ascii="Calibri" w:eastAsia="Calibri" w:hAnsi="Calibri" w:cs="Calibri"/>
          <w:b/>
          <w:bCs/>
          <w:i/>
          <w:iCs/>
          <w:color w:val="156082" w:themeColor="accent1"/>
          <w:sz w:val="20"/>
          <w:szCs w:val="20"/>
        </w:rPr>
        <w:t xml:space="preserve">Statistical Analysis </w:t>
      </w:r>
      <w:r w:rsidR="00E10F25">
        <w:rPr>
          <w:rFonts w:ascii="Calibri" w:eastAsia="Calibri" w:hAnsi="Calibri" w:cs="Calibri"/>
          <w:b/>
          <w:bCs/>
          <w:i/>
          <w:iCs/>
          <w:color w:val="156082" w:themeColor="accent1"/>
          <w:sz w:val="20"/>
          <w:szCs w:val="20"/>
        </w:rPr>
        <w:t>Pipeline</w:t>
      </w:r>
    </w:p>
    <w:tbl>
      <w:tblPr>
        <w:tblW w:w="9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1"/>
        <w:gridCol w:w="1825"/>
        <w:gridCol w:w="2685"/>
        <w:gridCol w:w="2148"/>
        <w:gridCol w:w="2150"/>
      </w:tblGrid>
      <w:tr w:rsidR="00464C5E" w14:paraId="36A1D8BB" w14:textId="77777777" w:rsidTr="00464C5E">
        <w:trPr>
          <w:trHeight w:val="357"/>
          <w:tblHeader/>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F1BFF31" w14:textId="77777777" w:rsidR="00464C5E" w:rsidRDefault="00464C5E" w:rsidP="00AA24C6">
            <w:pPr>
              <w:spacing w:before="80" w:after="80"/>
              <w:jc w:val="center"/>
            </w:pPr>
            <w:r>
              <w:rPr>
                <w:rFonts w:ascii="Calibri" w:eastAsia="Calibri" w:hAnsi="Calibri" w:cs="Calibri"/>
                <w:b/>
                <w:bCs/>
                <w:color w:val="FFFFFF"/>
                <w:sz w:val="16"/>
                <w:szCs w:val="16"/>
              </w:rPr>
              <w:t>Step</w:t>
            </w:r>
          </w:p>
        </w:tc>
        <w:tc>
          <w:tcPr>
            <w:tcW w:w="182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019D70B" w14:textId="77777777" w:rsidR="00464C5E" w:rsidRDefault="00464C5E" w:rsidP="00AA24C6">
            <w:pPr>
              <w:spacing w:before="80" w:after="80"/>
            </w:pPr>
            <w:r>
              <w:rPr>
                <w:rFonts w:ascii="Calibri" w:eastAsia="Calibri" w:hAnsi="Calibri" w:cs="Calibri"/>
                <w:b/>
                <w:bCs/>
                <w:color w:val="FFFFFF"/>
                <w:sz w:val="16"/>
                <w:szCs w:val="16"/>
              </w:rPr>
              <w:t>Method</w:t>
            </w:r>
          </w:p>
        </w:tc>
        <w:tc>
          <w:tcPr>
            <w:tcW w:w="268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A5B651C" w14:textId="77777777" w:rsidR="00464C5E" w:rsidRDefault="00464C5E" w:rsidP="00AA24C6">
            <w:pPr>
              <w:spacing w:before="80" w:after="80"/>
            </w:pPr>
            <w:r>
              <w:rPr>
                <w:rFonts w:ascii="Calibri" w:eastAsia="Calibri" w:hAnsi="Calibri" w:cs="Calibri"/>
                <w:b/>
                <w:bCs/>
                <w:color w:val="FFFFFF"/>
                <w:sz w:val="16"/>
                <w:szCs w:val="16"/>
              </w:rPr>
              <w:t>Purpose</w:t>
            </w:r>
          </w:p>
        </w:tc>
        <w:tc>
          <w:tcPr>
            <w:tcW w:w="214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F42D225" w14:textId="77777777" w:rsidR="00464C5E" w:rsidRDefault="00464C5E" w:rsidP="00AA24C6">
            <w:pPr>
              <w:spacing w:before="80" w:after="80"/>
            </w:pPr>
            <w:r>
              <w:rPr>
                <w:rFonts w:ascii="Calibri" w:eastAsia="Calibri" w:hAnsi="Calibri" w:cs="Calibri"/>
                <w:b/>
                <w:bCs/>
                <w:color w:val="FFFFFF"/>
                <w:sz w:val="16"/>
                <w:szCs w:val="16"/>
              </w:rPr>
              <w:t>Objective / Hypothesis</w:t>
            </w:r>
          </w:p>
        </w:tc>
        <w:tc>
          <w:tcPr>
            <w:tcW w:w="2148"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1849700" w14:textId="77777777" w:rsidR="00464C5E" w:rsidRDefault="00464C5E" w:rsidP="00AA24C6">
            <w:pPr>
              <w:spacing w:before="80" w:after="80"/>
            </w:pPr>
            <w:r>
              <w:rPr>
                <w:rFonts w:ascii="Calibri" w:eastAsia="Calibri" w:hAnsi="Calibri" w:cs="Calibri"/>
                <w:b/>
                <w:bCs/>
                <w:color w:val="FFFFFF"/>
                <w:sz w:val="16"/>
                <w:szCs w:val="16"/>
              </w:rPr>
              <w:t>Expected Output</w:t>
            </w:r>
          </w:p>
        </w:tc>
      </w:tr>
      <w:tr w:rsidR="00464C5E" w14:paraId="7812EB39" w14:textId="77777777" w:rsidTr="00464C5E">
        <w:trPr>
          <w:trHeight w:val="1444"/>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A044FD4" w14:textId="77777777" w:rsidR="00464C5E" w:rsidRDefault="00464C5E" w:rsidP="00AA24C6">
            <w:pPr>
              <w:spacing w:before="80" w:after="80"/>
              <w:jc w:val="center"/>
            </w:pPr>
            <w:r>
              <w:rPr>
                <w:rFonts w:ascii="Calibri" w:eastAsia="Calibri" w:hAnsi="Calibri" w:cs="Calibri"/>
                <w:b/>
                <w:bCs/>
                <w:color w:val="FFFFFF"/>
                <w:sz w:val="17"/>
                <w:szCs w:val="17"/>
              </w:rPr>
              <w:t>1</w:t>
            </w:r>
          </w:p>
        </w:tc>
        <w:tc>
          <w:tcPr>
            <w:tcW w:w="182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12776650" w14:textId="77777777" w:rsidR="00464C5E" w:rsidRDefault="00464C5E" w:rsidP="00AA24C6">
            <w:pPr>
              <w:spacing w:before="80" w:after="80"/>
            </w:pPr>
            <w:r>
              <w:rPr>
                <w:rFonts w:ascii="Calibri" w:eastAsia="Calibri" w:hAnsi="Calibri" w:cs="Calibri"/>
                <w:b/>
                <w:bCs/>
                <w:color w:val="FFFFFF"/>
                <w:sz w:val="16"/>
                <w:szCs w:val="16"/>
              </w:rPr>
              <w:t>Descriptive Statistics</w:t>
            </w:r>
          </w:p>
        </w:tc>
        <w:tc>
          <w:tcPr>
            <w:tcW w:w="2685"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99CCCEE" w14:textId="77777777" w:rsidR="00464C5E" w:rsidRDefault="00464C5E" w:rsidP="00AA24C6">
            <w:pPr>
              <w:spacing w:before="80" w:after="80"/>
            </w:pPr>
            <w:r>
              <w:rPr>
                <w:rFonts w:ascii="Calibri" w:eastAsia="Calibri" w:hAnsi="Calibri" w:cs="Calibri"/>
                <w:color w:val="1A1A1A"/>
                <w:sz w:val="17"/>
                <w:szCs w:val="17"/>
              </w:rPr>
              <w:t>Summarise participant demographics, trust factor ratings, and overall trust scores across all six sectors. Identify response distributions and check for missing data.</w:t>
            </w:r>
          </w:p>
        </w:tc>
        <w:tc>
          <w:tcPr>
            <w:tcW w:w="2148"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F6E6CF9" w14:textId="77777777" w:rsidR="00464C5E" w:rsidRDefault="00464C5E" w:rsidP="00AA24C6">
            <w:pPr>
              <w:spacing w:before="80" w:after="80"/>
            </w:pPr>
            <w:r>
              <w:rPr>
                <w:rFonts w:ascii="Calibri" w:eastAsia="Calibri" w:hAnsi="Calibri" w:cs="Calibri"/>
                <w:b/>
                <w:bCs/>
                <w:color w:val="1A4A6E"/>
                <w:sz w:val="17"/>
                <w:szCs w:val="17"/>
              </w:rPr>
              <w:t>O1, O2 All variables</w:t>
            </w:r>
          </w:p>
        </w:tc>
        <w:tc>
          <w:tcPr>
            <w:tcW w:w="2148" w:type="dxa"/>
            <w:tcBorders>
              <w:top w:val="single" w:sz="2" w:space="0" w:color="D5D8DC"/>
              <w:left w:val="single" w:sz="2" w:space="0" w:color="D5D8DC"/>
              <w:bottom w:val="single" w:sz="2" w:space="0" w:color="D5D8DC"/>
              <w:right w:val="single" w:sz="2" w:space="0" w:color="D5D8DC"/>
            </w:tcBorders>
            <w:shd w:val="clear" w:color="auto" w:fill="F0FFF4"/>
            <w:vAlign w:val="center"/>
          </w:tcPr>
          <w:p w14:paraId="2A57743C" w14:textId="77777777" w:rsidR="00464C5E" w:rsidRDefault="00464C5E" w:rsidP="00AA24C6">
            <w:pPr>
              <w:spacing w:before="80" w:after="80"/>
            </w:pPr>
            <w:r>
              <w:rPr>
                <w:rFonts w:ascii="Calibri" w:eastAsia="Calibri" w:hAnsi="Calibri" w:cs="Calibri"/>
                <w:color w:val="1A5C38"/>
                <w:sz w:val="17"/>
                <w:szCs w:val="17"/>
              </w:rPr>
              <w:t>Frequency tables, means, SDs, histograms. Baseline description of the sample.</w:t>
            </w:r>
          </w:p>
        </w:tc>
      </w:tr>
      <w:tr w:rsidR="00464C5E" w14:paraId="37E3E0E0" w14:textId="77777777" w:rsidTr="00464C5E">
        <w:trPr>
          <w:trHeight w:val="246"/>
        </w:trPr>
        <w:tc>
          <w:tcPr>
            <w:tcW w:w="9559" w:type="dxa"/>
            <w:gridSpan w:val="5"/>
            <w:shd w:val="clear" w:color="auto" w:fill="FFFFFF"/>
            <w:vAlign w:val="center"/>
          </w:tcPr>
          <w:p w14:paraId="08D6EA36" w14:textId="77777777" w:rsidR="00464C5E" w:rsidRDefault="00464C5E" w:rsidP="00AA24C6">
            <w:pPr>
              <w:spacing w:before="15" w:after="15"/>
              <w:jc w:val="center"/>
            </w:pPr>
            <w:r>
              <w:rPr>
                <w:rFonts w:ascii="Arial" w:eastAsia="Calibri" w:hAnsi="Arial" w:cs="Arial"/>
                <w:b/>
                <w:bCs/>
                <w:color w:val="AED6F1"/>
                <w:sz w:val="18"/>
                <w:szCs w:val="18"/>
              </w:rPr>
              <w:t>▼</w:t>
            </w:r>
          </w:p>
        </w:tc>
      </w:tr>
      <w:tr w:rsidR="00464C5E" w14:paraId="5296983C" w14:textId="77777777" w:rsidTr="00464C5E">
        <w:trPr>
          <w:trHeight w:val="1234"/>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C36C140" w14:textId="77777777" w:rsidR="00464C5E" w:rsidRDefault="00464C5E" w:rsidP="00AA24C6">
            <w:pPr>
              <w:spacing w:before="80" w:after="80"/>
              <w:jc w:val="center"/>
            </w:pPr>
            <w:r>
              <w:rPr>
                <w:rFonts w:ascii="Calibri" w:eastAsia="Calibri" w:hAnsi="Calibri" w:cs="Calibri"/>
                <w:b/>
                <w:bCs/>
                <w:color w:val="FFFFFF"/>
                <w:sz w:val="17"/>
                <w:szCs w:val="17"/>
              </w:rPr>
              <w:t>2</w:t>
            </w:r>
          </w:p>
        </w:tc>
        <w:tc>
          <w:tcPr>
            <w:tcW w:w="182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1BA07FDB" w14:textId="77777777" w:rsidR="00464C5E" w:rsidRDefault="00464C5E" w:rsidP="00AA24C6">
            <w:pPr>
              <w:spacing w:before="80" w:after="80"/>
            </w:pPr>
            <w:r>
              <w:rPr>
                <w:rFonts w:ascii="Calibri" w:eastAsia="Calibri" w:hAnsi="Calibri" w:cs="Calibri"/>
                <w:b/>
                <w:bCs/>
                <w:color w:val="FFFFFF"/>
                <w:sz w:val="16"/>
                <w:szCs w:val="16"/>
              </w:rPr>
              <w:t>Pearson Correlation</w:t>
            </w:r>
          </w:p>
        </w:tc>
        <w:tc>
          <w:tcPr>
            <w:tcW w:w="2685"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755B299" w14:textId="77777777" w:rsidR="00464C5E" w:rsidRDefault="00464C5E" w:rsidP="00AA24C6">
            <w:pPr>
              <w:spacing w:before="80" w:after="80"/>
            </w:pPr>
            <w:r>
              <w:rPr>
                <w:rFonts w:ascii="Calibri" w:eastAsia="Calibri" w:hAnsi="Calibri" w:cs="Calibri"/>
                <w:color w:val="1A1A1A"/>
                <w:sz w:val="17"/>
                <w:szCs w:val="17"/>
              </w:rPr>
              <w:t>Examine bivariate relationships between each of the 18 trust factors and the overall trust score. Flag multicollinearity issues prior to regression.</w:t>
            </w:r>
          </w:p>
        </w:tc>
        <w:tc>
          <w:tcPr>
            <w:tcW w:w="2148"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DB180B5" w14:textId="77777777" w:rsidR="00464C5E" w:rsidRDefault="00464C5E" w:rsidP="00AA24C6">
            <w:pPr>
              <w:spacing w:before="80" w:after="80"/>
            </w:pPr>
            <w:r>
              <w:rPr>
                <w:rFonts w:ascii="Calibri" w:eastAsia="Calibri" w:hAnsi="Calibri" w:cs="Calibri"/>
                <w:b/>
                <w:bCs/>
                <w:color w:val="1A4A6E"/>
                <w:sz w:val="17"/>
                <w:szCs w:val="17"/>
              </w:rPr>
              <w:t>O3 Preliminary to H1</w:t>
            </w:r>
          </w:p>
        </w:tc>
        <w:tc>
          <w:tcPr>
            <w:tcW w:w="2148" w:type="dxa"/>
            <w:tcBorders>
              <w:top w:val="single" w:sz="2" w:space="0" w:color="D5D8DC"/>
              <w:left w:val="single" w:sz="2" w:space="0" w:color="D5D8DC"/>
              <w:bottom w:val="single" w:sz="2" w:space="0" w:color="D5D8DC"/>
              <w:right w:val="single" w:sz="2" w:space="0" w:color="D5D8DC"/>
            </w:tcBorders>
            <w:shd w:val="clear" w:color="auto" w:fill="D5F5E3"/>
            <w:vAlign w:val="center"/>
          </w:tcPr>
          <w:p w14:paraId="0DA3739A" w14:textId="77777777" w:rsidR="00464C5E" w:rsidRDefault="00464C5E" w:rsidP="00AA24C6">
            <w:pPr>
              <w:spacing w:before="80" w:after="80"/>
            </w:pPr>
            <w:r>
              <w:rPr>
                <w:rFonts w:ascii="Calibri" w:eastAsia="Calibri" w:hAnsi="Calibri" w:cs="Calibri"/>
                <w:color w:val="1A5C38"/>
                <w:sz w:val="17"/>
                <w:szCs w:val="17"/>
              </w:rPr>
              <w:t>Correlation matrix (r values). Identifies trust factors warranting inclusion in regression.</w:t>
            </w:r>
          </w:p>
        </w:tc>
      </w:tr>
      <w:tr w:rsidR="00464C5E" w14:paraId="21CC4B5A" w14:textId="77777777" w:rsidTr="00464C5E">
        <w:trPr>
          <w:trHeight w:val="234"/>
        </w:trPr>
        <w:tc>
          <w:tcPr>
            <w:tcW w:w="9559" w:type="dxa"/>
            <w:gridSpan w:val="5"/>
            <w:shd w:val="clear" w:color="auto" w:fill="FFFFFF"/>
            <w:vAlign w:val="center"/>
          </w:tcPr>
          <w:p w14:paraId="765B25F6" w14:textId="77777777" w:rsidR="00464C5E" w:rsidRDefault="00464C5E" w:rsidP="00AA24C6">
            <w:pPr>
              <w:spacing w:before="15" w:after="15"/>
              <w:jc w:val="center"/>
            </w:pPr>
            <w:r>
              <w:rPr>
                <w:rFonts w:ascii="Arial" w:eastAsia="Calibri" w:hAnsi="Arial" w:cs="Arial"/>
                <w:b/>
                <w:bCs/>
                <w:color w:val="AED6F1"/>
                <w:sz w:val="18"/>
                <w:szCs w:val="18"/>
              </w:rPr>
              <w:t>▼</w:t>
            </w:r>
          </w:p>
        </w:tc>
      </w:tr>
      <w:tr w:rsidR="00464C5E" w14:paraId="75FB0DDC" w14:textId="77777777" w:rsidTr="00464C5E">
        <w:trPr>
          <w:trHeight w:val="1444"/>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5736E46" w14:textId="77777777" w:rsidR="00464C5E" w:rsidRDefault="00464C5E" w:rsidP="00AA24C6">
            <w:pPr>
              <w:spacing w:before="80" w:after="80"/>
              <w:jc w:val="center"/>
            </w:pPr>
            <w:r>
              <w:rPr>
                <w:rFonts w:ascii="Calibri" w:eastAsia="Calibri" w:hAnsi="Calibri" w:cs="Calibri"/>
                <w:b/>
                <w:bCs/>
                <w:color w:val="FFFFFF"/>
                <w:sz w:val="17"/>
                <w:szCs w:val="17"/>
              </w:rPr>
              <w:t>3</w:t>
            </w:r>
          </w:p>
        </w:tc>
        <w:tc>
          <w:tcPr>
            <w:tcW w:w="182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285A3E36" w14:textId="77777777" w:rsidR="00464C5E" w:rsidRDefault="00464C5E" w:rsidP="00AA24C6">
            <w:pPr>
              <w:spacing w:before="80" w:after="80"/>
            </w:pPr>
            <w:r>
              <w:rPr>
                <w:rFonts w:ascii="Calibri" w:eastAsia="Calibri" w:hAnsi="Calibri" w:cs="Calibri"/>
                <w:b/>
                <w:bCs/>
                <w:color w:val="FFFFFF"/>
                <w:sz w:val="16"/>
                <w:szCs w:val="16"/>
              </w:rPr>
              <w:t>Multiple Regression (SPSS)</w:t>
            </w:r>
          </w:p>
        </w:tc>
        <w:tc>
          <w:tcPr>
            <w:tcW w:w="2685"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9115BBC" w14:textId="77777777" w:rsidR="00464C5E" w:rsidRDefault="00464C5E" w:rsidP="00AA24C6">
            <w:pPr>
              <w:spacing w:before="80" w:after="80"/>
            </w:pPr>
            <w:r>
              <w:rPr>
                <w:rFonts w:ascii="Calibri" w:eastAsia="Calibri" w:hAnsi="Calibri" w:cs="Calibri"/>
                <w:color w:val="1A1A1A"/>
                <w:sz w:val="17"/>
                <w:szCs w:val="17"/>
              </w:rPr>
              <w:t>Determine which trust factors independently predict overall trust, controlling for all remaining variables simultaneously. Rank predictors by standardised beta coefficients.</w:t>
            </w:r>
          </w:p>
        </w:tc>
        <w:tc>
          <w:tcPr>
            <w:tcW w:w="2148"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9F90507" w14:textId="77777777" w:rsidR="00464C5E" w:rsidRDefault="00464C5E" w:rsidP="00AA24C6">
            <w:pPr>
              <w:spacing w:before="80" w:after="80"/>
            </w:pPr>
            <w:r>
              <w:rPr>
                <w:rFonts w:ascii="Calibri" w:eastAsia="Calibri" w:hAnsi="Calibri" w:cs="Calibri"/>
                <w:b/>
                <w:bCs/>
                <w:color w:val="1A4A6E"/>
                <w:sz w:val="17"/>
                <w:szCs w:val="17"/>
              </w:rPr>
              <w:t>O3 → H1 α = 0.05</w:t>
            </w:r>
          </w:p>
        </w:tc>
        <w:tc>
          <w:tcPr>
            <w:tcW w:w="2148" w:type="dxa"/>
            <w:tcBorders>
              <w:top w:val="single" w:sz="2" w:space="0" w:color="D5D8DC"/>
              <w:left w:val="single" w:sz="2" w:space="0" w:color="D5D8DC"/>
              <w:bottom w:val="single" w:sz="2" w:space="0" w:color="D5D8DC"/>
              <w:right w:val="single" w:sz="2" w:space="0" w:color="D5D8DC"/>
            </w:tcBorders>
            <w:shd w:val="clear" w:color="auto" w:fill="F0FFF4"/>
            <w:vAlign w:val="center"/>
          </w:tcPr>
          <w:p w14:paraId="0142AD32" w14:textId="77777777" w:rsidR="00464C5E" w:rsidRDefault="00464C5E" w:rsidP="00AA24C6">
            <w:pPr>
              <w:spacing w:before="80" w:after="80"/>
            </w:pPr>
            <w:r>
              <w:rPr>
                <w:rFonts w:ascii="Calibri" w:eastAsia="Calibri" w:hAnsi="Calibri" w:cs="Calibri"/>
                <w:color w:val="1A5C38"/>
                <w:sz w:val="17"/>
                <w:szCs w:val="17"/>
              </w:rPr>
              <w:t>Ranked model of trust predictors with β coefficients, R², and significance values. Directly informs Trust-by-Design Framework Layer 1.</w:t>
            </w:r>
          </w:p>
        </w:tc>
      </w:tr>
      <w:tr w:rsidR="00464C5E" w14:paraId="78FAD08C" w14:textId="77777777" w:rsidTr="00464C5E">
        <w:trPr>
          <w:trHeight w:val="246"/>
        </w:trPr>
        <w:tc>
          <w:tcPr>
            <w:tcW w:w="9559" w:type="dxa"/>
            <w:gridSpan w:val="5"/>
            <w:shd w:val="clear" w:color="auto" w:fill="FFFFFF"/>
            <w:vAlign w:val="center"/>
          </w:tcPr>
          <w:p w14:paraId="3B4FA1B1" w14:textId="77777777" w:rsidR="00464C5E" w:rsidRDefault="00464C5E" w:rsidP="00AA24C6">
            <w:pPr>
              <w:spacing w:before="15" w:after="15"/>
              <w:jc w:val="center"/>
            </w:pPr>
            <w:r>
              <w:rPr>
                <w:rFonts w:ascii="Arial" w:eastAsia="Calibri" w:hAnsi="Arial" w:cs="Arial"/>
                <w:b/>
                <w:bCs/>
                <w:color w:val="AED6F1"/>
                <w:sz w:val="18"/>
                <w:szCs w:val="18"/>
              </w:rPr>
              <w:t>▼</w:t>
            </w:r>
          </w:p>
        </w:tc>
      </w:tr>
      <w:tr w:rsidR="00464C5E" w14:paraId="2B5A557F" w14:textId="77777777" w:rsidTr="00464C5E">
        <w:trPr>
          <w:trHeight w:val="1444"/>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91F957A" w14:textId="77777777" w:rsidR="00464C5E" w:rsidRDefault="00464C5E" w:rsidP="00AA24C6">
            <w:pPr>
              <w:spacing w:before="80" w:after="80"/>
              <w:jc w:val="center"/>
            </w:pPr>
            <w:r>
              <w:rPr>
                <w:rFonts w:ascii="Calibri" w:eastAsia="Calibri" w:hAnsi="Calibri" w:cs="Calibri"/>
                <w:b/>
                <w:bCs/>
                <w:color w:val="FFFFFF"/>
                <w:sz w:val="17"/>
                <w:szCs w:val="17"/>
              </w:rPr>
              <w:t>4</w:t>
            </w:r>
          </w:p>
        </w:tc>
        <w:tc>
          <w:tcPr>
            <w:tcW w:w="182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5BB644A8" w14:textId="77777777" w:rsidR="00464C5E" w:rsidRDefault="00464C5E" w:rsidP="00AA24C6">
            <w:pPr>
              <w:spacing w:before="80" w:after="80"/>
            </w:pPr>
            <w:r>
              <w:rPr>
                <w:rFonts w:ascii="Calibri" w:eastAsia="Calibri" w:hAnsi="Calibri" w:cs="Calibri"/>
                <w:b/>
                <w:bCs/>
                <w:color w:val="FFFFFF"/>
                <w:sz w:val="16"/>
                <w:szCs w:val="16"/>
              </w:rPr>
              <w:t>Moderation Analysis (PROCESS v4)</w:t>
            </w:r>
          </w:p>
        </w:tc>
        <w:tc>
          <w:tcPr>
            <w:tcW w:w="2685"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A74CAFA" w14:textId="77777777" w:rsidR="00464C5E" w:rsidRDefault="00464C5E" w:rsidP="00AA24C6">
            <w:pPr>
              <w:spacing w:before="80" w:after="80"/>
            </w:pPr>
            <w:r>
              <w:rPr>
                <w:rFonts w:ascii="Calibri" w:eastAsia="Calibri" w:hAnsi="Calibri" w:cs="Calibri"/>
                <w:color w:val="1A1A1A"/>
                <w:sz w:val="17"/>
                <w:szCs w:val="17"/>
              </w:rPr>
              <w:t>Test whether GDPR awareness moderates the relationship between privacy concern and overall trust. Evaluate the interaction term at three levels of the moderator.</w:t>
            </w:r>
          </w:p>
        </w:tc>
        <w:tc>
          <w:tcPr>
            <w:tcW w:w="2148"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D9BD2E0" w14:textId="77777777" w:rsidR="00464C5E" w:rsidRDefault="00464C5E" w:rsidP="00AA24C6">
            <w:pPr>
              <w:spacing w:before="80" w:after="80"/>
            </w:pPr>
            <w:r>
              <w:rPr>
                <w:rFonts w:ascii="Calibri" w:eastAsia="Calibri" w:hAnsi="Calibri" w:cs="Calibri"/>
                <w:b/>
                <w:bCs/>
                <w:color w:val="1A4A6E"/>
                <w:sz w:val="17"/>
                <w:szCs w:val="17"/>
              </w:rPr>
              <w:t>O4 → H2 α = 0.05</w:t>
            </w:r>
          </w:p>
        </w:tc>
        <w:tc>
          <w:tcPr>
            <w:tcW w:w="2148" w:type="dxa"/>
            <w:tcBorders>
              <w:top w:val="single" w:sz="2" w:space="0" w:color="D5D8DC"/>
              <w:left w:val="single" w:sz="2" w:space="0" w:color="D5D8DC"/>
              <w:bottom w:val="single" w:sz="2" w:space="0" w:color="D5D8DC"/>
              <w:right w:val="single" w:sz="2" w:space="0" w:color="D5D8DC"/>
            </w:tcBorders>
            <w:shd w:val="clear" w:color="auto" w:fill="D5F5E3"/>
            <w:vAlign w:val="center"/>
          </w:tcPr>
          <w:p w14:paraId="0DF5D789" w14:textId="77777777" w:rsidR="00464C5E" w:rsidRDefault="00464C5E" w:rsidP="00AA24C6">
            <w:pPr>
              <w:spacing w:before="80" w:after="80"/>
            </w:pPr>
            <w:r>
              <w:rPr>
                <w:rFonts w:ascii="Calibri" w:eastAsia="Calibri" w:hAnsi="Calibri" w:cs="Calibri"/>
                <w:color w:val="1A5C38"/>
                <w:sz w:val="17"/>
                <w:szCs w:val="17"/>
              </w:rPr>
              <w:t>Interaction effect (b3), conditional effects at low/medium/high GDPR awareness. Empirical test of Privacy Paradox reduction.</w:t>
            </w:r>
          </w:p>
        </w:tc>
      </w:tr>
      <w:tr w:rsidR="00464C5E" w14:paraId="56AFA46E" w14:textId="77777777" w:rsidTr="00464C5E">
        <w:trPr>
          <w:trHeight w:val="234"/>
        </w:trPr>
        <w:tc>
          <w:tcPr>
            <w:tcW w:w="9559" w:type="dxa"/>
            <w:gridSpan w:val="5"/>
            <w:shd w:val="clear" w:color="auto" w:fill="FFFFFF"/>
            <w:vAlign w:val="center"/>
          </w:tcPr>
          <w:p w14:paraId="438EC1DA" w14:textId="77777777" w:rsidR="00464C5E" w:rsidRDefault="00464C5E" w:rsidP="00AA24C6">
            <w:pPr>
              <w:spacing w:before="15" w:after="15"/>
              <w:jc w:val="center"/>
            </w:pPr>
            <w:r>
              <w:rPr>
                <w:rFonts w:ascii="Arial" w:eastAsia="Calibri" w:hAnsi="Arial" w:cs="Arial"/>
                <w:b/>
                <w:bCs/>
                <w:color w:val="AED6F1"/>
                <w:sz w:val="18"/>
                <w:szCs w:val="18"/>
              </w:rPr>
              <w:t>▼</w:t>
            </w:r>
          </w:p>
        </w:tc>
      </w:tr>
      <w:tr w:rsidR="00464C5E" w14:paraId="13E63012" w14:textId="77777777" w:rsidTr="00464C5E">
        <w:trPr>
          <w:trHeight w:val="1444"/>
        </w:trPr>
        <w:tc>
          <w:tcPr>
            <w:tcW w:w="7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B4400CE" w14:textId="77777777" w:rsidR="00464C5E" w:rsidRDefault="00464C5E" w:rsidP="00AA24C6">
            <w:pPr>
              <w:spacing w:before="80" w:after="80"/>
              <w:jc w:val="center"/>
            </w:pPr>
            <w:r>
              <w:rPr>
                <w:rFonts w:ascii="Calibri" w:eastAsia="Calibri" w:hAnsi="Calibri" w:cs="Calibri"/>
                <w:b/>
                <w:bCs/>
                <w:color w:val="FFFFFF"/>
                <w:sz w:val="17"/>
                <w:szCs w:val="17"/>
              </w:rPr>
              <w:t>5</w:t>
            </w:r>
          </w:p>
        </w:tc>
        <w:tc>
          <w:tcPr>
            <w:tcW w:w="182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6ADFA770" w14:textId="77777777" w:rsidR="00464C5E" w:rsidRDefault="00464C5E" w:rsidP="00AA24C6">
            <w:pPr>
              <w:spacing w:before="80" w:after="80"/>
            </w:pPr>
            <w:r>
              <w:rPr>
                <w:rFonts w:ascii="Calibri" w:eastAsia="Calibri" w:hAnsi="Calibri" w:cs="Calibri"/>
                <w:b/>
                <w:bCs/>
                <w:color w:val="FFFFFF"/>
                <w:sz w:val="16"/>
                <w:szCs w:val="16"/>
              </w:rPr>
              <w:t>One-Way ANOVA + Tukey Post-Hoc</w:t>
            </w:r>
          </w:p>
        </w:tc>
        <w:tc>
          <w:tcPr>
            <w:tcW w:w="2685"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1277444" w14:textId="77777777" w:rsidR="00464C5E" w:rsidRDefault="00464C5E" w:rsidP="00AA24C6">
            <w:pPr>
              <w:spacing w:before="80" w:after="80"/>
            </w:pPr>
            <w:r>
              <w:rPr>
                <w:rFonts w:ascii="Calibri" w:eastAsia="Calibri" w:hAnsi="Calibri" w:cs="Calibri"/>
                <w:color w:val="1A1A1A"/>
                <w:sz w:val="17"/>
                <w:szCs w:val="17"/>
              </w:rPr>
              <w:t>Compare mean trust scores across the six web application sectors and key demographic groups (age, gender, breach experience). Identify which sector pairs differ significantly.</w:t>
            </w:r>
          </w:p>
        </w:tc>
        <w:tc>
          <w:tcPr>
            <w:tcW w:w="2148"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1A422DC" w14:textId="77777777" w:rsidR="00464C5E" w:rsidRDefault="00464C5E" w:rsidP="00AA24C6">
            <w:pPr>
              <w:spacing w:before="80" w:after="80"/>
            </w:pPr>
            <w:r>
              <w:rPr>
                <w:rFonts w:ascii="Calibri" w:eastAsia="Calibri" w:hAnsi="Calibri" w:cs="Calibri"/>
                <w:b/>
                <w:bCs/>
                <w:color w:val="1A4A6E"/>
                <w:sz w:val="17"/>
                <w:szCs w:val="17"/>
              </w:rPr>
              <w:t>O5 → H3 α = 0.05</w:t>
            </w:r>
          </w:p>
        </w:tc>
        <w:tc>
          <w:tcPr>
            <w:tcW w:w="2148" w:type="dxa"/>
            <w:tcBorders>
              <w:top w:val="single" w:sz="2" w:space="0" w:color="D5D8DC"/>
              <w:left w:val="single" w:sz="2" w:space="0" w:color="D5D8DC"/>
              <w:bottom w:val="single" w:sz="2" w:space="0" w:color="D5D8DC"/>
              <w:right w:val="single" w:sz="2" w:space="0" w:color="D5D8DC"/>
            </w:tcBorders>
            <w:shd w:val="clear" w:color="auto" w:fill="F0FFF4"/>
            <w:vAlign w:val="center"/>
          </w:tcPr>
          <w:p w14:paraId="10D9F059" w14:textId="77777777" w:rsidR="00464C5E" w:rsidRDefault="00464C5E" w:rsidP="00AA24C6">
            <w:pPr>
              <w:spacing w:before="80" w:after="80"/>
            </w:pPr>
            <w:r>
              <w:rPr>
                <w:rFonts w:ascii="Calibri" w:eastAsia="Calibri" w:hAnsi="Calibri" w:cs="Calibri"/>
                <w:color w:val="1A5C38"/>
                <w:sz w:val="17"/>
                <w:szCs w:val="17"/>
              </w:rPr>
              <w:t>F-statistics, effect sizes (η2), post-hoc comparison table. Confirms or refutes sector-based trust differences.</w:t>
            </w:r>
          </w:p>
        </w:tc>
      </w:tr>
      <w:tr w:rsidR="00464C5E" w14:paraId="1CAE39C4" w14:textId="77777777" w:rsidTr="00464C5E">
        <w:trPr>
          <w:trHeight w:val="629"/>
        </w:trPr>
        <w:tc>
          <w:tcPr>
            <w:tcW w:w="9559" w:type="dxa"/>
            <w:gridSpan w:val="5"/>
            <w:tcBorders>
              <w:top w:val="single" w:sz="4" w:space="0" w:color="FFFFFF"/>
              <w:left w:val="single" w:sz="4" w:space="0" w:color="FFFFFF"/>
              <w:bottom w:val="single" w:sz="4" w:space="0" w:color="FFFFFF"/>
              <w:right w:val="single" w:sz="4" w:space="0" w:color="FFFFFF"/>
            </w:tcBorders>
            <w:shd w:val="clear" w:color="auto" w:fill="1A4A6E"/>
            <w:vAlign w:val="center"/>
          </w:tcPr>
          <w:p w14:paraId="00CEE830" w14:textId="77777777" w:rsidR="00464C5E" w:rsidRDefault="00464C5E" w:rsidP="00AA24C6">
            <w:pPr>
              <w:spacing w:before="100" w:after="100"/>
            </w:pPr>
            <w:r>
              <w:rPr>
                <w:rFonts w:ascii="Calibri" w:eastAsia="Calibri" w:hAnsi="Calibri" w:cs="Calibri"/>
                <w:b/>
                <w:bCs/>
                <w:color w:val="AED6F1"/>
                <w:sz w:val="17"/>
                <w:szCs w:val="17"/>
              </w:rPr>
              <w:t xml:space="preserve">Final Output:  </w:t>
            </w:r>
            <w:r>
              <w:rPr>
                <w:rFonts w:ascii="Calibri" w:eastAsia="Calibri" w:hAnsi="Calibri" w:cs="Calibri"/>
                <w:color w:val="FFFFFF"/>
                <w:sz w:val="17"/>
                <w:szCs w:val="17"/>
              </w:rPr>
              <w:t xml:space="preserve">Ranked trust predictor model + Privacy Paradox moderation evidence + Sector trust benchmarks → </w:t>
            </w:r>
            <w:r>
              <w:rPr>
                <w:rFonts w:ascii="Calibri" w:eastAsia="Calibri" w:hAnsi="Calibri" w:cs="Calibri"/>
                <w:b/>
                <w:bCs/>
                <w:color w:val="AED6F1"/>
                <w:sz w:val="17"/>
                <w:szCs w:val="17"/>
              </w:rPr>
              <w:t>Trust-by-Design Framework (Appendix F)</w:t>
            </w:r>
          </w:p>
        </w:tc>
      </w:tr>
    </w:tbl>
    <w:p w14:paraId="66808E59" w14:textId="47FF3622" w:rsidR="00464C5E" w:rsidRPr="008373D7" w:rsidRDefault="00464C5E" w:rsidP="008373D7">
      <w:pPr>
        <w:spacing w:before="60" w:after="160"/>
        <w:jc w:val="center"/>
        <w:rPr>
          <w:color w:val="156082" w:themeColor="accent1"/>
          <w:sz w:val="20"/>
          <w:szCs w:val="20"/>
        </w:rPr>
      </w:pPr>
      <w:r w:rsidRPr="008373D7">
        <w:rPr>
          <w:rFonts w:ascii="Calibri" w:eastAsia="Calibri" w:hAnsi="Calibri" w:cs="Calibri"/>
          <w:i/>
          <w:iCs/>
          <w:color w:val="156082" w:themeColor="accent1"/>
          <w:sz w:val="20"/>
          <w:szCs w:val="20"/>
        </w:rPr>
        <w:t>Source: Generated by author (2026).</w:t>
      </w:r>
      <w:r w:rsidR="008373D7" w:rsidRPr="008373D7">
        <w:rPr>
          <w:rFonts w:ascii="Calibri" w:eastAsia="Calibri" w:hAnsi="Calibri" w:cs="Calibri"/>
          <w:i/>
          <w:iCs/>
          <w:color w:val="156082" w:themeColor="accent1"/>
          <w:sz w:val="20"/>
          <w:szCs w:val="20"/>
        </w:rPr>
        <w:t xml:space="preserve"> </w:t>
      </w:r>
    </w:p>
    <w:p w14:paraId="1C7CD4E5" w14:textId="77777777" w:rsidR="00333689" w:rsidRDefault="00333689" w:rsidP="00555B8C">
      <w:pPr>
        <w:spacing w:before="40" w:after="80" w:line="360" w:lineRule="auto"/>
        <w:jc w:val="both"/>
      </w:pPr>
    </w:p>
    <w:p w14:paraId="04A31156" w14:textId="77777777" w:rsidR="00B6202C" w:rsidRPr="00B6202C" w:rsidRDefault="00B6202C" w:rsidP="00B6202C">
      <w:pPr>
        <w:spacing w:before="40" w:after="80" w:line="360" w:lineRule="auto"/>
        <w:jc w:val="both"/>
      </w:pPr>
      <w:r w:rsidRPr="00B6202C">
        <w:t>Each stage is summarised below:</w:t>
      </w:r>
    </w:p>
    <w:p w14:paraId="7EDCB27B" w14:textId="77777777" w:rsidR="00B6202C" w:rsidRPr="00B6202C" w:rsidRDefault="00B6202C" w:rsidP="00B6202C">
      <w:pPr>
        <w:numPr>
          <w:ilvl w:val="0"/>
          <w:numId w:val="10"/>
        </w:numPr>
        <w:spacing w:before="40" w:after="80" w:line="360" w:lineRule="auto"/>
        <w:jc w:val="both"/>
      </w:pPr>
      <w:r w:rsidRPr="00B6202C">
        <w:rPr>
          <w:b/>
          <w:bCs/>
        </w:rPr>
        <w:t>Descriptive statistics</w:t>
      </w:r>
      <w:r w:rsidRPr="00B6202C">
        <w:t xml:space="preserve"> — summarise demographics, trust factor ratings, and overall trust scores across all six sectors.</w:t>
      </w:r>
    </w:p>
    <w:p w14:paraId="73B81942" w14:textId="33378499" w:rsidR="00B6202C" w:rsidRPr="00B6202C" w:rsidRDefault="00B6202C" w:rsidP="00B6202C">
      <w:pPr>
        <w:numPr>
          <w:ilvl w:val="0"/>
          <w:numId w:val="10"/>
        </w:numPr>
        <w:spacing w:before="40" w:after="80" w:line="360" w:lineRule="auto"/>
        <w:jc w:val="both"/>
      </w:pPr>
      <w:r w:rsidRPr="00B6202C">
        <w:rPr>
          <w:b/>
          <w:bCs/>
        </w:rPr>
        <w:t>Pearson correlation</w:t>
      </w:r>
      <w:r w:rsidRPr="00B6202C">
        <w:t xml:space="preserve"> — examine bivariate relationships between the 18 trust factors and overall trust score; flag multicollinearity </w:t>
      </w:r>
      <w:r w:rsidR="00672238">
        <w:t>before</w:t>
      </w:r>
      <w:r w:rsidRPr="00B6202C">
        <w:t xml:space="preserve"> regression.</w:t>
      </w:r>
    </w:p>
    <w:p w14:paraId="78ADED7D" w14:textId="77777777" w:rsidR="00B6202C" w:rsidRPr="00B6202C" w:rsidRDefault="00B6202C" w:rsidP="00B6202C">
      <w:pPr>
        <w:numPr>
          <w:ilvl w:val="0"/>
          <w:numId w:val="10"/>
        </w:numPr>
        <w:spacing w:before="40" w:after="80" w:line="360" w:lineRule="auto"/>
        <w:jc w:val="both"/>
      </w:pPr>
      <w:r w:rsidRPr="00B6202C">
        <w:rPr>
          <w:b/>
          <w:bCs/>
        </w:rPr>
        <w:t>Multiple regression (SPSS)</w:t>
      </w:r>
      <w:r w:rsidRPr="00B6202C">
        <w:t xml:space="preserve"> — rank the 18 trust factors by independent predictive power, testing H1 (Objective O3, α = 0.05).</w:t>
      </w:r>
    </w:p>
    <w:p w14:paraId="437CBFA2" w14:textId="77777777" w:rsidR="00B6202C" w:rsidRPr="00B6202C" w:rsidRDefault="00B6202C" w:rsidP="00B6202C">
      <w:pPr>
        <w:numPr>
          <w:ilvl w:val="0"/>
          <w:numId w:val="10"/>
        </w:numPr>
        <w:spacing w:before="40" w:after="80" w:line="360" w:lineRule="auto"/>
        <w:jc w:val="both"/>
      </w:pPr>
      <w:r w:rsidRPr="00B6202C">
        <w:rPr>
          <w:b/>
          <w:bCs/>
        </w:rPr>
        <w:t>Moderation analysis (PROCESS v4)</w:t>
      </w:r>
      <w:r w:rsidRPr="00B6202C">
        <w:t xml:space="preserve"> — test whether GDPR awareness moderates the privacy concern–trust relationship, testing H2 (Objective O4, α = 0.05).</w:t>
      </w:r>
    </w:p>
    <w:p w14:paraId="23D080FF" w14:textId="77777777" w:rsidR="00B6202C" w:rsidRPr="00B6202C" w:rsidRDefault="00B6202C" w:rsidP="00B6202C">
      <w:pPr>
        <w:numPr>
          <w:ilvl w:val="0"/>
          <w:numId w:val="10"/>
        </w:numPr>
        <w:spacing w:before="40" w:after="80" w:line="360" w:lineRule="auto"/>
        <w:jc w:val="both"/>
      </w:pPr>
      <w:r w:rsidRPr="00B6202C">
        <w:rPr>
          <w:b/>
          <w:bCs/>
        </w:rPr>
        <w:lastRenderedPageBreak/>
        <w:t>One-way ANOVA with Tukey post-hoc</w:t>
      </w:r>
      <w:r w:rsidRPr="00B6202C">
        <w:t xml:space="preserve"> — compare trust scores across sectors and demographic groups, testing H3 (Objective O5, α = 0.05).</w:t>
      </w:r>
    </w:p>
    <w:p w14:paraId="10F173A2" w14:textId="77777777" w:rsidR="00B6202C" w:rsidRPr="00B6202C" w:rsidRDefault="00B6202C" w:rsidP="00B6202C">
      <w:pPr>
        <w:spacing w:before="40" w:after="80" w:line="360" w:lineRule="auto"/>
        <w:jc w:val="both"/>
      </w:pPr>
      <w:r w:rsidRPr="00B6202C">
        <w:t>Statistical significance will be evaluated at the 95% confidence level (α = 0.05). Where appropriate, effect sizes and 95% confidence intervals will also be reported to provide a more comprehensive interpretation of the findings.</w:t>
      </w:r>
    </w:p>
    <w:p w14:paraId="19EDBBC9" w14:textId="77777777" w:rsidR="00B6202C" w:rsidRPr="00B6202C" w:rsidRDefault="00B6202C" w:rsidP="00B6202C">
      <w:pPr>
        <w:spacing w:before="40" w:after="80" w:line="360" w:lineRule="auto"/>
        <w:jc w:val="both"/>
      </w:pPr>
      <w:r w:rsidRPr="00B6202C">
        <w:t>One anticipated outcome of this research is the development of a Trust-by-Design Framework that translates the empirical findings into practical recommendations for UK web developers. The proposed framework is presented in Appendix F and will be refined following statistical analysis.</w:t>
      </w:r>
    </w:p>
    <w:p w14:paraId="461302D0" w14:textId="77777777" w:rsidR="00333689" w:rsidRDefault="00333689" w:rsidP="00555B8C">
      <w:pPr>
        <w:spacing w:before="40" w:after="80" w:line="360" w:lineRule="auto"/>
        <w:jc w:val="both"/>
      </w:pPr>
    </w:p>
    <w:p w14:paraId="0D06B068" w14:textId="4AEB8380" w:rsidR="00B37289" w:rsidRPr="00842293" w:rsidRDefault="008C4330" w:rsidP="00842293">
      <w:pPr>
        <w:pStyle w:val="Heading3"/>
      </w:pPr>
      <w:bookmarkStart w:id="27" w:name="_Toc234710559"/>
      <w:r w:rsidRPr="00842293">
        <w:t>3.2.4 Research Materials</w:t>
      </w:r>
      <w:bookmarkEnd w:id="27"/>
    </w:p>
    <w:p w14:paraId="21976207" w14:textId="77777777" w:rsidR="0025473F" w:rsidRPr="001172CF" w:rsidRDefault="0025473F" w:rsidP="00912EEC">
      <w:pPr>
        <w:spacing w:before="100" w:beforeAutospacing="1" w:after="100" w:afterAutospacing="1" w:line="360" w:lineRule="auto"/>
        <w:jc w:val="both"/>
      </w:pPr>
      <w:r w:rsidRPr="001172CF">
        <w:t xml:space="preserve">The study will use both primary and secondary sources of data. Primary data will consist of responses collected through the online questionnaire administered to 180–220 UK adults, using survey items adapted from validated instruments developed by McKnight et al. [12], Corritore et al. [8], and Zieglmeier and </w:t>
      </w:r>
      <w:proofErr w:type="spellStart"/>
      <w:r w:rsidRPr="001172CF">
        <w:t>Lehene</w:t>
      </w:r>
      <w:proofErr w:type="spellEnd"/>
      <w:r w:rsidRPr="001172CF">
        <w:t xml:space="preserve"> [14].</w:t>
      </w:r>
    </w:p>
    <w:p w14:paraId="479877FD" w14:textId="77777777" w:rsidR="0025473F" w:rsidRPr="001172CF" w:rsidRDefault="0025473F" w:rsidP="00912EEC">
      <w:pPr>
        <w:spacing w:before="100" w:beforeAutospacing="1" w:after="100" w:afterAutospacing="1" w:line="360" w:lineRule="auto"/>
        <w:jc w:val="both"/>
      </w:pPr>
      <w:r w:rsidRPr="001172CF">
        <w:t>Secondary sources will comprise peer-reviewed academic literature accessed through the university library, including IEEE Xplore, ACM Digital Library, Scopus, and Google Scholar, together with UK GDPR guidance published by the Information Commissioner's Office (ICO) [19]. Industry reports from Thales [1] and Cisco [7] will be used solely to provide contextual evidence and will not form part of the theoretical framework.</w:t>
      </w:r>
    </w:p>
    <w:p w14:paraId="3F400FC2" w14:textId="377ACDDE" w:rsidR="0025473F" w:rsidRDefault="0025473F" w:rsidP="00912EEC">
      <w:pPr>
        <w:spacing w:before="100" w:beforeAutospacing="1" w:after="100" w:afterAutospacing="1" w:line="360" w:lineRule="auto"/>
        <w:jc w:val="both"/>
      </w:pPr>
      <w:r w:rsidRPr="001172CF">
        <w:t xml:space="preserve">The software and hardware required to conduct the research, including data collection, statistical analysis, and literature retrieval, are summarised in </w:t>
      </w:r>
      <w:r w:rsidRPr="00406C1C">
        <w:rPr>
          <w:b/>
          <w:bCs/>
        </w:rPr>
        <w:t>Appendix D</w:t>
      </w:r>
      <w:r w:rsidR="00406C1C">
        <w:t>.</w:t>
      </w:r>
    </w:p>
    <w:p w14:paraId="49F10EAF" w14:textId="151613B7" w:rsidR="00B37289" w:rsidRPr="00842293" w:rsidRDefault="008C4330" w:rsidP="00842293">
      <w:pPr>
        <w:pStyle w:val="Heading3"/>
      </w:pPr>
      <w:bookmarkStart w:id="28" w:name="_Toc234710560"/>
      <w:r w:rsidRPr="00842293">
        <w:t>3.2.5 Ethical Considerations</w:t>
      </w:r>
      <w:bookmarkEnd w:id="28"/>
    </w:p>
    <w:p w14:paraId="24DA3EC1" w14:textId="77777777" w:rsidR="00A455B7" w:rsidRPr="001172CF" w:rsidRDefault="00A455B7" w:rsidP="00406C1C">
      <w:pPr>
        <w:spacing w:before="200" w:line="360" w:lineRule="auto"/>
        <w:jc w:val="both"/>
      </w:pPr>
      <w:r w:rsidRPr="001172CF">
        <w:t>Ethical considerations are fundamental to this research because the study involves collecting questionnaire responses from human participants. The research will be conducted in accordance with the University's Research Ethics Policy and the principles of informed consent, confidentiality, anonymity, and voluntary participation.</w:t>
      </w:r>
    </w:p>
    <w:p w14:paraId="63A636AC" w14:textId="77777777" w:rsidR="00A455B7" w:rsidRPr="001172CF" w:rsidRDefault="00A455B7" w:rsidP="00406C1C">
      <w:pPr>
        <w:spacing w:before="200" w:line="360" w:lineRule="auto"/>
        <w:jc w:val="both"/>
      </w:pPr>
      <w:r w:rsidRPr="001172CF">
        <w:t>Before participating, respondents will receive a Participant Information Sheet explaining the purpose of the study, what participation involves, how the data will be used, and their rights as participants. Electronic informed consent will be obtained before participants are granted access to the questionnaire. Participation will be entirely voluntary, and respondents may withdraw from the study at any time before submitting their questionnaire without providing a reason.</w:t>
      </w:r>
    </w:p>
    <w:p w14:paraId="7A8C460A" w14:textId="77777777" w:rsidR="00A455B7" w:rsidRPr="001172CF" w:rsidRDefault="00A455B7" w:rsidP="00406C1C">
      <w:pPr>
        <w:spacing w:before="200" w:line="360" w:lineRule="auto"/>
        <w:jc w:val="both"/>
      </w:pPr>
      <w:r w:rsidRPr="001172CF">
        <w:lastRenderedPageBreak/>
        <w:t>No personally identifiable information, including names, email addresses, or IP addresses, will be collected. Consequently, all responses will remain anonymous and confidential throughout the research process. The study will comply with the UK General Data Protection Regulation (UK GDPR) and the University's Research Ethics and Data Protection policies to ensure that participant data are collected, stored, and managed securely.</w:t>
      </w:r>
    </w:p>
    <w:p w14:paraId="7267DA80" w14:textId="4C7941F6" w:rsidR="00A455B7" w:rsidRPr="001172CF" w:rsidRDefault="00A455B7" w:rsidP="00406C1C">
      <w:pPr>
        <w:spacing w:before="200" w:line="360" w:lineRule="auto"/>
        <w:jc w:val="both"/>
      </w:pPr>
      <w:r w:rsidRPr="001172CF">
        <w:t xml:space="preserve">All research data will be stored on encrypted, university-approved storage in accordance with the University's Research Data Management Policy. Data will be retained only for the period required by university regulations before being securely and permanently deleted. Access to the data will be restricted to the researcher and </w:t>
      </w:r>
      <w:r w:rsidR="007B1165" w:rsidRPr="001172CF">
        <w:t xml:space="preserve">the </w:t>
      </w:r>
      <w:r w:rsidRPr="001172CF">
        <w:t>academic supervisor.</w:t>
      </w:r>
    </w:p>
    <w:p w14:paraId="4B7027F7" w14:textId="02B1C520" w:rsidR="006C5D92" w:rsidRPr="001172CF" w:rsidRDefault="001E74C6" w:rsidP="00406C1C">
      <w:pPr>
        <w:spacing w:before="200" w:line="360" w:lineRule="auto"/>
        <w:jc w:val="both"/>
      </w:pPr>
      <w:r w:rsidRPr="001172CF">
        <w:t xml:space="preserve">The study presents minimal risk because participants will only be asked to provide non-sensitive opinions regarding trust in web applications and their use of online services. </w:t>
      </w:r>
      <w:r w:rsidR="00A455B7" w:rsidRPr="001172CF">
        <w:t>No sensitive personal data or special category data will be collected. Ethical approval will be obtained from the University's Research Ethics Committee before participant recruitment and data collection begin</w:t>
      </w:r>
    </w:p>
    <w:p w14:paraId="3B3FA26D" w14:textId="5E3A5FFF" w:rsidR="003446C5" w:rsidRDefault="003446C5" w:rsidP="003446C5"/>
    <w:p w14:paraId="12F90B3B" w14:textId="5C55AF7E" w:rsidR="00E73BD1" w:rsidRPr="00D60EC9" w:rsidRDefault="00E73BD1" w:rsidP="00D60EC9">
      <w:pPr>
        <w:pStyle w:val="Heading3"/>
      </w:pPr>
      <w:bookmarkStart w:id="29" w:name="_Toc234710561"/>
      <w:r w:rsidRPr="00D60EC9">
        <w:t>3.2.6 Reliability and Validity</w:t>
      </w:r>
      <w:bookmarkEnd w:id="29"/>
      <w:r w:rsidR="00600A46" w:rsidRPr="00D60EC9">
        <w:t xml:space="preserve">       </w:t>
      </w:r>
    </w:p>
    <w:p w14:paraId="646993EA" w14:textId="77777777" w:rsidR="00D60EC9" w:rsidRPr="000F0D32" w:rsidRDefault="00D60EC9" w:rsidP="00D60EC9">
      <w:pPr>
        <w:spacing w:before="200" w:line="360" w:lineRule="auto"/>
        <w:jc w:val="both"/>
      </w:pPr>
      <w:r w:rsidRPr="00D60EC9">
        <w:t>Ensuring the reliability and validity of the research instrument is essential to producing credible and trustworthy findings</w:t>
      </w:r>
      <w:r w:rsidRPr="000F0D32">
        <w:t xml:space="preserve">. Content validity will be strengthened by adapting all questionnaire items from previously validated measurement instruments developed by McKnight et al. [12], Corritore et al. [8], Zieglmeier and </w:t>
      </w:r>
      <w:proofErr w:type="spellStart"/>
      <w:r w:rsidRPr="000F0D32">
        <w:t>Lehene</w:t>
      </w:r>
      <w:proofErr w:type="spellEnd"/>
      <w:r w:rsidRPr="000F0D32">
        <w:t xml:space="preserve"> [14], and Prince et al. [21], reducing the likelihood that important aspects of trust are omitted or misrepresented. Construct validity, which refers to the extent to which the questionnaire measures the intended theoretical concepts, will be supported by ensuring that each questionnaire item is explicitly aligned with the constructs identified in Chapter 2, including trust, privacy concern, GDPR awareness, and perceived security.</w:t>
      </w:r>
    </w:p>
    <w:p w14:paraId="415C57C4" w14:textId="77777777" w:rsidR="00D60EC9" w:rsidRPr="000F0D32" w:rsidRDefault="00D60EC9" w:rsidP="00D60EC9">
      <w:pPr>
        <w:spacing w:before="200" w:line="360" w:lineRule="auto"/>
        <w:jc w:val="both"/>
      </w:pPr>
      <w:r w:rsidRPr="000F0D32">
        <w:t>The internal consistency of the multi-item scales will be evaluated using Cronbach's alpha, a statistical measure of how consistently multiple questionnaire items assess the same underlying construct. Values of 0.70 or above are generally considered acceptable for behavioural research [24]. Before full deployment, the questionnaire will be pilot tested with approximately 10–15 participants to assess question clarity, wording, completion time, and overall usability. Feedback from the pilot study will be used to refine the questionnaire before distribution.</w:t>
      </w:r>
    </w:p>
    <w:p w14:paraId="224D1C6C" w14:textId="5A5266CF" w:rsidR="006D0235" w:rsidRDefault="00D60EC9" w:rsidP="008A4F54">
      <w:pPr>
        <w:spacing w:before="200" w:line="360" w:lineRule="auto"/>
        <w:jc w:val="both"/>
      </w:pPr>
      <w:r w:rsidRPr="000F0D32">
        <w:t>External validity, which refers to the extent to which the findings can be generalised beyond the study sample, may be limited by the use of convenience sampling. This limitation</w:t>
      </w:r>
      <w:r w:rsidRPr="00D60EC9">
        <w:t xml:space="preserve"> is acknowledged in Section 4.3. Together, these procedures are intended to ensure that the research instrument produces reliable, valid, and interpretable findings.</w:t>
      </w:r>
    </w:p>
    <w:p w14:paraId="58C9B31C" w14:textId="15135914" w:rsidR="00267EDE" w:rsidRPr="00D60EC9" w:rsidRDefault="00267EDE" w:rsidP="00D60EC9">
      <w:pPr>
        <w:pStyle w:val="Heading3"/>
      </w:pPr>
      <w:bookmarkStart w:id="30" w:name="_Toc234710562"/>
      <w:r w:rsidRPr="00D60EC9">
        <w:lastRenderedPageBreak/>
        <w:t>3.2.7 Research Limitations</w:t>
      </w:r>
      <w:bookmarkEnd w:id="30"/>
    </w:p>
    <w:p w14:paraId="2531E443" w14:textId="6199CA40" w:rsidR="00267EDE" w:rsidRPr="001172CF" w:rsidRDefault="00A433B9" w:rsidP="00267EDE">
      <w:pPr>
        <w:spacing w:line="360" w:lineRule="auto"/>
        <w:jc w:val="both"/>
      </w:pPr>
      <w:r w:rsidRPr="001172CF">
        <w:t>Although the proposed methodology has been designed to produce reliable and valid findings, several limitations should be acknowledged. First, the use of non-probability convenience sampling may reduce the representativeness of the sample and limit the generalisability of the findings to the wider UK population. Second, the cross-sectional design captures participants' trust perceptions at a single point in time and therefore cannot examine how trust may change over time. Third, the study relies on self-reported questionnaire data, which may be influenced by response bias or social desirability bias. Despite these limitations, the selected methodology provides an appropriate and practical approach for addressing the research objectives within the scope, time, and resource constraints of this MSc research project.</w:t>
      </w:r>
    </w:p>
    <w:p w14:paraId="0736F475" w14:textId="11DB00F3" w:rsidR="0085503C" w:rsidRPr="001172CF" w:rsidRDefault="0085503C" w:rsidP="00267EDE">
      <w:pPr>
        <w:spacing w:line="360" w:lineRule="auto"/>
        <w:jc w:val="both"/>
      </w:pPr>
      <w:r w:rsidRPr="00250610">
        <w:t>This chapter has presented the research design, methodological approach, data collection procedures, analytical techniques, and ethical considerations that will be used to investigate the factors influencing trust in UK web applications. The following chapter presents the proposed project plan and timetable for completing the research.</w:t>
      </w:r>
    </w:p>
    <w:p w14:paraId="21AAB1BD" w14:textId="77777777" w:rsidR="008A4F54" w:rsidRDefault="008A4F54">
      <w:pPr>
        <w:rPr>
          <w:rFonts w:ascii="Arial" w:eastAsia="Arial" w:hAnsi="Arial" w:cs="Arial"/>
          <w:b/>
          <w:bCs/>
          <w:color w:val="1A5276"/>
          <w:sz w:val="30"/>
          <w:szCs w:val="30"/>
        </w:rPr>
      </w:pPr>
      <w:r>
        <w:br w:type="page"/>
      </w:r>
    </w:p>
    <w:p w14:paraId="044C519E" w14:textId="690FE400" w:rsidR="00B37289" w:rsidRPr="00D60EC9" w:rsidRDefault="008C4330" w:rsidP="008A4F54">
      <w:pPr>
        <w:pStyle w:val="Heading1"/>
      </w:pPr>
      <w:bookmarkStart w:id="31" w:name="_Toc234710563"/>
      <w:r w:rsidRPr="001172CF">
        <w:lastRenderedPageBreak/>
        <w:t>4. Expected Outcomes</w:t>
      </w:r>
      <w:bookmarkEnd w:id="31"/>
      <w:r w:rsidRPr="001172CF">
        <w:rPr>
          <w:color w:val="888888"/>
          <w:sz w:val="20"/>
          <w:szCs w:val="20"/>
        </w:rPr>
        <w:t xml:space="preserve">  </w:t>
      </w:r>
    </w:p>
    <w:p w14:paraId="512F8038" w14:textId="24B98345" w:rsidR="00E009B3" w:rsidRDefault="00EF1632" w:rsidP="00891226">
      <w:pPr>
        <w:spacing w:before="120" w:after="100" w:line="360" w:lineRule="auto"/>
        <w:jc w:val="both"/>
        <w:rPr>
          <w:color w:val="000000"/>
        </w:rPr>
      </w:pPr>
      <w:r w:rsidRPr="001172CF">
        <w:rPr>
          <w:color w:val="000000"/>
        </w:rPr>
        <w:t xml:space="preserve">This chapter outlines the anticipated outcomes of the proposed research based on the evidence presented in the literature review and the planned methodology. As this is a research proposal, the findings discussed are expected rather than confirmed. </w:t>
      </w:r>
      <w:r w:rsidR="00AD4641">
        <w:rPr>
          <w:color w:val="000000"/>
        </w:rPr>
        <w:t>T</w:t>
      </w:r>
      <w:r w:rsidR="00AD4641" w:rsidRPr="00AD4641">
        <w:rPr>
          <w:color w:val="000000"/>
        </w:rPr>
        <w:t>he chapter presents the anticipated empirical findings, expected contributions, and limitations of the proposed research</w:t>
      </w:r>
      <w:r w:rsidR="006D0235">
        <w:rPr>
          <w:color w:val="000000"/>
        </w:rPr>
        <w:t>.</w:t>
      </w:r>
    </w:p>
    <w:p w14:paraId="04667BAA" w14:textId="5EF38FE3" w:rsidR="00B37289" w:rsidRPr="00D60EC9" w:rsidRDefault="008C4330" w:rsidP="00AD4641">
      <w:pPr>
        <w:pStyle w:val="Heading2"/>
      </w:pPr>
      <w:bookmarkStart w:id="32" w:name="_Toc234710564"/>
      <w:r w:rsidRPr="00D60EC9">
        <w:t>4.1 Anticipated Results</w:t>
      </w:r>
      <w:bookmarkEnd w:id="32"/>
    </w:p>
    <w:p w14:paraId="7E06E62A" w14:textId="77777777" w:rsidR="00182966" w:rsidRPr="00D60EC9" w:rsidRDefault="00182966" w:rsidP="00182966">
      <w:pPr>
        <w:spacing w:before="100" w:after="100" w:line="360" w:lineRule="auto"/>
        <w:jc w:val="both"/>
        <w:rPr>
          <w:color w:val="333333"/>
        </w:rPr>
      </w:pPr>
      <w:r w:rsidRPr="00D60EC9">
        <w:rPr>
          <w:color w:val="333333"/>
        </w:rPr>
        <w:t>The anticipated findings presented in this section are derived from the literature reviewed in Chapter 2 and the hypotheses developed in Chapter 1. Although the study has not yet been conducted, previous empirical evidence provides a basis for predicting the likely outcomes, summarised in Appendix E (Tables E1 and E2).</w:t>
      </w:r>
    </w:p>
    <w:p w14:paraId="3B92DBBD" w14:textId="54598DDD" w:rsidR="004F148B" w:rsidRPr="00D60EC9" w:rsidRDefault="00182966" w:rsidP="00502DD2">
      <w:pPr>
        <w:spacing w:before="100" w:after="100" w:line="360" w:lineRule="auto"/>
        <w:jc w:val="both"/>
        <w:rPr>
          <w:color w:val="333333"/>
        </w:rPr>
      </w:pPr>
      <w:r w:rsidRPr="00D60EC9">
        <w:rPr>
          <w:color w:val="333333"/>
        </w:rPr>
        <w:t xml:space="preserve">A consistent pattern is anticipated across all three hypotheses: security and institutional trust signals are expected to be the primary drivers of trust (H1); the Privacy Paradox is expected to persist but be partially mitigated by GDPR awareness (H2); and trust levels are expected to vary significantly by sector, with banking and healthcare attracting substantially higher trust than social media platforms (H3). These outcomes are consistent with McKnight et al.'s [12] Structural Assurance construct and </w:t>
      </w:r>
      <w:proofErr w:type="spellStart"/>
      <w:r w:rsidRPr="00D60EC9">
        <w:rPr>
          <w:color w:val="333333"/>
        </w:rPr>
        <w:t>Kokolakis's</w:t>
      </w:r>
      <w:proofErr w:type="spellEnd"/>
      <w:r w:rsidRPr="00D60EC9">
        <w:rPr>
          <w:color w:val="333333"/>
        </w:rPr>
        <w:t xml:space="preserve"> [9] analysis of the attitude–behaviour gap. Two secondary findings, visual design quality as a trust predictor and demographic variation in baseline trust,  are also anticipated, both of which will inform the Trust-by-Design Framework in the appendix. Notably, rejection of any hypothesis would itself constitute a substantive empirical contribution; rejection of H2 in particular would indicate that even GDPR-informed users remain subject to the Privacy Paradox regardless of their regulatory awareness.</w:t>
      </w:r>
    </w:p>
    <w:p w14:paraId="5147BA68" w14:textId="778616FD" w:rsidR="00FE1A7E" w:rsidRPr="00D60EC9" w:rsidRDefault="00FE1A7E" w:rsidP="00D60EC9">
      <w:pPr>
        <w:pStyle w:val="Heading2"/>
      </w:pPr>
      <w:bookmarkStart w:id="33" w:name="_Toc234710565"/>
      <w:r w:rsidRPr="00D60EC9">
        <w:t xml:space="preserve">4.2 </w:t>
      </w:r>
      <w:r w:rsidR="00C40FE3" w:rsidRPr="00D60EC9">
        <w:t>Expected Contributions</w:t>
      </w:r>
      <w:bookmarkEnd w:id="33"/>
    </w:p>
    <w:p w14:paraId="59A599F5" w14:textId="3721F7EF" w:rsidR="0039731A" w:rsidRDefault="0039731A" w:rsidP="0039731A">
      <w:pPr>
        <w:spacing w:line="360" w:lineRule="auto"/>
        <w:jc w:val="both"/>
      </w:pPr>
      <w:r w:rsidRPr="001172CF">
        <w:t>As this research is proposed rather than completed, the contributions discussed in this section represent the anticipated impact of the study based on the literature reviewed in Chapter 2 and the methodology outlined in Chapter 3. The expected contributions are considered from academic, practical, policy, and future research perspectives.</w:t>
      </w:r>
    </w:p>
    <w:p w14:paraId="0CC7BBAD" w14:textId="77777777" w:rsidR="006D0235" w:rsidRPr="001172CF" w:rsidRDefault="006D0235" w:rsidP="0039731A">
      <w:pPr>
        <w:spacing w:line="360" w:lineRule="auto"/>
        <w:jc w:val="both"/>
      </w:pPr>
    </w:p>
    <w:p w14:paraId="0D33C5FB" w14:textId="77777777" w:rsidR="0039731A" w:rsidRPr="00E72343" w:rsidRDefault="0039731A" w:rsidP="00D60EC9">
      <w:pPr>
        <w:pStyle w:val="Heading3"/>
      </w:pPr>
      <w:bookmarkStart w:id="34" w:name="_Toc234710566"/>
      <w:r w:rsidRPr="00E72343">
        <w:t>4.2.1 Academic Contribution</w:t>
      </w:r>
      <w:bookmarkEnd w:id="34"/>
    </w:p>
    <w:p w14:paraId="163ED66C" w14:textId="77777777" w:rsidR="0039731A" w:rsidRPr="001172CF" w:rsidRDefault="0039731A" w:rsidP="0039731A">
      <w:pPr>
        <w:spacing w:line="360" w:lineRule="auto"/>
        <w:jc w:val="both"/>
      </w:pPr>
      <w:r w:rsidRPr="001172CF">
        <w:t xml:space="preserve">The study is expected to contribute to Information Systems research by providing one of the first UK-specific empirical investigations of trust in web applications within the post-GDPR environment. It extends existing theory by re-examining established trust frameworks, including McKnight et al.'s trust-building model [12] and the Privacy Paradox proposed by </w:t>
      </w:r>
      <w:proofErr w:type="spellStart"/>
      <w:r w:rsidRPr="001172CF">
        <w:t>Kokolakis</w:t>
      </w:r>
      <w:proofErr w:type="spellEnd"/>
      <w:r w:rsidRPr="001172CF">
        <w:t xml:space="preserve"> [9], within a contemporary regulatory context. In particular, the research is expected to provide new evidence regarding whether </w:t>
      </w:r>
      <w:r w:rsidRPr="000F0D32">
        <w:lastRenderedPageBreak/>
        <w:t>GDPR awareness</w:t>
      </w:r>
      <w:r w:rsidRPr="001172CF">
        <w:t xml:space="preserve"> moderates the relationship between privacy concern and trust behaviour, addressing an important gap identified in the literature.</w:t>
      </w:r>
    </w:p>
    <w:p w14:paraId="46A273F7" w14:textId="2E9B88EA" w:rsidR="0039731A" w:rsidRDefault="0039731A" w:rsidP="0039731A">
      <w:pPr>
        <w:spacing w:line="360" w:lineRule="auto"/>
        <w:jc w:val="both"/>
      </w:pPr>
      <w:r w:rsidRPr="001172CF">
        <w:t>The study also contributes methodologically by combining multiple regression, moderation analysis, and cross-sector comparison within a single quantitative framework. Examining trust across six different web application sectors is expected to provide a broader understanding of trust formation than previous studies that have focused on individual industries or technologies.</w:t>
      </w:r>
    </w:p>
    <w:p w14:paraId="4A82257C" w14:textId="77777777" w:rsidR="006D0235" w:rsidRPr="001172CF" w:rsidRDefault="006D0235" w:rsidP="0039731A">
      <w:pPr>
        <w:spacing w:line="360" w:lineRule="auto"/>
        <w:jc w:val="both"/>
      </w:pPr>
    </w:p>
    <w:p w14:paraId="6147AD7C" w14:textId="77777777" w:rsidR="0039731A" w:rsidRPr="00D60EC9" w:rsidRDefault="0039731A" w:rsidP="00D60EC9">
      <w:pPr>
        <w:pStyle w:val="Heading3"/>
        <w:rPr>
          <w:i w:val="0"/>
          <w:iCs w:val="0"/>
        </w:rPr>
      </w:pPr>
      <w:bookmarkStart w:id="35" w:name="_Toc234710567"/>
      <w:r w:rsidRPr="00D60EC9">
        <w:rPr>
          <w:i w:val="0"/>
          <w:iCs w:val="0"/>
        </w:rPr>
        <w:t>4.2.2 Practical Contribution</w:t>
      </w:r>
      <w:bookmarkEnd w:id="35"/>
    </w:p>
    <w:p w14:paraId="15D75753" w14:textId="77777777" w:rsidR="0039731A" w:rsidRPr="001172CF" w:rsidRDefault="0039731A" w:rsidP="0039731A">
      <w:pPr>
        <w:spacing w:line="360" w:lineRule="auto"/>
        <w:jc w:val="both"/>
      </w:pPr>
      <w:r w:rsidRPr="001172CF">
        <w:t>The findings are expected to provide evidence-based guidance for UK web developers, UX designers, and organisations responsible for developing digital services. By identifying and ranking the factors that most strongly influence user trust, the research will support more informed decisions regarding the implementation of security measures, privacy features, and interface design.</w:t>
      </w:r>
    </w:p>
    <w:p w14:paraId="39F4CA95" w14:textId="5FE4F703" w:rsidR="0039731A" w:rsidRDefault="0039731A" w:rsidP="00182966">
      <w:pPr>
        <w:spacing w:line="360" w:lineRule="auto"/>
        <w:jc w:val="both"/>
      </w:pPr>
      <w:r w:rsidRPr="001172CF">
        <w:t xml:space="preserve">The </w:t>
      </w:r>
      <w:r w:rsidRPr="000F0D32">
        <w:t xml:space="preserve">proposed Trust-by-Design Framework </w:t>
      </w:r>
      <w:r w:rsidRPr="00F77FA8">
        <w:rPr>
          <w:b/>
          <w:bCs/>
        </w:rPr>
        <w:t xml:space="preserve">(Appendix </w:t>
      </w:r>
      <w:r w:rsidR="0029651E" w:rsidRPr="00F77FA8">
        <w:rPr>
          <w:b/>
          <w:bCs/>
        </w:rPr>
        <w:t>F</w:t>
      </w:r>
      <w:r w:rsidRPr="00F77FA8">
        <w:rPr>
          <w:b/>
          <w:bCs/>
        </w:rPr>
        <w:t>)</w:t>
      </w:r>
      <w:r w:rsidRPr="001172CF">
        <w:t xml:space="preserve"> is expected to translate the statistical findings into practical recommendations that organisations can apply when designing or improving web applications. Rather than relying on industry assumptions or isolated design practices, developers will have an empirically informed framework for prioritising trust-enhancing features within UK web applications.</w:t>
      </w:r>
    </w:p>
    <w:p w14:paraId="407C9731" w14:textId="77777777" w:rsidR="006D0235" w:rsidRPr="001172CF" w:rsidRDefault="006D0235" w:rsidP="00182966">
      <w:pPr>
        <w:spacing w:line="360" w:lineRule="auto"/>
        <w:jc w:val="both"/>
      </w:pPr>
    </w:p>
    <w:p w14:paraId="7F0C84CD" w14:textId="77777777" w:rsidR="0039731A" w:rsidRPr="00D60EC9" w:rsidRDefault="0039731A" w:rsidP="00D60EC9">
      <w:pPr>
        <w:pStyle w:val="Heading3"/>
        <w:rPr>
          <w:i w:val="0"/>
          <w:iCs w:val="0"/>
        </w:rPr>
      </w:pPr>
      <w:bookmarkStart w:id="36" w:name="_Toc234710568"/>
      <w:r w:rsidRPr="00D60EC9">
        <w:rPr>
          <w:i w:val="0"/>
          <w:iCs w:val="0"/>
        </w:rPr>
        <w:t>4.2.3 Policy Contribution</w:t>
      </w:r>
      <w:bookmarkEnd w:id="36"/>
    </w:p>
    <w:p w14:paraId="1E4FAD80" w14:textId="77777777" w:rsidR="0039731A" w:rsidRPr="001172CF" w:rsidRDefault="0039731A" w:rsidP="0039731A">
      <w:pPr>
        <w:spacing w:line="360" w:lineRule="auto"/>
        <w:jc w:val="both"/>
      </w:pPr>
      <w:r w:rsidRPr="001172CF">
        <w:t xml:space="preserve">The study is also expected to have relevance for policymakers and regulators responsible for digital governance within the UK. Findings relating to GDPR awareness and privacy behaviour may assist organisations such as </w:t>
      </w:r>
      <w:r w:rsidRPr="00562707">
        <w:t>the Information Commissioner's Office (ICO) [19] and the Competition and Markets Authority (CMA) in evaluating</w:t>
      </w:r>
      <w:r w:rsidRPr="001172CF">
        <w:t xml:space="preserve"> the effectiveness of existing transparency requirements and digital literacy initiatives.</w:t>
      </w:r>
    </w:p>
    <w:p w14:paraId="71BFD93E" w14:textId="77777777" w:rsidR="0039731A" w:rsidRDefault="0039731A" w:rsidP="0039731A">
      <w:pPr>
        <w:spacing w:line="360" w:lineRule="auto"/>
        <w:jc w:val="both"/>
      </w:pPr>
      <w:r w:rsidRPr="001172CF">
        <w:t>If GDPR awareness is found to moderate trust behaviour, the findings would support continued investment in public awareness programmes. Conversely, if no moderating effect is identified, this would suggest that increasing awareness alone may be insufficient to influence users' disclosure behaviour, indicating that additional interventions focused on usability, transparency, or interface design may also be required.</w:t>
      </w:r>
    </w:p>
    <w:p w14:paraId="6BB484EF" w14:textId="77777777" w:rsidR="0022371D" w:rsidRDefault="0022371D" w:rsidP="0039731A">
      <w:pPr>
        <w:spacing w:line="360" w:lineRule="auto"/>
        <w:jc w:val="both"/>
      </w:pPr>
    </w:p>
    <w:p w14:paraId="0C7C9067" w14:textId="77777777" w:rsidR="0022371D" w:rsidRPr="001172CF" w:rsidRDefault="0022371D" w:rsidP="0039731A">
      <w:pPr>
        <w:spacing w:line="360" w:lineRule="auto"/>
        <w:jc w:val="both"/>
      </w:pPr>
    </w:p>
    <w:p w14:paraId="67FE263E" w14:textId="02BC506C" w:rsidR="0039731A" w:rsidRPr="001172CF" w:rsidRDefault="0039731A" w:rsidP="0029651E"/>
    <w:p w14:paraId="25B84E2A" w14:textId="77777777" w:rsidR="00343BDA" w:rsidRDefault="00343BDA">
      <w:pPr>
        <w:rPr>
          <w:rFonts w:ascii="Arial" w:eastAsia="Arial" w:hAnsi="Arial" w:cs="Arial"/>
          <w:b/>
          <w:bCs/>
          <w:color w:val="2874A6"/>
          <w:sz w:val="22"/>
          <w:szCs w:val="22"/>
        </w:rPr>
      </w:pPr>
      <w:r>
        <w:rPr>
          <w:i/>
          <w:iCs/>
        </w:rPr>
        <w:br w:type="page"/>
      </w:r>
    </w:p>
    <w:p w14:paraId="1C0E0925" w14:textId="4A6527E5" w:rsidR="0039731A" w:rsidRPr="00D60EC9" w:rsidRDefault="0039731A" w:rsidP="00D60EC9">
      <w:pPr>
        <w:pStyle w:val="Heading3"/>
        <w:rPr>
          <w:i w:val="0"/>
          <w:iCs w:val="0"/>
        </w:rPr>
      </w:pPr>
      <w:bookmarkStart w:id="37" w:name="_Toc234710569"/>
      <w:r w:rsidRPr="00D60EC9">
        <w:rPr>
          <w:i w:val="0"/>
          <w:iCs w:val="0"/>
        </w:rPr>
        <w:lastRenderedPageBreak/>
        <w:t>4.2.4</w:t>
      </w:r>
      <w:r w:rsidR="00182966" w:rsidRPr="00D60EC9">
        <w:rPr>
          <w:i w:val="0"/>
          <w:iCs w:val="0"/>
        </w:rPr>
        <w:t xml:space="preserve"> </w:t>
      </w:r>
      <w:r w:rsidRPr="00D60EC9">
        <w:rPr>
          <w:i w:val="0"/>
          <w:iCs w:val="0"/>
        </w:rPr>
        <w:t>Future Research</w:t>
      </w:r>
      <w:bookmarkEnd w:id="37"/>
    </w:p>
    <w:p w14:paraId="4AEA3BBF" w14:textId="1CAB1064" w:rsidR="00FE1A7E" w:rsidRDefault="0039731A" w:rsidP="00FE1A7E">
      <w:pPr>
        <w:spacing w:line="360" w:lineRule="auto"/>
        <w:jc w:val="both"/>
      </w:pPr>
      <w:r w:rsidRPr="001172CF">
        <w:t>The proposed research is expected to provide a foundation for future investigations into trust in digital environments. The resulting dataset may support comparative studies across different countries, regulatory frameworks, or technology platforms. Furthermore, future longitudinal research could investigate how trust evolves over time as digital services, privacy legislation, and user expectations continue to develop.</w:t>
      </w:r>
    </w:p>
    <w:p w14:paraId="5B7FA81C" w14:textId="77777777" w:rsidR="006D0235" w:rsidRPr="001172CF" w:rsidRDefault="006D0235" w:rsidP="00FE1A7E">
      <w:pPr>
        <w:spacing w:line="360" w:lineRule="auto"/>
        <w:jc w:val="both"/>
      </w:pPr>
    </w:p>
    <w:p w14:paraId="4D114780" w14:textId="28A4A5E9" w:rsidR="00B37289" w:rsidRPr="001172CF" w:rsidRDefault="008C4330" w:rsidP="00AC2615">
      <w:pPr>
        <w:pStyle w:val="Heading2"/>
        <w:tabs>
          <w:tab w:val="left" w:pos="2484"/>
        </w:tabs>
        <w:rPr>
          <w:rFonts w:ascii="Times New Roman" w:hAnsi="Times New Roman" w:cs="Times New Roman"/>
        </w:rPr>
      </w:pPr>
      <w:bookmarkStart w:id="38" w:name="_Toc234710570"/>
      <w:r w:rsidRPr="001172CF">
        <w:rPr>
          <w:rFonts w:ascii="Times New Roman" w:hAnsi="Times New Roman" w:cs="Times New Roman"/>
        </w:rPr>
        <w:t>4.3 Limitations</w:t>
      </w:r>
      <w:r w:rsidR="00AC3ABD" w:rsidRPr="001172CF">
        <w:rPr>
          <w:rFonts w:ascii="Times New Roman" w:hAnsi="Times New Roman" w:cs="Times New Roman"/>
        </w:rPr>
        <w:t xml:space="preserve"> of the Expected Findings</w:t>
      </w:r>
      <w:bookmarkEnd w:id="38"/>
      <w:r w:rsidRPr="001172CF">
        <w:rPr>
          <w:rFonts w:ascii="Times New Roman" w:hAnsi="Times New Roman" w:cs="Times New Roman"/>
        </w:rPr>
        <w:tab/>
      </w:r>
    </w:p>
    <w:p w14:paraId="3B68FB2A" w14:textId="77777777" w:rsidR="00B76ACE" w:rsidRPr="001172CF" w:rsidRDefault="00B76ACE" w:rsidP="00562707">
      <w:pPr>
        <w:spacing w:before="160" w:after="120" w:line="360" w:lineRule="auto"/>
        <w:jc w:val="both"/>
        <w:rPr>
          <w:color w:val="000000"/>
        </w:rPr>
      </w:pPr>
      <w:r w:rsidRPr="001172CF">
        <w:rPr>
          <w:color w:val="000000"/>
        </w:rPr>
        <w:t>Although the proposed research has been designed to produce reliable and valid findings, several limitations should be considered when interpreting the anticipated outcomes. First, the study adopts a cross-sectional design, meaning trust perceptions will be measured at a single point in time. As trust is influenced by evolving technologies, regulatory changes, and high-profile data breaches, the findings may not reflect changes in user behaviour over longer periods.</w:t>
      </w:r>
    </w:p>
    <w:p w14:paraId="45784449" w14:textId="77777777" w:rsidR="00B76ACE" w:rsidRPr="001172CF" w:rsidRDefault="00B76ACE" w:rsidP="00562707">
      <w:pPr>
        <w:spacing w:before="160" w:after="120" w:line="360" w:lineRule="auto"/>
        <w:jc w:val="both"/>
        <w:rPr>
          <w:color w:val="000000"/>
        </w:rPr>
      </w:pPr>
      <w:r w:rsidRPr="001172CF">
        <w:rPr>
          <w:color w:val="000000"/>
        </w:rPr>
        <w:t>Second, the study relies on self-reported questionnaire responses, which may differ from participants' actual online behaviour. This is particularly relevant to the Privacy Paradox, where individuals often report strong privacy concerns but behave differently when interacting with digital services. Consequently, the results should be interpreted as perceptions of trust rather than direct observations of behaviour.</w:t>
      </w:r>
    </w:p>
    <w:p w14:paraId="31E0900B" w14:textId="77777777" w:rsidR="00B76ACE" w:rsidRPr="001172CF" w:rsidRDefault="00B76ACE" w:rsidP="00562707">
      <w:pPr>
        <w:spacing w:before="160" w:after="120" w:line="360" w:lineRule="auto"/>
        <w:jc w:val="both"/>
        <w:rPr>
          <w:color w:val="000000"/>
        </w:rPr>
      </w:pPr>
      <w:r w:rsidRPr="001172CF">
        <w:rPr>
          <w:color w:val="000000"/>
        </w:rPr>
        <w:t>Third, although the proposed sample size is sufficient for the planned statistical analyses, participants will be recruited through non-probability convenience sampling, which may limit the generalisability of the findings to the wider UK population. Certain demographic groups, particularly individuals with limited digital engagement, may therefore be underrepresented.</w:t>
      </w:r>
    </w:p>
    <w:p w14:paraId="0F02C293" w14:textId="77777777" w:rsidR="00B76ACE" w:rsidRPr="001172CF" w:rsidRDefault="00B76ACE" w:rsidP="00562707">
      <w:pPr>
        <w:spacing w:before="160" w:after="120" w:line="360" w:lineRule="auto"/>
        <w:jc w:val="both"/>
        <w:rPr>
          <w:color w:val="000000"/>
        </w:rPr>
      </w:pPr>
      <w:r w:rsidRPr="001172CF">
        <w:rPr>
          <w:color w:val="000000"/>
        </w:rPr>
        <w:t>Despite these limitations, the proposed methodology provides an appropriate and practical approach for investigating the research objectives within the scope, time, and resource constraints of this MSc research project. The use of validated measurement scales, pilot testing, and appropriate statistical techniques is expected to strengthen the reliability and credibility of the findings.</w:t>
      </w:r>
    </w:p>
    <w:p w14:paraId="77EF4D4D" w14:textId="7BB9E23F" w:rsidR="00B76ACE" w:rsidRPr="001172CF" w:rsidRDefault="00B76ACE" w:rsidP="00562707">
      <w:pPr>
        <w:spacing w:before="160" w:after="120" w:line="360" w:lineRule="auto"/>
        <w:jc w:val="both"/>
        <w:rPr>
          <w:color w:val="000000"/>
        </w:rPr>
      </w:pPr>
      <w:r w:rsidRPr="001172CF">
        <w:rPr>
          <w:color w:val="000000"/>
        </w:rPr>
        <w:t xml:space="preserve">A detailed Project Risk Register, identifying potential research risks together with their likelihood, impact, and mitigation strategies, is provided in </w:t>
      </w:r>
      <w:r w:rsidRPr="001172CF">
        <w:rPr>
          <w:b/>
          <w:bCs/>
          <w:color w:val="000000"/>
        </w:rPr>
        <w:t xml:space="preserve">Appendix </w:t>
      </w:r>
      <w:r w:rsidR="009F11F4" w:rsidRPr="001172CF">
        <w:rPr>
          <w:b/>
          <w:bCs/>
          <w:color w:val="000000"/>
        </w:rPr>
        <w:t>G</w:t>
      </w:r>
      <w:r w:rsidRPr="001172CF">
        <w:rPr>
          <w:b/>
          <w:bCs/>
          <w:color w:val="000000"/>
        </w:rPr>
        <w:t>.</w:t>
      </w:r>
    </w:p>
    <w:p w14:paraId="3DF8C47E" w14:textId="598FC983" w:rsidR="00E10073" w:rsidRPr="001172CF" w:rsidRDefault="00E10073" w:rsidP="00B76ACE">
      <w:pPr>
        <w:spacing w:before="160" w:after="120" w:line="276" w:lineRule="auto"/>
        <w:jc w:val="both"/>
        <w:rPr>
          <w:color w:val="000000"/>
        </w:rPr>
      </w:pPr>
    </w:p>
    <w:p w14:paraId="2FA1818B" w14:textId="77777777" w:rsidR="00E10073" w:rsidRPr="001172CF" w:rsidRDefault="00E10073">
      <w:pPr>
        <w:rPr>
          <w:b/>
          <w:bCs/>
          <w:color w:val="1A5276"/>
          <w:sz w:val="30"/>
          <w:szCs w:val="30"/>
        </w:rPr>
      </w:pPr>
      <w:r w:rsidRPr="001172CF">
        <w:br w:type="page"/>
      </w:r>
    </w:p>
    <w:p w14:paraId="01A4AC0C" w14:textId="2EDAEFD0" w:rsidR="00F72202" w:rsidRDefault="00F72202" w:rsidP="00F72202">
      <w:pPr>
        <w:pStyle w:val="Heading1"/>
      </w:pPr>
      <w:bookmarkStart w:id="39" w:name="_Toc234710571"/>
      <w:r>
        <w:lastRenderedPageBreak/>
        <w:t>5.  Project Timeline</w:t>
      </w:r>
      <w:bookmarkEnd w:id="39"/>
    </w:p>
    <w:p w14:paraId="2B1A06FA" w14:textId="73CE7F5C" w:rsidR="00C75057" w:rsidRDefault="00877160" w:rsidP="009C7592">
      <w:pPr>
        <w:spacing w:after="220" w:line="360" w:lineRule="auto"/>
        <w:jc w:val="both"/>
      </w:pPr>
      <w:r w:rsidRPr="00877160">
        <w:t>The proposed research will be completed over a proposed ten-week period, with several activities overlapping to ensure efficient use of time. The project begins with refining the literature review and obtaining ethical approval before progressing to questionnaire development, data collection, statistical analysis, and dissertation writing. The complete project schedule is presented in Appendix H (Figure H1) as a Gantt chart, demonstrating that the research is achievable within the available timeframe. Key milestones include ethics committee approval by the end of proposed Week 2, survey closure at the end of proposed Week 5, completion of all statistical analysis by proposed Week 7, and final submission in proposed Week 10.</w:t>
      </w:r>
    </w:p>
    <w:p w14:paraId="4BBC25F3" w14:textId="77777777" w:rsidR="00C75057" w:rsidRDefault="00C75057">
      <w:pPr>
        <w:rPr>
          <w:rFonts w:ascii="Arial" w:eastAsia="Arial" w:hAnsi="Arial" w:cs="Arial"/>
          <w:b/>
          <w:bCs/>
          <w:color w:val="1A5276"/>
          <w:sz w:val="30"/>
          <w:szCs w:val="30"/>
        </w:rPr>
      </w:pPr>
      <w:r>
        <w:br w:type="page"/>
      </w:r>
    </w:p>
    <w:p w14:paraId="0B0D33C4" w14:textId="71D32194" w:rsidR="00B37289" w:rsidRPr="008B4FD7" w:rsidRDefault="008C4330" w:rsidP="008B4FD7">
      <w:pPr>
        <w:pStyle w:val="Heading1"/>
      </w:pPr>
      <w:bookmarkStart w:id="40" w:name="_Toc234710572"/>
      <w:r w:rsidRPr="008B4FD7">
        <w:lastRenderedPageBreak/>
        <w:t>6. References</w:t>
      </w:r>
      <w:bookmarkEnd w:id="40"/>
      <w:r w:rsidRPr="008B4FD7">
        <w:t xml:space="preserve">  </w:t>
      </w:r>
    </w:p>
    <w:p w14:paraId="1487A081" w14:textId="77777777" w:rsidR="00B37289" w:rsidRPr="001172CF" w:rsidRDefault="00B37289">
      <w:pPr>
        <w:spacing w:before="80"/>
      </w:pPr>
    </w:p>
    <w:p w14:paraId="3225251C" w14:textId="77777777" w:rsidR="007D090E" w:rsidRPr="001172CF" w:rsidRDefault="00D16C26">
      <w:pPr>
        <w:spacing w:before="80" w:after="60"/>
        <w:ind w:left="400" w:hanging="400"/>
      </w:pPr>
      <w:r w:rsidRPr="001172CF">
        <w:rPr>
          <w:sz w:val="21"/>
          <w:szCs w:val="21"/>
        </w:rPr>
        <w:t>[1]</w:t>
      </w:r>
      <w:r w:rsidRPr="001172CF">
        <w:rPr>
          <w:sz w:val="21"/>
          <w:szCs w:val="21"/>
        </w:rPr>
        <w:tab/>
        <w:t>Thales Group, 2024 Consumer Digital Trust Index. Thales: Paris, France, 2024. [Online]. Available: https://cpl.thalesgroup.com/2024/digital-trust-index. [Accessed: May 2026].</w:t>
      </w:r>
    </w:p>
    <w:p w14:paraId="560D6CDD" w14:textId="77777777" w:rsidR="007D090E" w:rsidRPr="001172CF" w:rsidRDefault="00D16C26">
      <w:pPr>
        <w:spacing w:before="80" w:after="60"/>
        <w:ind w:left="400" w:hanging="400"/>
      </w:pPr>
      <w:r w:rsidRPr="001172CF">
        <w:rPr>
          <w:sz w:val="21"/>
          <w:szCs w:val="21"/>
        </w:rPr>
        <w:t>[2]</w:t>
      </w:r>
      <w:r w:rsidRPr="001172CF">
        <w:rPr>
          <w:sz w:val="21"/>
          <w:szCs w:val="21"/>
        </w:rPr>
        <w:tab/>
        <w:t xml:space="preserve">F. D. Davis, "Perceived usefulness, perceived ease of use, and user acceptance of information technology," MIS Quarterly, vol. 13, no. 3, pp. 319–340, Sep. 1989, </w:t>
      </w:r>
      <w:proofErr w:type="spellStart"/>
      <w:r w:rsidRPr="001172CF">
        <w:rPr>
          <w:sz w:val="21"/>
          <w:szCs w:val="21"/>
        </w:rPr>
        <w:t>doi</w:t>
      </w:r>
      <w:proofErr w:type="spellEnd"/>
      <w:r w:rsidRPr="001172CF">
        <w:rPr>
          <w:sz w:val="21"/>
          <w:szCs w:val="21"/>
        </w:rPr>
        <w:t>: 10.2307/249008.</w:t>
      </w:r>
    </w:p>
    <w:p w14:paraId="5C1639A1" w14:textId="77777777" w:rsidR="007D090E" w:rsidRPr="001172CF" w:rsidRDefault="00D16C26">
      <w:pPr>
        <w:spacing w:before="80" w:after="60"/>
        <w:ind w:left="400" w:hanging="400"/>
      </w:pPr>
      <w:r w:rsidRPr="001172CF">
        <w:rPr>
          <w:sz w:val="21"/>
          <w:szCs w:val="21"/>
        </w:rPr>
        <w:t>[3]</w:t>
      </w:r>
      <w:r w:rsidRPr="001172CF">
        <w:rPr>
          <w:sz w:val="21"/>
          <w:szCs w:val="21"/>
        </w:rPr>
        <w:tab/>
        <w:t xml:space="preserve">V. Venkatesh, M. G. Morris, G. B. Davis, and F. D. Davis, "User acceptance of information technology: Toward a unified view," MIS Quarterly, vol. 27, no. 3, pp. 425–478, Sep. 2003, </w:t>
      </w:r>
      <w:proofErr w:type="spellStart"/>
      <w:r w:rsidRPr="001172CF">
        <w:rPr>
          <w:sz w:val="21"/>
          <w:szCs w:val="21"/>
        </w:rPr>
        <w:t>doi</w:t>
      </w:r>
      <w:proofErr w:type="spellEnd"/>
      <w:r w:rsidRPr="001172CF">
        <w:rPr>
          <w:sz w:val="21"/>
          <w:szCs w:val="21"/>
        </w:rPr>
        <w:t>: 10.2307/30036540.</w:t>
      </w:r>
    </w:p>
    <w:p w14:paraId="5BADC7D4" w14:textId="77777777" w:rsidR="007D090E" w:rsidRPr="001172CF" w:rsidRDefault="00D16C26">
      <w:pPr>
        <w:spacing w:before="80" w:after="60"/>
        <w:ind w:left="400" w:hanging="400"/>
      </w:pPr>
      <w:r w:rsidRPr="001172CF">
        <w:rPr>
          <w:sz w:val="21"/>
          <w:szCs w:val="21"/>
        </w:rPr>
        <w:t>[4]</w:t>
      </w:r>
      <w:r w:rsidRPr="001172CF">
        <w:rPr>
          <w:sz w:val="21"/>
          <w:szCs w:val="21"/>
        </w:rPr>
        <w:tab/>
        <w:t xml:space="preserve">G. Fox, T. Lynn, and P. Rosati, "Enhancing consumer perceptions of privacy and trust: A GDPR label perspective," Information Technology &amp; People, vol. 35, no. 8, pp. 181–204, 2022, </w:t>
      </w:r>
      <w:proofErr w:type="spellStart"/>
      <w:r w:rsidRPr="001172CF">
        <w:rPr>
          <w:sz w:val="21"/>
          <w:szCs w:val="21"/>
        </w:rPr>
        <w:t>doi</w:t>
      </w:r>
      <w:proofErr w:type="spellEnd"/>
      <w:r w:rsidRPr="001172CF">
        <w:rPr>
          <w:sz w:val="21"/>
          <w:szCs w:val="21"/>
        </w:rPr>
        <w:t>: 10.1108/ITP-09-2021-0706.</w:t>
      </w:r>
    </w:p>
    <w:p w14:paraId="34D7F0E6" w14:textId="77777777" w:rsidR="007D090E" w:rsidRPr="001172CF" w:rsidRDefault="00D16C26">
      <w:pPr>
        <w:spacing w:before="80" w:after="60"/>
        <w:ind w:left="400" w:hanging="400"/>
      </w:pPr>
      <w:r w:rsidRPr="001172CF">
        <w:rPr>
          <w:sz w:val="21"/>
          <w:szCs w:val="21"/>
        </w:rPr>
        <w:t>[5]</w:t>
      </w:r>
      <w:r w:rsidRPr="001172CF">
        <w:rPr>
          <w:sz w:val="21"/>
          <w:szCs w:val="21"/>
        </w:rPr>
        <w:tab/>
        <w:t xml:space="preserve">O. Kulyk, N. Gerber, A. Hilt, and M. </w:t>
      </w:r>
      <w:proofErr w:type="spellStart"/>
      <w:r w:rsidRPr="001172CF">
        <w:rPr>
          <w:sz w:val="21"/>
          <w:szCs w:val="21"/>
        </w:rPr>
        <w:t>Volkamer</w:t>
      </w:r>
      <w:proofErr w:type="spellEnd"/>
      <w:r w:rsidRPr="001172CF">
        <w:rPr>
          <w:sz w:val="21"/>
          <w:szCs w:val="21"/>
        </w:rPr>
        <w:t xml:space="preserve">, "Has the GDPR hype affected users’ reaction to cookie disclaimers?" Journal of Cybersecurity, vol. 6, no. 1, Art. tyaa022, 2020, </w:t>
      </w:r>
      <w:proofErr w:type="spellStart"/>
      <w:r w:rsidRPr="001172CF">
        <w:rPr>
          <w:sz w:val="21"/>
          <w:szCs w:val="21"/>
        </w:rPr>
        <w:t>doi</w:t>
      </w:r>
      <w:proofErr w:type="spellEnd"/>
      <w:r w:rsidRPr="001172CF">
        <w:rPr>
          <w:sz w:val="21"/>
          <w:szCs w:val="21"/>
        </w:rPr>
        <w:t>: 10.1093/</w:t>
      </w:r>
      <w:proofErr w:type="spellStart"/>
      <w:r w:rsidRPr="001172CF">
        <w:rPr>
          <w:sz w:val="21"/>
          <w:szCs w:val="21"/>
        </w:rPr>
        <w:t>cybsec</w:t>
      </w:r>
      <w:proofErr w:type="spellEnd"/>
      <w:r w:rsidRPr="001172CF">
        <w:rPr>
          <w:sz w:val="21"/>
          <w:szCs w:val="21"/>
        </w:rPr>
        <w:t>/tyaa022.</w:t>
      </w:r>
    </w:p>
    <w:p w14:paraId="5B417C13" w14:textId="77777777" w:rsidR="007D090E" w:rsidRPr="001172CF" w:rsidRDefault="00D16C26">
      <w:pPr>
        <w:spacing w:before="80" w:after="60"/>
        <w:ind w:left="400" w:hanging="400"/>
      </w:pPr>
      <w:r w:rsidRPr="001172CF">
        <w:rPr>
          <w:sz w:val="21"/>
          <w:szCs w:val="21"/>
        </w:rPr>
        <w:t>[6]</w:t>
      </w:r>
      <w:r w:rsidRPr="001172CF">
        <w:rPr>
          <w:sz w:val="21"/>
          <w:szCs w:val="21"/>
        </w:rPr>
        <w:tab/>
        <w:t xml:space="preserve">G. </w:t>
      </w:r>
      <w:proofErr w:type="spellStart"/>
      <w:r w:rsidRPr="001172CF">
        <w:rPr>
          <w:sz w:val="21"/>
          <w:szCs w:val="21"/>
        </w:rPr>
        <w:t>Aridor</w:t>
      </w:r>
      <w:proofErr w:type="spellEnd"/>
      <w:r w:rsidRPr="001172CF">
        <w:rPr>
          <w:sz w:val="21"/>
          <w:szCs w:val="21"/>
        </w:rPr>
        <w:t xml:space="preserve">, Y.-K. Che, and T. Salz, "The effect of privacy regulation on the data industry: Empirical evidence from GDPR," The RAND Journal of Economics, vol. 54, no. 4, pp. 744–775, 2023, </w:t>
      </w:r>
      <w:proofErr w:type="spellStart"/>
      <w:r w:rsidRPr="001172CF">
        <w:rPr>
          <w:sz w:val="21"/>
          <w:szCs w:val="21"/>
        </w:rPr>
        <w:t>doi</w:t>
      </w:r>
      <w:proofErr w:type="spellEnd"/>
      <w:r w:rsidRPr="001172CF">
        <w:rPr>
          <w:sz w:val="21"/>
          <w:szCs w:val="21"/>
        </w:rPr>
        <w:t>: 10.1111/1756-2171.12455.</w:t>
      </w:r>
    </w:p>
    <w:p w14:paraId="7A41BA8B" w14:textId="77777777" w:rsidR="007D090E" w:rsidRPr="001172CF" w:rsidRDefault="00D16C26">
      <w:pPr>
        <w:spacing w:before="80" w:after="60"/>
        <w:ind w:left="400" w:hanging="400"/>
      </w:pPr>
      <w:r w:rsidRPr="001172CF">
        <w:rPr>
          <w:sz w:val="21"/>
          <w:szCs w:val="21"/>
        </w:rPr>
        <w:t>[7]</w:t>
      </w:r>
      <w:r w:rsidRPr="001172CF">
        <w:rPr>
          <w:sz w:val="21"/>
          <w:szCs w:val="21"/>
        </w:rPr>
        <w:tab/>
        <w:t>Cisco, Cisco 2024 Consumer Privacy Survey. Cisco: San Jose, CA, USA, 2024. [Online]. Available: https://www.cisco.com/c/dam/en_us/about/doing_business/trust-center/docs/cisco-consumer-privacy-report-2024.pdf. [Accessed: May 2026].</w:t>
      </w:r>
    </w:p>
    <w:p w14:paraId="469E57F0" w14:textId="77777777" w:rsidR="007D090E" w:rsidRPr="001172CF" w:rsidRDefault="00D16C26">
      <w:pPr>
        <w:spacing w:before="80" w:after="60"/>
        <w:ind w:left="400" w:hanging="400"/>
      </w:pPr>
      <w:r w:rsidRPr="001172CF">
        <w:rPr>
          <w:sz w:val="21"/>
          <w:szCs w:val="21"/>
        </w:rPr>
        <w:t>[8]</w:t>
      </w:r>
      <w:r w:rsidRPr="001172CF">
        <w:rPr>
          <w:sz w:val="21"/>
          <w:szCs w:val="21"/>
        </w:rPr>
        <w:tab/>
        <w:t xml:space="preserve">C. L. Corritore, B. Kracher, and S. Wiedenbeck, "On-line trust: Concepts, evolving themes, a model," International Journal of Human-Computer Studies, vol. 58, no. 6, pp. 737–758, Jun. 2003, </w:t>
      </w:r>
      <w:proofErr w:type="spellStart"/>
      <w:r w:rsidRPr="001172CF">
        <w:rPr>
          <w:sz w:val="21"/>
          <w:szCs w:val="21"/>
        </w:rPr>
        <w:t>doi</w:t>
      </w:r>
      <w:proofErr w:type="spellEnd"/>
      <w:r w:rsidRPr="001172CF">
        <w:rPr>
          <w:sz w:val="21"/>
          <w:szCs w:val="21"/>
        </w:rPr>
        <w:t>: 10.1016/S1071-5819(03)00041-7.</w:t>
      </w:r>
    </w:p>
    <w:p w14:paraId="43A06C54" w14:textId="77777777" w:rsidR="007D090E" w:rsidRPr="001172CF" w:rsidRDefault="00D16C26">
      <w:pPr>
        <w:spacing w:before="80" w:after="60"/>
        <w:ind w:left="400" w:hanging="400"/>
      </w:pPr>
      <w:r w:rsidRPr="001172CF">
        <w:rPr>
          <w:sz w:val="21"/>
          <w:szCs w:val="21"/>
        </w:rPr>
        <w:t>[9]</w:t>
      </w:r>
      <w:r w:rsidRPr="001172CF">
        <w:rPr>
          <w:sz w:val="21"/>
          <w:szCs w:val="21"/>
        </w:rPr>
        <w:tab/>
        <w:t xml:space="preserve">S. Kokolakis, "Privacy attitudes and privacy behaviour: A review of current research on the privacy paradox phenomenon," Computers &amp; Security, vol. 64, pp. 122–134, Jan. 2017, </w:t>
      </w:r>
      <w:proofErr w:type="spellStart"/>
      <w:r w:rsidRPr="001172CF">
        <w:rPr>
          <w:sz w:val="21"/>
          <w:szCs w:val="21"/>
        </w:rPr>
        <w:t>doi</w:t>
      </w:r>
      <w:proofErr w:type="spellEnd"/>
      <w:r w:rsidRPr="001172CF">
        <w:rPr>
          <w:sz w:val="21"/>
          <w:szCs w:val="21"/>
        </w:rPr>
        <w:t>: 10.1016/j.cose.2015.07.002.</w:t>
      </w:r>
    </w:p>
    <w:p w14:paraId="7C6899B2" w14:textId="77777777" w:rsidR="007D090E" w:rsidRPr="001172CF" w:rsidRDefault="00D16C26">
      <w:pPr>
        <w:spacing w:before="80" w:after="60"/>
        <w:ind w:left="400" w:hanging="400"/>
      </w:pPr>
      <w:r w:rsidRPr="001172CF">
        <w:rPr>
          <w:sz w:val="21"/>
          <w:szCs w:val="21"/>
        </w:rPr>
        <w:t>[10]</w:t>
      </w:r>
      <w:r w:rsidRPr="001172CF">
        <w:rPr>
          <w:sz w:val="21"/>
          <w:szCs w:val="21"/>
        </w:rPr>
        <w:tab/>
        <w:t xml:space="preserve">Z. Wang and Z. Chen, "Analysing the causes and implications of the privacy paradox: Consumer surveillance and online data collection," Bulletin of Science, Technology &amp; Society, vol. 43, no. 3–4, pp. 86–93, 2023, </w:t>
      </w:r>
      <w:proofErr w:type="spellStart"/>
      <w:r w:rsidRPr="001172CF">
        <w:rPr>
          <w:sz w:val="21"/>
          <w:szCs w:val="21"/>
        </w:rPr>
        <w:t>doi</w:t>
      </w:r>
      <w:proofErr w:type="spellEnd"/>
      <w:r w:rsidRPr="001172CF">
        <w:rPr>
          <w:sz w:val="21"/>
          <w:szCs w:val="21"/>
        </w:rPr>
        <w:t>: 10.1177/02704676231220842.</w:t>
      </w:r>
    </w:p>
    <w:p w14:paraId="53DD30EF" w14:textId="77777777" w:rsidR="007D090E" w:rsidRPr="001172CF" w:rsidRDefault="00D16C26">
      <w:pPr>
        <w:spacing w:before="80" w:after="60"/>
        <w:ind w:left="400" w:hanging="400"/>
      </w:pPr>
      <w:r w:rsidRPr="001172CF">
        <w:rPr>
          <w:sz w:val="21"/>
          <w:szCs w:val="21"/>
        </w:rPr>
        <w:t>[11]</w:t>
      </w:r>
      <w:r w:rsidRPr="001172CF">
        <w:rPr>
          <w:sz w:val="21"/>
          <w:szCs w:val="21"/>
        </w:rPr>
        <w:tab/>
        <w:t>Capterra, "Share of consumers trusting online companies with their personal data worldwide, by country," Statista, Nov. 2022. [Online]. Available: https://www.statista.com/statistics/1426497/consumer-trust-sharing-personal-data-online-companies-by-country/. [Accessed: May 2026].</w:t>
      </w:r>
    </w:p>
    <w:p w14:paraId="67AB109F" w14:textId="77777777" w:rsidR="007D090E" w:rsidRPr="001172CF" w:rsidRDefault="00D16C26">
      <w:pPr>
        <w:spacing w:before="80" w:after="60"/>
        <w:ind w:left="400" w:hanging="400"/>
      </w:pPr>
      <w:r w:rsidRPr="001172CF">
        <w:rPr>
          <w:sz w:val="21"/>
          <w:szCs w:val="21"/>
        </w:rPr>
        <w:t>[12]</w:t>
      </w:r>
      <w:r w:rsidRPr="001172CF">
        <w:rPr>
          <w:sz w:val="21"/>
          <w:szCs w:val="21"/>
        </w:rPr>
        <w:tab/>
        <w:t xml:space="preserve">D. H. McKnight, V. Choudhury, and C. Kacmar, "The impact of initial consumer trust on intentions to transact with a web site: A trust building model," Journal of Strategic Information Systems, vol. 11, no. 3–4, pp. 297–323, Dec. 2002, </w:t>
      </w:r>
      <w:proofErr w:type="spellStart"/>
      <w:r w:rsidRPr="001172CF">
        <w:rPr>
          <w:sz w:val="21"/>
          <w:szCs w:val="21"/>
        </w:rPr>
        <w:t>doi</w:t>
      </w:r>
      <w:proofErr w:type="spellEnd"/>
      <w:r w:rsidRPr="001172CF">
        <w:rPr>
          <w:sz w:val="21"/>
          <w:szCs w:val="21"/>
        </w:rPr>
        <w:t>: 10.1016/S0963-8687(02)00020-3.</w:t>
      </w:r>
    </w:p>
    <w:p w14:paraId="28A98EC3" w14:textId="77777777" w:rsidR="007D090E" w:rsidRPr="001172CF" w:rsidRDefault="00D16C26">
      <w:pPr>
        <w:spacing w:before="80" w:after="60"/>
        <w:ind w:left="400" w:hanging="400"/>
      </w:pPr>
      <w:r w:rsidRPr="001172CF">
        <w:rPr>
          <w:sz w:val="21"/>
          <w:szCs w:val="21"/>
        </w:rPr>
        <w:t>[13]</w:t>
      </w:r>
      <w:r w:rsidRPr="001172CF">
        <w:rPr>
          <w:sz w:val="21"/>
          <w:szCs w:val="21"/>
        </w:rPr>
        <w:tab/>
        <w:t xml:space="preserve">B. J. Fogg et al., "What makes web sites credible? A report on a large quantitative study," in Proc. SIGCHI Conf. Human Factors in Computing Systems (CHI '01), Seattle, WA, USA: ACM, 2001, pp. 61–68, </w:t>
      </w:r>
      <w:proofErr w:type="spellStart"/>
      <w:r w:rsidRPr="001172CF">
        <w:rPr>
          <w:sz w:val="21"/>
          <w:szCs w:val="21"/>
        </w:rPr>
        <w:t>doi</w:t>
      </w:r>
      <w:proofErr w:type="spellEnd"/>
      <w:r w:rsidRPr="001172CF">
        <w:rPr>
          <w:sz w:val="21"/>
          <w:szCs w:val="21"/>
        </w:rPr>
        <w:t>: 10.1145/365024.365037.</w:t>
      </w:r>
    </w:p>
    <w:p w14:paraId="0BD69101" w14:textId="77777777" w:rsidR="007D090E" w:rsidRPr="001172CF" w:rsidRDefault="00D16C26">
      <w:pPr>
        <w:spacing w:before="80" w:after="60"/>
        <w:ind w:left="400" w:hanging="400"/>
      </w:pPr>
      <w:r w:rsidRPr="001172CF">
        <w:rPr>
          <w:sz w:val="21"/>
          <w:szCs w:val="21"/>
        </w:rPr>
        <w:t>[14]</w:t>
      </w:r>
      <w:r w:rsidRPr="001172CF">
        <w:rPr>
          <w:sz w:val="21"/>
          <w:szCs w:val="21"/>
        </w:rPr>
        <w:tab/>
        <w:t xml:space="preserve">V. Zieglmeier and A. M. </w:t>
      </w:r>
      <w:proofErr w:type="spellStart"/>
      <w:r w:rsidRPr="001172CF">
        <w:rPr>
          <w:sz w:val="21"/>
          <w:szCs w:val="21"/>
        </w:rPr>
        <w:t>Lehene</w:t>
      </w:r>
      <w:proofErr w:type="spellEnd"/>
      <w:r w:rsidRPr="001172CF">
        <w:rPr>
          <w:sz w:val="21"/>
          <w:szCs w:val="21"/>
        </w:rPr>
        <w:t>, "Designing trustworthy user interfaces," in Proc. 33rd Austral. Conf. Human-Computer Interaction (</w:t>
      </w:r>
      <w:proofErr w:type="spellStart"/>
      <w:r w:rsidRPr="001172CF">
        <w:rPr>
          <w:sz w:val="21"/>
          <w:szCs w:val="21"/>
        </w:rPr>
        <w:t>OzCHI</w:t>
      </w:r>
      <w:proofErr w:type="spellEnd"/>
      <w:r w:rsidRPr="001172CF">
        <w:rPr>
          <w:sz w:val="21"/>
          <w:szCs w:val="21"/>
        </w:rPr>
        <w:t xml:space="preserve"> '21), Melbourne, Australia, Nov.–Dec. 2021, pp. 1–8, </w:t>
      </w:r>
      <w:proofErr w:type="spellStart"/>
      <w:r w:rsidRPr="001172CF">
        <w:rPr>
          <w:sz w:val="21"/>
          <w:szCs w:val="21"/>
        </w:rPr>
        <w:t>doi</w:t>
      </w:r>
      <w:proofErr w:type="spellEnd"/>
      <w:r w:rsidRPr="001172CF">
        <w:rPr>
          <w:sz w:val="21"/>
          <w:szCs w:val="21"/>
        </w:rPr>
        <w:t>: 10.1145/3520495.3520525.</w:t>
      </w:r>
    </w:p>
    <w:p w14:paraId="418595C0" w14:textId="77777777" w:rsidR="007D090E" w:rsidRPr="001172CF" w:rsidRDefault="00D16C26">
      <w:pPr>
        <w:spacing w:before="80" w:after="60"/>
        <w:ind w:left="400" w:hanging="400"/>
      </w:pPr>
      <w:r w:rsidRPr="001172CF">
        <w:rPr>
          <w:sz w:val="21"/>
          <w:szCs w:val="21"/>
        </w:rPr>
        <w:t>[15]</w:t>
      </w:r>
      <w:r w:rsidRPr="001172CF">
        <w:rPr>
          <w:sz w:val="21"/>
          <w:szCs w:val="21"/>
        </w:rPr>
        <w:tab/>
        <w:t xml:space="preserve">J. R. Goodman, A. Costa, and R. Milne, "Trust and perceived trustworthiness in health-related data sharing among UK adults: Cross-sectional survey," JMIR Formative Research, 2025, </w:t>
      </w:r>
      <w:proofErr w:type="spellStart"/>
      <w:r w:rsidRPr="001172CF">
        <w:rPr>
          <w:sz w:val="21"/>
          <w:szCs w:val="21"/>
        </w:rPr>
        <w:t>doi</w:t>
      </w:r>
      <w:proofErr w:type="spellEnd"/>
      <w:r w:rsidRPr="001172CF">
        <w:rPr>
          <w:sz w:val="21"/>
          <w:szCs w:val="21"/>
        </w:rPr>
        <w:t>: 10.2196/83533.</w:t>
      </w:r>
    </w:p>
    <w:p w14:paraId="3CCEBE0B" w14:textId="77777777" w:rsidR="007D090E" w:rsidRPr="001172CF" w:rsidRDefault="00D16C26">
      <w:pPr>
        <w:spacing w:before="80" w:after="60"/>
        <w:ind w:left="400" w:hanging="400"/>
      </w:pPr>
      <w:r w:rsidRPr="001172CF">
        <w:rPr>
          <w:sz w:val="21"/>
          <w:szCs w:val="21"/>
        </w:rPr>
        <w:t>[16]</w:t>
      </w:r>
      <w:r w:rsidRPr="001172CF">
        <w:rPr>
          <w:sz w:val="21"/>
          <w:szCs w:val="21"/>
        </w:rPr>
        <w:tab/>
        <w:t xml:space="preserve">S. Gulati, J. McDonagh, S. Sousa, and D. Lamas, "Trust models and theories in human–computer interaction: A systematic literature review," Computers in Human </w:t>
      </w:r>
      <w:proofErr w:type="spellStart"/>
      <w:r w:rsidRPr="001172CF">
        <w:rPr>
          <w:sz w:val="21"/>
          <w:szCs w:val="21"/>
        </w:rPr>
        <w:t>Behavior</w:t>
      </w:r>
      <w:proofErr w:type="spellEnd"/>
      <w:r w:rsidRPr="001172CF">
        <w:rPr>
          <w:sz w:val="21"/>
          <w:szCs w:val="21"/>
        </w:rPr>
        <w:t xml:space="preserve"> Reports, vol. 16, Art. 100495, 2024, </w:t>
      </w:r>
      <w:proofErr w:type="spellStart"/>
      <w:r w:rsidRPr="001172CF">
        <w:rPr>
          <w:sz w:val="21"/>
          <w:szCs w:val="21"/>
        </w:rPr>
        <w:t>doi</w:t>
      </w:r>
      <w:proofErr w:type="spellEnd"/>
      <w:r w:rsidRPr="001172CF">
        <w:rPr>
          <w:sz w:val="21"/>
          <w:szCs w:val="21"/>
        </w:rPr>
        <w:t>: 10.1016/j.chbr.2024.100495.</w:t>
      </w:r>
    </w:p>
    <w:p w14:paraId="625D76EC" w14:textId="77777777" w:rsidR="007D090E" w:rsidRPr="001172CF" w:rsidRDefault="00D16C26">
      <w:pPr>
        <w:spacing w:before="80" w:after="60"/>
        <w:ind w:left="400" w:hanging="400"/>
      </w:pPr>
      <w:r w:rsidRPr="001172CF">
        <w:rPr>
          <w:sz w:val="21"/>
          <w:szCs w:val="21"/>
        </w:rPr>
        <w:t>[17]</w:t>
      </w:r>
      <w:r w:rsidRPr="001172CF">
        <w:rPr>
          <w:sz w:val="21"/>
          <w:szCs w:val="21"/>
        </w:rPr>
        <w:tab/>
        <w:t xml:space="preserve">T. </w:t>
      </w:r>
      <w:proofErr w:type="spellStart"/>
      <w:r w:rsidRPr="001172CF">
        <w:rPr>
          <w:sz w:val="21"/>
          <w:szCs w:val="21"/>
        </w:rPr>
        <w:t>Dienlin</w:t>
      </w:r>
      <w:proofErr w:type="spellEnd"/>
      <w:r w:rsidRPr="001172CF">
        <w:rPr>
          <w:sz w:val="21"/>
          <w:szCs w:val="21"/>
        </w:rPr>
        <w:t xml:space="preserve"> and S. </w:t>
      </w:r>
      <w:proofErr w:type="spellStart"/>
      <w:r w:rsidRPr="001172CF">
        <w:rPr>
          <w:sz w:val="21"/>
          <w:szCs w:val="21"/>
        </w:rPr>
        <w:t>Trepte</w:t>
      </w:r>
      <w:proofErr w:type="spellEnd"/>
      <w:r w:rsidRPr="001172CF">
        <w:rPr>
          <w:sz w:val="21"/>
          <w:szCs w:val="21"/>
        </w:rPr>
        <w:t xml:space="preserve">, "Is the privacy paradox a relic of the past? An in-depth analysis of privacy attitudes and privacy </w:t>
      </w:r>
      <w:proofErr w:type="spellStart"/>
      <w:r w:rsidRPr="001172CF">
        <w:rPr>
          <w:sz w:val="21"/>
          <w:szCs w:val="21"/>
        </w:rPr>
        <w:t>behaviors</w:t>
      </w:r>
      <w:proofErr w:type="spellEnd"/>
      <w:r w:rsidRPr="001172CF">
        <w:rPr>
          <w:sz w:val="21"/>
          <w:szCs w:val="21"/>
        </w:rPr>
        <w:t xml:space="preserve">," European Journal of Social Psychology, vol. 45, no. 3, pp. 285–297, 2015, </w:t>
      </w:r>
      <w:proofErr w:type="spellStart"/>
      <w:r w:rsidRPr="001172CF">
        <w:rPr>
          <w:sz w:val="21"/>
          <w:szCs w:val="21"/>
        </w:rPr>
        <w:t>doi</w:t>
      </w:r>
      <w:proofErr w:type="spellEnd"/>
      <w:r w:rsidRPr="001172CF">
        <w:rPr>
          <w:sz w:val="21"/>
          <w:szCs w:val="21"/>
        </w:rPr>
        <w:t>: 10.1002/ejsp.2049.</w:t>
      </w:r>
    </w:p>
    <w:p w14:paraId="36A82E27" w14:textId="77777777" w:rsidR="007D090E" w:rsidRPr="001172CF" w:rsidRDefault="00D16C26">
      <w:pPr>
        <w:spacing w:before="80" w:after="60"/>
        <w:ind w:left="400" w:hanging="400"/>
      </w:pPr>
      <w:r w:rsidRPr="001172CF">
        <w:rPr>
          <w:sz w:val="21"/>
          <w:szCs w:val="21"/>
        </w:rPr>
        <w:t>[18]</w:t>
      </w:r>
      <w:r w:rsidRPr="001172CF">
        <w:rPr>
          <w:sz w:val="21"/>
          <w:szCs w:val="21"/>
        </w:rPr>
        <w:tab/>
        <w:t xml:space="preserve">T. Dinev and P. Hart, "An extended privacy calculus model for e-commerce transactions," Information Systems Research, vol. 17, no. 1, pp. 61–80, Mar. 2006, </w:t>
      </w:r>
      <w:proofErr w:type="spellStart"/>
      <w:r w:rsidRPr="001172CF">
        <w:rPr>
          <w:sz w:val="21"/>
          <w:szCs w:val="21"/>
        </w:rPr>
        <w:t>doi</w:t>
      </w:r>
      <w:proofErr w:type="spellEnd"/>
      <w:r w:rsidRPr="001172CF">
        <w:rPr>
          <w:sz w:val="21"/>
          <w:szCs w:val="21"/>
        </w:rPr>
        <w:t>: 10.1287/isre.1060.0080.</w:t>
      </w:r>
    </w:p>
    <w:p w14:paraId="6CFF4FA7" w14:textId="77777777" w:rsidR="007D090E" w:rsidRPr="001172CF" w:rsidRDefault="00D16C26">
      <w:pPr>
        <w:spacing w:before="80" w:after="60"/>
        <w:ind w:left="400" w:hanging="400"/>
      </w:pPr>
      <w:r w:rsidRPr="001172CF">
        <w:rPr>
          <w:sz w:val="21"/>
          <w:szCs w:val="21"/>
        </w:rPr>
        <w:t>[19]</w:t>
      </w:r>
      <w:r w:rsidRPr="001172CF">
        <w:rPr>
          <w:sz w:val="21"/>
          <w:szCs w:val="21"/>
        </w:rPr>
        <w:tab/>
        <w:t>Information Commissioner’s Office (ICO), UK GDPR Guidance and Resources. Wilmslow, UK: ICO, 2021, updated 2025. [Online]. Available: https://ico.org.uk/for-organisations/uk-gdpr-guidance-and-resources/. [Accessed: May 2026].</w:t>
      </w:r>
    </w:p>
    <w:p w14:paraId="199FB06F" w14:textId="7A016021" w:rsidR="007D090E" w:rsidRPr="001172CF" w:rsidRDefault="00D16C26">
      <w:pPr>
        <w:spacing w:before="80" w:after="60"/>
        <w:ind w:left="400" w:hanging="400"/>
      </w:pPr>
      <w:r w:rsidRPr="001172CF">
        <w:rPr>
          <w:sz w:val="21"/>
          <w:szCs w:val="21"/>
        </w:rPr>
        <w:lastRenderedPageBreak/>
        <w:t>[20]</w:t>
      </w:r>
      <w:r w:rsidRPr="001172CF">
        <w:rPr>
          <w:sz w:val="21"/>
          <w:szCs w:val="21"/>
        </w:rPr>
        <w:tab/>
      </w:r>
      <w:proofErr w:type="spellStart"/>
      <w:r w:rsidR="004856E1">
        <w:rPr>
          <w:sz w:val="21"/>
          <w:szCs w:val="21"/>
        </w:rPr>
        <w:t>V</w:t>
      </w:r>
      <w:r w:rsidR="004856E1" w:rsidRPr="004856E1">
        <w:rPr>
          <w:sz w:val="21"/>
          <w:szCs w:val="21"/>
        </w:rPr>
        <w:t>ercara</w:t>
      </w:r>
      <w:proofErr w:type="spellEnd"/>
      <w:r w:rsidR="004856E1" w:rsidRPr="004856E1">
        <w:rPr>
          <w:sz w:val="21"/>
          <w:szCs w:val="21"/>
        </w:rPr>
        <w:t xml:space="preserve">, </w:t>
      </w:r>
      <w:r w:rsidR="004856E1" w:rsidRPr="004856E1">
        <w:rPr>
          <w:i/>
          <w:iCs/>
          <w:sz w:val="21"/>
          <w:szCs w:val="21"/>
        </w:rPr>
        <w:t>2024 Consumer Trust &amp; Risk Report</w:t>
      </w:r>
      <w:r w:rsidR="004856E1" w:rsidRPr="004856E1">
        <w:rPr>
          <w:sz w:val="21"/>
          <w:szCs w:val="21"/>
        </w:rPr>
        <w:t xml:space="preserve">. </w:t>
      </w:r>
      <w:proofErr w:type="spellStart"/>
      <w:r w:rsidR="004856E1" w:rsidRPr="004856E1">
        <w:rPr>
          <w:sz w:val="21"/>
          <w:szCs w:val="21"/>
        </w:rPr>
        <w:t>Vercara</w:t>
      </w:r>
      <w:proofErr w:type="spellEnd"/>
      <w:r w:rsidR="004856E1" w:rsidRPr="004856E1">
        <w:rPr>
          <w:sz w:val="21"/>
          <w:szCs w:val="21"/>
        </w:rPr>
        <w:t xml:space="preserve">: Herndon, VA, USA, 2024. [Online]. Available: </w:t>
      </w:r>
      <w:hyperlink r:id="rId11" w:history="1">
        <w:r w:rsidR="004856E1" w:rsidRPr="004856E1">
          <w:rPr>
            <w:rStyle w:val="Hyperlink"/>
            <w:sz w:val="21"/>
            <w:szCs w:val="21"/>
          </w:rPr>
          <w:t>https://vercara.com/resources/reports/2024-consumer-trust-risk-report</w:t>
        </w:r>
      </w:hyperlink>
      <w:r w:rsidR="004856E1" w:rsidRPr="004856E1">
        <w:rPr>
          <w:sz w:val="21"/>
          <w:szCs w:val="21"/>
        </w:rPr>
        <w:t>. [Accessed: May 2026].</w:t>
      </w:r>
    </w:p>
    <w:p w14:paraId="1E40420E" w14:textId="77777777" w:rsidR="007D090E" w:rsidRPr="001172CF" w:rsidRDefault="00D16C26">
      <w:pPr>
        <w:spacing w:before="80" w:after="60"/>
        <w:ind w:left="400" w:hanging="400"/>
      </w:pPr>
      <w:r w:rsidRPr="001172CF">
        <w:rPr>
          <w:sz w:val="21"/>
          <w:szCs w:val="21"/>
        </w:rPr>
        <w:t>[21]</w:t>
      </w:r>
      <w:r w:rsidRPr="001172CF">
        <w:rPr>
          <w:sz w:val="21"/>
          <w:szCs w:val="21"/>
        </w:rPr>
        <w:tab/>
        <w:t xml:space="preserve">C. Prince, N. Omrani, and F. Schiavone, "Online privacy literacy and users’ information privacy empowerment: The case of GDPR in Europe," Information Technology and People, vol. 35, no. 5, pp. 1561–1585, 2022, </w:t>
      </w:r>
      <w:proofErr w:type="spellStart"/>
      <w:r w:rsidRPr="001172CF">
        <w:rPr>
          <w:sz w:val="21"/>
          <w:szCs w:val="21"/>
        </w:rPr>
        <w:t>doi</w:t>
      </w:r>
      <w:proofErr w:type="spellEnd"/>
      <w:r w:rsidRPr="001172CF">
        <w:rPr>
          <w:sz w:val="21"/>
          <w:szCs w:val="21"/>
        </w:rPr>
        <w:t>: 10.1108/ITP-02-2021-0116.</w:t>
      </w:r>
    </w:p>
    <w:p w14:paraId="2232E19D" w14:textId="77777777" w:rsidR="007D090E" w:rsidRPr="001172CF" w:rsidRDefault="00D16C26">
      <w:pPr>
        <w:spacing w:before="80" w:after="60"/>
        <w:ind w:left="400" w:hanging="400"/>
      </w:pPr>
      <w:r w:rsidRPr="001172CF">
        <w:rPr>
          <w:sz w:val="21"/>
          <w:szCs w:val="21"/>
        </w:rPr>
        <w:t>[22]</w:t>
      </w:r>
      <w:r w:rsidRPr="001172CF">
        <w:rPr>
          <w:sz w:val="21"/>
          <w:szCs w:val="21"/>
        </w:rPr>
        <w:tab/>
        <w:t xml:space="preserve">A. </w:t>
      </w:r>
      <w:proofErr w:type="spellStart"/>
      <w:r w:rsidRPr="001172CF">
        <w:rPr>
          <w:sz w:val="21"/>
          <w:szCs w:val="21"/>
        </w:rPr>
        <w:t>Acquisti</w:t>
      </w:r>
      <w:proofErr w:type="spellEnd"/>
      <w:r w:rsidRPr="001172CF">
        <w:rPr>
          <w:sz w:val="21"/>
          <w:szCs w:val="21"/>
        </w:rPr>
        <w:t xml:space="preserve">, C. Taylor, and L. Wagman, "The economics of privacy," Journal of Economic Literature, vol. 54, no. 2, pp. 442–492, Jun. 2016, </w:t>
      </w:r>
      <w:proofErr w:type="spellStart"/>
      <w:r w:rsidRPr="001172CF">
        <w:rPr>
          <w:sz w:val="21"/>
          <w:szCs w:val="21"/>
        </w:rPr>
        <w:t>doi</w:t>
      </w:r>
      <w:proofErr w:type="spellEnd"/>
      <w:r w:rsidRPr="001172CF">
        <w:rPr>
          <w:sz w:val="21"/>
          <w:szCs w:val="21"/>
        </w:rPr>
        <w:t>: 10.1257/jel.54.2.442.</w:t>
      </w:r>
    </w:p>
    <w:p w14:paraId="1506054D" w14:textId="77777777" w:rsidR="007D090E" w:rsidRPr="001172CF" w:rsidRDefault="00D16C26">
      <w:pPr>
        <w:spacing w:before="80" w:after="60"/>
        <w:ind w:left="400" w:hanging="400"/>
      </w:pPr>
      <w:r w:rsidRPr="001172CF">
        <w:rPr>
          <w:sz w:val="21"/>
          <w:szCs w:val="21"/>
        </w:rPr>
        <w:t>[23]</w:t>
      </w:r>
      <w:r w:rsidRPr="001172CF">
        <w:rPr>
          <w:sz w:val="21"/>
          <w:szCs w:val="21"/>
        </w:rPr>
        <w:tab/>
        <w:t xml:space="preserve">M. A. Mohamed, J. Chakraborty, and J. Dehlinger, "Trading off usability and security in user interface design through mental models," Behaviour &amp; Information Technology, vol. 36, no. 5, pp. 493–516, 2017, </w:t>
      </w:r>
      <w:proofErr w:type="spellStart"/>
      <w:r w:rsidRPr="001172CF">
        <w:rPr>
          <w:sz w:val="21"/>
          <w:szCs w:val="21"/>
        </w:rPr>
        <w:t>doi</w:t>
      </w:r>
      <w:proofErr w:type="spellEnd"/>
      <w:r w:rsidRPr="001172CF">
        <w:rPr>
          <w:sz w:val="21"/>
          <w:szCs w:val="21"/>
        </w:rPr>
        <w:t>: 10.1080/0144929X.2016.1262897.</w:t>
      </w:r>
    </w:p>
    <w:p w14:paraId="23061678" w14:textId="77777777" w:rsidR="007D090E" w:rsidRPr="001172CF" w:rsidRDefault="00D16C26">
      <w:pPr>
        <w:spacing w:before="80" w:after="60"/>
        <w:ind w:left="400" w:hanging="400"/>
      </w:pPr>
      <w:r w:rsidRPr="001172CF">
        <w:rPr>
          <w:sz w:val="21"/>
          <w:szCs w:val="21"/>
        </w:rPr>
        <w:t>[24]</w:t>
      </w:r>
      <w:r w:rsidRPr="001172CF">
        <w:rPr>
          <w:sz w:val="21"/>
          <w:szCs w:val="21"/>
        </w:rPr>
        <w:tab/>
        <w:t xml:space="preserve">R. B. Johnson and A. J. Onwuegbuzie, "Mixed methods research: A research paradigm whose time has come," Educational Researcher, vol. 33, no. 7, pp. 14–26, Oct. 2004, </w:t>
      </w:r>
      <w:proofErr w:type="spellStart"/>
      <w:r w:rsidRPr="001172CF">
        <w:rPr>
          <w:sz w:val="21"/>
          <w:szCs w:val="21"/>
        </w:rPr>
        <w:t>doi</w:t>
      </w:r>
      <w:proofErr w:type="spellEnd"/>
      <w:r w:rsidRPr="001172CF">
        <w:rPr>
          <w:sz w:val="21"/>
          <w:szCs w:val="21"/>
        </w:rPr>
        <w:t>: 10.3102/0013189X033007014.</w:t>
      </w:r>
    </w:p>
    <w:p w14:paraId="3B98B59D" w14:textId="77777777" w:rsidR="007D090E" w:rsidRPr="001172CF" w:rsidRDefault="00D16C26">
      <w:pPr>
        <w:spacing w:before="80" w:after="60"/>
        <w:ind w:left="400" w:hanging="400"/>
      </w:pPr>
      <w:r w:rsidRPr="001172CF">
        <w:rPr>
          <w:sz w:val="21"/>
          <w:szCs w:val="21"/>
        </w:rPr>
        <w:t>[25]</w:t>
      </w:r>
      <w:r w:rsidRPr="001172CF">
        <w:rPr>
          <w:sz w:val="21"/>
          <w:szCs w:val="21"/>
        </w:rPr>
        <w:tab/>
        <w:t xml:space="preserve">F. Bélanger and R. E. </w:t>
      </w:r>
      <w:proofErr w:type="spellStart"/>
      <w:r w:rsidRPr="001172CF">
        <w:rPr>
          <w:sz w:val="21"/>
          <w:szCs w:val="21"/>
        </w:rPr>
        <w:t>Crossler</w:t>
      </w:r>
      <w:proofErr w:type="spellEnd"/>
      <w:r w:rsidRPr="001172CF">
        <w:rPr>
          <w:sz w:val="21"/>
          <w:szCs w:val="21"/>
        </w:rPr>
        <w:t xml:space="preserve">, "Privacy in the digital age: A review of information privacy research in information systems," MIS Quarterly, vol. 35, no. 4, pp. 1017–1041, 2011, </w:t>
      </w:r>
      <w:proofErr w:type="spellStart"/>
      <w:r w:rsidRPr="001172CF">
        <w:rPr>
          <w:sz w:val="21"/>
          <w:szCs w:val="21"/>
        </w:rPr>
        <w:t>doi</w:t>
      </w:r>
      <w:proofErr w:type="spellEnd"/>
      <w:r w:rsidRPr="001172CF">
        <w:rPr>
          <w:sz w:val="21"/>
          <w:szCs w:val="21"/>
        </w:rPr>
        <w:t>: 10.2307/41409971.</w:t>
      </w:r>
    </w:p>
    <w:p w14:paraId="6C7C0E77" w14:textId="77777777" w:rsidR="007D090E" w:rsidRPr="001172CF" w:rsidRDefault="00D16C26">
      <w:pPr>
        <w:spacing w:before="80" w:after="60"/>
        <w:ind w:left="400" w:hanging="400"/>
      </w:pPr>
      <w:r w:rsidRPr="001172CF">
        <w:rPr>
          <w:sz w:val="21"/>
          <w:szCs w:val="21"/>
        </w:rPr>
        <w:t>[26]</w:t>
      </w:r>
      <w:r w:rsidRPr="001172CF">
        <w:rPr>
          <w:sz w:val="21"/>
          <w:szCs w:val="21"/>
        </w:rPr>
        <w:tab/>
        <w:t xml:space="preserve">T. </w:t>
      </w:r>
      <w:proofErr w:type="spellStart"/>
      <w:r w:rsidRPr="001172CF">
        <w:rPr>
          <w:sz w:val="21"/>
          <w:szCs w:val="21"/>
        </w:rPr>
        <w:t>Alashoor</w:t>
      </w:r>
      <w:proofErr w:type="spellEnd"/>
      <w:r w:rsidRPr="001172CF">
        <w:rPr>
          <w:sz w:val="21"/>
          <w:szCs w:val="21"/>
        </w:rPr>
        <w:t xml:space="preserve">, M. Keil, H. J. Smith, and A. R. McConnell, "Too tired and in too good of a mood to worry about privacy: Explaining the privacy paradox through the lens of effort level in information processing," Information Systems Research, vol. 34, no. 4, pp. 1415–1436, Dec. 2023, </w:t>
      </w:r>
      <w:proofErr w:type="spellStart"/>
      <w:r w:rsidRPr="001172CF">
        <w:rPr>
          <w:sz w:val="21"/>
          <w:szCs w:val="21"/>
        </w:rPr>
        <w:t>doi</w:t>
      </w:r>
      <w:proofErr w:type="spellEnd"/>
      <w:r w:rsidRPr="001172CF">
        <w:rPr>
          <w:sz w:val="21"/>
          <w:szCs w:val="21"/>
        </w:rPr>
        <w:t>: 10.1287/isre.2022.1182.</w:t>
      </w:r>
    </w:p>
    <w:p w14:paraId="6E43E18A" w14:textId="77777777" w:rsidR="007D090E" w:rsidRPr="001172CF" w:rsidRDefault="00D16C26">
      <w:pPr>
        <w:spacing w:before="80" w:after="60"/>
        <w:ind w:left="400" w:hanging="400"/>
      </w:pPr>
      <w:r w:rsidRPr="001172CF">
        <w:rPr>
          <w:sz w:val="21"/>
          <w:szCs w:val="21"/>
        </w:rPr>
        <w:t>[27]</w:t>
      </w:r>
      <w:r w:rsidRPr="001172CF">
        <w:rPr>
          <w:sz w:val="21"/>
          <w:szCs w:val="21"/>
        </w:rPr>
        <w:tab/>
        <w:t xml:space="preserve">S. Schuetz, L. Kuai, M. C. </w:t>
      </w:r>
      <w:proofErr w:type="spellStart"/>
      <w:r w:rsidRPr="001172CF">
        <w:rPr>
          <w:sz w:val="21"/>
          <w:szCs w:val="21"/>
        </w:rPr>
        <w:t>Lacity</w:t>
      </w:r>
      <w:proofErr w:type="spellEnd"/>
      <w:r w:rsidRPr="001172CF">
        <w:rPr>
          <w:sz w:val="21"/>
          <w:szCs w:val="21"/>
        </w:rPr>
        <w:t xml:space="preserve">, and Z. Steelman, "A qualitative systematic review of trust in technology," Journal of Information Technology, vol. 40, no. 1, pp. 55–76, Mar. 2025, </w:t>
      </w:r>
      <w:proofErr w:type="spellStart"/>
      <w:r w:rsidRPr="001172CF">
        <w:rPr>
          <w:sz w:val="21"/>
          <w:szCs w:val="21"/>
        </w:rPr>
        <w:t>doi</w:t>
      </w:r>
      <w:proofErr w:type="spellEnd"/>
      <w:r w:rsidRPr="001172CF">
        <w:rPr>
          <w:sz w:val="21"/>
          <w:szCs w:val="21"/>
        </w:rPr>
        <w:t>: 10.1177/02683962241254392.</w:t>
      </w:r>
    </w:p>
    <w:p w14:paraId="3D306424" w14:textId="77777777" w:rsidR="007D090E" w:rsidRPr="001172CF" w:rsidRDefault="00D16C26">
      <w:pPr>
        <w:spacing w:before="80" w:after="60"/>
        <w:ind w:left="400" w:hanging="400"/>
        <w:rPr>
          <w:sz w:val="21"/>
          <w:szCs w:val="21"/>
        </w:rPr>
      </w:pPr>
      <w:r w:rsidRPr="001172CF">
        <w:rPr>
          <w:sz w:val="21"/>
          <w:szCs w:val="21"/>
        </w:rPr>
        <w:t>[28]</w:t>
      </w:r>
      <w:r w:rsidRPr="001172CF">
        <w:rPr>
          <w:sz w:val="21"/>
          <w:szCs w:val="21"/>
        </w:rPr>
        <w:tab/>
        <w:t xml:space="preserve">M. C. </w:t>
      </w:r>
      <w:proofErr w:type="spellStart"/>
      <w:r w:rsidRPr="001172CF">
        <w:rPr>
          <w:sz w:val="21"/>
          <w:szCs w:val="21"/>
        </w:rPr>
        <w:t>Lacity</w:t>
      </w:r>
      <w:proofErr w:type="spellEnd"/>
      <w:r w:rsidRPr="001172CF">
        <w:rPr>
          <w:sz w:val="21"/>
          <w:szCs w:val="21"/>
        </w:rPr>
        <w:t xml:space="preserve">, S. Schuetz, L. Kuai, and Z. R. Steelman, "It’s a matter of trust: Literature reviews and analyses of human trust in information technology," Journal of Information Technology, vol. 40, no. 1, pp. 1–54, Mar. 2025, </w:t>
      </w:r>
      <w:proofErr w:type="spellStart"/>
      <w:r w:rsidRPr="001172CF">
        <w:rPr>
          <w:sz w:val="21"/>
          <w:szCs w:val="21"/>
        </w:rPr>
        <w:t>doi</w:t>
      </w:r>
      <w:proofErr w:type="spellEnd"/>
      <w:r w:rsidRPr="001172CF">
        <w:rPr>
          <w:sz w:val="21"/>
          <w:szCs w:val="21"/>
        </w:rPr>
        <w:t>: 10.1177/02683962231226397.</w:t>
      </w:r>
    </w:p>
    <w:p w14:paraId="7A082E69" w14:textId="77777777" w:rsidR="00123C4E" w:rsidRPr="001172CF" w:rsidRDefault="00123C4E">
      <w:pPr>
        <w:spacing w:before="80" w:after="60"/>
        <w:ind w:left="400" w:hanging="400"/>
        <w:rPr>
          <w:sz w:val="21"/>
          <w:szCs w:val="21"/>
        </w:rPr>
      </w:pPr>
    </w:p>
    <w:p w14:paraId="64619740" w14:textId="77777777" w:rsidR="00123C4E" w:rsidRPr="001172CF" w:rsidRDefault="00123C4E">
      <w:pPr>
        <w:spacing w:before="80" w:after="60"/>
        <w:ind w:left="400" w:hanging="400"/>
        <w:rPr>
          <w:sz w:val="21"/>
          <w:szCs w:val="21"/>
        </w:rPr>
      </w:pPr>
    </w:p>
    <w:p w14:paraId="4FC6E11E" w14:textId="77777777" w:rsidR="00123C4E" w:rsidRPr="001172CF" w:rsidRDefault="00123C4E">
      <w:pPr>
        <w:spacing w:before="80" w:after="60"/>
        <w:ind w:left="400" w:hanging="400"/>
        <w:rPr>
          <w:sz w:val="21"/>
          <w:szCs w:val="21"/>
        </w:rPr>
      </w:pPr>
    </w:p>
    <w:p w14:paraId="5B989082" w14:textId="77777777" w:rsidR="00123C4E" w:rsidRPr="001172CF" w:rsidRDefault="00123C4E">
      <w:pPr>
        <w:spacing w:before="80" w:after="60"/>
        <w:ind w:left="400" w:hanging="400"/>
        <w:rPr>
          <w:sz w:val="21"/>
          <w:szCs w:val="21"/>
        </w:rPr>
      </w:pPr>
    </w:p>
    <w:p w14:paraId="4381C0F0" w14:textId="77777777" w:rsidR="00123C4E" w:rsidRPr="001172CF" w:rsidRDefault="00123C4E">
      <w:pPr>
        <w:spacing w:before="80" w:after="60"/>
        <w:ind w:left="400" w:hanging="400"/>
        <w:rPr>
          <w:sz w:val="21"/>
          <w:szCs w:val="21"/>
        </w:rPr>
      </w:pPr>
    </w:p>
    <w:p w14:paraId="4597F4EA" w14:textId="77777777" w:rsidR="00123C4E" w:rsidRPr="001172CF" w:rsidRDefault="00123C4E">
      <w:pPr>
        <w:spacing w:before="80" w:after="60"/>
        <w:ind w:left="400" w:hanging="400"/>
        <w:rPr>
          <w:sz w:val="21"/>
          <w:szCs w:val="21"/>
        </w:rPr>
      </w:pPr>
    </w:p>
    <w:p w14:paraId="78060987" w14:textId="77777777" w:rsidR="00123C4E" w:rsidRPr="001172CF" w:rsidRDefault="00123C4E">
      <w:pPr>
        <w:spacing w:before="80" w:after="60"/>
        <w:ind w:left="400" w:hanging="400"/>
        <w:rPr>
          <w:sz w:val="21"/>
          <w:szCs w:val="21"/>
        </w:rPr>
      </w:pPr>
    </w:p>
    <w:p w14:paraId="4A89A273" w14:textId="77777777" w:rsidR="00123C4E" w:rsidRPr="001172CF" w:rsidRDefault="00123C4E">
      <w:pPr>
        <w:spacing w:before="80" w:after="60"/>
        <w:ind w:left="400" w:hanging="400"/>
        <w:rPr>
          <w:sz w:val="21"/>
          <w:szCs w:val="21"/>
        </w:rPr>
      </w:pPr>
    </w:p>
    <w:p w14:paraId="6A874CD7" w14:textId="77777777" w:rsidR="00123C4E" w:rsidRPr="001172CF" w:rsidRDefault="00123C4E">
      <w:pPr>
        <w:spacing w:before="80" w:after="60"/>
        <w:ind w:left="400" w:hanging="400"/>
        <w:rPr>
          <w:sz w:val="21"/>
          <w:szCs w:val="21"/>
        </w:rPr>
      </w:pPr>
    </w:p>
    <w:p w14:paraId="67B77FB6" w14:textId="77777777" w:rsidR="00123C4E" w:rsidRPr="001172CF" w:rsidRDefault="00123C4E">
      <w:pPr>
        <w:spacing w:before="80" w:after="60"/>
        <w:ind w:left="400" w:hanging="400"/>
        <w:rPr>
          <w:sz w:val="21"/>
          <w:szCs w:val="21"/>
        </w:rPr>
      </w:pPr>
    </w:p>
    <w:p w14:paraId="19DAB8A6" w14:textId="77777777" w:rsidR="00123C4E" w:rsidRPr="001172CF" w:rsidRDefault="00123C4E">
      <w:pPr>
        <w:spacing w:before="80" w:after="60"/>
        <w:ind w:left="400" w:hanging="400"/>
        <w:rPr>
          <w:sz w:val="21"/>
          <w:szCs w:val="21"/>
        </w:rPr>
      </w:pPr>
    </w:p>
    <w:p w14:paraId="1AA5C449" w14:textId="77777777" w:rsidR="00123C4E" w:rsidRPr="001172CF" w:rsidRDefault="00123C4E">
      <w:pPr>
        <w:spacing w:before="80" w:after="60"/>
        <w:ind w:left="400" w:hanging="400"/>
        <w:rPr>
          <w:sz w:val="21"/>
          <w:szCs w:val="21"/>
        </w:rPr>
      </w:pPr>
    </w:p>
    <w:p w14:paraId="0370AE4A" w14:textId="77777777" w:rsidR="00123C4E" w:rsidRPr="001172CF" w:rsidRDefault="00123C4E">
      <w:pPr>
        <w:spacing w:before="80" w:after="60"/>
        <w:ind w:left="400" w:hanging="400"/>
        <w:rPr>
          <w:sz w:val="21"/>
          <w:szCs w:val="21"/>
        </w:rPr>
      </w:pPr>
    </w:p>
    <w:p w14:paraId="30591EB7" w14:textId="77777777" w:rsidR="00123C4E" w:rsidRPr="001172CF" w:rsidRDefault="00123C4E">
      <w:pPr>
        <w:spacing w:before="80" w:after="60"/>
        <w:ind w:left="400" w:hanging="400"/>
        <w:rPr>
          <w:sz w:val="21"/>
          <w:szCs w:val="21"/>
        </w:rPr>
      </w:pPr>
    </w:p>
    <w:p w14:paraId="163757B9" w14:textId="77777777" w:rsidR="00123C4E" w:rsidRPr="001172CF" w:rsidRDefault="00123C4E">
      <w:pPr>
        <w:spacing w:before="80" w:after="60"/>
        <w:ind w:left="400" w:hanging="400"/>
        <w:rPr>
          <w:sz w:val="21"/>
          <w:szCs w:val="21"/>
        </w:rPr>
      </w:pPr>
    </w:p>
    <w:p w14:paraId="2FB788CC" w14:textId="77777777" w:rsidR="00123C4E" w:rsidRPr="001172CF" w:rsidRDefault="00123C4E">
      <w:pPr>
        <w:spacing w:before="80" w:after="60"/>
        <w:ind w:left="400" w:hanging="400"/>
        <w:rPr>
          <w:sz w:val="21"/>
          <w:szCs w:val="21"/>
        </w:rPr>
      </w:pPr>
    </w:p>
    <w:p w14:paraId="594CAF1B" w14:textId="77777777" w:rsidR="00123C4E" w:rsidRPr="001172CF" w:rsidRDefault="00123C4E">
      <w:pPr>
        <w:spacing w:before="80" w:after="60"/>
        <w:ind w:left="400" w:hanging="400"/>
        <w:rPr>
          <w:sz w:val="21"/>
          <w:szCs w:val="21"/>
        </w:rPr>
      </w:pPr>
    </w:p>
    <w:p w14:paraId="3E2DC449" w14:textId="77777777" w:rsidR="00123C4E" w:rsidRPr="001172CF" w:rsidRDefault="00123C4E">
      <w:pPr>
        <w:spacing w:before="80" w:after="60"/>
        <w:ind w:left="400" w:hanging="400"/>
        <w:rPr>
          <w:sz w:val="21"/>
          <w:szCs w:val="21"/>
        </w:rPr>
      </w:pPr>
    </w:p>
    <w:p w14:paraId="00EECD2B" w14:textId="77777777" w:rsidR="0096163B" w:rsidRPr="001172CF" w:rsidRDefault="0096163B" w:rsidP="0096163B"/>
    <w:p w14:paraId="4175581F" w14:textId="77777777" w:rsidR="0096163B" w:rsidRPr="001172CF" w:rsidRDefault="0096163B" w:rsidP="0096163B"/>
    <w:p w14:paraId="3862D1FD" w14:textId="77777777" w:rsidR="0096163B" w:rsidRPr="001172CF" w:rsidRDefault="0096163B" w:rsidP="0096163B"/>
    <w:p w14:paraId="56B126AF" w14:textId="77777777" w:rsidR="0096163B" w:rsidRPr="001172CF" w:rsidRDefault="0096163B" w:rsidP="0096163B"/>
    <w:p w14:paraId="7B47FA07" w14:textId="77777777" w:rsidR="0096163B" w:rsidRPr="001172CF" w:rsidRDefault="0096163B" w:rsidP="0096163B"/>
    <w:p w14:paraId="78BF86F6" w14:textId="77777777" w:rsidR="0096163B" w:rsidRPr="001172CF" w:rsidRDefault="0096163B" w:rsidP="0096163B"/>
    <w:p w14:paraId="1284448B" w14:textId="77777777" w:rsidR="0096163B" w:rsidRPr="001172CF" w:rsidRDefault="0096163B" w:rsidP="0096163B"/>
    <w:p w14:paraId="5E1E1E1E" w14:textId="77777777" w:rsidR="0096163B" w:rsidRPr="001172CF" w:rsidRDefault="0096163B" w:rsidP="0096163B"/>
    <w:p w14:paraId="43D33A64" w14:textId="774646FC" w:rsidR="00F01A3E" w:rsidRPr="001172CF" w:rsidRDefault="00123C4E" w:rsidP="0096163B">
      <w:pPr>
        <w:pStyle w:val="Heading1"/>
        <w:rPr>
          <w:rFonts w:ascii="Times New Roman" w:hAnsi="Times New Roman" w:cs="Times New Roman"/>
        </w:rPr>
      </w:pPr>
      <w:bookmarkStart w:id="41" w:name="_Toc234710573"/>
      <w:r w:rsidRPr="001172CF">
        <w:rPr>
          <w:rFonts w:ascii="Times New Roman" w:hAnsi="Times New Roman" w:cs="Times New Roman"/>
        </w:rPr>
        <w:lastRenderedPageBreak/>
        <w:t>Appendix A</w:t>
      </w:r>
      <w:r w:rsidR="00F01A3E" w:rsidRPr="001172CF">
        <w:rPr>
          <w:rFonts w:ascii="Times New Roman" w:hAnsi="Times New Roman" w:cs="Times New Roman"/>
        </w:rPr>
        <w:t xml:space="preserve"> – </w:t>
      </w:r>
      <w:r w:rsidR="00753F07" w:rsidRPr="001172CF">
        <w:rPr>
          <w:rFonts w:ascii="Times New Roman" w:hAnsi="Times New Roman" w:cs="Times New Roman"/>
        </w:rPr>
        <w:t xml:space="preserve">Summary of </w:t>
      </w:r>
      <w:r w:rsidR="00F01A3E" w:rsidRPr="001172CF">
        <w:rPr>
          <w:rFonts w:ascii="Times New Roman" w:hAnsi="Times New Roman" w:cs="Times New Roman"/>
        </w:rPr>
        <w:t>Key Literature</w:t>
      </w:r>
      <w:r w:rsidR="00753F07" w:rsidRPr="001172CF">
        <w:rPr>
          <w:rFonts w:ascii="Times New Roman" w:hAnsi="Times New Roman" w:cs="Times New Roman"/>
        </w:rPr>
        <w:t xml:space="preserve"> Reviewed</w:t>
      </w:r>
      <w:bookmarkEnd w:id="41"/>
    </w:p>
    <w:p w14:paraId="333216D8" w14:textId="41D04194" w:rsidR="00C40FE3" w:rsidRDefault="00424DE0" w:rsidP="002C0E0C">
      <w:pPr>
        <w:spacing w:line="360" w:lineRule="auto"/>
      </w:pPr>
      <w:r w:rsidRPr="001172CF">
        <w:t>This appendix summarises the principal academic studies reviewed throughout Chapter 2. It highlights each study's theoretical contribution and explains its relevance to the proposed research. The appendix supports the critical literature review by providing a concise reference table while allowing the main chapter to focus on analysis and synthesis.</w:t>
      </w:r>
    </w:p>
    <w:p w14:paraId="64F3ABAE" w14:textId="77777777" w:rsidR="006C38F7" w:rsidRDefault="006C38F7" w:rsidP="002C0E0C">
      <w:pPr>
        <w:spacing w:line="360" w:lineRule="auto"/>
      </w:pPr>
    </w:p>
    <w:p w14:paraId="64D8D8CF" w14:textId="65D44F60" w:rsidR="00123C4E" w:rsidRPr="00381112" w:rsidRDefault="006C38F7" w:rsidP="006C38F7">
      <w:pPr>
        <w:spacing w:line="360" w:lineRule="auto"/>
        <w:rPr>
          <w:b/>
          <w:bCs/>
          <w:color w:val="156082" w:themeColor="accent1"/>
          <w:sz w:val="20"/>
          <w:szCs w:val="20"/>
        </w:rPr>
      </w:pPr>
      <w:r w:rsidRPr="00381112">
        <w:rPr>
          <w:b/>
          <w:bCs/>
          <w:color w:val="156082" w:themeColor="accent1"/>
          <w:sz w:val="20"/>
          <w:szCs w:val="20"/>
        </w:rPr>
        <w:t xml:space="preserve">Table A1: Key Literature - Contributions and Relevance to This Study. </w:t>
      </w:r>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1700"/>
        <w:gridCol w:w="3300"/>
        <w:gridCol w:w="3300"/>
      </w:tblGrid>
      <w:tr w:rsidR="00AA7E0A" w14:paraId="35152193" w14:textId="77777777" w:rsidTr="00AA24C6">
        <w:trPr>
          <w:tblHeader/>
        </w:trPr>
        <w:tc>
          <w:tcPr>
            <w:tcW w:w="6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A4750C6" w14:textId="77777777" w:rsidR="00AA7E0A" w:rsidRDefault="00AA7E0A" w:rsidP="00AA24C6">
            <w:pPr>
              <w:spacing w:before="70" w:after="70"/>
            </w:pPr>
            <w:r>
              <w:rPr>
                <w:rFonts w:ascii="Calibri" w:eastAsia="Calibri" w:hAnsi="Calibri" w:cs="Calibri"/>
                <w:b/>
                <w:bCs/>
                <w:color w:val="FFFFFF"/>
                <w:sz w:val="16"/>
                <w:szCs w:val="16"/>
              </w:rPr>
              <w:t>Ref</w:t>
            </w:r>
          </w:p>
        </w:tc>
        <w:tc>
          <w:tcPr>
            <w:tcW w:w="17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CF2B9A9" w14:textId="77777777" w:rsidR="00AA7E0A" w:rsidRDefault="00AA7E0A" w:rsidP="00AA24C6">
            <w:pPr>
              <w:spacing w:before="70" w:after="70"/>
            </w:pPr>
            <w:r>
              <w:rPr>
                <w:rFonts w:ascii="Calibri" w:eastAsia="Calibri" w:hAnsi="Calibri" w:cs="Calibri"/>
                <w:b/>
                <w:bCs/>
                <w:color w:val="FFFFFF"/>
                <w:sz w:val="16"/>
                <w:szCs w:val="16"/>
              </w:rPr>
              <w:t>Author(s) &amp; Year</w:t>
            </w:r>
          </w:p>
        </w:tc>
        <w:tc>
          <w:tcPr>
            <w:tcW w:w="33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6C95A4B" w14:textId="77777777" w:rsidR="00AA7E0A" w:rsidRDefault="00AA7E0A" w:rsidP="00AA24C6">
            <w:pPr>
              <w:spacing w:before="70" w:after="70"/>
            </w:pPr>
            <w:r>
              <w:rPr>
                <w:rFonts w:ascii="Calibri" w:eastAsia="Calibri" w:hAnsi="Calibri" w:cs="Calibri"/>
                <w:b/>
                <w:bCs/>
                <w:color w:val="FFFFFF"/>
                <w:sz w:val="16"/>
                <w:szCs w:val="16"/>
              </w:rPr>
              <w:t>Theoretical Contribution</w:t>
            </w:r>
          </w:p>
        </w:tc>
        <w:tc>
          <w:tcPr>
            <w:tcW w:w="33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599B72D" w14:textId="77777777" w:rsidR="00AA7E0A" w:rsidRDefault="00AA7E0A" w:rsidP="00AA24C6">
            <w:pPr>
              <w:spacing w:before="70" w:after="70"/>
            </w:pPr>
            <w:r>
              <w:rPr>
                <w:rFonts w:ascii="Calibri" w:eastAsia="Calibri" w:hAnsi="Calibri" w:cs="Calibri"/>
                <w:b/>
                <w:bCs/>
                <w:color w:val="FFFFFF"/>
                <w:sz w:val="16"/>
                <w:szCs w:val="16"/>
              </w:rPr>
              <w:t>Relevance to This Study</w:t>
            </w:r>
          </w:p>
        </w:tc>
      </w:tr>
      <w:tr w:rsidR="00AA7E0A" w14:paraId="0348267C"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6B5D148" w14:textId="77777777" w:rsidR="00AA7E0A" w:rsidRDefault="00AA7E0A" w:rsidP="00AA24C6">
            <w:pPr>
              <w:spacing w:before="60" w:after="60"/>
            </w:pPr>
            <w:r>
              <w:rPr>
                <w:rFonts w:ascii="Calibri" w:eastAsia="Calibri" w:hAnsi="Calibri" w:cs="Calibri"/>
                <w:b/>
                <w:bCs/>
                <w:color w:val="1A4A6E"/>
                <w:sz w:val="17"/>
                <w:szCs w:val="17"/>
              </w:rPr>
              <w:t>[1]</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82A7893" w14:textId="77777777" w:rsidR="00AA7E0A" w:rsidRDefault="00AA7E0A" w:rsidP="00AA24C6">
            <w:pPr>
              <w:spacing w:before="60" w:after="60"/>
            </w:pPr>
            <w:r>
              <w:rPr>
                <w:rFonts w:ascii="Calibri" w:eastAsia="Calibri" w:hAnsi="Calibri" w:cs="Calibri"/>
                <w:b/>
                <w:bCs/>
                <w:color w:val="1A4A6E"/>
                <w:sz w:val="16"/>
                <w:szCs w:val="16"/>
              </w:rPr>
              <w:t>Thales Group (2024)</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0604278" w14:textId="77777777" w:rsidR="00AA7E0A" w:rsidRDefault="00AA7E0A" w:rsidP="00AA24C6">
            <w:pPr>
              <w:spacing w:before="60" w:after="60"/>
            </w:pPr>
            <w:r>
              <w:rPr>
                <w:rFonts w:ascii="Calibri" w:eastAsia="Calibri" w:hAnsi="Calibri" w:cs="Calibri"/>
                <w:color w:val="1A1A1A"/>
                <w:sz w:val="17"/>
                <w:szCs w:val="17"/>
              </w:rPr>
              <w:t>Annual Digital Trust Index — multi-country consumer survey on digital service trust</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7E2CFBB" w14:textId="77777777" w:rsidR="00AA7E0A" w:rsidRDefault="00AA7E0A" w:rsidP="00AA24C6">
            <w:pPr>
              <w:spacing w:before="60" w:after="60"/>
            </w:pPr>
            <w:r>
              <w:rPr>
                <w:rFonts w:ascii="Calibri" w:eastAsia="Calibri" w:hAnsi="Calibri" w:cs="Calibri"/>
                <w:color w:val="1A1A1A"/>
                <w:sz w:val="17"/>
                <w:szCs w:val="17"/>
              </w:rPr>
              <w:t>Industry benchmark providing key statistics on trust factors; cited for contextual data in Figure 1</w:t>
            </w:r>
          </w:p>
        </w:tc>
      </w:tr>
      <w:tr w:rsidR="00AA7E0A" w14:paraId="760D868A"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1F90598" w14:textId="77777777" w:rsidR="00AA7E0A" w:rsidRDefault="00AA7E0A" w:rsidP="00AA24C6">
            <w:pPr>
              <w:spacing w:before="60" w:after="60"/>
            </w:pPr>
            <w:r>
              <w:rPr>
                <w:rFonts w:ascii="Calibri" w:eastAsia="Calibri" w:hAnsi="Calibri" w:cs="Calibri"/>
                <w:b/>
                <w:bCs/>
                <w:color w:val="1A4A6E"/>
                <w:sz w:val="17"/>
                <w:szCs w:val="17"/>
              </w:rPr>
              <w:t>[2]</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9584195" w14:textId="77777777" w:rsidR="00AA7E0A" w:rsidRDefault="00AA7E0A" w:rsidP="00AA24C6">
            <w:pPr>
              <w:spacing w:before="60" w:after="60"/>
            </w:pPr>
            <w:r>
              <w:rPr>
                <w:rFonts w:ascii="Calibri" w:eastAsia="Calibri" w:hAnsi="Calibri" w:cs="Calibri"/>
                <w:b/>
                <w:bCs/>
                <w:color w:val="1A4A6E"/>
                <w:sz w:val="16"/>
                <w:szCs w:val="16"/>
              </w:rPr>
              <w:t>Davis (1989)</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9D8C5CB" w14:textId="77777777" w:rsidR="00AA7E0A" w:rsidRDefault="00AA7E0A" w:rsidP="00AA24C6">
            <w:pPr>
              <w:spacing w:before="60" w:after="60"/>
            </w:pPr>
            <w:r>
              <w:rPr>
                <w:rFonts w:ascii="Calibri" w:eastAsia="Calibri" w:hAnsi="Calibri" w:cs="Calibri"/>
                <w:color w:val="1A1A1A"/>
                <w:sz w:val="17"/>
                <w:szCs w:val="17"/>
              </w:rPr>
              <w:t>Perceived Usefulness and Ease of Use as drivers of technology acceptance — foundational TAM model</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C28D8AE" w14:textId="77777777" w:rsidR="00AA7E0A" w:rsidRDefault="00AA7E0A" w:rsidP="00AA24C6">
            <w:pPr>
              <w:spacing w:before="60" w:after="60"/>
            </w:pPr>
            <w:r>
              <w:rPr>
                <w:rFonts w:ascii="Calibri" w:eastAsia="Calibri" w:hAnsi="Calibri" w:cs="Calibri"/>
                <w:color w:val="1A1A1A"/>
                <w:sz w:val="17"/>
                <w:szCs w:val="17"/>
              </w:rPr>
              <w:t>Baseline theoretical model; extended here to include trust as a third core construct</w:t>
            </w:r>
          </w:p>
        </w:tc>
      </w:tr>
      <w:tr w:rsidR="00AA7E0A" w14:paraId="63314A0C"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FEF5BBB" w14:textId="77777777" w:rsidR="00AA7E0A" w:rsidRDefault="00AA7E0A" w:rsidP="00AA24C6">
            <w:pPr>
              <w:spacing w:before="60" w:after="60"/>
            </w:pPr>
            <w:r>
              <w:rPr>
                <w:rFonts w:ascii="Calibri" w:eastAsia="Calibri" w:hAnsi="Calibri" w:cs="Calibri"/>
                <w:b/>
                <w:bCs/>
                <w:color w:val="1A4A6E"/>
                <w:sz w:val="17"/>
                <w:szCs w:val="17"/>
              </w:rPr>
              <w:t>[3]</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C9F2207" w14:textId="77777777" w:rsidR="00AA7E0A" w:rsidRDefault="00AA7E0A" w:rsidP="00AA24C6">
            <w:pPr>
              <w:spacing w:before="60" w:after="60"/>
            </w:pPr>
            <w:r>
              <w:rPr>
                <w:rFonts w:ascii="Calibri" w:eastAsia="Calibri" w:hAnsi="Calibri" w:cs="Calibri"/>
                <w:b/>
                <w:bCs/>
                <w:color w:val="1A4A6E"/>
                <w:sz w:val="16"/>
                <w:szCs w:val="16"/>
              </w:rPr>
              <w:t>Venkatesh et al. (2003)</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FE91B38" w14:textId="77777777" w:rsidR="00AA7E0A" w:rsidRDefault="00AA7E0A" w:rsidP="00AA24C6">
            <w:pPr>
              <w:spacing w:before="60" w:after="60"/>
            </w:pPr>
            <w:r>
              <w:rPr>
                <w:rFonts w:ascii="Calibri" w:eastAsia="Calibri" w:hAnsi="Calibri" w:cs="Calibri"/>
                <w:color w:val="1A1A1A"/>
                <w:sz w:val="17"/>
                <w:szCs w:val="17"/>
              </w:rPr>
              <w:t>UTAUT: synthesises 8 acceptance models into Performance Expectancy, Effort Expectancy, Social Influence, and Facilitating Conditions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CC6016B" w14:textId="77777777" w:rsidR="00AA7E0A" w:rsidRDefault="00AA7E0A" w:rsidP="00AA24C6">
            <w:pPr>
              <w:spacing w:before="60" w:after="60"/>
            </w:pPr>
            <w:r>
              <w:rPr>
                <w:rFonts w:ascii="Calibri" w:eastAsia="Calibri" w:hAnsi="Calibri" w:cs="Calibri"/>
                <w:color w:val="1A1A1A"/>
                <w:sz w:val="17"/>
                <w:szCs w:val="17"/>
              </w:rPr>
              <w:t>Provides an alternative theoretical lens for analysing web app adoption alongside TAM</w:t>
            </w:r>
          </w:p>
        </w:tc>
      </w:tr>
      <w:tr w:rsidR="00AA7E0A" w14:paraId="55D8137A"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4F2A8F0" w14:textId="77777777" w:rsidR="00AA7E0A" w:rsidRDefault="00AA7E0A" w:rsidP="00AA24C6">
            <w:pPr>
              <w:spacing w:before="60" w:after="60"/>
            </w:pPr>
            <w:r>
              <w:rPr>
                <w:rFonts w:ascii="Calibri" w:eastAsia="Calibri" w:hAnsi="Calibri" w:cs="Calibri"/>
                <w:b/>
                <w:bCs/>
                <w:color w:val="1A4A6E"/>
                <w:sz w:val="17"/>
                <w:szCs w:val="17"/>
              </w:rPr>
              <w:t>[4]</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C4805B0" w14:textId="77777777" w:rsidR="00AA7E0A" w:rsidRDefault="00AA7E0A" w:rsidP="00AA24C6">
            <w:pPr>
              <w:spacing w:before="60" w:after="60"/>
            </w:pPr>
            <w:r>
              <w:rPr>
                <w:rFonts w:ascii="Calibri" w:eastAsia="Calibri" w:hAnsi="Calibri" w:cs="Calibri"/>
                <w:b/>
                <w:bCs/>
                <w:color w:val="1A4A6E"/>
                <w:sz w:val="16"/>
                <w:szCs w:val="16"/>
              </w:rPr>
              <w:t>Fox et al. (2022)</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20EE637" w14:textId="77777777" w:rsidR="00AA7E0A" w:rsidRDefault="00AA7E0A" w:rsidP="00AA24C6">
            <w:pPr>
              <w:spacing w:before="60" w:after="60"/>
            </w:pPr>
            <w:r>
              <w:rPr>
                <w:rFonts w:ascii="Calibri" w:eastAsia="Calibri" w:hAnsi="Calibri" w:cs="Calibri"/>
                <w:color w:val="1A1A1A"/>
                <w:sz w:val="17"/>
                <w:szCs w:val="17"/>
              </w:rPr>
              <w:t>Empirical study of GDPR privacy labels; tested two label designs on consumer trust perceptions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0A28513" w14:textId="77777777" w:rsidR="00AA7E0A" w:rsidRDefault="00AA7E0A" w:rsidP="00AA24C6">
            <w:pPr>
              <w:spacing w:before="60" w:after="60"/>
            </w:pPr>
            <w:r>
              <w:rPr>
                <w:rFonts w:ascii="Calibri" w:eastAsia="Calibri" w:hAnsi="Calibri" w:cs="Calibri"/>
                <w:color w:val="1A1A1A"/>
                <w:sz w:val="17"/>
                <w:szCs w:val="17"/>
              </w:rPr>
              <w:t>Most relevant recent UK/EU GDPR-trust study; provides benchmark for survey design</w:t>
            </w:r>
          </w:p>
        </w:tc>
      </w:tr>
      <w:tr w:rsidR="00AA7E0A" w14:paraId="261DD655"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D700689" w14:textId="77777777" w:rsidR="00AA7E0A" w:rsidRDefault="00AA7E0A" w:rsidP="00AA24C6">
            <w:pPr>
              <w:spacing w:before="60" w:after="60"/>
            </w:pPr>
            <w:r>
              <w:rPr>
                <w:rFonts w:ascii="Calibri" w:eastAsia="Calibri" w:hAnsi="Calibri" w:cs="Calibri"/>
                <w:b/>
                <w:bCs/>
                <w:color w:val="1A4A6E"/>
                <w:sz w:val="17"/>
                <w:szCs w:val="17"/>
              </w:rPr>
              <w:t>[5]</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DB7A018" w14:textId="77777777" w:rsidR="00AA7E0A" w:rsidRDefault="00AA7E0A" w:rsidP="00AA24C6">
            <w:pPr>
              <w:spacing w:before="60" w:after="60"/>
            </w:pPr>
            <w:r>
              <w:rPr>
                <w:rFonts w:ascii="Calibri" w:eastAsia="Calibri" w:hAnsi="Calibri" w:cs="Calibri"/>
                <w:b/>
                <w:bCs/>
                <w:color w:val="1A4A6E"/>
                <w:sz w:val="16"/>
                <w:szCs w:val="16"/>
              </w:rPr>
              <w:t>Kulyk et al. (2020)</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88588E4" w14:textId="77777777" w:rsidR="00AA7E0A" w:rsidRDefault="00AA7E0A" w:rsidP="00AA24C6">
            <w:pPr>
              <w:spacing w:before="60" w:after="60"/>
            </w:pPr>
            <w:r>
              <w:rPr>
                <w:rFonts w:ascii="Calibri" w:eastAsia="Calibri" w:hAnsi="Calibri" w:cs="Calibri"/>
                <w:color w:val="1A1A1A"/>
                <w:sz w:val="17"/>
                <w:szCs w:val="17"/>
              </w:rPr>
              <w:t>Has GDPR hype affected users' reactions to cookie disclaimers?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5E17A4E" w14:textId="77777777" w:rsidR="00AA7E0A" w:rsidRDefault="00AA7E0A" w:rsidP="00AA24C6">
            <w:pPr>
              <w:spacing w:before="60" w:after="60"/>
            </w:pPr>
            <w:r>
              <w:rPr>
                <w:rFonts w:ascii="Calibri" w:eastAsia="Calibri" w:hAnsi="Calibri" w:cs="Calibri"/>
                <w:color w:val="1A1A1A"/>
                <w:sz w:val="17"/>
                <w:szCs w:val="17"/>
              </w:rPr>
              <w:t>Empirical evidence of a disconnect between GDPR implementation and user trust response</w:t>
            </w:r>
          </w:p>
        </w:tc>
      </w:tr>
      <w:tr w:rsidR="00AA7E0A" w14:paraId="191F740A"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1B4461B" w14:textId="77777777" w:rsidR="00AA7E0A" w:rsidRDefault="00AA7E0A" w:rsidP="00AA24C6">
            <w:pPr>
              <w:spacing w:before="60" w:after="60"/>
            </w:pPr>
            <w:r>
              <w:rPr>
                <w:rFonts w:ascii="Calibri" w:eastAsia="Calibri" w:hAnsi="Calibri" w:cs="Calibri"/>
                <w:b/>
                <w:bCs/>
                <w:color w:val="1A4A6E"/>
                <w:sz w:val="17"/>
                <w:szCs w:val="17"/>
              </w:rPr>
              <w:t>[6]</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BF261BC" w14:textId="77777777" w:rsidR="00AA7E0A" w:rsidRDefault="00AA7E0A" w:rsidP="00AA24C6">
            <w:pPr>
              <w:spacing w:before="60" w:after="60"/>
            </w:pPr>
            <w:proofErr w:type="spellStart"/>
            <w:r>
              <w:rPr>
                <w:rFonts w:ascii="Calibri" w:eastAsia="Calibri" w:hAnsi="Calibri" w:cs="Calibri"/>
                <w:b/>
                <w:bCs/>
                <w:color w:val="1A4A6E"/>
                <w:sz w:val="16"/>
                <w:szCs w:val="16"/>
              </w:rPr>
              <w:t>Aridor</w:t>
            </w:r>
            <w:proofErr w:type="spellEnd"/>
            <w:r>
              <w:rPr>
                <w:rFonts w:ascii="Calibri" w:eastAsia="Calibri" w:hAnsi="Calibri" w:cs="Calibri"/>
                <w:b/>
                <w:bCs/>
                <w:color w:val="1A4A6E"/>
                <w:sz w:val="16"/>
                <w:szCs w:val="16"/>
              </w:rPr>
              <w:t xml:space="preserve"> et al. (2023)</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C9C40A9" w14:textId="77777777" w:rsidR="00AA7E0A" w:rsidRDefault="00AA7E0A" w:rsidP="00AA24C6">
            <w:pPr>
              <w:spacing w:before="60" w:after="60"/>
            </w:pPr>
            <w:r>
              <w:rPr>
                <w:rFonts w:ascii="Calibri" w:eastAsia="Calibri" w:hAnsi="Calibri" w:cs="Calibri"/>
                <w:color w:val="1A1A1A"/>
                <w:sz w:val="17"/>
                <w:szCs w:val="17"/>
              </w:rPr>
              <w:t>The effect of privacy regulation on the data industry: empirical evidence from GDPR</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1698BA8" w14:textId="77777777" w:rsidR="00AA7E0A" w:rsidRDefault="00AA7E0A" w:rsidP="00AA24C6">
            <w:pPr>
              <w:spacing w:before="60" w:after="60"/>
            </w:pPr>
            <w:r>
              <w:rPr>
                <w:rFonts w:ascii="Calibri" w:eastAsia="Calibri" w:hAnsi="Calibri" w:cs="Calibri"/>
                <w:color w:val="1A1A1A"/>
                <w:sz w:val="17"/>
                <w:szCs w:val="17"/>
              </w:rPr>
              <w:t>Hard empirical evidence that regulatory action alone does not change trust behaviour</w:t>
            </w:r>
          </w:p>
        </w:tc>
      </w:tr>
      <w:tr w:rsidR="00AA7E0A" w14:paraId="135A74B9"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6B36C76" w14:textId="77777777" w:rsidR="00AA7E0A" w:rsidRDefault="00AA7E0A" w:rsidP="00AA24C6">
            <w:pPr>
              <w:spacing w:before="60" w:after="60"/>
            </w:pPr>
            <w:r>
              <w:rPr>
                <w:rFonts w:ascii="Calibri" w:eastAsia="Calibri" w:hAnsi="Calibri" w:cs="Calibri"/>
                <w:b/>
                <w:bCs/>
                <w:color w:val="1A4A6E"/>
                <w:sz w:val="17"/>
                <w:szCs w:val="17"/>
              </w:rPr>
              <w:t>[7]</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C54D9FD" w14:textId="77777777" w:rsidR="00AA7E0A" w:rsidRDefault="00AA7E0A" w:rsidP="00AA24C6">
            <w:pPr>
              <w:spacing w:before="60" w:after="60"/>
            </w:pPr>
            <w:r>
              <w:rPr>
                <w:rFonts w:ascii="Calibri" w:eastAsia="Calibri" w:hAnsi="Calibri" w:cs="Calibri"/>
                <w:b/>
                <w:bCs/>
                <w:color w:val="1A4A6E"/>
                <w:sz w:val="16"/>
                <w:szCs w:val="16"/>
              </w:rPr>
              <w:t>Cisco (2024)</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E3B80B3" w14:textId="77777777" w:rsidR="00AA7E0A" w:rsidRDefault="00AA7E0A" w:rsidP="00AA24C6">
            <w:pPr>
              <w:spacing w:before="60" w:after="60"/>
            </w:pPr>
            <w:r>
              <w:rPr>
                <w:rFonts w:ascii="Calibri" w:eastAsia="Calibri" w:hAnsi="Calibri" w:cs="Calibri"/>
                <w:color w:val="1A1A1A"/>
                <w:sz w:val="17"/>
                <w:szCs w:val="17"/>
              </w:rPr>
              <w:t>Consumer Privacy Survey — global survey of consumer privacy attitudes and behaviours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BC518F0" w14:textId="77777777" w:rsidR="00AA7E0A" w:rsidRDefault="00AA7E0A" w:rsidP="00AA24C6">
            <w:pPr>
              <w:spacing w:before="60" w:after="60"/>
            </w:pPr>
            <w:r>
              <w:rPr>
                <w:rFonts w:ascii="Calibri" w:eastAsia="Calibri" w:hAnsi="Calibri" w:cs="Calibri"/>
                <w:color w:val="1A1A1A"/>
                <w:sz w:val="17"/>
                <w:szCs w:val="17"/>
              </w:rPr>
              <w:t>Provides current data on Privacy Paradox and trust across sectors for Figure 2</w:t>
            </w:r>
          </w:p>
        </w:tc>
      </w:tr>
      <w:tr w:rsidR="00AA7E0A" w14:paraId="0A4F37D9"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03CA644" w14:textId="77777777" w:rsidR="00AA7E0A" w:rsidRDefault="00AA7E0A" w:rsidP="00AA24C6">
            <w:pPr>
              <w:spacing w:before="60" w:after="60"/>
            </w:pPr>
            <w:r>
              <w:rPr>
                <w:rFonts w:ascii="Calibri" w:eastAsia="Calibri" w:hAnsi="Calibri" w:cs="Calibri"/>
                <w:b/>
                <w:bCs/>
                <w:color w:val="1A4A6E"/>
                <w:sz w:val="17"/>
                <w:szCs w:val="17"/>
              </w:rPr>
              <w:t>[8]</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1C33601" w14:textId="77777777" w:rsidR="00AA7E0A" w:rsidRDefault="00AA7E0A" w:rsidP="00AA24C6">
            <w:pPr>
              <w:spacing w:before="60" w:after="60"/>
            </w:pPr>
            <w:r>
              <w:rPr>
                <w:rFonts w:ascii="Calibri" w:eastAsia="Calibri" w:hAnsi="Calibri" w:cs="Calibri"/>
                <w:b/>
                <w:bCs/>
                <w:color w:val="1A4A6E"/>
                <w:sz w:val="16"/>
                <w:szCs w:val="16"/>
              </w:rPr>
              <w:t>Corritore et al. (2003)</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8FB79CA" w14:textId="77777777" w:rsidR="00AA7E0A" w:rsidRDefault="00AA7E0A" w:rsidP="00AA24C6">
            <w:pPr>
              <w:spacing w:before="60" w:after="60"/>
            </w:pPr>
            <w:r>
              <w:rPr>
                <w:rFonts w:ascii="Calibri" w:eastAsia="Calibri" w:hAnsi="Calibri" w:cs="Calibri"/>
                <w:color w:val="1A1A1A"/>
                <w:sz w:val="17"/>
                <w:szCs w:val="17"/>
              </w:rPr>
              <w:t>On-line trust model: credibility, ease of use, and risk as trust antecedents for informational and transactional websites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27C016B" w14:textId="77777777" w:rsidR="00AA7E0A" w:rsidRDefault="00AA7E0A" w:rsidP="00AA24C6">
            <w:pPr>
              <w:spacing w:before="60" w:after="60"/>
            </w:pPr>
            <w:r>
              <w:rPr>
                <w:rFonts w:ascii="Calibri" w:eastAsia="Calibri" w:hAnsi="Calibri" w:cs="Calibri"/>
                <w:color w:val="1A1A1A"/>
                <w:sz w:val="17"/>
                <w:szCs w:val="17"/>
              </w:rPr>
              <w:t>Provides a web-specific trust framework applied directly to web application contexts</w:t>
            </w:r>
          </w:p>
        </w:tc>
      </w:tr>
      <w:tr w:rsidR="00AA7E0A" w14:paraId="6D462751"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C1E285F" w14:textId="77777777" w:rsidR="00AA7E0A" w:rsidRDefault="00AA7E0A" w:rsidP="00AA24C6">
            <w:pPr>
              <w:spacing w:before="60" w:after="60"/>
            </w:pPr>
            <w:r>
              <w:rPr>
                <w:rFonts w:ascii="Calibri" w:eastAsia="Calibri" w:hAnsi="Calibri" w:cs="Calibri"/>
                <w:b/>
                <w:bCs/>
                <w:color w:val="1A4A6E"/>
                <w:sz w:val="17"/>
                <w:szCs w:val="17"/>
              </w:rPr>
              <w:t>[9]</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BFF8241" w14:textId="77777777" w:rsidR="00AA7E0A" w:rsidRDefault="00AA7E0A" w:rsidP="00AA24C6">
            <w:pPr>
              <w:spacing w:before="60" w:after="60"/>
            </w:pPr>
            <w:proofErr w:type="spellStart"/>
            <w:r>
              <w:rPr>
                <w:rFonts w:ascii="Calibri" w:eastAsia="Calibri" w:hAnsi="Calibri" w:cs="Calibri"/>
                <w:b/>
                <w:bCs/>
                <w:color w:val="1A4A6E"/>
                <w:sz w:val="16"/>
                <w:szCs w:val="16"/>
              </w:rPr>
              <w:t>Kokolakis</w:t>
            </w:r>
            <w:proofErr w:type="spellEnd"/>
            <w:r>
              <w:rPr>
                <w:rFonts w:ascii="Calibri" w:eastAsia="Calibri" w:hAnsi="Calibri" w:cs="Calibri"/>
                <w:b/>
                <w:bCs/>
                <w:color w:val="1A4A6E"/>
                <w:sz w:val="16"/>
                <w:szCs w:val="16"/>
              </w:rPr>
              <w:t xml:space="preserve"> (2017)</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434C4DE" w14:textId="77777777" w:rsidR="00AA7E0A" w:rsidRDefault="00AA7E0A" w:rsidP="00AA24C6">
            <w:pPr>
              <w:spacing w:before="60" w:after="60"/>
            </w:pPr>
            <w:r>
              <w:rPr>
                <w:rFonts w:ascii="Calibri" w:eastAsia="Calibri" w:hAnsi="Calibri" w:cs="Calibri"/>
                <w:color w:val="1A1A1A"/>
                <w:sz w:val="17"/>
                <w:szCs w:val="17"/>
              </w:rPr>
              <w:t>Comprehensive review of the Privacy Paradox — gap between stated privacy concerns and actual disclosure behaviour</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771368B" w14:textId="77777777" w:rsidR="00AA7E0A" w:rsidRDefault="00AA7E0A" w:rsidP="00AA24C6">
            <w:pPr>
              <w:spacing w:before="60" w:after="60"/>
            </w:pPr>
            <w:r>
              <w:rPr>
                <w:rFonts w:ascii="Calibri" w:eastAsia="Calibri" w:hAnsi="Calibri" w:cs="Calibri"/>
                <w:color w:val="1A1A1A"/>
                <w:sz w:val="17"/>
                <w:szCs w:val="17"/>
              </w:rPr>
              <w:t>Frames the central gap this research addresses; most-cited Privacy Paradox review</w:t>
            </w:r>
          </w:p>
        </w:tc>
      </w:tr>
      <w:tr w:rsidR="00AA7E0A" w14:paraId="2A9EACEB"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75F50CD" w14:textId="77777777" w:rsidR="00AA7E0A" w:rsidRDefault="00AA7E0A" w:rsidP="00AA24C6">
            <w:pPr>
              <w:spacing w:before="60" w:after="60"/>
            </w:pPr>
            <w:r>
              <w:rPr>
                <w:rFonts w:ascii="Calibri" w:eastAsia="Calibri" w:hAnsi="Calibri" w:cs="Calibri"/>
                <w:b/>
                <w:bCs/>
                <w:color w:val="1A4A6E"/>
                <w:sz w:val="17"/>
                <w:szCs w:val="17"/>
              </w:rPr>
              <w:t>[10]</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EABA468" w14:textId="77777777" w:rsidR="00AA7E0A" w:rsidRDefault="00AA7E0A" w:rsidP="00AA24C6">
            <w:pPr>
              <w:spacing w:before="60" w:after="60"/>
            </w:pPr>
            <w:r>
              <w:rPr>
                <w:rFonts w:ascii="Calibri" w:eastAsia="Calibri" w:hAnsi="Calibri" w:cs="Calibri"/>
                <w:b/>
                <w:bCs/>
                <w:color w:val="1A4A6E"/>
                <w:sz w:val="16"/>
                <w:szCs w:val="16"/>
              </w:rPr>
              <w:t>Wang &amp; Chen (2023)</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9CF251C" w14:textId="77777777" w:rsidR="00AA7E0A" w:rsidRDefault="00AA7E0A" w:rsidP="00AA24C6">
            <w:pPr>
              <w:spacing w:before="60" w:after="60"/>
            </w:pPr>
            <w:r>
              <w:rPr>
                <w:rFonts w:ascii="Calibri" w:eastAsia="Calibri" w:hAnsi="Calibri" w:cs="Calibri"/>
                <w:color w:val="1A1A1A"/>
                <w:sz w:val="17"/>
                <w:szCs w:val="17"/>
              </w:rPr>
              <w:t>Analysis of the Privacy Paradox: causes and implications in consumer surveillance contexts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ACFA2A1" w14:textId="77777777" w:rsidR="00AA7E0A" w:rsidRDefault="00AA7E0A" w:rsidP="00AA24C6">
            <w:pPr>
              <w:spacing w:before="60" w:after="60"/>
            </w:pPr>
            <w:r>
              <w:rPr>
                <w:rFonts w:ascii="Calibri" w:eastAsia="Calibri" w:hAnsi="Calibri" w:cs="Calibri"/>
                <w:color w:val="1A1A1A"/>
                <w:sz w:val="17"/>
                <w:szCs w:val="17"/>
              </w:rPr>
              <w:t>Recent empirical support for the paradox in post-GDPR digital environments</w:t>
            </w:r>
          </w:p>
        </w:tc>
      </w:tr>
      <w:tr w:rsidR="00AA7E0A" w14:paraId="594EBE0E"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45C7037" w14:textId="77777777" w:rsidR="00AA7E0A" w:rsidRDefault="00AA7E0A" w:rsidP="00AA24C6">
            <w:pPr>
              <w:spacing w:before="60" w:after="60"/>
            </w:pPr>
            <w:r>
              <w:rPr>
                <w:rFonts w:ascii="Calibri" w:eastAsia="Calibri" w:hAnsi="Calibri" w:cs="Calibri"/>
                <w:b/>
                <w:bCs/>
                <w:color w:val="1A4A6E"/>
                <w:sz w:val="17"/>
                <w:szCs w:val="17"/>
              </w:rPr>
              <w:t>[11]</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949B458" w14:textId="77777777" w:rsidR="00AA7E0A" w:rsidRDefault="00AA7E0A" w:rsidP="00AA24C6">
            <w:pPr>
              <w:spacing w:before="60" w:after="60"/>
            </w:pPr>
            <w:r>
              <w:rPr>
                <w:rFonts w:ascii="Calibri" w:eastAsia="Calibri" w:hAnsi="Calibri" w:cs="Calibri"/>
                <w:b/>
                <w:bCs/>
                <w:color w:val="1A4A6E"/>
                <w:sz w:val="16"/>
                <w:szCs w:val="16"/>
              </w:rPr>
              <w:t>Capterra / Statista (2022)</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B983695" w14:textId="77777777" w:rsidR="00AA7E0A" w:rsidRDefault="00AA7E0A" w:rsidP="00AA24C6">
            <w:pPr>
              <w:spacing w:before="60" w:after="60"/>
            </w:pPr>
            <w:r>
              <w:rPr>
                <w:rFonts w:ascii="Calibri" w:eastAsia="Calibri" w:hAnsi="Calibri" w:cs="Calibri"/>
                <w:color w:val="1A1A1A"/>
                <w:sz w:val="17"/>
                <w:szCs w:val="17"/>
              </w:rPr>
              <w:t>Share of consumers trusting online companies with personal data — international country-level data</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972EF2F" w14:textId="77777777" w:rsidR="00AA7E0A" w:rsidRDefault="00AA7E0A" w:rsidP="00AA24C6">
            <w:pPr>
              <w:spacing w:before="60" w:after="60"/>
            </w:pPr>
            <w:r>
              <w:rPr>
                <w:rFonts w:ascii="Calibri" w:eastAsia="Calibri" w:hAnsi="Calibri" w:cs="Calibri"/>
                <w:color w:val="1A1A1A"/>
                <w:sz w:val="17"/>
                <w:szCs w:val="17"/>
              </w:rPr>
              <w:t>Provides the 9% statistic on privacy policy reading; used in Figure 2</w:t>
            </w:r>
          </w:p>
        </w:tc>
      </w:tr>
      <w:tr w:rsidR="00AA7E0A" w14:paraId="76197EF6"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CDE1313" w14:textId="77777777" w:rsidR="00AA7E0A" w:rsidRDefault="00AA7E0A" w:rsidP="00AA24C6">
            <w:pPr>
              <w:spacing w:before="60" w:after="60"/>
            </w:pPr>
            <w:r>
              <w:rPr>
                <w:rFonts w:ascii="Calibri" w:eastAsia="Calibri" w:hAnsi="Calibri" w:cs="Calibri"/>
                <w:b/>
                <w:bCs/>
                <w:color w:val="1A4A6E"/>
                <w:sz w:val="17"/>
                <w:szCs w:val="17"/>
              </w:rPr>
              <w:t>[12]</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E8EA0A3" w14:textId="77777777" w:rsidR="00AA7E0A" w:rsidRDefault="00AA7E0A" w:rsidP="00AA24C6">
            <w:pPr>
              <w:spacing w:before="60" w:after="60"/>
            </w:pPr>
            <w:r>
              <w:rPr>
                <w:rFonts w:ascii="Calibri" w:eastAsia="Calibri" w:hAnsi="Calibri" w:cs="Calibri"/>
                <w:b/>
                <w:bCs/>
                <w:color w:val="1A4A6E"/>
                <w:sz w:val="16"/>
                <w:szCs w:val="16"/>
              </w:rPr>
              <w:t>McKnight et al. (2002)</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0B553CC" w14:textId="77777777" w:rsidR="00AA7E0A" w:rsidRDefault="00AA7E0A" w:rsidP="00AA24C6">
            <w:pPr>
              <w:spacing w:before="60" w:after="60"/>
            </w:pPr>
            <w:r>
              <w:rPr>
                <w:rFonts w:ascii="Calibri" w:eastAsia="Calibri" w:hAnsi="Calibri" w:cs="Calibri"/>
                <w:color w:val="1A1A1A"/>
                <w:sz w:val="17"/>
                <w:szCs w:val="17"/>
              </w:rPr>
              <w:t>Multi-dimensional trust model: Trusting Beliefs (competence, benevolence, integrity) + structural assurance and reputation as antecedents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75C96FF" w14:textId="77777777" w:rsidR="00AA7E0A" w:rsidRDefault="00AA7E0A" w:rsidP="00AA24C6">
            <w:pPr>
              <w:spacing w:before="60" w:after="60"/>
            </w:pPr>
            <w:r>
              <w:rPr>
                <w:rFonts w:ascii="Calibri" w:eastAsia="Calibri" w:hAnsi="Calibri" w:cs="Calibri"/>
                <w:color w:val="1A1A1A"/>
                <w:sz w:val="17"/>
                <w:szCs w:val="17"/>
              </w:rPr>
              <w:t>Directly underpins the trust measurement instrument used in this study's survey</w:t>
            </w:r>
          </w:p>
        </w:tc>
      </w:tr>
      <w:tr w:rsidR="00AA7E0A" w14:paraId="41346A43"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B28AAC3" w14:textId="77777777" w:rsidR="00AA7E0A" w:rsidRDefault="00AA7E0A" w:rsidP="00AA24C6">
            <w:pPr>
              <w:spacing w:before="60" w:after="60"/>
            </w:pPr>
            <w:r>
              <w:rPr>
                <w:rFonts w:ascii="Calibri" w:eastAsia="Calibri" w:hAnsi="Calibri" w:cs="Calibri"/>
                <w:b/>
                <w:bCs/>
                <w:color w:val="1A4A6E"/>
                <w:sz w:val="17"/>
                <w:szCs w:val="17"/>
              </w:rPr>
              <w:t>[13]</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22BDD5E" w14:textId="77777777" w:rsidR="00AA7E0A" w:rsidRDefault="00AA7E0A" w:rsidP="00AA24C6">
            <w:pPr>
              <w:spacing w:before="60" w:after="60"/>
            </w:pPr>
            <w:r>
              <w:rPr>
                <w:rFonts w:ascii="Calibri" w:eastAsia="Calibri" w:hAnsi="Calibri" w:cs="Calibri"/>
                <w:b/>
                <w:bCs/>
                <w:color w:val="1A4A6E"/>
                <w:sz w:val="16"/>
                <w:szCs w:val="16"/>
              </w:rPr>
              <w:t>Fogg et al. (2001)</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7D859E2" w14:textId="77777777" w:rsidR="00AA7E0A" w:rsidRDefault="00AA7E0A" w:rsidP="00AA24C6">
            <w:pPr>
              <w:spacing w:before="60" w:after="60"/>
            </w:pPr>
            <w:r>
              <w:rPr>
                <w:rFonts w:ascii="Calibri" w:eastAsia="Calibri" w:hAnsi="Calibri" w:cs="Calibri"/>
                <w:color w:val="1A1A1A"/>
                <w:sz w:val="17"/>
                <w:szCs w:val="17"/>
              </w:rPr>
              <w:t>What makes websites credible? Large-scale quantitative study identifying visual design as the single most cited credibility factor</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1FCFAF5" w14:textId="77777777" w:rsidR="00AA7E0A" w:rsidRDefault="00AA7E0A" w:rsidP="00AA24C6">
            <w:pPr>
              <w:spacing w:before="60" w:after="60"/>
            </w:pPr>
            <w:r>
              <w:rPr>
                <w:rFonts w:ascii="Calibri" w:eastAsia="Calibri" w:hAnsi="Calibri" w:cs="Calibri"/>
                <w:color w:val="1A1A1A"/>
                <w:sz w:val="17"/>
                <w:szCs w:val="17"/>
              </w:rPr>
              <w:t>Establishes importance of visual design as a trust signal; grounds Layer 3 of the Trust-by-Design Framework</w:t>
            </w:r>
          </w:p>
        </w:tc>
      </w:tr>
      <w:tr w:rsidR="00AA7E0A" w14:paraId="39CDF6B6"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2DD5D57" w14:textId="77777777" w:rsidR="00AA7E0A" w:rsidRDefault="00AA7E0A" w:rsidP="00AA24C6">
            <w:pPr>
              <w:spacing w:before="60" w:after="60"/>
            </w:pPr>
            <w:r>
              <w:rPr>
                <w:rFonts w:ascii="Calibri" w:eastAsia="Calibri" w:hAnsi="Calibri" w:cs="Calibri"/>
                <w:b/>
                <w:bCs/>
                <w:color w:val="1A4A6E"/>
                <w:sz w:val="17"/>
                <w:szCs w:val="17"/>
              </w:rPr>
              <w:t>[14]</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15293A4" w14:textId="77777777" w:rsidR="00AA7E0A" w:rsidRDefault="00AA7E0A" w:rsidP="00AA24C6">
            <w:pPr>
              <w:spacing w:before="60" w:after="60"/>
            </w:pPr>
            <w:r>
              <w:rPr>
                <w:rFonts w:ascii="Calibri" w:eastAsia="Calibri" w:hAnsi="Calibri" w:cs="Calibri"/>
                <w:b/>
                <w:bCs/>
                <w:color w:val="1A4A6E"/>
                <w:sz w:val="16"/>
                <w:szCs w:val="16"/>
              </w:rPr>
              <w:t xml:space="preserve">Zieglmeier &amp; </w:t>
            </w:r>
            <w:proofErr w:type="spellStart"/>
            <w:r>
              <w:rPr>
                <w:rFonts w:ascii="Calibri" w:eastAsia="Calibri" w:hAnsi="Calibri" w:cs="Calibri"/>
                <w:b/>
                <w:bCs/>
                <w:color w:val="1A4A6E"/>
                <w:sz w:val="16"/>
                <w:szCs w:val="16"/>
              </w:rPr>
              <w:t>Lehene</w:t>
            </w:r>
            <w:proofErr w:type="spellEnd"/>
            <w:r>
              <w:rPr>
                <w:rFonts w:ascii="Calibri" w:eastAsia="Calibri" w:hAnsi="Calibri" w:cs="Calibri"/>
                <w:b/>
                <w:bCs/>
                <w:color w:val="1A4A6E"/>
                <w:sz w:val="16"/>
                <w:szCs w:val="16"/>
              </w:rPr>
              <w:t xml:space="preserve"> (2021)</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7F6EDE4" w14:textId="77777777" w:rsidR="00AA7E0A" w:rsidRDefault="00AA7E0A" w:rsidP="00AA24C6">
            <w:pPr>
              <w:spacing w:before="60" w:after="60"/>
            </w:pPr>
            <w:r>
              <w:rPr>
                <w:rFonts w:ascii="Calibri" w:eastAsia="Calibri" w:hAnsi="Calibri" w:cs="Calibri"/>
                <w:color w:val="1A1A1A"/>
                <w:sz w:val="17"/>
                <w:szCs w:val="17"/>
              </w:rPr>
              <w:t>Systematic review and taxonomy of UI design factors affecting user trust; preliminary empirical evaluation</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7113293" w14:textId="77777777" w:rsidR="00AA7E0A" w:rsidRDefault="00AA7E0A" w:rsidP="00AA24C6">
            <w:pPr>
              <w:spacing w:before="60" w:after="60"/>
            </w:pPr>
            <w:r>
              <w:rPr>
                <w:rFonts w:ascii="Calibri" w:eastAsia="Calibri" w:hAnsi="Calibri" w:cs="Calibri"/>
                <w:color w:val="1A1A1A"/>
                <w:sz w:val="17"/>
                <w:szCs w:val="17"/>
              </w:rPr>
              <w:t>Technical framework for evaluating web design attributes as trust signals</w:t>
            </w:r>
          </w:p>
        </w:tc>
      </w:tr>
      <w:tr w:rsidR="00AA7E0A" w14:paraId="160E490B"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D7E7EA2" w14:textId="77777777" w:rsidR="00AA7E0A" w:rsidRDefault="00AA7E0A" w:rsidP="00AA24C6">
            <w:pPr>
              <w:spacing w:before="60" w:after="60"/>
            </w:pPr>
            <w:r>
              <w:rPr>
                <w:rFonts w:ascii="Calibri" w:eastAsia="Calibri" w:hAnsi="Calibri" w:cs="Calibri"/>
                <w:b/>
                <w:bCs/>
                <w:color w:val="1A4A6E"/>
                <w:sz w:val="17"/>
                <w:szCs w:val="17"/>
              </w:rPr>
              <w:t>[15]</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8CCD082" w14:textId="77777777" w:rsidR="00AA7E0A" w:rsidRDefault="00AA7E0A" w:rsidP="00AA24C6">
            <w:pPr>
              <w:spacing w:before="60" w:after="60"/>
            </w:pPr>
            <w:r>
              <w:rPr>
                <w:rFonts w:ascii="Calibri" w:eastAsia="Calibri" w:hAnsi="Calibri" w:cs="Calibri"/>
                <w:b/>
                <w:bCs/>
                <w:color w:val="1A4A6E"/>
                <w:sz w:val="16"/>
                <w:szCs w:val="16"/>
              </w:rPr>
              <w:t>Goodman et al. (2025)</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4680C42" w14:textId="77777777" w:rsidR="00AA7E0A" w:rsidRDefault="00AA7E0A" w:rsidP="00AA24C6">
            <w:pPr>
              <w:spacing w:before="60" w:after="60"/>
            </w:pPr>
            <w:r>
              <w:rPr>
                <w:rFonts w:ascii="Calibri" w:eastAsia="Calibri" w:hAnsi="Calibri" w:cs="Calibri"/>
                <w:color w:val="1A1A1A"/>
                <w:sz w:val="17"/>
                <w:szCs w:val="17"/>
              </w:rPr>
              <w:t>Cross-sectional UK survey on trust and trustworthiness in data sharing — n=1,200 UK adults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6AAEB35" w14:textId="77777777" w:rsidR="00AA7E0A" w:rsidRDefault="00AA7E0A" w:rsidP="00AA24C6">
            <w:pPr>
              <w:spacing w:before="60" w:after="60"/>
            </w:pPr>
            <w:r>
              <w:rPr>
                <w:rFonts w:ascii="Calibri" w:eastAsia="Calibri" w:hAnsi="Calibri" w:cs="Calibri"/>
                <w:color w:val="1A1A1A"/>
                <w:sz w:val="17"/>
                <w:szCs w:val="17"/>
              </w:rPr>
              <w:t>Most recent UK-specific empirical trust dataset; directly comparable to proposed study</w:t>
            </w:r>
          </w:p>
        </w:tc>
      </w:tr>
      <w:tr w:rsidR="00AA7E0A" w14:paraId="30AC7D96"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D14D6FB" w14:textId="77777777" w:rsidR="00AA7E0A" w:rsidRDefault="00AA7E0A" w:rsidP="00AA24C6">
            <w:pPr>
              <w:spacing w:before="60" w:after="60"/>
            </w:pPr>
            <w:r>
              <w:rPr>
                <w:rFonts w:ascii="Calibri" w:eastAsia="Calibri" w:hAnsi="Calibri" w:cs="Calibri"/>
                <w:b/>
                <w:bCs/>
                <w:color w:val="1A4A6E"/>
                <w:sz w:val="17"/>
                <w:szCs w:val="17"/>
              </w:rPr>
              <w:lastRenderedPageBreak/>
              <w:t>[16]</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388268F" w14:textId="77777777" w:rsidR="00AA7E0A" w:rsidRDefault="00AA7E0A" w:rsidP="00AA24C6">
            <w:pPr>
              <w:spacing w:before="60" w:after="60"/>
            </w:pPr>
            <w:r>
              <w:rPr>
                <w:rFonts w:ascii="Calibri" w:eastAsia="Calibri" w:hAnsi="Calibri" w:cs="Calibri"/>
                <w:b/>
                <w:bCs/>
                <w:color w:val="1A4A6E"/>
                <w:sz w:val="16"/>
                <w:szCs w:val="16"/>
              </w:rPr>
              <w:t>Gulati et al. (2024)</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93C31CF" w14:textId="77777777" w:rsidR="00AA7E0A" w:rsidRDefault="00AA7E0A" w:rsidP="00AA24C6">
            <w:pPr>
              <w:spacing w:before="60" w:after="60"/>
            </w:pPr>
            <w:r>
              <w:rPr>
                <w:rFonts w:ascii="Calibri" w:eastAsia="Calibri" w:hAnsi="Calibri" w:cs="Calibri"/>
                <w:color w:val="1A1A1A"/>
                <w:sz w:val="17"/>
                <w:szCs w:val="17"/>
              </w:rPr>
              <w:t>Systematic review of 47 HCI trust studies confirming visual design and security indicators as consistent trust predictors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54FC7B1" w14:textId="77777777" w:rsidR="00AA7E0A" w:rsidRDefault="00AA7E0A" w:rsidP="00AA24C6">
            <w:pPr>
              <w:spacing w:before="60" w:after="60"/>
            </w:pPr>
            <w:r>
              <w:rPr>
                <w:rFonts w:ascii="Calibri" w:eastAsia="Calibri" w:hAnsi="Calibri" w:cs="Calibri"/>
                <w:color w:val="1A1A1A"/>
                <w:sz w:val="17"/>
                <w:szCs w:val="17"/>
              </w:rPr>
              <w:t>Directly addresses RQ1 (SSL) and RQ4 (visual design); most current Q1 evidence for both</w:t>
            </w:r>
          </w:p>
        </w:tc>
      </w:tr>
      <w:tr w:rsidR="00AA7E0A" w14:paraId="3E7DEE38"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45AA461" w14:textId="77777777" w:rsidR="00AA7E0A" w:rsidRDefault="00AA7E0A" w:rsidP="00AA24C6">
            <w:pPr>
              <w:spacing w:before="60" w:after="60"/>
            </w:pPr>
            <w:r>
              <w:rPr>
                <w:rFonts w:ascii="Calibri" w:eastAsia="Calibri" w:hAnsi="Calibri" w:cs="Calibri"/>
                <w:b/>
                <w:bCs/>
                <w:color w:val="1A4A6E"/>
                <w:sz w:val="17"/>
                <w:szCs w:val="17"/>
              </w:rPr>
              <w:t>[17]</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461029F" w14:textId="77777777" w:rsidR="00AA7E0A" w:rsidRDefault="00AA7E0A" w:rsidP="00AA24C6">
            <w:pPr>
              <w:spacing w:before="60" w:after="60"/>
            </w:pPr>
            <w:proofErr w:type="spellStart"/>
            <w:r>
              <w:rPr>
                <w:rFonts w:ascii="Calibri" w:eastAsia="Calibri" w:hAnsi="Calibri" w:cs="Calibri"/>
                <w:b/>
                <w:bCs/>
                <w:color w:val="1A4A6E"/>
                <w:sz w:val="16"/>
                <w:szCs w:val="16"/>
              </w:rPr>
              <w:t>Dienlin</w:t>
            </w:r>
            <w:proofErr w:type="spellEnd"/>
            <w:r>
              <w:rPr>
                <w:rFonts w:ascii="Calibri" w:eastAsia="Calibri" w:hAnsi="Calibri" w:cs="Calibri"/>
                <w:b/>
                <w:bCs/>
                <w:color w:val="1A4A6E"/>
                <w:sz w:val="16"/>
                <w:szCs w:val="16"/>
              </w:rPr>
              <w:t xml:space="preserve"> &amp; </w:t>
            </w:r>
            <w:proofErr w:type="spellStart"/>
            <w:r>
              <w:rPr>
                <w:rFonts w:ascii="Calibri" w:eastAsia="Calibri" w:hAnsi="Calibri" w:cs="Calibri"/>
                <w:b/>
                <w:bCs/>
                <w:color w:val="1A4A6E"/>
                <w:sz w:val="16"/>
                <w:szCs w:val="16"/>
              </w:rPr>
              <w:t>Trepte</w:t>
            </w:r>
            <w:proofErr w:type="spellEnd"/>
            <w:r>
              <w:rPr>
                <w:rFonts w:ascii="Calibri" w:eastAsia="Calibri" w:hAnsi="Calibri" w:cs="Calibri"/>
                <w:b/>
                <w:bCs/>
                <w:color w:val="1A4A6E"/>
                <w:sz w:val="16"/>
                <w:szCs w:val="16"/>
              </w:rPr>
              <w:t xml:space="preserve"> (2015)</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8AE3806" w14:textId="77777777" w:rsidR="00AA7E0A" w:rsidRDefault="00AA7E0A" w:rsidP="00AA24C6">
            <w:pPr>
              <w:spacing w:before="60" w:after="60"/>
            </w:pPr>
            <w:r>
              <w:rPr>
                <w:rFonts w:ascii="Calibri" w:eastAsia="Calibri" w:hAnsi="Calibri" w:cs="Calibri"/>
                <w:color w:val="1A1A1A"/>
                <w:sz w:val="17"/>
                <w:szCs w:val="17"/>
              </w:rPr>
              <w:t>Is the Privacy Paradox a relic of the past? In-depth longitudinal analysis of privacy attitudes and behaviours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EA802BD" w14:textId="77777777" w:rsidR="00AA7E0A" w:rsidRDefault="00AA7E0A" w:rsidP="00AA24C6">
            <w:pPr>
              <w:spacing w:before="60" w:after="60"/>
            </w:pPr>
            <w:r>
              <w:rPr>
                <w:rFonts w:ascii="Calibri" w:eastAsia="Calibri" w:hAnsi="Calibri" w:cs="Calibri"/>
                <w:color w:val="1A1A1A"/>
                <w:sz w:val="17"/>
                <w:szCs w:val="17"/>
              </w:rPr>
              <w:t>Provides temporal evidence that the paradox persists and is context-dependent</w:t>
            </w:r>
          </w:p>
        </w:tc>
      </w:tr>
      <w:tr w:rsidR="00AA7E0A" w14:paraId="08BEDAC7"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028A101" w14:textId="77777777" w:rsidR="00AA7E0A" w:rsidRDefault="00AA7E0A" w:rsidP="00AA24C6">
            <w:pPr>
              <w:spacing w:before="60" w:after="60"/>
            </w:pPr>
            <w:r>
              <w:rPr>
                <w:rFonts w:ascii="Calibri" w:eastAsia="Calibri" w:hAnsi="Calibri" w:cs="Calibri"/>
                <w:b/>
                <w:bCs/>
                <w:color w:val="1A4A6E"/>
                <w:sz w:val="17"/>
                <w:szCs w:val="17"/>
              </w:rPr>
              <w:t>[18]</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1B561DB" w14:textId="77777777" w:rsidR="00AA7E0A" w:rsidRDefault="00AA7E0A" w:rsidP="00AA24C6">
            <w:pPr>
              <w:spacing w:before="60" w:after="60"/>
            </w:pPr>
            <w:r>
              <w:rPr>
                <w:rFonts w:ascii="Calibri" w:eastAsia="Calibri" w:hAnsi="Calibri" w:cs="Calibri"/>
                <w:b/>
                <w:bCs/>
                <w:color w:val="1A4A6E"/>
                <w:sz w:val="16"/>
                <w:szCs w:val="16"/>
              </w:rPr>
              <w:t>Dinev &amp; Hart (2006)</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677D4C5" w14:textId="77777777" w:rsidR="00AA7E0A" w:rsidRDefault="00AA7E0A" w:rsidP="00AA24C6">
            <w:pPr>
              <w:spacing w:before="60" w:after="60"/>
            </w:pPr>
            <w:r>
              <w:rPr>
                <w:rFonts w:ascii="Calibri" w:eastAsia="Calibri" w:hAnsi="Calibri" w:cs="Calibri"/>
                <w:color w:val="1A1A1A"/>
                <w:sz w:val="17"/>
                <w:szCs w:val="17"/>
              </w:rPr>
              <w:t>Extended privacy calculus model: trust in the vendor mediates the implicit cost-benefit calculation users perform when disclosing data</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E2A5300" w14:textId="77777777" w:rsidR="00AA7E0A" w:rsidRDefault="00AA7E0A" w:rsidP="00AA24C6">
            <w:pPr>
              <w:spacing w:before="60" w:after="60"/>
            </w:pPr>
            <w:r>
              <w:rPr>
                <w:rFonts w:ascii="Calibri" w:eastAsia="Calibri" w:hAnsi="Calibri" w:cs="Calibri"/>
                <w:color w:val="1A1A1A"/>
                <w:sz w:val="17"/>
                <w:szCs w:val="17"/>
              </w:rPr>
              <w:t>Provides theoretical grounding for the H2 moderation analysis (Objective O4)</w:t>
            </w:r>
          </w:p>
        </w:tc>
      </w:tr>
      <w:tr w:rsidR="00AA7E0A" w14:paraId="3902DBA7"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CDBCB7A" w14:textId="77777777" w:rsidR="00AA7E0A" w:rsidRDefault="00AA7E0A" w:rsidP="00AA24C6">
            <w:pPr>
              <w:spacing w:before="60" w:after="60"/>
            </w:pPr>
            <w:r>
              <w:rPr>
                <w:rFonts w:ascii="Calibri" w:eastAsia="Calibri" w:hAnsi="Calibri" w:cs="Calibri"/>
                <w:b/>
                <w:bCs/>
                <w:color w:val="1A4A6E"/>
                <w:sz w:val="17"/>
                <w:szCs w:val="17"/>
              </w:rPr>
              <w:t>[19]</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719D03A" w14:textId="77777777" w:rsidR="00AA7E0A" w:rsidRDefault="00AA7E0A" w:rsidP="00AA24C6">
            <w:pPr>
              <w:spacing w:before="60" w:after="60"/>
            </w:pPr>
            <w:r>
              <w:rPr>
                <w:rFonts w:ascii="Calibri" w:eastAsia="Calibri" w:hAnsi="Calibri" w:cs="Calibri"/>
                <w:b/>
                <w:bCs/>
                <w:color w:val="1A4A6E"/>
                <w:sz w:val="16"/>
                <w:szCs w:val="16"/>
              </w:rPr>
              <w:t>ICO (2021, updated 2025)</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45610CB" w14:textId="77777777" w:rsidR="00AA7E0A" w:rsidRDefault="00AA7E0A" w:rsidP="00AA24C6">
            <w:pPr>
              <w:spacing w:before="60" w:after="60"/>
            </w:pPr>
            <w:r>
              <w:rPr>
                <w:rFonts w:ascii="Calibri" w:eastAsia="Calibri" w:hAnsi="Calibri" w:cs="Calibri"/>
                <w:color w:val="1A1A1A"/>
                <w:sz w:val="17"/>
                <w:szCs w:val="17"/>
              </w:rPr>
              <w:t>UK GDPR Guidance and Resources — official regulatory framework for data protection</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4CF1FC7" w14:textId="77777777" w:rsidR="00AA7E0A" w:rsidRDefault="00AA7E0A" w:rsidP="00AA24C6">
            <w:pPr>
              <w:spacing w:before="60" w:after="60"/>
            </w:pPr>
            <w:r>
              <w:rPr>
                <w:rFonts w:ascii="Calibri" w:eastAsia="Calibri" w:hAnsi="Calibri" w:cs="Calibri"/>
                <w:color w:val="1A1A1A"/>
                <w:sz w:val="17"/>
                <w:szCs w:val="17"/>
              </w:rPr>
              <w:t>Regulatory anchor for survey Section B GDPR awareness items</w:t>
            </w:r>
          </w:p>
        </w:tc>
      </w:tr>
      <w:tr w:rsidR="00AA7E0A" w14:paraId="6FF05BCE"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DB15EA6" w14:textId="77777777" w:rsidR="00AA7E0A" w:rsidRDefault="00AA7E0A" w:rsidP="00AA24C6">
            <w:pPr>
              <w:spacing w:before="60" w:after="60"/>
            </w:pPr>
            <w:r>
              <w:rPr>
                <w:rFonts w:ascii="Calibri" w:eastAsia="Calibri" w:hAnsi="Calibri" w:cs="Calibri"/>
                <w:b/>
                <w:bCs/>
                <w:color w:val="1A4A6E"/>
                <w:sz w:val="17"/>
                <w:szCs w:val="17"/>
              </w:rPr>
              <w:t>[20]</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888DCFF" w14:textId="77777777" w:rsidR="00AA7E0A" w:rsidRDefault="00AA7E0A" w:rsidP="00AA24C6">
            <w:pPr>
              <w:spacing w:before="60" w:after="60"/>
            </w:pPr>
            <w:proofErr w:type="spellStart"/>
            <w:r>
              <w:rPr>
                <w:rFonts w:ascii="Calibri" w:eastAsia="Calibri" w:hAnsi="Calibri" w:cs="Calibri"/>
                <w:b/>
                <w:bCs/>
                <w:color w:val="1A4A6E"/>
                <w:sz w:val="16"/>
                <w:szCs w:val="16"/>
              </w:rPr>
              <w:t>Vercara</w:t>
            </w:r>
            <w:proofErr w:type="spellEnd"/>
            <w:r>
              <w:rPr>
                <w:rFonts w:ascii="Calibri" w:eastAsia="Calibri" w:hAnsi="Calibri" w:cs="Calibri"/>
                <w:b/>
                <w:bCs/>
                <w:color w:val="1A4A6E"/>
                <w:sz w:val="16"/>
                <w:szCs w:val="16"/>
              </w:rPr>
              <w:t xml:space="preserve"> (2024)</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593028C" w14:textId="77777777" w:rsidR="00AA7E0A" w:rsidRDefault="00AA7E0A" w:rsidP="00AA24C6">
            <w:pPr>
              <w:spacing w:before="60" w:after="60"/>
            </w:pPr>
            <w:r>
              <w:rPr>
                <w:rFonts w:ascii="Calibri" w:eastAsia="Calibri" w:hAnsi="Calibri" w:cs="Calibri"/>
                <w:color w:val="1A1A1A"/>
                <w:sz w:val="17"/>
                <w:szCs w:val="17"/>
              </w:rPr>
              <w:t>2024 Consumer Trust and Risk Report — data breach impact on consumer trust</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3D57B84" w14:textId="77777777" w:rsidR="00AA7E0A" w:rsidRDefault="00AA7E0A" w:rsidP="00AA24C6">
            <w:pPr>
              <w:spacing w:before="60" w:after="60"/>
            </w:pPr>
            <w:r>
              <w:rPr>
                <w:rFonts w:ascii="Calibri" w:eastAsia="Calibri" w:hAnsi="Calibri" w:cs="Calibri"/>
                <w:color w:val="1A1A1A"/>
                <w:sz w:val="17"/>
                <w:szCs w:val="17"/>
              </w:rPr>
              <w:t>Provides data on breach-driven trust loss; used in Section 1.1 and Section 1.4.2</w:t>
            </w:r>
          </w:p>
        </w:tc>
      </w:tr>
      <w:tr w:rsidR="00AA7E0A" w14:paraId="7370FA47"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2FEDA67" w14:textId="77777777" w:rsidR="00AA7E0A" w:rsidRDefault="00AA7E0A" w:rsidP="00AA24C6">
            <w:pPr>
              <w:spacing w:before="60" w:after="60"/>
            </w:pPr>
            <w:r>
              <w:rPr>
                <w:rFonts w:ascii="Calibri" w:eastAsia="Calibri" w:hAnsi="Calibri" w:cs="Calibri"/>
                <w:b/>
                <w:bCs/>
                <w:color w:val="1A4A6E"/>
                <w:sz w:val="17"/>
                <w:szCs w:val="17"/>
              </w:rPr>
              <w:t>[21]</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60DA944" w14:textId="77777777" w:rsidR="00AA7E0A" w:rsidRDefault="00AA7E0A" w:rsidP="00AA24C6">
            <w:pPr>
              <w:spacing w:before="60" w:after="60"/>
            </w:pPr>
            <w:r>
              <w:rPr>
                <w:rFonts w:ascii="Calibri" w:eastAsia="Calibri" w:hAnsi="Calibri" w:cs="Calibri"/>
                <w:b/>
                <w:bCs/>
                <w:color w:val="1A4A6E"/>
                <w:sz w:val="16"/>
                <w:szCs w:val="16"/>
              </w:rPr>
              <w:t>Prince et al. (2022)</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5235551" w14:textId="77777777" w:rsidR="00AA7E0A" w:rsidRDefault="00AA7E0A" w:rsidP="00AA24C6">
            <w:pPr>
              <w:spacing w:before="60" w:after="60"/>
            </w:pPr>
            <w:r>
              <w:rPr>
                <w:rFonts w:ascii="Calibri" w:eastAsia="Calibri" w:hAnsi="Calibri" w:cs="Calibri"/>
                <w:color w:val="1A1A1A"/>
                <w:sz w:val="17"/>
                <w:szCs w:val="17"/>
              </w:rPr>
              <w:t>Online privacy literacy and users' information privacy empowerment under GDPR</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78CE66E" w14:textId="77777777" w:rsidR="00AA7E0A" w:rsidRDefault="00AA7E0A" w:rsidP="00AA24C6">
            <w:pPr>
              <w:spacing w:before="60" w:after="60"/>
            </w:pPr>
            <w:r>
              <w:rPr>
                <w:rFonts w:ascii="Calibri" w:eastAsia="Calibri" w:hAnsi="Calibri" w:cs="Calibri"/>
                <w:color w:val="1A1A1A"/>
                <w:sz w:val="17"/>
                <w:szCs w:val="17"/>
              </w:rPr>
              <w:t>Provides validated GDPR awareness scale items for survey Section B; supports H2</w:t>
            </w:r>
          </w:p>
        </w:tc>
      </w:tr>
      <w:tr w:rsidR="00AA7E0A" w14:paraId="68430C4B"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03E5A6C" w14:textId="77777777" w:rsidR="00AA7E0A" w:rsidRDefault="00AA7E0A" w:rsidP="00AA24C6">
            <w:pPr>
              <w:spacing w:before="60" w:after="60"/>
            </w:pPr>
            <w:r>
              <w:rPr>
                <w:rFonts w:ascii="Calibri" w:eastAsia="Calibri" w:hAnsi="Calibri" w:cs="Calibri"/>
                <w:b/>
                <w:bCs/>
                <w:color w:val="1A4A6E"/>
                <w:sz w:val="17"/>
                <w:szCs w:val="17"/>
              </w:rPr>
              <w:t>[22]</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31FB8FB" w14:textId="77777777" w:rsidR="00AA7E0A" w:rsidRDefault="00AA7E0A" w:rsidP="00AA24C6">
            <w:pPr>
              <w:spacing w:before="60" w:after="60"/>
            </w:pPr>
            <w:proofErr w:type="spellStart"/>
            <w:r>
              <w:rPr>
                <w:rFonts w:ascii="Calibri" w:eastAsia="Calibri" w:hAnsi="Calibri" w:cs="Calibri"/>
                <w:b/>
                <w:bCs/>
                <w:color w:val="1A4A6E"/>
                <w:sz w:val="16"/>
                <w:szCs w:val="16"/>
              </w:rPr>
              <w:t>Acquisti</w:t>
            </w:r>
            <w:proofErr w:type="spellEnd"/>
            <w:r>
              <w:rPr>
                <w:rFonts w:ascii="Calibri" w:eastAsia="Calibri" w:hAnsi="Calibri" w:cs="Calibri"/>
                <w:b/>
                <w:bCs/>
                <w:color w:val="1A4A6E"/>
                <w:sz w:val="16"/>
                <w:szCs w:val="16"/>
              </w:rPr>
              <w:t xml:space="preserve"> et al. (2016)</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3081D31" w14:textId="77777777" w:rsidR="00AA7E0A" w:rsidRDefault="00AA7E0A" w:rsidP="00AA24C6">
            <w:pPr>
              <w:spacing w:before="60" w:after="60"/>
            </w:pPr>
            <w:r>
              <w:rPr>
                <w:rFonts w:ascii="Calibri" w:eastAsia="Calibri" w:hAnsi="Calibri" w:cs="Calibri"/>
                <w:color w:val="1A1A1A"/>
                <w:sz w:val="17"/>
                <w:szCs w:val="17"/>
              </w:rPr>
              <w:t>Economics of privacy: privacy decisions are subject to systematic cognitive biases (present bias, framing effects)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954E0DC" w14:textId="77777777" w:rsidR="00AA7E0A" w:rsidRDefault="00AA7E0A" w:rsidP="00AA24C6">
            <w:pPr>
              <w:spacing w:before="60" w:after="60"/>
            </w:pPr>
            <w:r>
              <w:rPr>
                <w:rFonts w:ascii="Calibri" w:eastAsia="Calibri" w:hAnsi="Calibri" w:cs="Calibri"/>
                <w:color w:val="1A1A1A"/>
                <w:sz w:val="17"/>
                <w:szCs w:val="17"/>
              </w:rPr>
              <w:t>Reinforces the theoretical case that GDPR awareness alone may not change behaviour; supports H2 rejection scenario</w:t>
            </w:r>
          </w:p>
        </w:tc>
      </w:tr>
      <w:tr w:rsidR="00AA7E0A" w14:paraId="1831F734"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F3B982C" w14:textId="77777777" w:rsidR="00AA7E0A" w:rsidRDefault="00AA7E0A" w:rsidP="00AA24C6">
            <w:pPr>
              <w:spacing w:before="60" w:after="60"/>
            </w:pPr>
            <w:r>
              <w:rPr>
                <w:rFonts w:ascii="Calibri" w:eastAsia="Calibri" w:hAnsi="Calibri" w:cs="Calibri"/>
                <w:b/>
                <w:bCs/>
                <w:color w:val="1A4A6E"/>
                <w:sz w:val="17"/>
                <w:szCs w:val="17"/>
              </w:rPr>
              <w:t>[23]</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C49C4A5" w14:textId="77777777" w:rsidR="00AA7E0A" w:rsidRDefault="00AA7E0A" w:rsidP="00AA24C6">
            <w:pPr>
              <w:spacing w:before="60" w:after="60"/>
            </w:pPr>
            <w:r>
              <w:rPr>
                <w:rFonts w:ascii="Calibri" w:eastAsia="Calibri" w:hAnsi="Calibri" w:cs="Calibri"/>
                <w:b/>
                <w:bCs/>
                <w:color w:val="1A4A6E"/>
                <w:sz w:val="16"/>
                <w:szCs w:val="16"/>
              </w:rPr>
              <w:t>Mohamed et al. (2017)</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509E71A" w14:textId="77777777" w:rsidR="00AA7E0A" w:rsidRDefault="00AA7E0A" w:rsidP="00AA24C6">
            <w:pPr>
              <w:spacing w:before="60" w:after="60"/>
            </w:pPr>
            <w:r>
              <w:rPr>
                <w:rFonts w:ascii="Calibri" w:eastAsia="Calibri" w:hAnsi="Calibri" w:cs="Calibri"/>
                <w:color w:val="1A1A1A"/>
                <w:sz w:val="17"/>
                <w:szCs w:val="17"/>
              </w:rPr>
              <w:t>Trading off usability and security in UI design through mental models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7F39F45" w14:textId="77777777" w:rsidR="00AA7E0A" w:rsidRDefault="00AA7E0A" w:rsidP="00AA24C6">
            <w:pPr>
              <w:spacing w:before="60" w:after="60"/>
            </w:pPr>
            <w:r>
              <w:rPr>
                <w:rFonts w:ascii="Calibri" w:eastAsia="Calibri" w:hAnsi="Calibri" w:cs="Calibri"/>
                <w:color w:val="1A1A1A"/>
                <w:sz w:val="17"/>
                <w:szCs w:val="17"/>
              </w:rPr>
              <w:t>Grounds Layer 1–3 interface design recommendations in the Trust-by-Design Framework</w:t>
            </w:r>
          </w:p>
        </w:tc>
      </w:tr>
      <w:tr w:rsidR="00AA7E0A" w14:paraId="13FCA2AC"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FE55743" w14:textId="77777777" w:rsidR="00AA7E0A" w:rsidRDefault="00AA7E0A" w:rsidP="00AA24C6">
            <w:pPr>
              <w:spacing w:before="60" w:after="60"/>
            </w:pPr>
            <w:r>
              <w:rPr>
                <w:rFonts w:ascii="Calibri" w:eastAsia="Calibri" w:hAnsi="Calibri" w:cs="Calibri"/>
                <w:b/>
                <w:bCs/>
                <w:color w:val="1A4A6E"/>
                <w:sz w:val="17"/>
                <w:szCs w:val="17"/>
              </w:rPr>
              <w:t>[24]</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C518939" w14:textId="77777777" w:rsidR="00AA7E0A" w:rsidRDefault="00AA7E0A" w:rsidP="00AA24C6">
            <w:pPr>
              <w:spacing w:before="60" w:after="60"/>
            </w:pPr>
            <w:r>
              <w:rPr>
                <w:rFonts w:ascii="Calibri" w:eastAsia="Calibri" w:hAnsi="Calibri" w:cs="Calibri"/>
                <w:b/>
                <w:bCs/>
                <w:color w:val="1A4A6E"/>
                <w:sz w:val="16"/>
                <w:szCs w:val="16"/>
              </w:rPr>
              <w:t>Johnson &amp; Onwuegbuzie (2004)</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F0A080D" w14:textId="77777777" w:rsidR="00AA7E0A" w:rsidRDefault="00AA7E0A" w:rsidP="00AA24C6">
            <w:pPr>
              <w:spacing w:before="60" w:after="60"/>
            </w:pPr>
            <w:r>
              <w:rPr>
                <w:rFonts w:ascii="Calibri" w:eastAsia="Calibri" w:hAnsi="Calibri" w:cs="Calibri"/>
                <w:color w:val="1A1A1A"/>
                <w:sz w:val="17"/>
                <w:szCs w:val="17"/>
              </w:rPr>
              <w:t>Mixed methods research paradigm; quantitative survey design for measuring multiple constructs simultaneously</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EE3CB57" w14:textId="77777777" w:rsidR="00AA7E0A" w:rsidRDefault="00AA7E0A" w:rsidP="00AA24C6">
            <w:pPr>
              <w:spacing w:before="60" w:after="60"/>
            </w:pPr>
            <w:r>
              <w:rPr>
                <w:rFonts w:ascii="Calibri" w:eastAsia="Calibri" w:hAnsi="Calibri" w:cs="Calibri"/>
                <w:color w:val="1A1A1A"/>
                <w:sz w:val="17"/>
                <w:szCs w:val="17"/>
              </w:rPr>
              <w:t>Methodological justification for the quantitative cross-sectional survey approach</w:t>
            </w:r>
          </w:p>
        </w:tc>
      </w:tr>
      <w:tr w:rsidR="00AA7E0A" w14:paraId="1A38D944"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DF960B2" w14:textId="77777777" w:rsidR="00AA7E0A" w:rsidRDefault="00AA7E0A" w:rsidP="00AA24C6">
            <w:pPr>
              <w:spacing w:before="60" w:after="60"/>
            </w:pPr>
            <w:r>
              <w:rPr>
                <w:rFonts w:ascii="Calibri" w:eastAsia="Calibri" w:hAnsi="Calibri" w:cs="Calibri"/>
                <w:b/>
                <w:bCs/>
                <w:color w:val="1A4A6E"/>
                <w:sz w:val="17"/>
                <w:szCs w:val="17"/>
              </w:rPr>
              <w:t>[25]</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2FF800E" w14:textId="77777777" w:rsidR="00AA7E0A" w:rsidRDefault="00AA7E0A" w:rsidP="00AA24C6">
            <w:pPr>
              <w:spacing w:before="60" w:after="60"/>
            </w:pPr>
            <w:r>
              <w:rPr>
                <w:rFonts w:ascii="Calibri" w:eastAsia="Calibri" w:hAnsi="Calibri" w:cs="Calibri"/>
                <w:b/>
                <w:bCs/>
                <w:color w:val="1A4A6E"/>
                <w:sz w:val="16"/>
                <w:szCs w:val="16"/>
              </w:rPr>
              <w:t xml:space="preserve">Bélanger &amp; </w:t>
            </w:r>
            <w:proofErr w:type="spellStart"/>
            <w:r>
              <w:rPr>
                <w:rFonts w:ascii="Calibri" w:eastAsia="Calibri" w:hAnsi="Calibri" w:cs="Calibri"/>
                <w:b/>
                <w:bCs/>
                <w:color w:val="1A4A6E"/>
                <w:sz w:val="16"/>
                <w:szCs w:val="16"/>
              </w:rPr>
              <w:t>Crossler</w:t>
            </w:r>
            <w:proofErr w:type="spellEnd"/>
            <w:r>
              <w:rPr>
                <w:rFonts w:ascii="Calibri" w:eastAsia="Calibri" w:hAnsi="Calibri" w:cs="Calibri"/>
                <w:b/>
                <w:bCs/>
                <w:color w:val="1A4A6E"/>
                <w:sz w:val="16"/>
                <w:szCs w:val="16"/>
              </w:rPr>
              <w:t xml:space="preserve"> (2011)</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EE0686F" w14:textId="606F7219" w:rsidR="00AA7E0A" w:rsidRDefault="00AA7E0A" w:rsidP="00AA24C6">
            <w:pPr>
              <w:spacing w:before="60" w:after="60"/>
            </w:pPr>
            <w:r>
              <w:rPr>
                <w:rFonts w:ascii="Calibri" w:eastAsia="Calibri" w:hAnsi="Calibri" w:cs="Calibri"/>
                <w:color w:val="1A1A1A"/>
                <w:sz w:val="17"/>
                <w:szCs w:val="17"/>
              </w:rPr>
              <w:t xml:space="preserve">MIS Quarterly IS privacy review; attitude–behaviour gap identified as </w:t>
            </w:r>
            <w:r w:rsidR="00B26038">
              <w:rPr>
                <w:rFonts w:ascii="Calibri" w:eastAsia="Calibri" w:hAnsi="Calibri" w:cs="Calibri"/>
                <w:color w:val="1A1A1A"/>
                <w:sz w:val="17"/>
                <w:szCs w:val="17"/>
              </w:rPr>
              <w:t xml:space="preserve">the </w:t>
            </w:r>
            <w:r>
              <w:rPr>
                <w:rFonts w:ascii="Calibri" w:eastAsia="Calibri" w:hAnsi="Calibri" w:cs="Calibri"/>
                <w:color w:val="1A1A1A"/>
                <w:sz w:val="17"/>
                <w:szCs w:val="17"/>
              </w:rPr>
              <w:t>most persistent unsolved problem; calls for non-US samples</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21351E0" w14:textId="77777777" w:rsidR="00AA7E0A" w:rsidRDefault="00AA7E0A" w:rsidP="00AA24C6">
            <w:pPr>
              <w:spacing w:before="60" w:after="60"/>
            </w:pPr>
            <w:r>
              <w:rPr>
                <w:rFonts w:ascii="Calibri" w:eastAsia="Calibri" w:hAnsi="Calibri" w:cs="Calibri"/>
                <w:color w:val="1A1A1A"/>
                <w:sz w:val="17"/>
                <w:szCs w:val="17"/>
              </w:rPr>
              <w:t>Provides theoretical justification for a UK-focused study and motivates the multi-sector design</w:t>
            </w:r>
          </w:p>
        </w:tc>
      </w:tr>
      <w:tr w:rsidR="00AA7E0A" w14:paraId="44BE2C9D"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1F3C5D8" w14:textId="77777777" w:rsidR="00AA7E0A" w:rsidRDefault="00AA7E0A" w:rsidP="00AA24C6">
            <w:pPr>
              <w:spacing w:before="60" w:after="60"/>
            </w:pPr>
            <w:r>
              <w:rPr>
                <w:rFonts w:ascii="Calibri" w:eastAsia="Calibri" w:hAnsi="Calibri" w:cs="Calibri"/>
                <w:b/>
                <w:bCs/>
                <w:color w:val="1A4A6E"/>
                <w:sz w:val="17"/>
                <w:szCs w:val="17"/>
              </w:rPr>
              <w:t>[26]</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FF9B587" w14:textId="77777777" w:rsidR="00AA7E0A" w:rsidRDefault="00AA7E0A" w:rsidP="00AA24C6">
            <w:pPr>
              <w:spacing w:before="60" w:after="60"/>
            </w:pPr>
            <w:proofErr w:type="spellStart"/>
            <w:r>
              <w:rPr>
                <w:rFonts w:ascii="Calibri" w:eastAsia="Calibri" w:hAnsi="Calibri" w:cs="Calibri"/>
                <w:b/>
                <w:bCs/>
                <w:color w:val="1A4A6E"/>
                <w:sz w:val="16"/>
                <w:szCs w:val="16"/>
              </w:rPr>
              <w:t>Alashoor</w:t>
            </w:r>
            <w:proofErr w:type="spellEnd"/>
            <w:r>
              <w:rPr>
                <w:rFonts w:ascii="Calibri" w:eastAsia="Calibri" w:hAnsi="Calibri" w:cs="Calibri"/>
                <w:b/>
                <w:bCs/>
                <w:color w:val="1A4A6E"/>
                <w:sz w:val="16"/>
                <w:szCs w:val="16"/>
              </w:rPr>
              <w:t xml:space="preserve"> et al. (2023)</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39B5CF84" w14:textId="77777777" w:rsidR="00AA7E0A" w:rsidRDefault="00AA7E0A" w:rsidP="00AA24C6">
            <w:pPr>
              <w:spacing w:before="60" w:after="60"/>
            </w:pPr>
            <w:r>
              <w:rPr>
                <w:rFonts w:ascii="Calibri" w:eastAsia="Calibri" w:hAnsi="Calibri" w:cs="Calibri"/>
                <w:color w:val="1A1A1A"/>
                <w:sz w:val="17"/>
                <w:szCs w:val="17"/>
              </w:rPr>
              <w:t>Cognitive depletion and positive mood both reduce privacy-protective behaviour even among high-concern individuals</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EE6BBC5" w14:textId="58377382" w:rsidR="00AA7E0A" w:rsidRDefault="00AA7E0A" w:rsidP="00AA24C6">
            <w:pPr>
              <w:spacing w:before="60" w:after="60"/>
            </w:pPr>
            <w:r>
              <w:rPr>
                <w:rFonts w:ascii="Calibri" w:eastAsia="Calibri" w:hAnsi="Calibri" w:cs="Calibri"/>
                <w:color w:val="1A1A1A"/>
                <w:sz w:val="17"/>
                <w:szCs w:val="17"/>
              </w:rPr>
              <w:t xml:space="preserve">Psychological mechanism explaining the Privacy Paradox supports </w:t>
            </w:r>
            <w:r w:rsidR="00B26038">
              <w:rPr>
                <w:rFonts w:ascii="Calibri" w:eastAsia="Calibri" w:hAnsi="Calibri" w:cs="Calibri"/>
                <w:color w:val="1A1A1A"/>
                <w:sz w:val="17"/>
                <w:szCs w:val="17"/>
              </w:rPr>
              <w:t xml:space="preserve">the </w:t>
            </w:r>
            <w:r>
              <w:rPr>
                <w:rFonts w:ascii="Calibri" w:eastAsia="Calibri" w:hAnsi="Calibri" w:cs="Calibri"/>
                <w:color w:val="1A1A1A"/>
                <w:sz w:val="17"/>
                <w:szCs w:val="17"/>
              </w:rPr>
              <w:t>case that GDPR awareness alone may be insufficient</w:t>
            </w:r>
          </w:p>
        </w:tc>
      </w:tr>
      <w:tr w:rsidR="00AA7E0A" w14:paraId="69A70C7B"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EC257C7" w14:textId="77777777" w:rsidR="00AA7E0A" w:rsidRDefault="00AA7E0A" w:rsidP="00AA24C6">
            <w:pPr>
              <w:spacing w:before="60" w:after="60"/>
            </w:pPr>
            <w:r>
              <w:rPr>
                <w:rFonts w:ascii="Calibri" w:eastAsia="Calibri" w:hAnsi="Calibri" w:cs="Calibri"/>
                <w:b/>
                <w:bCs/>
                <w:color w:val="1A4A6E"/>
                <w:sz w:val="17"/>
                <w:szCs w:val="17"/>
              </w:rPr>
              <w:t>[27]</w:t>
            </w:r>
          </w:p>
        </w:tc>
        <w:tc>
          <w:tcPr>
            <w:tcW w:w="17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0AE57D8" w14:textId="77777777" w:rsidR="00AA7E0A" w:rsidRDefault="00AA7E0A" w:rsidP="00AA24C6">
            <w:pPr>
              <w:spacing w:before="60" w:after="60"/>
            </w:pPr>
            <w:r>
              <w:rPr>
                <w:rFonts w:ascii="Calibri" w:eastAsia="Calibri" w:hAnsi="Calibri" w:cs="Calibri"/>
                <w:b/>
                <w:bCs/>
                <w:color w:val="1A4A6E"/>
                <w:sz w:val="16"/>
                <w:szCs w:val="16"/>
              </w:rPr>
              <w:t>Schuetz et al. (2025)</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B6CB830" w14:textId="77777777" w:rsidR="00AA7E0A" w:rsidRDefault="00AA7E0A" w:rsidP="00AA24C6">
            <w:pPr>
              <w:spacing w:before="60" w:after="60"/>
            </w:pPr>
            <w:r>
              <w:rPr>
                <w:rFonts w:ascii="Calibri" w:eastAsia="Calibri" w:hAnsi="Calibri" w:cs="Calibri"/>
                <w:color w:val="1A1A1A"/>
                <w:sz w:val="17"/>
                <w:szCs w:val="17"/>
              </w:rPr>
              <w:t>Qualitative systematic review of 62 IS trust studies; structural assurance is the strongest consistent predictor</w:t>
            </w:r>
          </w:p>
        </w:tc>
        <w:tc>
          <w:tcPr>
            <w:tcW w:w="33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4E2BE2F" w14:textId="77777777" w:rsidR="00AA7E0A" w:rsidRDefault="00AA7E0A" w:rsidP="00AA24C6">
            <w:pPr>
              <w:spacing w:before="60" w:after="60"/>
            </w:pPr>
            <w:r>
              <w:rPr>
                <w:rFonts w:ascii="Calibri" w:eastAsia="Calibri" w:hAnsi="Calibri" w:cs="Calibri"/>
                <w:color w:val="1A1A1A"/>
                <w:sz w:val="17"/>
                <w:szCs w:val="17"/>
              </w:rPr>
              <w:t>Methodological anchor for this study's SLR; confirms structural assurance central; validates post-GDPR gap</w:t>
            </w:r>
          </w:p>
        </w:tc>
      </w:tr>
      <w:tr w:rsidR="00AA7E0A" w14:paraId="09685DBA" w14:textId="77777777" w:rsidTr="00AA24C6">
        <w:tc>
          <w:tcPr>
            <w:tcW w:w="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896AABE" w14:textId="77777777" w:rsidR="00AA7E0A" w:rsidRDefault="00AA7E0A" w:rsidP="00AA24C6">
            <w:pPr>
              <w:spacing w:before="60" w:after="60"/>
            </w:pPr>
            <w:r>
              <w:rPr>
                <w:rFonts w:ascii="Calibri" w:eastAsia="Calibri" w:hAnsi="Calibri" w:cs="Calibri"/>
                <w:b/>
                <w:bCs/>
                <w:color w:val="1A4A6E"/>
                <w:sz w:val="17"/>
                <w:szCs w:val="17"/>
              </w:rPr>
              <w:t>[28]</w:t>
            </w:r>
          </w:p>
        </w:tc>
        <w:tc>
          <w:tcPr>
            <w:tcW w:w="17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7210F9E" w14:textId="77777777" w:rsidR="00AA7E0A" w:rsidRDefault="00AA7E0A" w:rsidP="00AA24C6">
            <w:pPr>
              <w:spacing w:before="60" w:after="60"/>
            </w:pPr>
            <w:proofErr w:type="spellStart"/>
            <w:r>
              <w:rPr>
                <w:rFonts w:ascii="Calibri" w:eastAsia="Calibri" w:hAnsi="Calibri" w:cs="Calibri"/>
                <w:b/>
                <w:bCs/>
                <w:color w:val="1A4A6E"/>
                <w:sz w:val="16"/>
                <w:szCs w:val="16"/>
              </w:rPr>
              <w:t>Lacity</w:t>
            </w:r>
            <w:proofErr w:type="spellEnd"/>
            <w:r>
              <w:rPr>
                <w:rFonts w:ascii="Calibri" w:eastAsia="Calibri" w:hAnsi="Calibri" w:cs="Calibri"/>
                <w:b/>
                <w:bCs/>
                <w:color w:val="1A4A6E"/>
                <w:sz w:val="16"/>
                <w:szCs w:val="16"/>
              </w:rPr>
              <w:t xml:space="preserve"> et al. (2025)</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A60FD03" w14:textId="77777777" w:rsidR="00AA7E0A" w:rsidRDefault="00AA7E0A" w:rsidP="00AA24C6">
            <w:pPr>
              <w:spacing w:before="60" w:after="60"/>
            </w:pPr>
            <w:r>
              <w:rPr>
                <w:rFonts w:ascii="Calibri" w:eastAsia="Calibri" w:hAnsi="Calibri" w:cs="Calibri"/>
                <w:color w:val="1A1A1A"/>
                <w:sz w:val="17"/>
                <w:szCs w:val="17"/>
              </w:rPr>
              <w:t>Comprehensive IS trust literature review; trust must be treated as a construct in its own right; identifies the post-GDPR gap</w:t>
            </w:r>
          </w:p>
        </w:tc>
        <w:tc>
          <w:tcPr>
            <w:tcW w:w="33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5D7230C" w14:textId="77777777" w:rsidR="00AA7E0A" w:rsidRDefault="00AA7E0A" w:rsidP="00AA24C6">
            <w:pPr>
              <w:spacing w:before="60" w:after="60"/>
            </w:pPr>
            <w:r>
              <w:rPr>
                <w:rFonts w:ascii="Calibri" w:eastAsia="Calibri" w:hAnsi="Calibri" w:cs="Calibri"/>
                <w:color w:val="1A1A1A"/>
                <w:sz w:val="17"/>
                <w:szCs w:val="17"/>
              </w:rPr>
              <w:t>Confirms trust under-researched post-GDPR; directly supports the originality claim of this study</w:t>
            </w:r>
          </w:p>
        </w:tc>
      </w:tr>
    </w:tbl>
    <w:p w14:paraId="03E05E4C" w14:textId="1CF6140F" w:rsidR="00AA7E0A" w:rsidRPr="00381112" w:rsidRDefault="00381112" w:rsidP="00381112">
      <w:pPr>
        <w:spacing w:before="160" w:after="80"/>
        <w:jc w:val="center"/>
        <w:rPr>
          <w:b/>
          <w:bCs/>
          <w:color w:val="156082" w:themeColor="accent1"/>
          <w:sz w:val="20"/>
          <w:szCs w:val="20"/>
        </w:rPr>
      </w:pPr>
      <w:r w:rsidRPr="00381112">
        <w:rPr>
          <w:b/>
          <w:bCs/>
          <w:color w:val="156082" w:themeColor="accent1"/>
          <w:sz w:val="20"/>
          <w:szCs w:val="20"/>
        </w:rPr>
        <w:t>Source: Generated by author (2026).</w:t>
      </w:r>
    </w:p>
    <w:p w14:paraId="7CD77B87" w14:textId="77777777" w:rsidR="00381112" w:rsidRPr="00381112" w:rsidRDefault="00381112" w:rsidP="00AA7E0A">
      <w:pPr>
        <w:spacing w:before="160" w:after="80"/>
        <w:rPr>
          <w:b/>
          <w:bCs/>
          <w:sz w:val="20"/>
          <w:szCs w:val="20"/>
        </w:rPr>
      </w:pPr>
    </w:p>
    <w:p w14:paraId="518E4627" w14:textId="77777777" w:rsidR="00AA7E0A" w:rsidRPr="00AA7E0A" w:rsidRDefault="00AA7E0A" w:rsidP="00AA7E0A">
      <w:pPr>
        <w:spacing w:before="60" w:after="80" w:line="360" w:lineRule="auto"/>
        <w:jc w:val="both"/>
        <w:rPr>
          <w:sz w:val="22"/>
          <w:szCs w:val="22"/>
        </w:rPr>
      </w:pPr>
      <w:r w:rsidRPr="00AA7E0A">
        <w:rPr>
          <w:rFonts w:ascii="Calibri" w:eastAsia="Calibri" w:hAnsi="Calibri" w:cs="Calibri"/>
          <w:color w:val="1A1A1A"/>
          <w:sz w:val="22"/>
          <w:szCs w:val="22"/>
        </w:rPr>
        <w:t>Collectively, the literature demonstrates that although substantial advances have been made in understanding technology acceptance, online trust, and privacy behaviour, no previous study has simultaneously investigated multiple trust factors across several web application sectors within the UK post-GDPR environment. This supports the originality of the proposed research.</w:t>
      </w:r>
    </w:p>
    <w:p w14:paraId="5A261704" w14:textId="77777777" w:rsidR="00AA7E0A" w:rsidRDefault="00AA7E0A" w:rsidP="00AA7E0A">
      <w:r>
        <w:br w:type="page"/>
      </w:r>
    </w:p>
    <w:p w14:paraId="0412ACA7" w14:textId="2ADDBF94" w:rsidR="006D35C0" w:rsidRPr="00AA7E0A" w:rsidRDefault="002C0E0C" w:rsidP="00AA7E0A">
      <w:pPr>
        <w:pStyle w:val="Heading1"/>
      </w:pPr>
      <w:bookmarkStart w:id="42" w:name="_Toc234710574"/>
      <w:r w:rsidRPr="001172CF">
        <w:lastRenderedPageBreak/>
        <w:t xml:space="preserve">Appendix B - </w:t>
      </w:r>
      <w:r w:rsidR="006D35C0" w:rsidRPr="001172CF">
        <w:t>Research Methodology Flowchart</w:t>
      </w:r>
      <w:bookmarkEnd w:id="42"/>
    </w:p>
    <w:p w14:paraId="27AD5058" w14:textId="5984373C" w:rsidR="00652812" w:rsidRDefault="00652812" w:rsidP="00745A3B">
      <w:pPr>
        <w:spacing w:line="360" w:lineRule="auto"/>
        <w:jc w:val="both"/>
        <w:rPr>
          <w:rFonts w:ascii="Calibri" w:eastAsia="Calibri" w:hAnsi="Calibri" w:cs="Calibri"/>
          <w:color w:val="1A1A1A"/>
        </w:rPr>
      </w:pPr>
      <w:r w:rsidRPr="00652812">
        <w:rPr>
          <w:rFonts w:ascii="Calibri" w:eastAsia="Calibri" w:hAnsi="Calibri" w:cs="Calibri"/>
          <w:color w:val="1A1A1A"/>
        </w:rPr>
        <w:t xml:space="preserve">This appendix presents the research methodology adopted to investigate UK adults’ trust in web applications in the post-GDPR environment. </w:t>
      </w:r>
      <w:r w:rsidR="00A75CDA">
        <w:rPr>
          <w:rFonts w:ascii="Calibri" w:eastAsia="Calibri" w:hAnsi="Calibri" w:cs="Calibri"/>
          <w:color w:val="1A1A1A"/>
        </w:rPr>
        <w:t>Figure</w:t>
      </w:r>
      <w:r w:rsidRPr="00652812">
        <w:rPr>
          <w:rFonts w:ascii="Calibri" w:eastAsia="Calibri" w:hAnsi="Calibri" w:cs="Calibri"/>
          <w:color w:val="1A1A1A"/>
        </w:rPr>
        <w:t xml:space="preserve"> B1 maps the complete six-phase research process from philosophical foundations through to practical </w:t>
      </w:r>
      <w:r w:rsidRPr="00601239">
        <w:rPr>
          <w:rFonts w:ascii="Calibri" w:eastAsia="Calibri" w:hAnsi="Calibri" w:cs="Calibri"/>
          <w:color w:val="1A1A1A"/>
        </w:rPr>
        <w:t xml:space="preserve">outputs. </w:t>
      </w:r>
      <w:r w:rsidR="00906C1F" w:rsidRPr="00601239">
        <w:rPr>
          <w:rFonts w:ascii="Calibri" w:eastAsia="Calibri" w:hAnsi="Calibri" w:cs="Calibri"/>
          <w:color w:val="1A1A1A"/>
        </w:rPr>
        <w:t>Table</w:t>
      </w:r>
      <w:r w:rsidRPr="00601239">
        <w:rPr>
          <w:rFonts w:ascii="Calibri" w:eastAsia="Calibri" w:hAnsi="Calibri" w:cs="Calibri"/>
          <w:color w:val="1A1A1A"/>
        </w:rPr>
        <w:t xml:space="preserve"> B2</w:t>
      </w:r>
      <w:r w:rsidRPr="00652812">
        <w:rPr>
          <w:rFonts w:ascii="Calibri" w:eastAsia="Calibri" w:hAnsi="Calibri" w:cs="Calibri"/>
          <w:color w:val="1A1A1A"/>
        </w:rPr>
        <w:t xml:space="preserve"> presents the three-phase systematic literature review protocol used to identify and select the 28 sources cited in this proposal.</w:t>
      </w:r>
    </w:p>
    <w:p w14:paraId="7A154DE6" w14:textId="699CECF0" w:rsidR="00EB33AB" w:rsidRPr="00906C1F" w:rsidRDefault="00EB33AB" w:rsidP="00745A3B">
      <w:pPr>
        <w:spacing w:line="360" w:lineRule="auto"/>
        <w:jc w:val="both"/>
        <w:rPr>
          <w:b/>
          <w:bCs/>
        </w:rPr>
      </w:pP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600"/>
      </w:tblGrid>
      <w:tr w:rsidR="00652812" w14:paraId="5A16CC92"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EF0020E" w14:textId="77777777" w:rsidR="00652812" w:rsidRDefault="00652812" w:rsidP="00AA24C6">
            <w:pPr>
              <w:spacing w:before="60" w:after="4"/>
              <w:jc w:val="center"/>
            </w:pPr>
            <w:r>
              <w:rPr>
                <w:rFonts w:ascii="Calibri" w:eastAsia="Calibri" w:hAnsi="Calibri" w:cs="Calibri"/>
                <w:b/>
                <w:bCs/>
                <w:color w:val="FFFFFF"/>
                <w:sz w:val="18"/>
                <w:szCs w:val="18"/>
              </w:rPr>
              <w:t>Phase 1</w:t>
            </w:r>
          </w:p>
          <w:p w14:paraId="188BB4DF" w14:textId="77777777" w:rsidR="00652812" w:rsidRDefault="00652812" w:rsidP="00AA24C6">
            <w:pPr>
              <w:spacing w:before="4" w:after="60"/>
              <w:jc w:val="center"/>
            </w:pPr>
            <w:r>
              <w:rPr>
                <w:rFonts w:ascii="Calibri" w:eastAsia="Calibri" w:hAnsi="Calibri" w:cs="Calibri"/>
                <w:b/>
                <w:bCs/>
                <w:color w:val="FFFFFF"/>
                <w:sz w:val="18"/>
                <w:szCs w:val="18"/>
              </w:rPr>
              <w:t>Epistemology</w:t>
            </w:r>
          </w:p>
        </w:tc>
        <w:tc>
          <w:tcPr>
            <w:tcW w:w="7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2A68410"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Post-positivist research philosophy</w:t>
            </w:r>
          </w:p>
          <w:p w14:paraId="0925245F"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Objective reality exists but can only be measured probabilistically</w:t>
            </w:r>
          </w:p>
          <w:p w14:paraId="70F0F9B8"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Trust is a latent construct — inferred through self-reported perceptions and behavioural proxies</w:t>
            </w:r>
          </w:p>
          <w:p w14:paraId="67A9044C"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Justification: appropriate for measuring psychological constructs like trust at scale</w:t>
            </w:r>
          </w:p>
        </w:tc>
      </w:tr>
      <w:tr w:rsidR="00652812" w14:paraId="0739BF02"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7B2EBA2" w14:textId="77777777" w:rsidR="00652812" w:rsidRDefault="00652812" w:rsidP="00AA24C6">
            <w:pPr>
              <w:spacing w:before="60" w:after="4"/>
              <w:jc w:val="center"/>
            </w:pPr>
            <w:r>
              <w:rPr>
                <w:rFonts w:ascii="Calibri" w:eastAsia="Calibri" w:hAnsi="Calibri" w:cs="Calibri"/>
                <w:b/>
                <w:bCs/>
                <w:color w:val="FFFFFF"/>
                <w:sz w:val="18"/>
                <w:szCs w:val="18"/>
              </w:rPr>
              <w:t>Phase 2</w:t>
            </w:r>
          </w:p>
          <w:p w14:paraId="66068396" w14:textId="77777777" w:rsidR="00652812" w:rsidRDefault="00652812" w:rsidP="00AA24C6">
            <w:pPr>
              <w:spacing w:before="4" w:after="60"/>
              <w:jc w:val="center"/>
            </w:pPr>
            <w:r>
              <w:rPr>
                <w:rFonts w:ascii="Calibri" w:eastAsia="Calibri" w:hAnsi="Calibri" w:cs="Calibri"/>
                <w:b/>
                <w:bCs/>
                <w:color w:val="FFFFFF"/>
                <w:sz w:val="18"/>
                <w:szCs w:val="18"/>
              </w:rPr>
              <w:t>Research Design</w:t>
            </w:r>
          </w:p>
        </w:tc>
        <w:tc>
          <w:tcPr>
            <w:tcW w:w="7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2F2F440"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Cross-sectional quantitative survey design</w:t>
            </w:r>
          </w:p>
          <w:p w14:paraId="5D90FE29"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Single time-point snapshot across a representative UK adult sample</w:t>
            </w:r>
          </w:p>
          <w:p w14:paraId="1E734C9A"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180–220 participants recruited via university pool, LinkedIn, and community networks</w:t>
            </w:r>
          </w:p>
          <w:p w14:paraId="484E8464"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Six web application sectors: banking, retail, NHS/health, social media, government, streaming</w:t>
            </w:r>
          </w:p>
        </w:tc>
      </w:tr>
      <w:tr w:rsidR="00652812" w14:paraId="0BD871AB"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D615890" w14:textId="77777777" w:rsidR="00652812" w:rsidRDefault="00652812" w:rsidP="00AA24C6">
            <w:pPr>
              <w:spacing w:before="60" w:after="4"/>
              <w:jc w:val="center"/>
            </w:pPr>
            <w:r>
              <w:rPr>
                <w:rFonts w:ascii="Calibri" w:eastAsia="Calibri" w:hAnsi="Calibri" w:cs="Calibri"/>
                <w:b/>
                <w:bCs/>
                <w:color w:val="FFFFFF"/>
                <w:sz w:val="18"/>
                <w:szCs w:val="18"/>
              </w:rPr>
              <w:t>Phase 3</w:t>
            </w:r>
          </w:p>
          <w:p w14:paraId="2A8F65EE" w14:textId="77777777" w:rsidR="00652812" w:rsidRDefault="00652812" w:rsidP="00AA24C6">
            <w:pPr>
              <w:spacing w:before="4" w:after="60"/>
              <w:jc w:val="center"/>
            </w:pPr>
            <w:r>
              <w:rPr>
                <w:rFonts w:ascii="Calibri" w:eastAsia="Calibri" w:hAnsi="Calibri" w:cs="Calibri"/>
                <w:b/>
                <w:bCs/>
                <w:color w:val="FFFFFF"/>
                <w:sz w:val="18"/>
                <w:szCs w:val="18"/>
              </w:rPr>
              <w:t>Instrument Design</w:t>
            </w:r>
          </w:p>
        </w:tc>
        <w:tc>
          <w:tcPr>
            <w:tcW w:w="7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A46183A"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Section A: Demographic profile (age, gender, education, digital experience)</w:t>
            </w:r>
          </w:p>
          <w:p w14:paraId="4E1C4ED3"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Section B: GDPR awareness (6 items adapted from Prince et al. [21])</w:t>
            </w:r>
          </w:p>
          <w:p w14:paraId="2F08C1C1"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Section C: 18 Likert-scale trust factor ratings (adapted from McKnight [12], Corritore [8], Zieglmeier [14])</w:t>
            </w:r>
          </w:p>
          <w:p w14:paraId="7DFDDF6D"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Section D: Overall trust score per sector (1–10 scale)</w:t>
            </w:r>
          </w:p>
          <w:p w14:paraId="0F716265"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Pilot tested with 10 participants before full distribution</w:t>
            </w:r>
          </w:p>
        </w:tc>
      </w:tr>
      <w:tr w:rsidR="00652812" w14:paraId="73082864"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98D70B6" w14:textId="77777777" w:rsidR="00652812" w:rsidRDefault="00652812" w:rsidP="00AA24C6">
            <w:pPr>
              <w:spacing w:before="60" w:after="4"/>
              <w:jc w:val="center"/>
            </w:pPr>
            <w:r>
              <w:rPr>
                <w:rFonts w:ascii="Calibri" w:eastAsia="Calibri" w:hAnsi="Calibri" w:cs="Calibri"/>
                <w:b/>
                <w:bCs/>
                <w:color w:val="FFFFFF"/>
                <w:sz w:val="18"/>
                <w:szCs w:val="18"/>
              </w:rPr>
              <w:t>Phase 4</w:t>
            </w:r>
          </w:p>
          <w:p w14:paraId="1229A374" w14:textId="77777777" w:rsidR="00652812" w:rsidRDefault="00652812" w:rsidP="00AA24C6">
            <w:pPr>
              <w:spacing w:before="4" w:after="60"/>
              <w:jc w:val="center"/>
            </w:pPr>
            <w:r>
              <w:rPr>
                <w:rFonts w:ascii="Calibri" w:eastAsia="Calibri" w:hAnsi="Calibri" w:cs="Calibri"/>
                <w:b/>
                <w:bCs/>
                <w:color w:val="FFFFFF"/>
                <w:sz w:val="18"/>
                <w:szCs w:val="18"/>
              </w:rPr>
              <w:t>Data Collection</w:t>
            </w:r>
          </w:p>
        </w:tc>
        <w:tc>
          <w:tcPr>
            <w:tcW w:w="7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6270487E"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Online survey via Microsoft Forms or Qualtrics</w:t>
            </w:r>
          </w:p>
          <w:p w14:paraId="089A0230"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Anonymous and voluntary participation — no personally identifiable data collected</w:t>
            </w:r>
          </w:p>
          <w:p w14:paraId="17529AF2"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Target: 180–220 responses (statistically sufficient for regression with 18 predictors at α=0.05)</w:t>
            </w:r>
          </w:p>
          <w:p w14:paraId="570EEF88"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Ethics committee approval obtained before distribution</w:t>
            </w:r>
          </w:p>
        </w:tc>
      </w:tr>
      <w:tr w:rsidR="00652812" w14:paraId="58C1E9A4"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B028B6D" w14:textId="77777777" w:rsidR="00652812" w:rsidRDefault="00652812" w:rsidP="00AA24C6">
            <w:pPr>
              <w:spacing w:before="60" w:after="4"/>
              <w:jc w:val="center"/>
            </w:pPr>
            <w:r>
              <w:rPr>
                <w:rFonts w:ascii="Calibri" w:eastAsia="Calibri" w:hAnsi="Calibri" w:cs="Calibri"/>
                <w:b/>
                <w:bCs/>
                <w:color w:val="FFFFFF"/>
                <w:sz w:val="18"/>
                <w:szCs w:val="18"/>
              </w:rPr>
              <w:t>Phase 5</w:t>
            </w:r>
          </w:p>
          <w:p w14:paraId="4BAB9B41" w14:textId="77777777" w:rsidR="00652812" w:rsidRDefault="00652812" w:rsidP="00AA24C6">
            <w:pPr>
              <w:spacing w:before="4" w:after="60"/>
              <w:jc w:val="center"/>
            </w:pPr>
            <w:r>
              <w:rPr>
                <w:rFonts w:ascii="Calibri" w:eastAsia="Calibri" w:hAnsi="Calibri" w:cs="Calibri"/>
                <w:b/>
                <w:bCs/>
                <w:color w:val="FFFFFF"/>
                <w:sz w:val="18"/>
                <w:szCs w:val="18"/>
              </w:rPr>
              <w:t>Data Analysis</w:t>
            </w:r>
          </w:p>
        </w:tc>
        <w:tc>
          <w:tcPr>
            <w:tcW w:w="76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16FF178"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Descriptive statistics: means, standard deviations, frequency distributions</w:t>
            </w:r>
          </w:p>
          <w:p w14:paraId="0E8F4ECE"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Pearson correlation: bivariate relationships between trust factors and overall trust score</w:t>
            </w:r>
          </w:p>
          <w:p w14:paraId="2ACEEFE2"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Multiple Regression (SPSS): ranks 18 trust factors by independent predictive power</w:t>
            </w:r>
          </w:p>
          <w:p w14:paraId="5FD569AC" w14:textId="1BEF7274"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Moderation Analysis (PROCESS macro): tests GDPR awareness as </w:t>
            </w:r>
            <w:r w:rsidR="00FF3C40">
              <w:rPr>
                <w:rFonts w:ascii="Calibri" w:eastAsia="Calibri" w:hAnsi="Calibri" w:cs="Calibri"/>
                <w:color w:val="1A1A1A"/>
                <w:sz w:val="18"/>
                <w:szCs w:val="18"/>
              </w:rPr>
              <w:t xml:space="preserve">a </w:t>
            </w:r>
            <w:r>
              <w:rPr>
                <w:rFonts w:ascii="Calibri" w:eastAsia="Calibri" w:hAnsi="Calibri" w:cs="Calibri"/>
                <w:color w:val="1A1A1A"/>
                <w:sz w:val="18"/>
                <w:szCs w:val="18"/>
              </w:rPr>
              <w:t>moderator of privacy paradox</w:t>
            </w:r>
          </w:p>
          <w:p w14:paraId="1943CAA5" w14:textId="18239B1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One-way ANOVA: tests trust score differences by sector, age group, </w:t>
            </w:r>
            <w:r w:rsidR="00FF3C40">
              <w:rPr>
                <w:rFonts w:ascii="Calibri" w:eastAsia="Calibri" w:hAnsi="Calibri" w:cs="Calibri"/>
                <w:color w:val="1A1A1A"/>
                <w:sz w:val="18"/>
                <w:szCs w:val="18"/>
              </w:rPr>
              <w:t xml:space="preserve">and </w:t>
            </w:r>
            <w:r>
              <w:rPr>
                <w:rFonts w:ascii="Calibri" w:eastAsia="Calibri" w:hAnsi="Calibri" w:cs="Calibri"/>
                <w:color w:val="1A1A1A"/>
                <w:sz w:val="18"/>
                <w:szCs w:val="18"/>
              </w:rPr>
              <w:t>gender</w:t>
            </w:r>
          </w:p>
        </w:tc>
      </w:tr>
      <w:tr w:rsidR="00652812" w14:paraId="570D0B29" w14:textId="77777777" w:rsidTr="00AA24C6">
        <w:tc>
          <w:tcPr>
            <w:tcW w:w="18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22D2048" w14:textId="77777777" w:rsidR="00652812" w:rsidRDefault="00652812" w:rsidP="00AA24C6">
            <w:pPr>
              <w:spacing w:before="60" w:after="4"/>
              <w:jc w:val="center"/>
            </w:pPr>
            <w:r>
              <w:rPr>
                <w:rFonts w:ascii="Calibri" w:eastAsia="Calibri" w:hAnsi="Calibri" w:cs="Calibri"/>
                <w:b/>
                <w:bCs/>
                <w:color w:val="FFFFFF"/>
                <w:sz w:val="18"/>
                <w:szCs w:val="18"/>
              </w:rPr>
              <w:t>Phase 6</w:t>
            </w:r>
          </w:p>
          <w:p w14:paraId="383C2C9E" w14:textId="77777777" w:rsidR="00652812" w:rsidRDefault="00652812" w:rsidP="00AA24C6">
            <w:pPr>
              <w:spacing w:before="4" w:after="60"/>
              <w:jc w:val="center"/>
            </w:pPr>
            <w:r>
              <w:rPr>
                <w:rFonts w:ascii="Calibri" w:eastAsia="Calibri" w:hAnsi="Calibri" w:cs="Calibri"/>
                <w:b/>
                <w:bCs/>
                <w:color w:val="FFFFFF"/>
                <w:sz w:val="18"/>
                <w:szCs w:val="18"/>
              </w:rPr>
              <w:t>Output</w:t>
            </w:r>
          </w:p>
        </w:tc>
        <w:tc>
          <w:tcPr>
            <w:tcW w:w="76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78887A8"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Ranked model of trust predictors specific to UK web application users</w:t>
            </w:r>
          </w:p>
          <w:p w14:paraId="4BC92534" w14:textId="40860E1A"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Empirical test of the Privacy Paradox in </w:t>
            </w:r>
            <w:r w:rsidR="00FF3C40">
              <w:rPr>
                <w:rFonts w:ascii="Calibri" w:eastAsia="Calibri" w:hAnsi="Calibri" w:cs="Calibri"/>
                <w:color w:val="1A1A1A"/>
                <w:sz w:val="18"/>
                <w:szCs w:val="18"/>
              </w:rPr>
              <w:t xml:space="preserve">the </w:t>
            </w:r>
            <w:r>
              <w:rPr>
                <w:rFonts w:ascii="Calibri" w:eastAsia="Calibri" w:hAnsi="Calibri" w:cs="Calibri"/>
                <w:color w:val="1A1A1A"/>
                <w:sz w:val="18"/>
                <w:szCs w:val="18"/>
              </w:rPr>
              <w:t>post-GDPR UK context</w:t>
            </w:r>
          </w:p>
          <w:p w14:paraId="7EA50864" w14:textId="79F811CC"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Trust-by-Design Framework (Figure 4) — </w:t>
            </w:r>
            <w:r w:rsidR="00FF3C40">
              <w:rPr>
                <w:rFonts w:ascii="Calibri" w:eastAsia="Calibri" w:hAnsi="Calibri" w:cs="Calibri"/>
                <w:color w:val="1A1A1A"/>
                <w:sz w:val="18"/>
                <w:szCs w:val="18"/>
              </w:rPr>
              <w:t xml:space="preserve">a </w:t>
            </w:r>
            <w:r>
              <w:rPr>
                <w:rFonts w:ascii="Calibri" w:eastAsia="Calibri" w:hAnsi="Calibri" w:cs="Calibri"/>
                <w:color w:val="1A1A1A"/>
                <w:sz w:val="18"/>
                <w:szCs w:val="18"/>
              </w:rPr>
              <w:t>three-layer practical guide for web developers</w:t>
            </w:r>
          </w:p>
          <w:p w14:paraId="1C3FCFA1" w14:textId="77777777" w:rsidR="00652812" w:rsidRDefault="00652812"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Recommendations for web developers, organisations, and ICO policymakers</w:t>
            </w:r>
          </w:p>
        </w:tc>
      </w:tr>
    </w:tbl>
    <w:p w14:paraId="2A71FC29" w14:textId="26FA580A" w:rsidR="00652812" w:rsidRPr="009D1233" w:rsidRDefault="000C07D7" w:rsidP="00745A3B">
      <w:pPr>
        <w:spacing w:before="160" w:after="60"/>
        <w:jc w:val="center"/>
        <w:rPr>
          <w:color w:val="156082" w:themeColor="accent1"/>
        </w:rPr>
      </w:pPr>
      <w:r>
        <w:rPr>
          <w:rFonts w:ascii="Calibri" w:eastAsia="Calibri" w:hAnsi="Calibri" w:cs="Calibri"/>
          <w:b/>
          <w:bCs/>
          <w:color w:val="156082" w:themeColor="accent1"/>
          <w:sz w:val="20"/>
          <w:szCs w:val="20"/>
        </w:rPr>
        <w:t>Figure</w:t>
      </w:r>
      <w:r w:rsidRPr="00906C1F">
        <w:rPr>
          <w:rFonts w:ascii="Calibri" w:eastAsia="Calibri" w:hAnsi="Calibri" w:cs="Calibri"/>
          <w:b/>
          <w:bCs/>
          <w:color w:val="156082" w:themeColor="accent1"/>
          <w:sz w:val="20"/>
          <w:szCs w:val="20"/>
        </w:rPr>
        <w:t xml:space="preserve"> B1 — Research Design and Methodology </w:t>
      </w:r>
      <w:r w:rsidRPr="000C07D7">
        <w:rPr>
          <w:rFonts w:ascii="Calibri" w:eastAsia="Calibri" w:hAnsi="Calibri" w:cs="Calibri"/>
          <w:b/>
          <w:bCs/>
          <w:color w:val="156082" w:themeColor="accent1"/>
          <w:sz w:val="20"/>
          <w:szCs w:val="20"/>
        </w:rPr>
        <w:t>Flowchart.</w:t>
      </w:r>
      <w:r w:rsidRPr="000C07D7">
        <w:rPr>
          <w:rFonts w:ascii="Calibri" w:eastAsia="Calibri" w:hAnsi="Calibri" w:cs="Calibri"/>
          <w:b/>
          <w:bCs/>
          <w:i/>
          <w:iCs/>
          <w:color w:val="156082" w:themeColor="accent1"/>
          <w:sz w:val="20"/>
          <w:szCs w:val="20"/>
        </w:rPr>
        <w:t xml:space="preserve"> </w:t>
      </w:r>
      <w:r w:rsidR="00745A3B" w:rsidRPr="000C07D7">
        <w:rPr>
          <w:rFonts w:ascii="Calibri" w:eastAsia="Calibri" w:hAnsi="Calibri" w:cs="Calibri"/>
          <w:b/>
          <w:bCs/>
          <w:i/>
          <w:iCs/>
          <w:color w:val="156082" w:themeColor="accent1"/>
          <w:sz w:val="20"/>
          <w:szCs w:val="20"/>
        </w:rPr>
        <w:t xml:space="preserve">Generated by </w:t>
      </w:r>
      <w:r w:rsidR="00FF3C40">
        <w:rPr>
          <w:rFonts w:ascii="Calibri" w:eastAsia="Calibri" w:hAnsi="Calibri" w:cs="Calibri"/>
          <w:b/>
          <w:bCs/>
          <w:i/>
          <w:iCs/>
          <w:color w:val="156082" w:themeColor="accent1"/>
          <w:sz w:val="20"/>
          <w:szCs w:val="20"/>
        </w:rPr>
        <w:t xml:space="preserve">the </w:t>
      </w:r>
      <w:r w:rsidR="00745A3B" w:rsidRPr="000C07D7">
        <w:rPr>
          <w:rFonts w:ascii="Calibri" w:eastAsia="Calibri" w:hAnsi="Calibri" w:cs="Calibri"/>
          <w:b/>
          <w:bCs/>
          <w:i/>
          <w:iCs/>
          <w:color w:val="156082" w:themeColor="accent1"/>
          <w:sz w:val="20"/>
          <w:szCs w:val="20"/>
        </w:rPr>
        <w:t>author (2026).</w:t>
      </w:r>
    </w:p>
    <w:p w14:paraId="7C83E4FF" w14:textId="77777777" w:rsidR="00745A3B" w:rsidRDefault="00745A3B" w:rsidP="00154FF5">
      <w:pPr>
        <w:spacing w:before="60" w:after="80" w:line="360" w:lineRule="auto"/>
        <w:jc w:val="both"/>
        <w:rPr>
          <w:rFonts w:ascii="Calibri" w:eastAsia="Calibri" w:hAnsi="Calibri" w:cs="Calibri"/>
          <w:color w:val="1A1A1A"/>
          <w:sz w:val="22"/>
          <w:szCs w:val="22"/>
        </w:rPr>
      </w:pPr>
    </w:p>
    <w:p w14:paraId="71E389AF" w14:textId="446BF431" w:rsidR="00652812" w:rsidRPr="0018462B" w:rsidRDefault="00652812" w:rsidP="00154FF5">
      <w:pPr>
        <w:spacing w:before="60" w:after="80" w:line="360" w:lineRule="auto"/>
        <w:jc w:val="both"/>
        <w:rPr>
          <w:sz w:val="22"/>
          <w:szCs w:val="22"/>
        </w:rPr>
      </w:pPr>
      <w:r w:rsidRPr="0018462B">
        <w:rPr>
          <w:rFonts w:ascii="Calibri" w:eastAsia="Calibri" w:hAnsi="Calibri" w:cs="Calibri"/>
          <w:color w:val="1A1A1A"/>
          <w:sz w:val="22"/>
          <w:szCs w:val="22"/>
        </w:rPr>
        <w:t xml:space="preserve">The flowchart confirms that every methodological decision is grounded in the literature reviewed in Chapter 2. The post-positivist position in Phase 1 justifies the quantitative cross-sectional design in Phase 2. The instrument in Phase 3 draws exclusively on validated scales from McKnight et al. [12], Corritore et al. [8], Zieglmeier and </w:t>
      </w:r>
      <w:proofErr w:type="spellStart"/>
      <w:r w:rsidRPr="0018462B">
        <w:rPr>
          <w:rFonts w:ascii="Calibri" w:eastAsia="Calibri" w:hAnsi="Calibri" w:cs="Calibri"/>
          <w:color w:val="1A1A1A"/>
          <w:sz w:val="22"/>
          <w:szCs w:val="22"/>
        </w:rPr>
        <w:t>Lehene</w:t>
      </w:r>
      <w:proofErr w:type="spellEnd"/>
      <w:r w:rsidRPr="0018462B">
        <w:rPr>
          <w:rFonts w:ascii="Calibri" w:eastAsia="Calibri" w:hAnsi="Calibri" w:cs="Calibri"/>
          <w:color w:val="1A1A1A"/>
          <w:sz w:val="22"/>
          <w:szCs w:val="22"/>
        </w:rPr>
        <w:t xml:space="preserve"> [14], and Prince et al. [21]. Each analytical technique in Phase 5 directly addresses one or more of the five research objectives in Section 1.3, and the outputs in Phase 6 correspond precisely to the anticipated findings discussed in Chapter 4.</w:t>
      </w:r>
    </w:p>
    <w:p w14:paraId="4125E1C8" w14:textId="77777777" w:rsidR="00652812" w:rsidRDefault="00652812" w:rsidP="00652812">
      <w:r>
        <w:br w:type="page"/>
      </w:r>
    </w:p>
    <w:p w14:paraId="4F13B7DB" w14:textId="2AF3CCA0" w:rsidR="00CC676B" w:rsidRDefault="00CC676B" w:rsidP="00E14AEC">
      <w:pPr>
        <w:spacing w:after="180" w:line="360" w:lineRule="auto"/>
        <w:jc w:val="both"/>
        <w:rPr>
          <w:rFonts w:ascii="Calibri" w:eastAsia="Calibri" w:hAnsi="Calibri" w:cs="Calibri"/>
          <w:color w:val="1A1A1A"/>
          <w:sz w:val="22"/>
          <w:szCs w:val="22"/>
        </w:rPr>
      </w:pPr>
      <w:r w:rsidRPr="00CC676B">
        <w:rPr>
          <w:rFonts w:ascii="Calibri" w:eastAsia="Calibri" w:hAnsi="Calibri" w:cs="Calibri"/>
          <w:color w:val="1A1A1A"/>
          <w:sz w:val="22"/>
          <w:szCs w:val="22"/>
        </w:rPr>
        <w:lastRenderedPageBreak/>
        <w:t>The literature review follows a three-phase systematic approach</w:t>
      </w:r>
      <w:r w:rsidR="00906C1F">
        <w:rPr>
          <w:rFonts w:ascii="Calibri" w:eastAsia="Calibri" w:hAnsi="Calibri" w:cs="Calibri"/>
          <w:color w:val="1A1A1A"/>
          <w:sz w:val="22"/>
          <w:szCs w:val="22"/>
        </w:rPr>
        <w:t>,</w:t>
      </w:r>
      <w:r w:rsidRPr="00CC676B">
        <w:rPr>
          <w:rFonts w:ascii="Calibri" w:eastAsia="Calibri" w:hAnsi="Calibri" w:cs="Calibri"/>
          <w:color w:val="1A1A1A"/>
          <w:sz w:val="22"/>
          <w:szCs w:val="22"/>
        </w:rPr>
        <w:t xml:space="preserve"> Assembling, Arranging, and Assessing</w:t>
      </w:r>
      <w:r w:rsidR="00906C1F">
        <w:rPr>
          <w:rFonts w:ascii="Calibri" w:eastAsia="Calibri" w:hAnsi="Calibri" w:cs="Calibri"/>
          <w:color w:val="1A1A1A"/>
          <w:sz w:val="22"/>
          <w:szCs w:val="22"/>
        </w:rPr>
        <w:t xml:space="preserve">, </w:t>
      </w:r>
      <w:r w:rsidRPr="00CC676B">
        <w:rPr>
          <w:rFonts w:ascii="Calibri" w:eastAsia="Calibri" w:hAnsi="Calibri" w:cs="Calibri"/>
          <w:color w:val="1A1A1A"/>
          <w:sz w:val="22"/>
          <w:szCs w:val="22"/>
        </w:rPr>
        <w:t xml:space="preserve"> consistent with PRISMA (Preferred Reporting Items for Systematic Reviews and Meta-Analyses) guidelines for transparent evidence synthesis. Two 2025 systematic reviews</w:t>
      </w:r>
      <w:r w:rsidR="00906C1F">
        <w:rPr>
          <w:rFonts w:ascii="Calibri" w:eastAsia="Calibri" w:hAnsi="Calibri" w:cs="Calibri"/>
          <w:color w:val="1A1A1A"/>
          <w:sz w:val="22"/>
          <w:szCs w:val="22"/>
        </w:rPr>
        <w:t xml:space="preserve">, </w:t>
      </w:r>
      <w:r w:rsidRPr="00CC676B">
        <w:rPr>
          <w:rFonts w:ascii="Calibri" w:eastAsia="Calibri" w:hAnsi="Calibri" w:cs="Calibri"/>
          <w:color w:val="1A1A1A"/>
          <w:sz w:val="22"/>
          <w:szCs w:val="22"/>
        </w:rPr>
        <w:t xml:space="preserve">Schuetz et al. [27] and </w:t>
      </w:r>
      <w:proofErr w:type="spellStart"/>
      <w:r w:rsidRPr="00CC676B">
        <w:rPr>
          <w:rFonts w:ascii="Calibri" w:eastAsia="Calibri" w:hAnsi="Calibri" w:cs="Calibri"/>
          <w:color w:val="1A1A1A"/>
          <w:sz w:val="22"/>
          <w:szCs w:val="22"/>
        </w:rPr>
        <w:t>Lacity</w:t>
      </w:r>
      <w:proofErr w:type="spellEnd"/>
      <w:r w:rsidRPr="00CC676B">
        <w:rPr>
          <w:rFonts w:ascii="Calibri" w:eastAsia="Calibri" w:hAnsi="Calibri" w:cs="Calibri"/>
          <w:color w:val="1A1A1A"/>
          <w:sz w:val="22"/>
          <w:szCs w:val="22"/>
        </w:rPr>
        <w:t xml:space="preserve"> et al. [28], both published in the Journal of Information Technology</w:t>
      </w:r>
      <w:r w:rsidR="00906C1F">
        <w:rPr>
          <w:rFonts w:ascii="Calibri" w:eastAsia="Calibri" w:hAnsi="Calibri" w:cs="Calibri"/>
          <w:color w:val="1A1A1A"/>
          <w:sz w:val="22"/>
          <w:szCs w:val="22"/>
        </w:rPr>
        <w:t xml:space="preserve">, </w:t>
      </w:r>
      <w:r w:rsidRPr="00CC676B">
        <w:rPr>
          <w:rFonts w:ascii="Calibri" w:eastAsia="Calibri" w:hAnsi="Calibri" w:cs="Calibri"/>
          <w:color w:val="1A1A1A"/>
          <w:sz w:val="22"/>
          <w:szCs w:val="22"/>
        </w:rPr>
        <w:t>serve as methodological anchors, confirming that structural assurance and institution-based trust are among the strongest consistent predictors in IS trust research. Figure B2 below presents the full three-phase screening protocol; Table B1 summarises the number of sources retained at each stage.</w:t>
      </w:r>
    </w:p>
    <w:p w14:paraId="52E69B8B" w14:textId="0F9C7911" w:rsidR="009B32B0" w:rsidRPr="00134B58" w:rsidRDefault="00134B58" w:rsidP="00E14AEC">
      <w:pPr>
        <w:spacing w:after="180" w:line="360" w:lineRule="auto"/>
        <w:jc w:val="both"/>
        <w:rPr>
          <w:b/>
          <w:bCs/>
          <w:sz w:val="22"/>
          <w:szCs w:val="22"/>
        </w:rPr>
      </w:pPr>
      <w:r w:rsidRPr="00134B58">
        <w:rPr>
          <w:b/>
          <w:bCs/>
          <w:color w:val="156082" w:themeColor="accent1"/>
          <w:sz w:val="20"/>
          <w:szCs w:val="20"/>
        </w:rPr>
        <w:t>Table</w:t>
      </w:r>
      <w:r w:rsidR="009B32B0" w:rsidRPr="00134B58">
        <w:rPr>
          <w:b/>
          <w:bCs/>
          <w:color w:val="156082" w:themeColor="accent1"/>
          <w:sz w:val="20"/>
          <w:szCs w:val="20"/>
        </w:rPr>
        <w:t xml:space="preserve"> B2: Systematic Literature Review — Three-Phase Screening Protocol (PRISMA-Adapted)</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400"/>
      </w:tblGrid>
      <w:tr w:rsidR="00CC676B" w14:paraId="704341DF" w14:textId="77777777" w:rsidTr="00AA24C6">
        <w:trPr>
          <w:tblHeader/>
        </w:trPr>
        <w:tc>
          <w:tcPr>
            <w:tcW w:w="9400" w:type="dxa"/>
            <w:gridSpan w:val="2"/>
            <w:tcBorders>
              <w:top w:val="single" w:sz="4" w:space="0" w:color="FFFFFF"/>
              <w:left w:val="single" w:sz="4" w:space="0" w:color="FFFFFF"/>
              <w:bottom w:val="single" w:sz="4" w:space="0" w:color="FFFFFF"/>
              <w:right w:val="single" w:sz="4" w:space="0" w:color="FFFFFF"/>
            </w:tcBorders>
            <w:shd w:val="clear" w:color="auto" w:fill="1A4A6E"/>
            <w:vAlign w:val="center"/>
          </w:tcPr>
          <w:p w14:paraId="42812A5E" w14:textId="77777777" w:rsidR="00CC676B" w:rsidRDefault="00CC676B" w:rsidP="00AA24C6">
            <w:pPr>
              <w:spacing w:before="120" w:after="120"/>
              <w:jc w:val="center"/>
            </w:pPr>
            <w:r>
              <w:rPr>
                <w:rFonts w:ascii="Calibri" w:eastAsia="Calibri" w:hAnsi="Calibri" w:cs="Calibri"/>
                <w:b/>
                <w:bCs/>
                <w:color w:val="FFFFFF"/>
                <w:sz w:val="20"/>
                <w:szCs w:val="20"/>
              </w:rPr>
              <w:t>Systematic Literature Review — Three-Phase Screening Protocol (PRISMA-Adapted)</w:t>
            </w:r>
          </w:p>
        </w:tc>
      </w:tr>
      <w:tr w:rsidR="00CC676B" w14:paraId="2DB413DC" w14:textId="77777777" w:rsidTr="00AA24C6">
        <w:tc>
          <w:tcPr>
            <w:tcW w:w="20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5F42ED2A" w14:textId="77777777" w:rsidR="00CC676B" w:rsidRDefault="00CC676B" w:rsidP="00AA24C6">
            <w:pPr>
              <w:spacing w:before="80" w:after="10"/>
              <w:jc w:val="center"/>
            </w:pPr>
            <w:r>
              <w:rPr>
                <w:rFonts w:ascii="Calibri" w:eastAsia="Calibri" w:hAnsi="Calibri" w:cs="Calibri"/>
                <w:b/>
                <w:bCs/>
                <w:color w:val="FFFFFF"/>
                <w:sz w:val="16"/>
                <w:szCs w:val="16"/>
              </w:rPr>
              <w:t>PHASE 1</w:t>
            </w:r>
          </w:p>
          <w:p w14:paraId="2591467E" w14:textId="77777777" w:rsidR="00CC676B" w:rsidRDefault="00CC676B" w:rsidP="00AA24C6">
            <w:pPr>
              <w:spacing w:after="20"/>
              <w:jc w:val="center"/>
            </w:pPr>
            <w:r>
              <w:rPr>
                <w:rFonts w:ascii="Calibri" w:eastAsia="Calibri" w:hAnsi="Calibri" w:cs="Calibri"/>
                <w:b/>
                <w:bCs/>
                <w:color w:val="FFFFFF"/>
                <w:sz w:val="20"/>
                <w:szCs w:val="20"/>
              </w:rPr>
              <w:t>ASSEMBLING</w:t>
            </w:r>
          </w:p>
          <w:p w14:paraId="514A0845" w14:textId="77777777" w:rsidR="00CC676B" w:rsidRDefault="00CC676B" w:rsidP="00AA24C6">
            <w:pPr>
              <w:spacing w:after="80"/>
              <w:jc w:val="center"/>
            </w:pPr>
            <w:r>
              <w:rPr>
                <w:rFonts w:ascii="Calibri" w:eastAsia="Calibri" w:hAnsi="Calibri" w:cs="Calibri"/>
                <w:b/>
                <w:bCs/>
                <w:color w:val="FFFFFF"/>
              </w:rPr>
              <w:t>214 papers identified</w:t>
            </w:r>
          </w:p>
        </w:tc>
        <w:tc>
          <w:tcPr>
            <w:tcW w:w="7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02C1742" w14:textId="77777777" w:rsidR="00CC676B" w:rsidRDefault="00CC676B" w:rsidP="00AA24C6">
            <w:pPr>
              <w:spacing w:before="80" w:after="30"/>
            </w:pPr>
            <w:r>
              <w:rPr>
                <w:rFonts w:ascii="Calibri" w:eastAsia="Calibri" w:hAnsi="Calibri" w:cs="Calibri"/>
                <w:b/>
                <w:bCs/>
                <w:color w:val="1A4A6E"/>
                <w:sz w:val="17"/>
                <w:szCs w:val="17"/>
              </w:rPr>
              <w:t>Databases searched</w:t>
            </w:r>
          </w:p>
          <w:p w14:paraId="568510CC"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IEEE Xplore  |  ACM Digital Library  |  Scopus  |  Google Scholar</w:t>
            </w:r>
          </w:p>
          <w:p w14:paraId="49E2496F" w14:textId="77777777" w:rsidR="00CC676B" w:rsidRDefault="00CC676B" w:rsidP="00AA24C6">
            <w:pPr>
              <w:spacing w:before="80" w:after="30"/>
            </w:pPr>
            <w:r>
              <w:rPr>
                <w:rFonts w:ascii="Calibri" w:eastAsia="Calibri" w:hAnsi="Calibri" w:cs="Calibri"/>
                <w:b/>
                <w:bCs/>
                <w:color w:val="1A4A6E"/>
                <w:sz w:val="17"/>
                <w:szCs w:val="17"/>
              </w:rPr>
              <w:t>Search terms</w:t>
            </w:r>
          </w:p>
          <w:p w14:paraId="092813AD"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"user trust web applications"  |  "online trust GDPR"  |  "privacy paradox empirical"</w:t>
            </w:r>
          </w:p>
          <w:p w14:paraId="618779FC"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"technology acceptance trust UK"  |  Date range: 1989–2025</w:t>
            </w:r>
          </w:p>
          <w:p w14:paraId="255FA3D9" w14:textId="77777777" w:rsidR="00CC676B" w:rsidRDefault="00CC676B" w:rsidP="00AA24C6">
            <w:pPr>
              <w:spacing w:before="80" w:after="30"/>
            </w:pPr>
            <w:r>
              <w:rPr>
                <w:rFonts w:ascii="Calibri" w:eastAsia="Calibri" w:hAnsi="Calibri" w:cs="Calibri"/>
                <w:b/>
                <w:bCs/>
                <w:color w:val="1A4A6E"/>
                <w:sz w:val="17"/>
                <w:szCs w:val="17"/>
              </w:rPr>
              <w:t>Inclusion criteria</w:t>
            </w:r>
          </w:p>
          <w:p w14:paraId="611D7381"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Q1 peer-reviewed journal or top-tier ACM/IEEE conference venue</w:t>
            </w:r>
          </w:p>
          <w:p w14:paraId="41E4F421"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Full-text available in English</w:t>
            </w:r>
          </w:p>
          <w:p w14:paraId="07766EC8"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Empirical, theoretical, or systematic review contribution to trust, privacy, or GDPR</w:t>
            </w:r>
          </w:p>
          <w:p w14:paraId="6584AB7F" w14:textId="77777777" w:rsidR="00CC676B" w:rsidRDefault="00CC676B" w:rsidP="00AA24C6">
            <w:pPr>
              <w:spacing w:before="40" w:after="60"/>
              <w:ind w:left="100"/>
            </w:pPr>
            <w:r>
              <w:rPr>
                <w:rFonts w:ascii="Calibri" w:eastAsia="Calibri" w:hAnsi="Calibri" w:cs="Calibri"/>
                <w:i/>
                <w:iCs/>
                <w:color w:val="555555"/>
                <w:sz w:val="16"/>
                <w:szCs w:val="16"/>
              </w:rPr>
              <w:t>Foundational pre-2015 papers (Davis 1989, McKnight 2002) retained where seminal — justified by 10,000+ citations each</w:t>
            </w:r>
          </w:p>
        </w:tc>
      </w:tr>
      <w:tr w:rsidR="00CC676B" w14:paraId="46B81F9C" w14:textId="77777777" w:rsidTr="00AA24C6">
        <w:tc>
          <w:tcPr>
            <w:tcW w:w="9400" w:type="dxa"/>
            <w:gridSpan w:val="2"/>
            <w:shd w:val="clear" w:color="auto" w:fill="FFFFFF"/>
            <w:vAlign w:val="center"/>
          </w:tcPr>
          <w:p w14:paraId="706AA7E6" w14:textId="77777777" w:rsidR="00CC676B" w:rsidRDefault="00CC676B" w:rsidP="00AA24C6">
            <w:pPr>
              <w:spacing w:before="50" w:after="50"/>
              <w:jc w:val="center"/>
            </w:pPr>
            <w:r>
              <w:rPr>
                <w:rFonts w:ascii="Arial" w:eastAsia="Calibri" w:hAnsi="Arial" w:cs="Arial"/>
                <w:b/>
                <w:bCs/>
                <w:color w:val="1A4A6E"/>
                <w:sz w:val="19"/>
                <w:szCs w:val="19"/>
              </w:rPr>
              <w:t>▼</w:t>
            </w:r>
            <w:r>
              <w:rPr>
                <w:rFonts w:ascii="Calibri" w:eastAsia="Calibri" w:hAnsi="Calibri" w:cs="Calibri"/>
                <w:b/>
                <w:bCs/>
                <w:color w:val="1A4A6E"/>
                <w:sz w:val="19"/>
                <w:szCs w:val="19"/>
              </w:rPr>
              <w:t xml:space="preserve">  Apply inclusion and exclusion criteria</w:t>
            </w:r>
          </w:p>
        </w:tc>
      </w:tr>
      <w:tr w:rsidR="00CC676B" w14:paraId="04158759" w14:textId="77777777" w:rsidTr="00AA24C6">
        <w:tc>
          <w:tcPr>
            <w:tcW w:w="2000"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20A183A8" w14:textId="77777777" w:rsidR="00CC676B" w:rsidRDefault="00CC676B" w:rsidP="00AA24C6">
            <w:pPr>
              <w:spacing w:before="80" w:after="10"/>
              <w:jc w:val="center"/>
            </w:pPr>
            <w:r>
              <w:rPr>
                <w:rFonts w:ascii="Calibri" w:eastAsia="Calibri" w:hAnsi="Calibri" w:cs="Calibri"/>
                <w:b/>
                <w:bCs/>
                <w:color w:val="FFFFFF"/>
                <w:sz w:val="16"/>
                <w:szCs w:val="16"/>
              </w:rPr>
              <w:t>PHASE 2</w:t>
            </w:r>
          </w:p>
          <w:p w14:paraId="6F4491A8" w14:textId="77777777" w:rsidR="00CC676B" w:rsidRDefault="00CC676B" w:rsidP="00AA24C6">
            <w:pPr>
              <w:spacing w:after="20"/>
              <w:jc w:val="center"/>
            </w:pPr>
            <w:r>
              <w:rPr>
                <w:rFonts w:ascii="Calibri" w:eastAsia="Calibri" w:hAnsi="Calibri" w:cs="Calibri"/>
                <w:b/>
                <w:bCs/>
                <w:color w:val="FFFFFF"/>
                <w:sz w:val="20"/>
                <w:szCs w:val="20"/>
              </w:rPr>
              <w:t>ARRANGING</w:t>
            </w:r>
          </w:p>
          <w:p w14:paraId="3494BAC4" w14:textId="77777777" w:rsidR="00CC676B" w:rsidRDefault="00CC676B" w:rsidP="00AA24C6">
            <w:pPr>
              <w:spacing w:after="80"/>
              <w:jc w:val="center"/>
            </w:pPr>
            <w:r>
              <w:rPr>
                <w:rFonts w:ascii="Calibri" w:eastAsia="Calibri" w:hAnsi="Calibri" w:cs="Calibri"/>
                <w:b/>
                <w:bCs/>
                <w:color w:val="FFFFFF"/>
              </w:rPr>
              <w:t>42 papers retained 172 excluded</w:t>
            </w:r>
          </w:p>
        </w:tc>
        <w:tc>
          <w:tcPr>
            <w:tcW w:w="74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8CDB7DC" w14:textId="77777777" w:rsidR="00CC676B" w:rsidRDefault="00CC676B" w:rsidP="00AA24C6">
            <w:pPr>
              <w:spacing w:before="80" w:after="30"/>
            </w:pPr>
            <w:r>
              <w:rPr>
                <w:rFonts w:ascii="Calibri" w:eastAsia="Calibri" w:hAnsi="Calibri" w:cs="Calibri"/>
                <w:b/>
                <w:bCs/>
                <w:color w:val="1A4A6E"/>
                <w:sz w:val="17"/>
                <w:szCs w:val="17"/>
              </w:rPr>
              <w:t>Exclusion applied</w:t>
            </w:r>
          </w:p>
          <w:p w14:paraId="171357C7"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Non-English language; no full-text access; purely technical/engineering focus with no behavioural component</w:t>
            </w:r>
          </w:p>
          <w:p w14:paraId="5C1B3380" w14:textId="36E701EB"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Outside </w:t>
            </w:r>
            <w:r w:rsidR="00B368BF">
              <w:rPr>
                <w:rFonts w:ascii="Calibri" w:eastAsia="Calibri" w:hAnsi="Calibri" w:cs="Calibri"/>
                <w:color w:val="1A1A1A"/>
                <w:sz w:val="18"/>
                <w:szCs w:val="18"/>
              </w:rPr>
              <w:t xml:space="preserve">the </w:t>
            </w:r>
            <w:r>
              <w:rPr>
                <w:rFonts w:ascii="Calibri" w:eastAsia="Calibri" w:hAnsi="Calibri" w:cs="Calibri"/>
                <w:color w:val="1A1A1A"/>
                <w:sz w:val="18"/>
                <w:szCs w:val="18"/>
              </w:rPr>
              <w:t>UK, EU, or comparable Western democratic regulatory context</w:t>
            </w:r>
          </w:p>
          <w:p w14:paraId="1A9396E9" w14:textId="77777777" w:rsidR="00CC676B" w:rsidRDefault="00CC676B" w:rsidP="00AA24C6">
            <w:pPr>
              <w:spacing w:before="80" w:after="30"/>
            </w:pPr>
            <w:r>
              <w:rPr>
                <w:rFonts w:ascii="Calibri" w:eastAsia="Calibri" w:hAnsi="Calibri" w:cs="Calibri"/>
                <w:b/>
                <w:bCs/>
                <w:color w:val="1A4A6E"/>
                <w:sz w:val="17"/>
                <w:szCs w:val="17"/>
              </w:rPr>
              <w:t>Industry reports retained for contextual benchmarking only</w:t>
            </w:r>
          </w:p>
          <w:p w14:paraId="2B112138"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Thales [1]  |  Cisco [7]  |  </w:t>
            </w:r>
            <w:proofErr w:type="spellStart"/>
            <w:r>
              <w:rPr>
                <w:rFonts w:ascii="Calibri" w:eastAsia="Calibri" w:hAnsi="Calibri" w:cs="Calibri"/>
                <w:color w:val="1A1A1A"/>
                <w:sz w:val="18"/>
                <w:szCs w:val="18"/>
              </w:rPr>
              <w:t>Vercara</w:t>
            </w:r>
            <w:proofErr w:type="spellEnd"/>
            <w:r>
              <w:rPr>
                <w:rFonts w:ascii="Calibri" w:eastAsia="Calibri" w:hAnsi="Calibri" w:cs="Calibri"/>
                <w:color w:val="1A1A1A"/>
                <w:sz w:val="18"/>
                <w:szCs w:val="18"/>
              </w:rPr>
              <w:t xml:space="preserve"> [20]  |  Capterra/Statista [11]</w:t>
            </w:r>
          </w:p>
          <w:p w14:paraId="4B341A24" w14:textId="2F8B8D94"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Not included in </w:t>
            </w:r>
            <w:r w:rsidR="00B368BF">
              <w:rPr>
                <w:rFonts w:ascii="Calibri" w:eastAsia="Calibri" w:hAnsi="Calibri" w:cs="Calibri"/>
                <w:color w:val="1A1A1A"/>
                <w:sz w:val="18"/>
                <w:szCs w:val="18"/>
              </w:rPr>
              <w:t xml:space="preserve">the </w:t>
            </w:r>
            <w:r>
              <w:rPr>
                <w:rFonts w:ascii="Calibri" w:eastAsia="Calibri" w:hAnsi="Calibri" w:cs="Calibri"/>
                <w:color w:val="1A1A1A"/>
                <w:sz w:val="18"/>
                <w:szCs w:val="18"/>
              </w:rPr>
              <w:t>theoretical framework — used solely for UK digital landscape statistics</w:t>
            </w:r>
          </w:p>
          <w:p w14:paraId="28DBA4C8" w14:textId="77777777" w:rsidR="00CC676B" w:rsidRDefault="00CC676B" w:rsidP="00AA24C6">
            <w:pPr>
              <w:spacing w:before="80" w:after="30"/>
            </w:pPr>
            <w:r>
              <w:rPr>
                <w:rFonts w:ascii="Calibri" w:eastAsia="Calibri" w:hAnsi="Calibri" w:cs="Calibri"/>
                <w:b/>
                <w:bCs/>
                <w:color w:val="1A4A6E"/>
                <w:sz w:val="17"/>
                <w:szCs w:val="17"/>
              </w:rPr>
              <w:t>Organised thematically</w:t>
            </w:r>
          </w:p>
          <w:p w14:paraId="0D4D4DFF"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TAM/UTAUT  |  Online Trust Models  |  Privacy Paradox  |  GDPR Effects  |  Design &amp; Credibility</w:t>
            </w:r>
          </w:p>
          <w:p w14:paraId="69B5F219" w14:textId="76216AD2" w:rsidR="00CC676B" w:rsidRDefault="00CC676B" w:rsidP="00AA24C6">
            <w:pPr>
              <w:spacing w:before="40" w:after="60"/>
              <w:ind w:left="100"/>
            </w:pPr>
            <w:r>
              <w:rPr>
                <w:rFonts w:ascii="Calibri" w:eastAsia="Calibri" w:hAnsi="Calibri" w:cs="Calibri"/>
                <w:i/>
                <w:iCs/>
                <w:color w:val="555555"/>
                <w:sz w:val="16"/>
                <w:szCs w:val="16"/>
              </w:rPr>
              <w:t xml:space="preserve">Quality assessed </w:t>
            </w:r>
            <w:r w:rsidR="00937B8F">
              <w:rPr>
                <w:rFonts w:ascii="Calibri" w:eastAsia="Calibri" w:hAnsi="Calibri" w:cs="Calibri"/>
                <w:i/>
                <w:iCs/>
                <w:color w:val="555555"/>
                <w:sz w:val="16"/>
                <w:szCs w:val="16"/>
              </w:rPr>
              <w:t>on</w:t>
            </w:r>
            <w:r>
              <w:rPr>
                <w:rFonts w:ascii="Calibri" w:eastAsia="Calibri" w:hAnsi="Calibri" w:cs="Calibri"/>
                <w:i/>
                <w:iCs/>
                <w:color w:val="555555"/>
                <w:sz w:val="16"/>
                <w:szCs w:val="16"/>
              </w:rPr>
              <w:t xml:space="preserve"> methodological rigour, theoretical contribution, UK/GDPR relevance, Q1 journal ranking</w:t>
            </w:r>
          </w:p>
        </w:tc>
      </w:tr>
      <w:tr w:rsidR="00CC676B" w14:paraId="20AEFBB9" w14:textId="77777777" w:rsidTr="00AA24C6">
        <w:tc>
          <w:tcPr>
            <w:tcW w:w="9400" w:type="dxa"/>
            <w:gridSpan w:val="2"/>
            <w:shd w:val="clear" w:color="auto" w:fill="FFFFFF"/>
            <w:vAlign w:val="center"/>
          </w:tcPr>
          <w:p w14:paraId="48F601C7" w14:textId="77777777" w:rsidR="00CC676B" w:rsidRDefault="00CC676B" w:rsidP="00AA24C6">
            <w:pPr>
              <w:spacing w:before="50" w:after="50"/>
              <w:jc w:val="center"/>
            </w:pPr>
            <w:r>
              <w:rPr>
                <w:rFonts w:ascii="Arial" w:eastAsia="Calibri" w:hAnsi="Arial" w:cs="Arial"/>
                <w:b/>
                <w:bCs/>
                <w:color w:val="1A4A6E"/>
                <w:sz w:val="19"/>
                <w:szCs w:val="19"/>
              </w:rPr>
              <w:t>▼</w:t>
            </w:r>
            <w:r>
              <w:rPr>
                <w:rFonts w:ascii="Calibri" w:eastAsia="Calibri" w:hAnsi="Calibri" w:cs="Calibri"/>
                <w:b/>
                <w:bCs/>
                <w:color w:val="1A4A6E"/>
                <w:sz w:val="19"/>
                <w:szCs w:val="19"/>
              </w:rPr>
              <w:t xml:space="preserve">  Apply quality and relevance assessment</w:t>
            </w:r>
          </w:p>
        </w:tc>
      </w:tr>
      <w:tr w:rsidR="00CC676B" w14:paraId="2C03E93D" w14:textId="77777777" w:rsidTr="00AA24C6">
        <w:tc>
          <w:tcPr>
            <w:tcW w:w="2000" w:type="dxa"/>
            <w:tcBorders>
              <w:top w:val="single" w:sz="4" w:space="0" w:color="FFFFFF"/>
              <w:left w:val="single" w:sz="4" w:space="0" w:color="FFFFFF"/>
              <w:bottom w:val="single" w:sz="4" w:space="0" w:color="FFFFFF"/>
              <w:right w:val="single" w:sz="4" w:space="0" w:color="FFFFFF"/>
            </w:tcBorders>
            <w:shd w:val="clear" w:color="auto" w:fill="D6EAF8"/>
            <w:vAlign w:val="center"/>
          </w:tcPr>
          <w:p w14:paraId="73FBA62B" w14:textId="77777777" w:rsidR="00CC676B" w:rsidRDefault="00CC676B" w:rsidP="00AA24C6">
            <w:pPr>
              <w:spacing w:before="80" w:after="10"/>
              <w:jc w:val="center"/>
            </w:pPr>
            <w:r>
              <w:rPr>
                <w:rFonts w:ascii="Calibri" w:eastAsia="Calibri" w:hAnsi="Calibri" w:cs="Calibri"/>
                <w:b/>
                <w:bCs/>
                <w:color w:val="1A4A6E"/>
                <w:sz w:val="16"/>
                <w:szCs w:val="16"/>
              </w:rPr>
              <w:t>PHASE 3</w:t>
            </w:r>
          </w:p>
          <w:p w14:paraId="1822C825" w14:textId="77777777" w:rsidR="00CC676B" w:rsidRDefault="00CC676B" w:rsidP="00AA24C6">
            <w:pPr>
              <w:spacing w:after="20"/>
              <w:jc w:val="center"/>
            </w:pPr>
            <w:r>
              <w:rPr>
                <w:rFonts w:ascii="Calibri" w:eastAsia="Calibri" w:hAnsi="Calibri" w:cs="Calibri"/>
                <w:b/>
                <w:bCs/>
                <w:color w:val="1A4A6E"/>
                <w:sz w:val="20"/>
                <w:szCs w:val="20"/>
              </w:rPr>
              <w:t>ASSESSING</w:t>
            </w:r>
          </w:p>
          <w:p w14:paraId="0964E51F" w14:textId="77777777" w:rsidR="00CC676B" w:rsidRDefault="00CC676B" w:rsidP="00AA24C6">
            <w:pPr>
              <w:spacing w:after="80"/>
              <w:jc w:val="center"/>
            </w:pPr>
            <w:r>
              <w:rPr>
                <w:rFonts w:ascii="Calibri" w:eastAsia="Calibri" w:hAnsi="Calibri" w:cs="Calibri"/>
                <w:b/>
                <w:bCs/>
                <w:color w:val="1A4A6E"/>
              </w:rPr>
              <w:t xml:space="preserve">28 final sources selected </w:t>
            </w:r>
            <w:r>
              <w:rPr>
                <w:rFonts w:ascii="Segoe UI Symbol" w:eastAsia="Calibri" w:hAnsi="Segoe UI Symbol" w:cs="Segoe UI Symbol"/>
                <w:b/>
                <w:bCs/>
                <w:color w:val="1A4A6E"/>
              </w:rPr>
              <w:t>✓</w:t>
            </w:r>
          </w:p>
        </w:tc>
        <w:tc>
          <w:tcPr>
            <w:tcW w:w="74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EB69A25" w14:textId="77777777" w:rsidR="00CC676B" w:rsidRDefault="00CC676B" w:rsidP="00AA24C6">
            <w:pPr>
              <w:spacing w:before="80" w:after="30"/>
            </w:pPr>
            <w:r>
              <w:rPr>
                <w:rFonts w:ascii="Calibri" w:eastAsia="Calibri" w:hAnsi="Calibri" w:cs="Calibri"/>
                <w:b/>
                <w:bCs/>
                <w:color w:val="1A4A6E"/>
                <w:sz w:val="17"/>
                <w:szCs w:val="17"/>
              </w:rPr>
              <w:t xml:space="preserve">Q1 </w:t>
            </w:r>
            <w:proofErr w:type="spellStart"/>
            <w:r>
              <w:rPr>
                <w:rFonts w:ascii="Calibri" w:eastAsia="Calibri" w:hAnsi="Calibri" w:cs="Calibri"/>
                <w:b/>
                <w:bCs/>
                <w:color w:val="1A4A6E"/>
                <w:sz w:val="17"/>
                <w:szCs w:val="17"/>
              </w:rPr>
              <w:t>SCImago</w:t>
            </w:r>
            <w:proofErr w:type="spellEnd"/>
            <w:r>
              <w:rPr>
                <w:rFonts w:ascii="Calibri" w:eastAsia="Calibri" w:hAnsi="Calibri" w:cs="Calibri"/>
                <w:b/>
                <w:bCs/>
                <w:color w:val="1A4A6E"/>
                <w:sz w:val="17"/>
                <w:szCs w:val="17"/>
              </w:rPr>
              <w:t xml:space="preserve"> journals represented</w:t>
            </w:r>
          </w:p>
          <w:p w14:paraId="3E446D03"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MIS Quarterly  |  Information Systems Research  |  Journal of Strategic IS</w:t>
            </w:r>
          </w:p>
          <w:p w14:paraId="6216D166"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Computers &amp; Security  |  Journal of Information Technology  |  RAND Journal of Economics</w:t>
            </w:r>
          </w:p>
          <w:p w14:paraId="206C1092" w14:textId="77777777" w:rsidR="00CC676B" w:rsidRDefault="00CC676B" w:rsidP="00AA24C6">
            <w:pPr>
              <w:spacing w:before="80" w:after="30"/>
            </w:pPr>
            <w:r>
              <w:rPr>
                <w:rFonts w:ascii="Calibri" w:eastAsia="Calibri" w:hAnsi="Calibri" w:cs="Calibri"/>
                <w:b/>
                <w:bCs/>
                <w:color w:val="1A4A6E"/>
                <w:sz w:val="17"/>
                <w:szCs w:val="17"/>
              </w:rPr>
              <w:t>Methodological anchors (2025 systematic reviews)</w:t>
            </w:r>
          </w:p>
          <w:p w14:paraId="6CC474B2"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Schuetz et al. [27] — 62-study SLR confirming structural assurance as strongest IS trust predictor</w:t>
            </w:r>
          </w:p>
          <w:p w14:paraId="47BDD1B1" w14:textId="6772A52D" w:rsidR="00CC676B" w:rsidRDefault="00CC676B" w:rsidP="00AA24C6">
            <w:pPr>
              <w:spacing w:before="40" w:after="40"/>
              <w:ind w:left="240" w:hanging="210"/>
            </w:pPr>
            <w:r>
              <w:rPr>
                <w:rFonts w:ascii="Calibri" w:eastAsia="Calibri" w:hAnsi="Calibri" w:cs="Calibri"/>
                <w:b/>
                <w:bCs/>
                <w:color w:val="2E6DA4"/>
                <w:sz w:val="18"/>
                <w:szCs w:val="18"/>
              </w:rPr>
              <w:t xml:space="preserve">•  </w:t>
            </w:r>
            <w:proofErr w:type="spellStart"/>
            <w:r>
              <w:rPr>
                <w:rFonts w:ascii="Calibri" w:eastAsia="Calibri" w:hAnsi="Calibri" w:cs="Calibri"/>
                <w:color w:val="1A1A1A"/>
                <w:sz w:val="18"/>
                <w:szCs w:val="18"/>
              </w:rPr>
              <w:t>Lacity</w:t>
            </w:r>
            <w:proofErr w:type="spellEnd"/>
            <w:r>
              <w:rPr>
                <w:rFonts w:ascii="Calibri" w:eastAsia="Calibri" w:hAnsi="Calibri" w:cs="Calibri"/>
                <w:color w:val="1A1A1A"/>
                <w:sz w:val="18"/>
                <w:szCs w:val="18"/>
              </w:rPr>
              <w:t xml:space="preserve"> et al. [28] — </w:t>
            </w:r>
            <w:r w:rsidR="00B368BF">
              <w:rPr>
                <w:rFonts w:ascii="Calibri" w:eastAsia="Calibri" w:hAnsi="Calibri" w:cs="Calibri"/>
                <w:color w:val="1A1A1A"/>
                <w:sz w:val="18"/>
                <w:szCs w:val="18"/>
              </w:rPr>
              <w:t>confirm</w:t>
            </w:r>
            <w:r>
              <w:rPr>
                <w:rFonts w:ascii="Calibri" w:eastAsia="Calibri" w:hAnsi="Calibri" w:cs="Calibri"/>
                <w:color w:val="1A1A1A"/>
                <w:sz w:val="18"/>
                <w:szCs w:val="18"/>
              </w:rPr>
              <w:t xml:space="preserve"> trust </w:t>
            </w:r>
            <w:r w:rsidR="00B368BF">
              <w:rPr>
                <w:rFonts w:ascii="Calibri" w:eastAsia="Calibri" w:hAnsi="Calibri" w:cs="Calibri"/>
                <w:color w:val="1A1A1A"/>
                <w:sz w:val="18"/>
                <w:szCs w:val="18"/>
              </w:rPr>
              <w:t xml:space="preserve">is </w:t>
            </w:r>
            <w:r>
              <w:rPr>
                <w:rFonts w:ascii="Calibri" w:eastAsia="Calibri" w:hAnsi="Calibri" w:cs="Calibri"/>
                <w:color w:val="1A1A1A"/>
                <w:sz w:val="18"/>
                <w:szCs w:val="18"/>
              </w:rPr>
              <w:t>under-researched in post-GDPR contexts (both Q1, JIT 2025)</w:t>
            </w:r>
          </w:p>
          <w:p w14:paraId="5822450C" w14:textId="77777777" w:rsidR="00CC676B" w:rsidRDefault="00CC676B" w:rsidP="00AA24C6">
            <w:pPr>
              <w:spacing w:before="80" w:after="30"/>
            </w:pPr>
            <w:r>
              <w:rPr>
                <w:rFonts w:ascii="Calibri" w:eastAsia="Calibri" w:hAnsi="Calibri" w:cs="Calibri"/>
                <w:b/>
                <w:bCs/>
                <w:color w:val="1A4A6E"/>
                <w:sz w:val="17"/>
                <w:szCs w:val="17"/>
              </w:rPr>
              <w:t>Final composition</w:t>
            </w:r>
          </w:p>
          <w:p w14:paraId="35BFBDB8"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24 peer-reviewed papers (20 from Q1 journals) + 4 industry reports = 28 total sources</w:t>
            </w:r>
          </w:p>
          <w:p w14:paraId="17DE05F3" w14:textId="77777777" w:rsidR="00CC676B" w:rsidRDefault="00CC676B" w:rsidP="00AA24C6">
            <w:pPr>
              <w:spacing w:before="40" w:after="40"/>
              <w:ind w:left="240" w:hanging="210"/>
            </w:pPr>
            <w:r>
              <w:rPr>
                <w:rFonts w:ascii="Calibri" w:eastAsia="Calibri" w:hAnsi="Calibri" w:cs="Calibri"/>
                <w:b/>
                <w:bCs/>
                <w:color w:val="2E6DA4"/>
                <w:sz w:val="18"/>
                <w:szCs w:val="18"/>
              </w:rPr>
              <w:t xml:space="preserve">•  </w:t>
            </w:r>
            <w:r>
              <w:rPr>
                <w:rFonts w:ascii="Calibri" w:eastAsia="Calibri" w:hAnsi="Calibri" w:cs="Calibri"/>
                <w:color w:val="1A1A1A"/>
                <w:sz w:val="18"/>
                <w:szCs w:val="18"/>
              </w:rPr>
              <w:t xml:space="preserve">Temporal range: 1989 (Davis TAM) to 2025 (Schuetz, </w:t>
            </w:r>
            <w:proofErr w:type="spellStart"/>
            <w:r>
              <w:rPr>
                <w:rFonts w:ascii="Calibri" w:eastAsia="Calibri" w:hAnsi="Calibri" w:cs="Calibri"/>
                <w:color w:val="1A1A1A"/>
                <w:sz w:val="18"/>
                <w:szCs w:val="18"/>
              </w:rPr>
              <w:t>Lacity</w:t>
            </w:r>
            <w:proofErr w:type="spellEnd"/>
            <w:r>
              <w:rPr>
                <w:rFonts w:ascii="Calibri" w:eastAsia="Calibri" w:hAnsi="Calibri" w:cs="Calibri"/>
                <w:color w:val="1A1A1A"/>
                <w:sz w:val="18"/>
                <w:szCs w:val="18"/>
              </w:rPr>
              <w:t>) — majority post-2015</w:t>
            </w:r>
          </w:p>
          <w:p w14:paraId="3B970768" w14:textId="77777777" w:rsidR="00CC676B" w:rsidRDefault="00CC676B" w:rsidP="00AA24C6">
            <w:pPr>
              <w:spacing w:before="40" w:after="60"/>
              <w:ind w:left="100"/>
            </w:pPr>
            <w:r>
              <w:rPr>
                <w:rFonts w:ascii="Calibri" w:eastAsia="Calibri" w:hAnsi="Calibri" w:cs="Calibri"/>
                <w:i/>
                <w:iCs/>
                <w:color w:val="555555"/>
                <w:sz w:val="16"/>
                <w:szCs w:val="16"/>
              </w:rPr>
              <w:t>No single prior study combines: UK adults + multiple web application sectors + post-GDPR trust factor measurement — confirming the originality of this proposal</w:t>
            </w:r>
          </w:p>
        </w:tc>
      </w:tr>
    </w:tbl>
    <w:p w14:paraId="65B372F8" w14:textId="39B1DAE9" w:rsidR="00CC676B" w:rsidRPr="009B32B0" w:rsidRDefault="00070405" w:rsidP="00070405">
      <w:pPr>
        <w:spacing w:after="100"/>
        <w:jc w:val="center"/>
        <w:rPr>
          <w:rFonts w:ascii="Calibri" w:eastAsia="Calibri" w:hAnsi="Calibri" w:cs="Calibri"/>
          <w:i/>
          <w:iCs/>
          <w:color w:val="156082" w:themeColor="accent1"/>
          <w:sz w:val="20"/>
          <w:szCs w:val="20"/>
        </w:rPr>
      </w:pPr>
      <w:r w:rsidRPr="009B32B0">
        <w:rPr>
          <w:rFonts w:ascii="Calibri" w:eastAsia="Calibri" w:hAnsi="Calibri" w:cs="Calibri"/>
          <w:i/>
          <w:iCs/>
          <w:color w:val="156082" w:themeColor="accent1"/>
          <w:sz w:val="20"/>
          <w:szCs w:val="20"/>
        </w:rPr>
        <w:t>Source: Generated by author (2026).</w:t>
      </w:r>
    </w:p>
    <w:p w14:paraId="50516827" w14:textId="77777777" w:rsidR="00CC676B" w:rsidRDefault="00CC676B" w:rsidP="00CC676B">
      <w:pPr>
        <w:spacing w:after="100"/>
        <w:rPr>
          <w:rFonts w:ascii="Calibri" w:eastAsia="Calibri" w:hAnsi="Calibri" w:cs="Calibri"/>
          <w:b/>
          <w:bCs/>
          <w:i/>
          <w:iCs/>
          <w:color w:val="1A4A6E"/>
          <w:sz w:val="17"/>
          <w:szCs w:val="17"/>
        </w:rPr>
      </w:pPr>
    </w:p>
    <w:p w14:paraId="2AE6BD83" w14:textId="77777777" w:rsidR="00070405" w:rsidRDefault="00070405" w:rsidP="00CC676B">
      <w:pPr>
        <w:spacing w:after="100"/>
        <w:rPr>
          <w:rFonts w:ascii="Calibri" w:eastAsia="Calibri" w:hAnsi="Calibri" w:cs="Calibri"/>
          <w:b/>
          <w:bCs/>
          <w:i/>
          <w:iCs/>
          <w:color w:val="1A4A6E"/>
          <w:sz w:val="22"/>
          <w:szCs w:val="22"/>
        </w:rPr>
      </w:pPr>
    </w:p>
    <w:p w14:paraId="51A91B1C" w14:textId="77777777" w:rsidR="00070405" w:rsidRDefault="00070405" w:rsidP="00CC676B">
      <w:pPr>
        <w:spacing w:after="100"/>
        <w:rPr>
          <w:rFonts w:ascii="Calibri" w:eastAsia="Calibri" w:hAnsi="Calibri" w:cs="Calibri"/>
          <w:b/>
          <w:bCs/>
          <w:i/>
          <w:iCs/>
          <w:color w:val="1A4A6E"/>
          <w:sz w:val="22"/>
          <w:szCs w:val="22"/>
        </w:rPr>
      </w:pPr>
    </w:p>
    <w:p w14:paraId="7CCCC014" w14:textId="2457E0C2" w:rsidR="00CC676B" w:rsidRPr="00745A3B" w:rsidRDefault="00CC676B" w:rsidP="00CC676B">
      <w:pPr>
        <w:spacing w:after="100"/>
        <w:rPr>
          <w:sz w:val="22"/>
          <w:szCs w:val="22"/>
        </w:rPr>
      </w:pP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000"/>
        <w:gridCol w:w="4200"/>
      </w:tblGrid>
      <w:tr w:rsidR="00CC676B" w14:paraId="11A48DF1" w14:textId="77777777" w:rsidTr="00AA24C6">
        <w:trPr>
          <w:tblHeader/>
        </w:trPr>
        <w:tc>
          <w:tcPr>
            <w:tcW w:w="32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55F1A9AA" w14:textId="77777777" w:rsidR="00CC676B" w:rsidRDefault="00CC676B" w:rsidP="00AA24C6">
            <w:pPr>
              <w:spacing w:before="80" w:after="80"/>
            </w:pPr>
            <w:r>
              <w:rPr>
                <w:rFonts w:ascii="Calibri" w:eastAsia="Calibri" w:hAnsi="Calibri" w:cs="Calibri"/>
                <w:b/>
                <w:bCs/>
                <w:color w:val="FFFFFF"/>
                <w:sz w:val="17"/>
                <w:szCs w:val="17"/>
              </w:rPr>
              <w:t>Phase</w:t>
            </w:r>
          </w:p>
        </w:tc>
        <w:tc>
          <w:tcPr>
            <w:tcW w:w="20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306B5E7" w14:textId="77777777" w:rsidR="00CC676B" w:rsidRDefault="00CC676B" w:rsidP="00AA24C6">
            <w:pPr>
              <w:spacing w:before="80" w:after="80"/>
            </w:pPr>
            <w:r>
              <w:rPr>
                <w:rFonts w:ascii="Calibri" w:eastAsia="Calibri" w:hAnsi="Calibri" w:cs="Calibri"/>
                <w:b/>
                <w:bCs/>
                <w:color w:val="FFFFFF"/>
                <w:sz w:val="17"/>
                <w:szCs w:val="17"/>
              </w:rPr>
              <w:t>Papers Retained</w:t>
            </w:r>
          </w:p>
        </w:tc>
        <w:tc>
          <w:tcPr>
            <w:tcW w:w="420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37D1BE9" w14:textId="77777777" w:rsidR="00CC676B" w:rsidRDefault="00CC676B" w:rsidP="00AA24C6">
            <w:pPr>
              <w:spacing w:before="80" w:after="80"/>
            </w:pPr>
            <w:r>
              <w:rPr>
                <w:rFonts w:ascii="Calibri" w:eastAsia="Calibri" w:hAnsi="Calibri" w:cs="Calibri"/>
                <w:b/>
                <w:bCs/>
                <w:color w:val="FFFFFF"/>
                <w:sz w:val="17"/>
                <w:szCs w:val="17"/>
              </w:rPr>
              <w:t>Decision Rationale</w:t>
            </w:r>
          </w:p>
        </w:tc>
      </w:tr>
      <w:tr w:rsidR="00CC676B" w14:paraId="220C3980" w14:textId="77777777" w:rsidTr="00AA24C6">
        <w:tc>
          <w:tcPr>
            <w:tcW w:w="32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0E61749" w14:textId="77777777" w:rsidR="00CC676B" w:rsidRDefault="00CC676B" w:rsidP="00AA24C6">
            <w:pPr>
              <w:spacing w:before="70" w:after="70"/>
            </w:pPr>
            <w:r>
              <w:rPr>
                <w:rFonts w:ascii="Calibri" w:eastAsia="Calibri" w:hAnsi="Calibri" w:cs="Calibri"/>
                <w:b/>
                <w:bCs/>
                <w:color w:val="1A4A6E"/>
                <w:sz w:val="17"/>
                <w:szCs w:val="17"/>
              </w:rPr>
              <w:t>Phase 1 — Assembling</w:t>
            </w:r>
          </w:p>
        </w:tc>
        <w:tc>
          <w:tcPr>
            <w:tcW w:w="20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6184953" w14:textId="77777777" w:rsidR="00CC676B" w:rsidRDefault="00CC676B" w:rsidP="00AA24C6">
            <w:pPr>
              <w:spacing w:before="70" w:after="70"/>
            </w:pPr>
            <w:r>
              <w:rPr>
                <w:rFonts w:ascii="Calibri" w:eastAsia="Calibri" w:hAnsi="Calibri" w:cs="Calibri"/>
                <w:b/>
                <w:bCs/>
                <w:color w:val="2E6DA4"/>
                <w:sz w:val="17"/>
                <w:szCs w:val="17"/>
              </w:rPr>
              <w:t>214 papers</w:t>
            </w:r>
          </w:p>
        </w:tc>
        <w:tc>
          <w:tcPr>
            <w:tcW w:w="42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CC1CE18" w14:textId="77777777" w:rsidR="00CC676B" w:rsidRDefault="00CC676B" w:rsidP="00AA24C6">
            <w:pPr>
              <w:spacing w:before="70" w:after="70"/>
            </w:pPr>
            <w:r>
              <w:rPr>
                <w:rFonts w:ascii="Calibri" w:eastAsia="Calibri" w:hAnsi="Calibri" w:cs="Calibri"/>
                <w:color w:val="1A1A1A"/>
                <w:sz w:val="17"/>
                <w:szCs w:val="17"/>
              </w:rPr>
              <w:t>Keyword searches across four major academic databases</w:t>
            </w:r>
          </w:p>
        </w:tc>
      </w:tr>
      <w:tr w:rsidR="00CC676B" w14:paraId="6AA3FB59" w14:textId="77777777" w:rsidTr="00AA24C6">
        <w:tc>
          <w:tcPr>
            <w:tcW w:w="32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A06A19E" w14:textId="77777777" w:rsidR="00CC676B" w:rsidRDefault="00CC676B" w:rsidP="00AA24C6">
            <w:pPr>
              <w:spacing w:before="70" w:after="70"/>
            </w:pPr>
            <w:r>
              <w:rPr>
                <w:rFonts w:ascii="Calibri" w:eastAsia="Calibri" w:hAnsi="Calibri" w:cs="Calibri"/>
                <w:b/>
                <w:bCs/>
                <w:color w:val="1A4A6E"/>
                <w:sz w:val="17"/>
                <w:szCs w:val="17"/>
              </w:rPr>
              <w:t>Phase 2 — Arranging</w:t>
            </w:r>
          </w:p>
        </w:tc>
        <w:tc>
          <w:tcPr>
            <w:tcW w:w="20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B72F420" w14:textId="77777777" w:rsidR="00CC676B" w:rsidRDefault="00CC676B" w:rsidP="00AA24C6">
            <w:pPr>
              <w:spacing w:before="70" w:after="70"/>
            </w:pPr>
            <w:r>
              <w:rPr>
                <w:rFonts w:ascii="Calibri" w:eastAsia="Calibri" w:hAnsi="Calibri" w:cs="Calibri"/>
                <w:b/>
                <w:bCs/>
                <w:color w:val="2E6DA4"/>
                <w:sz w:val="17"/>
                <w:szCs w:val="17"/>
              </w:rPr>
              <w:t>42 papers + 4 reports</w:t>
            </w:r>
          </w:p>
        </w:tc>
        <w:tc>
          <w:tcPr>
            <w:tcW w:w="4200"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040C65A4" w14:textId="77777777" w:rsidR="00CC676B" w:rsidRDefault="00CC676B" w:rsidP="00AA24C6">
            <w:pPr>
              <w:spacing w:before="70" w:after="70"/>
            </w:pPr>
            <w:r>
              <w:rPr>
                <w:rFonts w:ascii="Calibri" w:eastAsia="Calibri" w:hAnsi="Calibri" w:cs="Calibri"/>
                <w:color w:val="1A1A1A"/>
                <w:sz w:val="17"/>
                <w:szCs w:val="17"/>
              </w:rPr>
              <w:t>Inclusion/exclusion criteria applied; thematic organisation</w:t>
            </w:r>
          </w:p>
        </w:tc>
      </w:tr>
      <w:tr w:rsidR="00CC676B" w14:paraId="2564785E" w14:textId="77777777" w:rsidTr="00AA24C6">
        <w:tc>
          <w:tcPr>
            <w:tcW w:w="32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FEE7D12" w14:textId="77777777" w:rsidR="00CC676B" w:rsidRDefault="00CC676B" w:rsidP="00AA24C6">
            <w:pPr>
              <w:spacing w:before="70" w:after="70"/>
            </w:pPr>
            <w:r>
              <w:rPr>
                <w:rFonts w:ascii="Calibri" w:eastAsia="Calibri" w:hAnsi="Calibri" w:cs="Calibri"/>
                <w:b/>
                <w:bCs/>
                <w:color w:val="1A4A6E"/>
                <w:sz w:val="17"/>
                <w:szCs w:val="17"/>
              </w:rPr>
              <w:t>Phase 3 — Assessing</w:t>
            </w:r>
          </w:p>
        </w:tc>
        <w:tc>
          <w:tcPr>
            <w:tcW w:w="20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B40D90E" w14:textId="77777777" w:rsidR="00CC676B" w:rsidRDefault="00CC676B" w:rsidP="00AA24C6">
            <w:pPr>
              <w:spacing w:before="70" w:after="70"/>
            </w:pPr>
            <w:r>
              <w:rPr>
                <w:rFonts w:ascii="Calibri" w:eastAsia="Calibri" w:hAnsi="Calibri" w:cs="Calibri"/>
                <w:b/>
                <w:bCs/>
                <w:color w:val="2E6DA4"/>
                <w:sz w:val="17"/>
                <w:szCs w:val="17"/>
              </w:rPr>
              <w:t>28 final sources</w:t>
            </w:r>
          </w:p>
        </w:tc>
        <w:tc>
          <w:tcPr>
            <w:tcW w:w="4200"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31D3CCCC" w14:textId="77777777" w:rsidR="00CC676B" w:rsidRDefault="00CC676B" w:rsidP="00AA24C6">
            <w:pPr>
              <w:spacing w:before="70" w:after="70"/>
            </w:pPr>
            <w:r>
              <w:rPr>
                <w:rFonts w:ascii="Calibri" w:eastAsia="Calibri" w:hAnsi="Calibri" w:cs="Calibri"/>
                <w:color w:val="1A1A1A"/>
                <w:sz w:val="17"/>
                <w:szCs w:val="17"/>
              </w:rPr>
              <w:t>Quality, relevance, and UK/GDPR applicability assessment</w:t>
            </w:r>
          </w:p>
        </w:tc>
      </w:tr>
    </w:tbl>
    <w:p w14:paraId="1A6A61DA" w14:textId="77777777" w:rsidR="00CC676B" w:rsidRPr="00745A3B" w:rsidRDefault="00CC676B" w:rsidP="00745A3B">
      <w:pPr>
        <w:spacing w:before="80" w:after="200"/>
        <w:jc w:val="center"/>
        <w:rPr>
          <w:color w:val="156082" w:themeColor="accent1"/>
        </w:rPr>
      </w:pPr>
      <w:r w:rsidRPr="00745A3B">
        <w:rPr>
          <w:rFonts w:ascii="Calibri" w:eastAsia="Calibri" w:hAnsi="Calibri" w:cs="Calibri"/>
          <w:i/>
          <w:iCs/>
          <w:color w:val="156082" w:themeColor="accent1"/>
          <w:sz w:val="16"/>
          <w:szCs w:val="16"/>
        </w:rPr>
        <w:t>Source: Generated by author (2026).</w:t>
      </w:r>
    </w:p>
    <w:p w14:paraId="6248339E" w14:textId="7F667982" w:rsidR="00D65947" w:rsidRPr="001172CF" w:rsidRDefault="00A47CBF" w:rsidP="00A47CBF">
      <w:pPr>
        <w:spacing w:line="360" w:lineRule="auto"/>
        <w:jc w:val="both"/>
      </w:pPr>
      <w:r w:rsidRPr="00A47CBF">
        <w:t>The three-phase screening process reveals a clear temporal pattern in the literature: the foundational theoretical models (Davis 1989, McKnight 2002, Corritore 2003) were all developed before the smartphone era and before GDPR, while the most recent empirical contributions (Fox 2022, Kulyk 2020, Goodman 2025) address GDPR but focus on narrow, single-sector contexts. No single prior study combines all three elements this research addresses</w:t>
      </w:r>
      <w:r>
        <w:t>,</w:t>
      </w:r>
      <w:r w:rsidRPr="00A47CBF">
        <w:t xml:space="preserve"> UK adults, multiple web application sectors, and post-GDPR trust factor measurement</w:t>
      </w:r>
      <w:r>
        <w:t>,</w:t>
      </w:r>
      <w:r w:rsidRPr="00A47CBF">
        <w:t xml:space="preserve"> thereby confirming the originality and necessity of the proposed study. A structured map of all 28 sources, summarising each source's theoretical contribution and specific relevance to this study, is provided in Appendix D. A full literature evaluation for all 28 references, including research questions, methods, key findings, and strengths and weaknesses, is provided in Appendix A.</w:t>
      </w:r>
    </w:p>
    <w:p w14:paraId="21BB5D24" w14:textId="77777777" w:rsidR="00154FF5" w:rsidRDefault="00154FF5">
      <w:pPr>
        <w:rPr>
          <w:rFonts w:ascii="Arial" w:eastAsia="Arial" w:hAnsi="Arial" w:cs="Arial"/>
          <w:b/>
          <w:bCs/>
          <w:color w:val="1A5276"/>
          <w:sz w:val="30"/>
          <w:szCs w:val="30"/>
        </w:rPr>
      </w:pPr>
      <w:r>
        <w:br w:type="page"/>
      </w:r>
    </w:p>
    <w:p w14:paraId="6D55662A" w14:textId="7DEDAAB8" w:rsidR="00E56755" w:rsidRPr="008716C0" w:rsidRDefault="00630510" w:rsidP="008716C0">
      <w:pPr>
        <w:pStyle w:val="Heading1"/>
      </w:pPr>
      <w:bookmarkStart w:id="43" w:name="_Toc234710575"/>
      <w:r w:rsidRPr="001172CF">
        <w:lastRenderedPageBreak/>
        <w:t xml:space="preserve">Appendix C </w:t>
      </w:r>
      <w:r w:rsidR="00E56755" w:rsidRPr="001172CF">
        <w:t>–</w:t>
      </w:r>
      <w:r w:rsidRPr="001172CF">
        <w:t xml:space="preserve"> </w:t>
      </w:r>
      <w:r w:rsidR="00E56755" w:rsidRPr="001172CF">
        <w:t>Sample Survey Instrument</w:t>
      </w:r>
      <w:bookmarkEnd w:id="43"/>
    </w:p>
    <w:p w14:paraId="6668C327" w14:textId="452B15A5" w:rsidR="00E56755" w:rsidRDefault="0027722A" w:rsidP="00E56755">
      <w:pPr>
        <w:spacing w:before="80" w:after="110" w:line="352" w:lineRule="auto"/>
        <w:jc w:val="both"/>
      </w:pPr>
      <w:r w:rsidRPr="001172CF">
        <w:t>This appendix presents representative items from the proposed questionnaire. The survey instrument is based on validated scales identified throughout the literature review and has been organised into four sections covering participant demographics, GDPR awareness, trust factors, and overall trust.</w:t>
      </w:r>
    </w:p>
    <w:p w14:paraId="7EC3484F" w14:textId="22451898" w:rsidR="00AA7E0A" w:rsidRPr="003F7633" w:rsidRDefault="003F7633" w:rsidP="003F7633">
      <w:pPr>
        <w:spacing w:before="60" w:after="100"/>
        <w:rPr>
          <w:sz w:val="20"/>
          <w:szCs w:val="20"/>
        </w:rPr>
      </w:pPr>
      <w:r w:rsidRPr="003F7633">
        <w:rPr>
          <w:rFonts w:ascii="Calibri" w:eastAsia="Calibri" w:hAnsi="Calibri" w:cs="Calibri"/>
          <w:b/>
          <w:bCs/>
          <w:i/>
          <w:iCs/>
          <w:color w:val="1A4A6E"/>
          <w:sz w:val="20"/>
          <w:szCs w:val="20"/>
        </w:rPr>
        <w:t>Table C1: Sample Survey Instrument Items. Source: Generated by author (2026).</w:t>
      </w:r>
    </w:p>
    <w:tbl>
      <w:tblPr>
        <w:tblW w:w="94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40"/>
        <w:gridCol w:w="726"/>
        <w:gridCol w:w="5053"/>
        <w:gridCol w:w="2587"/>
      </w:tblGrid>
      <w:tr w:rsidR="00E56755" w:rsidRPr="001172CF" w14:paraId="757C3D8A" w14:textId="77777777" w:rsidTr="007A3247">
        <w:trPr>
          <w:trHeight w:val="475"/>
        </w:trPr>
        <w:tc>
          <w:tcPr>
            <w:tcW w:w="104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22B30B29" w14:textId="77777777" w:rsidR="00E56755" w:rsidRPr="001172CF" w:rsidRDefault="00E56755" w:rsidP="00AA24C6">
            <w:r w:rsidRPr="001172CF">
              <w:rPr>
                <w:b/>
                <w:bCs/>
                <w:color w:val="FFFFFF"/>
                <w:sz w:val="21"/>
                <w:szCs w:val="21"/>
              </w:rPr>
              <w:t>Section</w:t>
            </w:r>
          </w:p>
        </w:tc>
        <w:tc>
          <w:tcPr>
            <w:tcW w:w="726"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49BFDF2A" w14:textId="77777777" w:rsidR="00E56755" w:rsidRPr="001172CF" w:rsidRDefault="00E56755" w:rsidP="00AA24C6">
            <w:r w:rsidRPr="001172CF">
              <w:rPr>
                <w:b/>
                <w:bCs/>
                <w:color w:val="FFFFFF"/>
                <w:sz w:val="21"/>
                <w:szCs w:val="21"/>
              </w:rPr>
              <w:t>Item No.</w:t>
            </w:r>
          </w:p>
        </w:tc>
        <w:tc>
          <w:tcPr>
            <w:tcW w:w="5053"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60E11BBB" w14:textId="77777777" w:rsidR="00E56755" w:rsidRPr="001172CF" w:rsidRDefault="00E56755" w:rsidP="00AA24C6">
            <w:r w:rsidRPr="001172CF">
              <w:rPr>
                <w:b/>
                <w:bCs/>
                <w:color w:val="FFFFFF"/>
                <w:sz w:val="21"/>
                <w:szCs w:val="21"/>
              </w:rPr>
              <w:t>Sample Survey Question / Statement</w:t>
            </w:r>
          </w:p>
        </w:tc>
        <w:tc>
          <w:tcPr>
            <w:tcW w:w="2587"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36F1CE18" w14:textId="77777777" w:rsidR="00E56755" w:rsidRPr="001172CF" w:rsidRDefault="00E56755" w:rsidP="00AA24C6">
            <w:r w:rsidRPr="001172CF">
              <w:rPr>
                <w:b/>
                <w:bCs/>
                <w:color w:val="FFFFFF"/>
                <w:sz w:val="21"/>
                <w:szCs w:val="21"/>
              </w:rPr>
              <w:t>Scale / Source</w:t>
            </w:r>
          </w:p>
        </w:tc>
      </w:tr>
      <w:tr w:rsidR="00E56755" w:rsidRPr="001172CF" w14:paraId="777FCA16"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3A51DAA2" w14:textId="77777777" w:rsidR="00E56755" w:rsidRPr="001172CF" w:rsidRDefault="00E56755" w:rsidP="00AA24C6">
            <w:r w:rsidRPr="001172CF">
              <w:rPr>
                <w:b/>
                <w:bCs/>
                <w:color w:val="1A5276"/>
                <w:sz w:val="21"/>
                <w:szCs w:val="21"/>
              </w:rPr>
              <w:t>A</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13D4A4C" w14:textId="77777777" w:rsidR="00E56755" w:rsidRPr="001172CF" w:rsidRDefault="00E56755" w:rsidP="00AA24C6">
            <w:r w:rsidRPr="001172CF">
              <w:rPr>
                <w:color w:val="000000"/>
                <w:sz w:val="21"/>
                <w:szCs w:val="21"/>
              </w:rPr>
              <w:t>A1</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7583075" w14:textId="77777777" w:rsidR="00E56755" w:rsidRPr="001172CF" w:rsidRDefault="00E56755" w:rsidP="00AA24C6">
            <w:r w:rsidRPr="001172CF">
              <w:rPr>
                <w:color w:val="000000"/>
                <w:sz w:val="21"/>
                <w:szCs w:val="21"/>
              </w:rPr>
              <w:t>How often do you use web applications that require you to create an account or share personal data?</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D47D33D" w14:textId="77777777" w:rsidR="00E56755" w:rsidRPr="001172CF" w:rsidRDefault="00E56755" w:rsidP="00AA24C6">
            <w:r w:rsidRPr="001172CF">
              <w:rPr>
                <w:color w:val="000000"/>
                <w:sz w:val="21"/>
                <w:szCs w:val="21"/>
              </w:rPr>
              <w:t>5-point frequency scale (Never – Daily)</w:t>
            </w:r>
          </w:p>
        </w:tc>
      </w:tr>
      <w:tr w:rsidR="00E56755" w:rsidRPr="001172CF" w14:paraId="5E437D86" w14:textId="77777777" w:rsidTr="007A3247">
        <w:trPr>
          <w:trHeight w:val="463"/>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78A2CD" w14:textId="77777777" w:rsidR="00E56755" w:rsidRPr="001172CF" w:rsidRDefault="00E56755" w:rsidP="00AA24C6">
            <w:r w:rsidRPr="001172CF">
              <w:rPr>
                <w:b/>
                <w:bCs/>
                <w:color w:val="1A5276"/>
                <w:sz w:val="21"/>
                <w:szCs w:val="21"/>
              </w:rPr>
              <w:t>A</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0A9992" w14:textId="77777777" w:rsidR="00E56755" w:rsidRPr="001172CF" w:rsidRDefault="00E56755" w:rsidP="00AA24C6">
            <w:r w:rsidRPr="001172CF">
              <w:rPr>
                <w:color w:val="000000"/>
                <w:sz w:val="21"/>
                <w:szCs w:val="21"/>
              </w:rPr>
              <w:t>A2</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B23CB3" w14:textId="77777777" w:rsidR="00E56755" w:rsidRPr="001172CF" w:rsidRDefault="00E56755" w:rsidP="00AA24C6">
            <w:r w:rsidRPr="001172CF">
              <w:rPr>
                <w:color w:val="000000"/>
                <w:sz w:val="21"/>
                <w:szCs w:val="21"/>
              </w:rPr>
              <w:t>Have you ever experienced a data breach or had your personal data misused online?</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CF5D84" w14:textId="77777777" w:rsidR="00E56755" w:rsidRPr="001172CF" w:rsidRDefault="00E56755" w:rsidP="00AA24C6">
            <w:r w:rsidRPr="001172CF">
              <w:rPr>
                <w:color w:val="000000"/>
                <w:sz w:val="21"/>
                <w:szCs w:val="21"/>
              </w:rPr>
              <w:t>Yes / No / Not sure</w:t>
            </w:r>
          </w:p>
        </w:tc>
      </w:tr>
      <w:tr w:rsidR="00E56755" w:rsidRPr="001172CF" w14:paraId="7FADF4C9"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E335F29" w14:textId="77777777" w:rsidR="00E56755" w:rsidRPr="001172CF" w:rsidRDefault="00E56755" w:rsidP="00AA24C6">
            <w:r w:rsidRPr="001172CF">
              <w:rPr>
                <w:b/>
                <w:bCs/>
                <w:color w:val="1A5276"/>
                <w:sz w:val="21"/>
                <w:szCs w:val="21"/>
              </w:rPr>
              <w:t>B</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3D68DCB" w14:textId="77777777" w:rsidR="00E56755" w:rsidRPr="001172CF" w:rsidRDefault="00E56755" w:rsidP="00AA24C6">
            <w:r w:rsidRPr="001172CF">
              <w:rPr>
                <w:color w:val="000000"/>
                <w:sz w:val="21"/>
                <w:szCs w:val="21"/>
              </w:rPr>
              <w:t>B1</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90AA627" w14:textId="77777777" w:rsidR="00E56755" w:rsidRPr="001172CF" w:rsidRDefault="00E56755" w:rsidP="00AA24C6">
            <w:r w:rsidRPr="001172CF">
              <w:rPr>
                <w:color w:val="000000"/>
                <w:sz w:val="21"/>
                <w:szCs w:val="21"/>
              </w:rPr>
              <w:t>I am aware of my rights under UK GDPR (e.g. the right to access, correct, or delete my data).</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894CDF4" w14:textId="77777777" w:rsidR="00E56755" w:rsidRPr="001172CF" w:rsidRDefault="00E56755" w:rsidP="00AA24C6">
            <w:r w:rsidRPr="001172CF">
              <w:rPr>
                <w:color w:val="000000"/>
                <w:sz w:val="21"/>
                <w:szCs w:val="21"/>
              </w:rPr>
              <w:t>Likert 1–5 (Strongly Disagree – Strongly Agree)  [21]</w:t>
            </w:r>
          </w:p>
        </w:tc>
      </w:tr>
      <w:tr w:rsidR="00E56755" w:rsidRPr="001172CF" w14:paraId="01D44035" w14:textId="77777777" w:rsidTr="007A3247">
        <w:trPr>
          <w:trHeight w:val="475"/>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94B9A1" w14:textId="77777777" w:rsidR="00E56755" w:rsidRPr="001172CF" w:rsidRDefault="00E56755" w:rsidP="00AA24C6">
            <w:r w:rsidRPr="001172CF">
              <w:rPr>
                <w:b/>
                <w:bCs/>
                <w:color w:val="1A5276"/>
                <w:sz w:val="21"/>
                <w:szCs w:val="21"/>
              </w:rPr>
              <w:t>B</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A24403" w14:textId="77777777" w:rsidR="00E56755" w:rsidRPr="001172CF" w:rsidRDefault="00E56755" w:rsidP="00AA24C6">
            <w:r w:rsidRPr="001172CF">
              <w:rPr>
                <w:color w:val="000000"/>
                <w:sz w:val="21"/>
                <w:szCs w:val="21"/>
              </w:rPr>
              <w:t>B2</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17D77E" w14:textId="77777777" w:rsidR="00E56755" w:rsidRPr="001172CF" w:rsidRDefault="00E56755" w:rsidP="00AA24C6">
            <w:r w:rsidRPr="001172CF">
              <w:rPr>
                <w:color w:val="000000"/>
                <w:sz w:val="21"/>
                <w:szCs w:val="21"/>
              </w:rPr>
              <w:t>I know how to change the privacy settings on web applications I use regularly.</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B2E3A6" w14:textId="77777777" w:rsidR="00E56755" w:rsidRPr="001172CF" w:rsidRDefault="00E56755" w:rsidP="00AA24C6">
            <w:r w:rsidRPr="001172CF">
              <w:rPr>
                <w:color w:val="000000"/>
                <w:sz w:val="21"/>
                <w:szCs w:val="21"/>
              </w:rPr>
              <w:t>Likert 1–5  [21]</w:t>
            </w:r>
          </w:p>
        </w:tc>
      </w:tr>
      <w:tr w:rsidR="00E56755" w:rsidRPr="001172CF" w14:paraId="45C624F6"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6AFF01E"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69B97F3" w14:textId="77777777" w:rsidR="00E56755" w:rsidRPr="001172CF" w:rsidRDefault="00E56755" w:rsidP="00AA24C6">
            <w:r w:rsidRPr="001172CF">
              <w:rPr>
                <w:color w:val="000000"/>
                <w:sz w:val="21"/>
                <w:szCs w:val="21"/>
              </w:rPr>
              <w:t>C1</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A212914" w14:textId="77777777" w:rsidR="00E56755" w:rsidRPr="001172CF" w:rsidRDefault="00E56755" w:rsidP="00AA24C6">
            <w:r w:rsidRPr="001172CF">
              <w:rPr>
                <w:color w:val="000000"/>
                <w:sz w:val="21"/>
                <w:szCs w:val="21"/>
              </w:rPr>
              <w:t>I trust a web application more when I can see a padlock icon and HTTPS in the browser address bar.</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531E25E" w14:textId="77777777" w:rsidR="00E56755" w:rsidRPr="001172CF" w:rsidRDefault="00E56755" w:rsidP="00AA24C6">
            <w:r w:rsidRPr="001172CF">
              <w:rPr>
                <w:color w:val="000000"/>
                <w:sz w:val="21"/>
                <w:szCs w:val="21"/>
              </w:rPr>
              <w:t>Likert 1–5  [12]</w:t>
            </w:r>
          </w:p>
        </w:tc>
      </w:tr>
      <w:tr w:rsidR="00E56755" w:rsidRPr="001172CF" w14:paraId="3BCD168C" w14:textId="77777777" w:rsidTr="007A3247">
        <w:trPr>
          <w:trHeight w:val="475"/>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84D206"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7A1628" w14:textId="77777777" w:rsidR="00E56755" w:rsidRPr="001172CF" w:rsidRDefault="00E56755" w:rsidP="00AA24C6">
            <w:r w:rsidRPr="001172CF">
              <w:rPr>
                <w:color w:val="000000"/>
                <w:sz w:val="21"/>
                <w:szCs w:val="21"/>
              </w:rPr>
              <w:t>C2</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B0DE8A" w14:textId="77777777" w:rsidR="00E56755" w:rsidRPr="001172CF" w:rsidRDefault="00E56755" w:rsidP="00AA24C6">
            <w:r w:rsidRPr="001172CF">
              <w:rPr>
                <w:color w:val="000000"/>
                <w:sz w:val="21"/>
                <w:szCs w:val="21"/>
              </w:rPr>
              <w:t>A clearly written, easy-to-understand privacy policy makes me more willing to share my data.</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561E17" w14:textId="77777777" w:rsidR="00E56755" w:rsidRPr="001172CF" w:rsidRDefault="00E56755" w:rsidP="00AA24C6">
            <w:r w:rsidRPr="001172CF">
              <w:rPr>
                <w:color w:val="000000"/>
                <w:sz w:val="21"/>
                <w:szCs w:val="21"/>
              </w:rPr>
              <w:t>Likert 1–5  [12]</w:t>
            </w:r>
          </w:p>
        </w:tc>
      </w:tr>
      <w:tr w:rsidR="00E56755" w:rsidRPr="001172CF" w14:paraId="5FC5B4D1" w14:textId="77777777" w:rsidTr="007A3247">
        <w:trPr>
          <w:trHeight w:val="463"/>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5E6C98F"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1CF3E7A" w14:textId="77777777" w:rsidR="00E56755" w:rsidRPr="001172CF" w:rsidRDefault="00E56755" w:rsidP="00AA24C6">
            <w:r w:rsidRPr="001172CF">
              <w:rPr>
                <w:color w:val="000000"/>
                <w:sz w:val="21"/>
                <w:szCs w:val="21"/>
              </w:rPr>
              <w:t>C3</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69CABC1" w14:textId="77777777" w:rsidR="00E56755" w:rsidRPr="001172CF" w:rsidRDefault="00E56755" w:rsidP="00AA24C6">
            <w:r w:rsidRPr="001172CF">
              <w:rPr>
                <w:color w:val="000000"/>
                <w:sz w:val="21"/>
                <w:szCs w:val="21"/>
              </w:rPr>
              <w:t>I feel more comfortable using a web application that belongs to a well-known, reputable brand.</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375F85D" w14:textId="77777777" w:rsidR="00E56755" w:rsidRPr="001172CF" w:rsidRDefault="00E56755" w:rsidP="00AA24C6">
            <w:r w:rsidRPr="001172CF">
              <w:rPr>
                <w:color w:val="000000"/>
                <w:sz w:val="21"/>
                <w:szCs w:val="21"/>
              </w:rPr>
              <w:t>Likert 1–5  [12]</w:t>
            </w:r>
          </w:p>
        </w:tc>
      </w:tr>
      <w:tr w:rsidR="00E56755" w:rsidRPr="001172CF" w14:paraId="3524CBD2" w14:textId="77777777" w:rsidTr="007A3247">
        <w:trPr>
          <w:trHeight w:val="475"/>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B69622"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AA78E1" w14:textId="77777777" w:rsidR="00E56755" w:rsidRPr="001172CF" w:rsidRDefault="00E56755" w:rsidP="00AA24C6">
            <w:r w:rsidRPr="001172CF">
              <w:rPr>
                <w:color w:val="000000"/>
                <w:sz w:val="21"/>
                <w:szCs w:val="21"/>
              </w:rPr>
              <w:t>C4</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EC4A79" w14:textId="77777777" w:rsidR="00E56755" w:rsidRPr="001172CF" w:rsidRDefault="00E56755" w:rsidP="00AA24C6">
            <w:r w:rsidRPr="001172CF">
              <w:rPr>
                <w:color w:val="000000"/>
                <w:sz w:val="21"/>
                <w:szCs w:val="21"/>
              </w:rPr>
              <w:t>The professional appearance and design quality of a website affects how much I trust it.</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F1CBCF" w14:textId="77777777" w:rsidR="00E56755" w:rsidRPr="001172CF" w:rsidRDefault="00E56755" w:rsidP="00AA24C6">
            <w:r w:rsidRPr="001172CF">
              <w:rPr>
                <w:color w:val="000000"/>
                <w:sz w:val="21"/>
                <w:szCs w:val="21"/>
              </w:rPr>
              <w:t>Likert 1–5  [14]</w:t>
            </w:r>
          </w:p>
        </w:tc>
      </w:tr>
      <w:tr w:rsidR="00E56755" w:rsidRPr="001172CF" w14:paraId="4270FAD6"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FAC086F"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5CC7FA9" w14:textId="77777777" w:rsidR="00E56755" w:rsidRPr="001172CF" w:rsidRDefault="00E56755" w:rsidP="00AA24C6">
            <w:r w:rsidRPr="001172CF">
              <w:rPr>
                <w:color w:val="000000"/>
                <w:sz w:val="21"/>
                <w:szCs w:val="21"/>
              </w:rPr>
              <w:t>C5</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14A6177" w14:textId="77777777" w:rsidR="00E56755" w:rsidRPr="001172CF" w:rsidRDefault="00E56755" w:rsidP="00AA24C6">
            <w:r w:rsidRPr="001172CF">
              <w:rPr>
                <w:color w:val="000000"/>
                <w:sz w:val="21"/>
                <w:szCs w:val="21"/>
              </w:rPr>
              <w:t>I am more likely to trust a web application that offers me simple, clear options to manage what data it collects.</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D8A01B9" w14:textId="77777777" w:rsidR="00E56755" w:rsidRPr="001172CF" w:rsidRDefault="00E56755" w:rsidP="00AA24C6">
            <w:r w:rsidRPr="001172CF">
              <w:rPr>
                <w:color w:val="000000"/>
                <w:sz w:val="21"/>
                <w:szCs w:val="21"/>
              </w:rPr>
              <w:t>Likert 1–5  [4]</w:t>
            </w:r>
          </w:p>
        </w:tc>
      </w:tr>
      <w:tr w:rsidR="00E56755" w:rsidRPr="001172CF" w14:paraId="41531AF0" w14:textId="77777777" w:rsidTr="007A3247">
        <w:trPr>
          <w:trHeight w:val="475"/>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53BB6A" w14:textId="77777777" w:rsidR="00E56755" w:rsidRPr="001172CF" w:rsidRDefault="00E56755" w:rsidP="00AA24C6">
            <w:r w:rsidRPr="001172CF">
              <w:rPr>
                <w:b/>
                <w:bCs/>
                <w:color w:val="1A5276"/>
                <w:sz w:val="21"/>
                <w:szCs w:val="21"/>
              </w:rPr>
              <w:t>C</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49728D" w14:textId="77777777" w:rsidR="00E56755" w:rsidRPr="001172CF" w:rsidRDefault="00E56755" w:rsidP="00AA24C6">
            <w:r w:rsidRPr="001172CF">
              <w:rPr>
                <w:color w:val="000000"/>
                <w:sz w:val="21"/>
                <w:szCs w:val="21"/>
              </w:rPr>
              <w:t>C6</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BC690A" w14:textId="77777777" w:rsidR="00E56755" w:rsidRPr="001172CF" w:rsidRDefault="00E56755" w:rsidP="00AA24C6">
            <w:r w:rsidRPr="001172CF">
              <w:rPr>
                <w:color w:val="000000"/>
                <w:sz w:val="21"/>
                <w:szCs w:val="21"/>
              </w:rPr>
              <w:t>Seeing that a website has third-party security badges or accreditation logos increases my trust.</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1658A2" w14:textId="77777777" w:rsidR="00E56755" w:rsidRPr="001172CF" w:rsidRDefault="00E56755" w:rsidP="00AA24C6">
            <w:r w:rsidRPr="001172CF">
              <w:rPr>
                <w:color w:val="000000"/>
                <w:sz w:val="21"/>
                <w:szCs w:val="21"/>
              </w:rPr>
              <w:t>Likert 1–5  [8]</w:t>
            </w:r>
          </w:p>
        </w:tc>
      </w:tr>
      <w:tr w:rsidR="00E56755" w:rsidRPr="001172CF" w14:paraId="12B5A410"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2C3D4C18" w14:textId="77777777" w:rsidR="00E56755" w:rsidRPr="001172CF" w:rsidRDefault="00E56755" w:rsidP="00AA24C6">
            <w:r w:rsidRPr="001172CF">
              <w:rPr>
                <w:b/>
                <w:bCs/>
                <w:color w:val="1A5276"/>
                <w:sz w:val="21"/>
                <w:szCs w:val="21"/>
              </w:rPr>
              <w:t>D</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69D0591" w14:textId="77777777" w:rsidR="00E56755" w:rsidRPr="001172CF" w:rsidRDefault="00E56755" w:rsidP="00AA24C6">
            <w:r w:rsidRPr="001172CF">
              <w:rPr>
                <w:color w:val="000000"/>
                <w:sz w:val="21"/>
                <w:szCs w:val="21"/>
              </w:rPr>
              <w:t>D1</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10EB6525" w14:textId="77777777" w:rsidR="00E56755" w:rsidRPr="001172CF" w:rsidRDefault="00E56755" w:rsidP="00AA24C6">
            <w:r w:rsidRPr="001172CF">
              <w:rPr>
                <w:color w:val="000000"/>
                <w:sz w:val="21"/>
                <w:szCs w:val="21"/>
              </w:rPr>
              <w:t>On a scale of 1–10, how much do you currently trust your online banking app with your personal data?</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3193EB46" w14:textId="77777777" w:rsidR="00E56755" w:rsidRPr="001172CF" w:rsidRDefault="00E56755" w:rsidP="00AA24C6">
            <w:r w:rsidRPr="001172CF">
              <w:rPr>
                <w:color w:val="000000"/>
                <w:sz w:val="21"/>
                <w:szCs w:val="21"/>
              </w:rPr>
              <w:t>1–10 numeric scale (1=No trust, 10=Complete trust)</w:t>
            </w:r>
          </w:p>
        </w:tc>
      </w:tr>
      <w:tr w:rsidR="00E56755" w:rsidRPr="001172CF" w14:paraId="5044DC9E" w14:textId="77777777" w:rsidTr="007A3247">
        <w:trPr>
          <w:trHeight w:val="700"/>
        </w:trPr>
        <w:tc>
          <w:tcPr>
            <w:tcW w:w="10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63C62A" w14:textId="77777777" w:rsidR="00E56755" w:rsidRPr="001172CF" w:rsidRDefault="00E56755" w:rsidP="00AA24C6">
            <w:r w:rsidRPr="001172CF">
              <w:rPr>
                <w:b/>
                <w:bCs/>
                <w:color w:val="1A5276"/>
                <w:sz w:val="21"/>
                <w:szCs w:val="21"/>
              </w:rPr>
              <w:t>D</w:t>
            </w:r>
          </w:p>
        </w:tc>
        <w:tc>
          <w:tcPr>
            <w:tcW w:w="7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B6169E" w14:textId="77777777" w:rsidR="00E56755" w:rsidRPr="001172CF" w:rsidRDefault="00E56755" w:rsidP="00AA24C6">
            <w:r w:rsidRPr="001172CF">
              <w:rPr>
                <w:color w:val="000000"/>
                <w:sz w:val="21"/>
                <w:szCs w:val="21"/>
              </w:rPr>
              <w:t>D2</w:t>
            </w:r>
          </w:p>
        </w:tc>
        <w:tc>
          <w:tcPr>
            <w:tcW w:w="505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8E91AC" w14:textId="77777777" w:rsidR="00E56755" w:rsidRPr="001172CF" w:rsidRDefault="00E56755" w:rsidP="00AA24C6">
            <w:r w:rsidRPr="001172CF">
              <w:rPr>
                <w:color w:val="000000"/>
                <w:sz w:val="21"/>
                <w:szCs w:val="21"/>
              </w:rPr>
              <w:t>On a scale of 1–10, how much do you currently trust the NHS App or health portals with your personal data?</w:t>
            </w:r>
          </w:p>
        </w:tc>
        <w:tc>
          <w:tcPr>
            <w:tcW w:w="258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77715E" w14:textId="77777777" w:rsidR="00E56755" w:rsidRPr="001172CF" w:rsidRDefault="00E56755" w:rsidP="00AA24C6">
            <w:r w:rsidRPr="001172CF">
              <w:rPr>
                <w:color w:val="000000"/>
                <w:sz w:val="21"/>
                <w:szCs w:val="21"/>
              </w:rPr>
              <w:t>1–10 numeric scale</w:t>
            </w:r>
          </w:p>
        </w:tc>
      </w:tr>
      <w:tr w:rsidR="00E56755" w:rsidRPr="001172CF" w14:paraId="49AF7989" w14:textId="77777777" w:rsidTr="007A3247">
        <w:trPr>
          <w:trHeight w:val="712"/>
        </w:trPr>
        <w:tc>
          <w:tcPr>
            <w:tcW w:w="104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CD07F73" w14:textId="77777777" w:rsidR="00E56755" w:rsidRPr="001172CF" w:rsidRDefault="00E56755" w:rsidP="00AA24C6">
            <w:r w:rsidRPr="001172CF">
              <w:rPr>
                <w:b/>
                <w:bCs/>
                <w:color w:val="1A5276"/>
                <w:sz w:val="21"/>
                <w:szCs w:val="21"/>
              </w:rPr>
              <w:t>D</w:t>
            </w:r>
          </w:p>
        </w:tc>
        <w:tc>
          <w:tcPr>
            <w:tcW w:w="726"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5B647C0" w14:textId="77777777" w:rsidR="00E56755" w:rsidRPr="001172CF" w:rsidRDefault="00E56755" w:rsidP="00AA24C6">
            <w:r w:rsidRPr="001172CF">
              <w:rPr>
                <w:color w:val="000000"/>
                <w:sz w:val="21"/>
                <w:szCs w:val="21"/>
              </w:rPr>
              <w:t>D3</w:t>
            </w:r>
          </w:p>
        </w:tc>
        <w:tc>
          <w:tcPr>
            <w:tcW w:w="5053"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1CEB7D06" w14:textId="77777777" w:rsidR="00E56755" w:rsidRPr="001172CF" w:rsidRDefault="00E56755" w:rsidP="00AA24C6">
            <w:r w:rsidRPr="001172CF">
              <w:rPr>
                <w:color w:val="000000"/>
                <w:sz w:val="21"/>
                <w:szCs w:val="21"/>
              </w:rPr>
              <w:t>On a scale of 1–10, how much do you currently trust social media platforms with your personal data?</w:t>
            </w:r>
          </w:p>
        </w:tc>
        <w:tc>
          <w:tcPr>
            <w:tcW w:w="2587"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112814B7" w14:textId="77777777" w:rsidR="00E56755" w:rsidRPr="001172CF" w:rsidRDefault="00E56755" w:rsidP="00AA24C6">
            <w:r w:rsidRPr="001172CF">
              <w:rPr>
                <w:color w:val="000000"/>
                <w:sz w:val="21"/>
                <w:szCs w:val="21"/>
              </w:rPr>
              <w:t>1–10 numeric scale</w:t>
            </w:r>
          </w:p>
        </w:tc>
      </w:tr>
    </w:tbl>
    <w:p w14:paraId="6BD65A6D" w14:textId="77777777" w:rsidR="00E56755" w:rsidRPr="001172CF" w:rsidRDefault="00E56755" w:rsidP="00E56755">
      <w:pPr>
        <w:spacing w:before="80"/>
      </w:pPr>
    </w:p>
    <w:p w14:paraId="5AE941ED" w14:textId="3AAC21BC" w:rsidR="00E56755" w:rsidRPr="001172CF" w:rsidRDefault="007A3247" w:rsidP="007A3247">
      <w:pPr>
        <w:spacing w:line="360" w:lineRule="auto"/>
      </w:pPr>
      <w:r w:rsidRPr="001172CF">
        <w:t>The questionnaire demonstrates strong content validity because the majority of measurement items have been adapted from well-established instruments rather than developed specifically for this study. Pilot testing will further refine wording before full deployment.</w:t>
      </w:r>
    </w:p>
    <w:p w14:paraId="648F9E75" w14:textId="497029A2" w:rsidR="00AE2F16" w:rsidRPr="001172CF" w:rsidRDefault="00AE2F16" w:rsidP="008507B9">
      <w:pPr>
        <w:pStyle w:val="Heading1"/>
        <w:rPr>
          <w:rFonts w:ascii="Times New Roman" w:hAnsi="Times New Roman" w:cs="Times New Roman"/>
        </w:rPr>
      </w:pPr>
      <w:bookmarkStart w:id="44" w:name="_Toc234710576"/>
      <w:r w:rsidRPr="001172CF">
        <w:rPr>
          <w:rFonts w:ascii="Times New Roman" w:hAnsi="Times New Roman" w:cs="Times New Roman"/>
        </w:rPr>
        <w:lastRenderedPageBreak/>
        <w:t xml:space="preserve">Appendix D - </w:t>
      </w:r>
      <w:r w:rsidR="00F52564" w:rsidRPr="001172CF">
        <w:rPr>
          <w:rFonts w:ascii="Times New Roman" w:hAnsi="Times New Roman" w:cs="Times New Roman"/>
        </w:rPr>
        <w:t>Software and Hardware Requirements</w:t>
      </w:r>
      <w:bookmarkEnd w:id="44"/>
    </w:p>
    <w:p w14:paraId="59ADA062" w14:textId="47A7178F" w:rsidR="00AE2F16" w:rsidRDefault="00F52564" w:rsidP="00F52564">
      <w:pPr>
        <w:spacing w:line="360" w:lineRule="auto"/>
      </w:pPr>
      <w:r w:rsidRPr="001172CF">
        <w:t>This appendix summarises the software platforms and hardware resources required to undertake the proposed research. All software has been selected because it supports one or more stages of the research methodology while remaining accessible through university licences or open-source distribution.</w:t>
      </w:r>
    </w:p>
    <w:p w14:paraId="3E4C8B00" w14:textId="77777777" w:rsidR="005D5398" w:rsidRPr="001172CF" w:rsidRDefault="005D5398" w:rsidP="00F52564">
      <w:pPr>
        <w:spacing w:line="360" w:lineRule="auto"/>
      </w:pPr>
    </w:p>
    <w:p w14:paraId="1EF43F6E" w14:textId="373E2EE1" w:rsidR="00F52564" w:rsidRPr="004011AD" w:rsidRDefault="004011AD" w:rsidP="004011AD">
      <w:pPr>
        <w:spacing w:before="60" w:after="100"/>
        <w:rPr>
          <w:sz w:val="20"/>
          <w:szCs w:val="20"/>
        </w:rPr>
      </w:pPr>
      <w:r w:rsidRPr="004011AD">
        <w:rPr>
          <w:rFonts w:ascii="Calibri" w:eastAsia="Calibri" w:hAnsi="Calibri" w:cs="Calibri"/>
          <w:b/>
          <w:bCs/>
          <w:i/>
          <w:iCs/>
          <w:color w:val="1A4A6E"/>
          <w:sz w:val="20"/>
          <w:szCs w:val="20"/>
        </w:rPr>
        <w:t>Table D1: Software and Hardware Requirements</w:t>
      </w:r>
      <w:r w:rsidR="00826CA7">
        <w:rPr>
          <w:rFonts w:ascii="Calibri" w:eastAsia="Calibri" w:hAnsi="Calibri" w:cs="Calibri"/>
          <w:b/>
          <w:bCs/>
          <w:i/>
          <w:iCs/>
          <w:color w:val="1A4A6E"/>
          <w:sz w:val="20"/>
          <w:szCs w:val="20"/>
        </w:rPr>
        <w:t>.</w:t>
      </w:r>
    </w:p>
    <w:tbl>
      <w:tblPr>
        <w:tblW w:w="95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71"/>
        <w:gridCol w:w="3700"/>
        <w:gridCol w:w="2670"/>
      </w:tblGrid>
      <w:tr w:rsidR="00F52564" w:rsidRPr="001172CF" w14:paraId="15A769A7" w14:textId="77777777" w:rsidTr="00F52564">
        <w:trPr>
          <w:trHeight w:val="254"/>
        </w:trPr>
        <w:tc>
          <w:tcPr>
            <w:tcW w:w="3171"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1B321EF4" w14:textId="77777777" w:rsidR="00F52564" w:rsidRPr="001172CF" w:rsidRDefault="00F52564" w:rsidP="00AA24C6">
            <w:r w:rsidRPr="001172CF">
              <w:rPr>
                <w:b/>
                <w:bCs/>
                <w:color w:val="FFFFFF"/>
                <w:sz w:val="21"/>
                <w:szCs w:val="21"/>
              </w:rPr>
              <w:t>Software Tool</w:t>
            </w:r>
          </w:p>
        </w:tc>
        <w:tc>
          <w:tcPr>
            <w:tcW w:w="370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6CDA2EC2" w14:textId="77777777" w:rsidR="00F52564" w:rsidRPr="001172CF" w:rsidRDefault="00F52564" w:rsidP="00AA24C6">
            <w:r w:rsidRPr="001172CF">
              <w:rPr>
                <w:b/>
                <w:bCs/>
                <w:color w:val="FFFFFF"/>
                <w:sz w:val="21"/>
                <w:szCs w:val="21"/>
              </w:rPr>
              <w:t>Purpose</w:t>
            </w:r>
          </w:p>
        </w:tc>
        <w:tc>
          <w:tcPr>
            <w:tcW w:w="2670" w:type="dxa"/>
            <w:tcBorders>
              <w:top w:val="single" w:sz="1" w:space="0" w:color="CCCCCC"/>
              <w:left w:val="single" w:sz="1" w:space="0" w:color="CCCCCC"/>
              <w:bottom w:val="single" w:sz="1" w:space="0" w:color="CCCCCC"/>
              <w:right w:val="single" w:sz="1" w:space="0" w:color="CCCCCC"/>
            </w:tcBorders>
            <w:shd w:val="clear" w:color="auto" w:fill="1A5276"/>
            <w:tcMar>
              <w:top w:w="80" w:type="dxa"/>
              <w:left w:w="120" w:type="dxa"/>
              <w:bottom w:w="80" w:type="dxa"/>
              <w:right w:w="120" w:type="dxa"/>
            </w:tcMar>
          </w:tcPr>
          <w:p w14:paraId="0940CA8E" w14:textId="77777777" w:rsidR="00F52564" w:rsidRPr="001172CF" w:rsidRDefault="00F52564" w:rsidP="00AA24C6">
            <w:r w:rsidRPr="001172CF">
              <w:rPr>
                <w:b/>
                <w:bCs/>
                <w:color w:val="FFFFFF"/>
                <w:sz w:val="21"/>
                <w:szCs w:val="21"/>
              </w:rPr>
              <w:t>Cost</w:t>
            </w:r>
          </w:p>
        </w:tc>
      </w:tr>
      <w:tr w:rsidR="00F52564" w:rsidRPr="001172CF" w14:paraId="27F60EC1" w14:textId="77777777" w:rsidTr="00F52564">
        <w:trPr>
          <w:trHeight w:val="496"/>
        </w:trPr>
        <w:tc>
          <w:tcPr>
            <w:tcW w:w="3171"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28CEAC2" w14:textId="77777777" w:rsidR="00F52564" w:rsidRPr="001172CF" w:rsidRDefault="00F52564" w:rsidP="00AA24C6">
            <w:r w:rsidRPr="001172CF">
              <w:rPr>
                <w:color w:val="000000"/>
                <w:sz w:val="21"/>
                <w:szCs w:val="21"/>
              </w:rPr>
              <w:t>Microsoft Forms or Qualtrics</w:t>
            </w:r>
          </w:p>
        </w:tc>
        <w:tc>
          <w:tcPr>
            <w:tcW w:w="37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316EC12" w14:textId="77777777" w:rsidR="00F52564" w:rsidRPr="001172CF" w:rsidRDefault="00F52564" w:rsidP="00AA24C6">
            <w:r w:rsidRPr="001172CF">
              <w:rPr>
                <w:color w:val="000000"/>
                <w:sz w:val="21"/>
                <w:szCs w:val="21"/>
              </w:rPr>
              <w:t>Online survey distribution and response collection</w:t>
            </w:r>
          </w:p>
        </w:tc>
        <w:tc>
          <w:tcPr>
            <w:tcW w:w="267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216B2EFB" w14:textId="77777777" w:rsidR="00F52564" w:rsidRPr="001172CF" w:rsidRDefault="00F52564" w:rsidP="00AA24C6">
            <w:r w:rsidRPr="001172CF">
              <w:rPr>
                <w:color w:val="000000"/>
                <w:sz w:val="21"/>
                <w:szCs w:val="21"/>
              </w:rPr>
              <w:t>Free (university licence)</w:t>
            </w:r>
          </w:p>
        </w:tc>
      </w:tr>
      <w:tr w:rsidR="00F52564" w:rsidRPr="001172CF" w14:paraId="7EDCC7C5" w14:textId="77777777" w:rsidTr="00F52564">
        <w:trPr>
          <w:trHeight w:val="509"/>
        </w:trPr>
        <w:tc>
          <w:tcPr>
            <w:tcW w:w="317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A0DC1B" w14:textId="77777777" w:rsidR="00F52564" w:rsidRPr="001172CF" w:rsidRDefault="00F52564" w:rsidP="00AA24C6">
            <w:r w:rsidRPr="001172CF">
              <w:rPr>
                <w:color w:val="000000"/>
                <w:sz w:val="21"/>
                <w:szCs w:val="21"/>
              </w:rPr>
              <w:t>SPSS Statistics 29 (with PROCESS v4)</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28B10E" w14:textId="77777777" w:rsidR="00F52564" w:rsidRPr="001172CF" w:rsidRDefault="00F52564" w:rsidP="00AA24C6">
            <w:r w:rsidRPr="001172CF">
              <w:rPr>
                <w:color w:val="000000"/>
                <w:sz w:val="21"/>
                <w:szCs w:val="21"/>
              </w:rPr>
              <w:t>Multiple regression, ANOVA, and moderation analysis</w:t>
            </w:r>
          </w:p>
        </w:tc>
        <w:tc>
          <w:tcPr>
            <w:tcW w:w="267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1D373B" w14:textId="77777777" w:rsidR="00F52564" w:rsidRPr="001172CF" w:rsidRDefault="00F52564" w:rsidP="00AA24C6">
            <w:r w:rsidRPr="001172CF">
              <w:rPr>
                <w:color w:val="000000"/>
                <w:sz w:val="21"/>
                <w:szCs w:val="21"/>
              </w:rPr>
              <w:t>Free (university licence)</w:t>
            </w:r>
          </w:p>
        </w:tc>
      </w:tr>
      <w:tr w:rsidR="00F52564" w:rsidRPr="001172CF" w14:paraId="266B2808" w14:textId="77777777" w:rsidTr="00F52564">
        <w:trPr>
          <w:trHeight w:val="509"/>
        </w:trPr>
        <w:tc>
          <w:tcPr>
            <w:tcW w:w="3171"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6E8BBA3" w14:textId="77777777" w:rsidR="00F52564" w:rsidRPr="001172CF" w:rsidRDefault="00F52564" w:rsidP="00AA24C6">
            <w:r w:rsidRPr="001172CF">
              <w:rPr>
                <w:color w:val="000000"/>
                <w:sz w:val="21"/>
                <w:szCs w:val="21"/>
              </w:rPr>
              <w:t xml:space="preserve">Python (pandas, </w:t>
            </w:r>
            <w:proofErr w:type="spellStart"/>
            <w:r w:rsidRPr="001172CF">
              <w:rPr>
                <w:color w:val="000000"/>
                <w:sz w:val="21"/>
                <w:szCs w:val="21"/>
              </w:rPr>
              <w:t>scipy</w:t>
            </w:r>
            <w:proofErr w:type="spellEnd"/>
            <w:r w:rsidRPr="001172CF">
              <w:rPr>
                <w:color w:val="000000"/>
                <w:sz w:val="21"/>
                <w:szCs w:val="21"/>
              </w:rPr>
              <w:t>, matplotlib, seaborn)</w:t>
            </w:r>
          </w:p>
        </w:tc>
        <w:tc>
          <w:tcPr>
            <w:tcW w:w="37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59734BC8" w14:textId="77777777" w:rsidR="00F52564" w:rsidRPr="001172CF" w:rsidRDefault="00F52564" w:rsidP="00AA24C6">
            <w:r w:rsidRPr="001172CF">
              <w:rPr>
                <w:color w:val="000000"/>
                <w:sz w:val="21"/>
                <w:szCs w:val="21"/>
              </w:rPr>
              <w:t>Data cleaning, visualisation, and supplementary analysis</w:t>
            </w:r>
          </w:p>
        </w:tc>
        <w:tc>
          <w:tcPr>
            <w:tcW w:w="267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372F2354" w14:textId="77777777" w:rsidR="00F52564" w:rsidRPr="001172CF" w:rsidRDefault="00F52564" w:rsidP="00AA24C6">
            <w:r w:rsidRPr="001172CF">
              <w:rPr>
                <w:color w:val="000000"/>
                <w:sz w:val="21"/>
                <w:szCs w:val="21"/>
              </w:rPr>
              <w:t>Free (open source)</w:t>
            </w:r>
          </w:p>
        </w:tc>
      </w:tr>
      <w:tr w:rsidR="00F52564" w:rsidRPr="001172CF" w14:paraId="77325F0D" w14:textId="77777777" w:rsidTr="00F52564">
        <w:trPr>
          <w:trHeight w:val="509"/>
        </w:trPr>
        <w:tc>
          <w:tcPr>
            <w:tcW w:w="317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EB7E90" w14:textId="77777777" w:rsidR="00F52564" w:rsidRPr="001172CF" w:rsidRDefault="00F52564" w:rsidP="00AA24C6">
            <w:r w:rsidRPr="001172CF">
              <w:rPr>
                <w:color w:val="000000"/>
                <w:sz w:val="21"/>
                <w:szCs w:val="21"/>
              </w:rPr>
              <w:t>G*Power 3.1</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635B57" w14:textId="77777777" w:rsidR="00F52564" w:rsidRPr="001172CF" w:rsidRDefault="00F52564" w:rsidP="00AA24C6">
            <w:r w:rsidRPr="001172CF">
              <w:rPr>
                <w:color w:val="000000"/>
                <w:sz w:val="21"/>
                <w:szCs w:val="21"/>
              </w:rPr>
              <w:t>Statistical power analysis and sample size calculation</w:t>
            </w:r>
          </w:p>
        </w:tc>
        <w:tc>
          <w:tcPr>
            <w:tcW w:w="267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B3EA5B" w14:textId="77777777" w:rsidR="00F52564" w:rsidRPr="001172CF" w:rsidRDefault="00F52564" w:rsidP="00AA24C6">
            <w:r w:rsidRPr="001172CF">
              <w:rPr>
                <w:color w:val="000000"/>
                <w:sz w:val="21"/>
                <w:szCs w:val="21"/>
              </w:rPr>
              <w:t>Free (open source)</w:t>
            </w:r>
          </w:p>
        </w:tc>
      </w:tr>
      <w:tr w:rsidR="00F52564" w:rsidRPr="001172CF" w14:paraId="0E9D508B" w14:textId="77777777" w:rsidTr="00F52564">
        <w:trPr>
          <w:trHeight w:val="496"/>
        </w:trPr>
        <w:tc>
          <w:tcPr>
            <w:tcW w:w="3171"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2756630" w14:textId="77777777" w:rsidR="00F52564" w:rsidRPr="001172CF" w:rsidRDefault="00F52564" w:rsidP="00AA24C6">
            <w:r w:rsidRPr="001172CF">
              <w:rPr>
                <w:color w:val="000000"/>
                <w:sz w:val="21"/>
                <w:szCs w:val="21"/>
              </w:rPr>
              <w:t>Scopus / IEEE Xplore / ACM DL</w:t>
            </w:r>
          </w:p>
        </w:tc>
        <w:tc>
          <w:tcPr>
            <w:tcW w:w="37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4CDE3201" w14:textId="77777777" w:rsidR="00F52564" w:rsidRPr="001172CF" w:rsidRDefault="00F52564" w:rsidP="00AA24C6">
            <w:r w:rsidRPr="001172CF">
              <w:rPr>
                <w:color w:val="000000"/>
                <w:sz w:val="21"/>
                <w:szCs w:val="21"/>
              </w:rPr>
              <w:t>Peer-reviewed literature access</w:t>
            </w:r>
          </w:p>
        </w:tc>
        <w:tc>
          <w:tcPr>
            <w:tcW w:w="267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03311FCB" w14:textId="77777777" w:rsidR="00F52564" w:rsidRPr="001172CF" w:rsidRDefault="00F52564" w:rsidP="00AA24C6">
            <w:r w:rsidRPr="001172CF">
              <w:rPr>
                <w:color w:val="000000"/>
                <w:sz w:val="21"/>
                <w:szCs w:val="21"/>
              </w:rPr>
              <w:t>Free (university library)</w:t>
            </w:r>
          </w:p>
        </w:tc>
      </w:tr>
      <w:tr w:rsidR="00F52564" w:rsidRPr="001172CF" w14:paraId="3F20DF95" w14:textId="77777777" w:rsidTr="00F52564">
        <w:trPr>
          <w:trHeight w:val="509"/>
        </w:trPr>
        <w:tc>
          <w:tcPr>
            <w:tcW w:w="317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2794E7" w14:textId="77777777" w:rsidR="00F52564" w:rsidRPr="001172CF" w:rsidRDefault="00F52564" w:rsidP="00AA24C6">
            <w:r w:rsidRPr="001172CF">
              <w:rPr>
                <w:color w:val="000000"/>
                <w:sz w:val="21"/>
                <w:szCs w:val="21"/>
              </w:rPr>
              <w:t>Standard laptop</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88396F" w14:textId="77777777" w:rsidR="00F52564" w:rsidRPr="001172CF" w:rsidRDefault="00F52564" w:rsidP="00AA24C6">
            <w:r w:rsidRPr="001172CF">
              <w:rPr>
                <w:color w:val="000000"/>
                <w:sz w:val="21"/>
                <w:szCs w:val="21"/>
              </w:rPr>
              <w:t>All research tasks</w:t>
            </w:r>
          </w:p>
        </w:tc>
        <w:tc>
          <w:tcPr>
            <w:tcW w:w="267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103729" w14:textId="77777777" w:rsidR="00F52564" w:rsidRPr="001172CF" w:rsidRDefault="00F52564" w:rsidP="00AA24C6">
            <w:r w:rsidRPr="001172CF">
              <w:rPr>
                <w:color w:val="000000"/>
                <w:sz w:val="21"/>
                <w:szCs w:val="21"/>
              </w:rPr>
              <w:t>No additional hardware required</w:t>
            </w:r>
          </w:p>
        </w:tc>
      </w:tr>
    </w:tbl>
    <w:p w14:paraId="6B2E401A" w14:textId="3D166F4E" w:rsidR="00F52564" w:rsidRDefault="00826CA7" w:rsidP="00826CA7">
      <w:pPr>
        <w:jc w:val="center"/>
        <w:rPr>
          <w:rFonts w:ascii="Calibri" w:eastAsia="Calibri" w:hAnsi="Calibri" w:cs="Calibri"/>
          <w:b/>
          <w:bCs/>
          <w:i/>
          <w:iCs/>
          <w:color w:val="1A4A6E"/>
          <w:sz w:val="20"/>
          <w:szCs w:val="20"/>
        </w:rPr>
      </w:pPr>
      <w:r w:rsidRPr="004011AD">
        <w:rPr>
          <w:rFonts w:ascii="Calibri" w:eastAsia="Calibri" w:hAnsi="Calibri" w:cs="Calibri"/>
          <w:b/>
          <w:bCs/>
          <w:i/>
          <w:iCs/>
          <w:color w:val="1A4A6E"/>
          <w:sz w:val="20"/>
          <w:szCs w:val="20"/>
        </w:rPr>
        <w:t>Source: Generated by author (2026).</w:t>
      </w:r>
    </w:p>
    <w:p w14:paraId="2C9009EF" w14:textId="3BAA4E06" w:rsidR="00826CA7" w:rsidRPr="001172CF" w:rsidRDefault="00826CA7" w:rsidP="00F52564">
      <w:pPr>
        <w:rPr>
          <w:b/>
          <w:bCs/>
          <w:color w:val="1A5276"/>
          <w:sz w:val="30"/>
          <w:szCs w:val="30"/>
        </w:rPr>
      </w:pPr>
    </w:p>
    <w:p w14:paraId="53347834" w14:textId="034ABBDB" w:rsidR="00F52564" w:rsidRPr="001172CF" w:rsidRDefault="0048645B" w:rsidP="00F52564">
      <w:pPr>
        <w:spacing w:line="360" w:lineRule="auto"/>
      </w:pPr>
      <w:r w:rsidRPr="001172CF">
        <w:t>Collectively, these resources provide all of the tools required for literature retrieval, questionnaire administration, statistical analysis, data visualisation, and report preparation without requiring specialised computing infrastructure.</w:t>
      </w:r>
    </w:p>
    <w:p w14:paraId="43B2E218" w14:textId="77777777" w:rsidR="00F52564" w:rsidRPr="001172CF" w:rsidRDefault="00F52564" w:rsidP="00F52564">
      <w:pPr>
        <w:spacing w:line="360" w:lineRule="auto"/>
      </w:pPr>
    </w:p>
    <w:p w14:paraId="070EB5E0" w14:textId="7DC1F926" w:rsidR="00F52564" w:rsidRPr="001172CF" w:rsidRDefault="00F52564">
      <w:r w:rsidRPr="001172CF">
        <w:br w:type="page"/>
      </w:r>
    </w:p>
    <w:p w14:paraId="1580225D" w14:textId="03BFDF67" w:rsidR="00AE2F16" w:rsidRPr="001172CF" w:rsidRDefault="0048645B" w:rsidP="00345F72">
      <w:pPr>
        <w:pStyle w:val="Heading1"/>
        <w:rPr>
          <w:rFonts w:ascii="Times New Roman" w:hAnsi="Times New Roman" w:cs="Times New Roman"/>
        </w:rPr>
      </w:pPr>
      <w:bookmarkStart w:id="45" w:name="_Toc234710577"/>
      <w:r w:rsidRPr="001172CF">
        <w:rPr>
          <w:rFonts w:ascii="Times New Roman" w:hAnsi="Times New Roman" w:cs="Times New Roman"/>
        </w:rPr>
        <w:lastRenderedPageBreak/>
        <w:t>Appendix E</w:t>
      </w:r>
      <w:r w:rsidR="00345F72" w:rsidRPr="001172CF">
        <w:rPr>
          <w:rFonts w:ascii="Times New Roman" w:hAnsi="Times New Roman" w:cs="Times New Roman"/>
        </w:rPr>
        <w:t xml:space="preserve"> - Anticipated Results</w:t>
      </w:r>
      <w:bookmarkEnd w:id="45"/>
    </w:p>
    <w:p w14:paraId="134351DE" w14:textId="08F891D5" w:rsidR="00345F72" w:rsidRDefault="009E1971" w:rsidP="009E1971">
      <w:pPr>
        <w:spacing w:before="30" w:after="120" w:line="360" w:lineRule="auto"/>
        <w:jc w:val="both"/>
      </w:pPr>
      <w:r w:rsidRPr="001172CF">
        <w:t>As this document represents a research proposal rather than a completed study, the anticipated results presented in this appendix are based on the evidence synthesised throughout Chapter 2. They illustrate the expected outcomes of each hypothesis and summarise the findings that the proposed statistical analyses are anticipated to produce.</w:t>
      </w:r>
    </w:p>
    <w:p w14:paraId="46CAC549" w14:textId="77777777" w:rsidR="005D5398" w:rsidRPr="001172CF" w:rsidRDefault="005D5398" w:rsidP="009E1971">
      <w:pPr>
        <w:spacing w:before="30" w:after="120" w:line="360" w:lineRule="auto"/>
        <w:jc w:val="both"/>
      </w:pPr>
    </w:p>
    <w:p w14:paraId="64506403" w14:textId="1B18194D" w:rsidR="005F0110" w:rsidRPr="00A439C2" w:rsidRDefault="00A439C2" w:rsidP="00A439C2">
      <w:pPr>
        <w:spacing w:before="60" w:after="100"/>
        <w:rPr>
          <w:sz w:val="20"/>
          <w:szCs w:val="20"/>
        </w:rPr>
      </w:pPr>
      <w:r w:rsidRPr="00A439C2">
        <w:rPr>
          <w:rFonts w:ascii="Calibri" w:eastAsia="Calibri" w:hAnsi="Calibri" w:cs="Calibri"/>
          <w:b/>
          <w:bCs/>
          <w:i/>
          <w:iCs/>
          <w:color w:val="1A4A6E"/>
          <w:sz w:val="20"/>
          <w:szCs w:val="20"/>
        </w:rPr>
        <w:t xml:space="preserve">Table E1: Anticipated Hypothesis Outcomes — Supported and Rejected Scenarios. </w:t>
      </w:r>
    </w:p>
    <w:tbl>
      <w:tblPr>
        <w:tblW w:w="9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1"/>
        <w:gridCol w:w="2134"/>
        <w:gridCol w:w="2346"/>
        <w:gridCol w:w="2345"/>
        <w:gridCol w:w="2374"/>
      </w:tblGrid>
      <w:tr w:rsidR="00345F72" w:rsidRPr="001172CF" w14:paraId="448190E6" w14:textId="77777777" w:rsidTr="00AA24C6">
        <w:trPr>
          <w:trHeight w:val="224"/>
        </w:trPr>
        <w:tc>
          <w:tcPr>
            <w:tcW w:w="461" w:type="dxa"/>
            <w:tcBorders>
              <w:top w:val="single" w:sz="1" w:space="0" w:color="CCCCCC"/>
              <w:left w:val="single" w:sz="1" w:space="0" w:color="CCCCCC"/>
              <w:bottom w:val="single" w:sz="1" w:space="0" w:color="CCCCCC"/>
              <w:right w:val="single" w:sz="1" w:space="0" w:color="CCCCCC"/>
            </w:tcBorders>
            <w:shd w:val="clear" w:color="auto" w:fill="1A5276"/>
            <w:tcMar>
              <w:top w:w="70" w:type="dxa"/>
              <w:left w:w="100" w:type="dxa"/>
              <w:bottom w:w="70" w:type="dxa"/>
              <w:right w:w="100" w:type="dxa"/>
            </w:tcMar>
          </w:tcPr>
          <w:p w14:paraId="18A8601B" w14:textId="77777777" w:rsidR="00345F72" w:rsidRPr="001172CF" w:rsidRDefault="00345F72" w:rsidP="00AA24C6">
            <w:pPr>
              <w:rPr>
                <w:sz w:val="18"/>
                <w:szCs w:val="18"/>
              </w:rPr>
            </w:pPr>
          </w:p>
        </w:tc>
        <w:tc>
          <w:tcPr>
            <w:tcW w:w="2134" w:type="dxa"/>
            <w:tcBorders>
              <w:top w:val="single" w:sz="1" w:space="0" w:color="CCCCCC"/>
              <w:left w:val="single" w:sz="1" w:space="0" w:color="CCCCCC"/>
              <w:bottom w:val="single" w:sz="1" w:space="0" w:color="CCCCCC"/>
              <w:right w:val="single" w:sz="1" w:space="0" w:color="CCCCCC"/>
            </w:tcBorders>
            <w:shd w:val="clear" w:color="auto" w:fill="1A5276"/>
            <w:tcMar>
              <w:top w:w="70" w:type="dxa"/>
              <w:left w:w="100" w:type="dxa"/>
              <w:bottom w:w="70" w:type="dxa"/>
              <w:right w:w="100" w:type="dxa"/>
            </w:tcMar>
          </w:tcPr>
          <w:p w14:paraId="0E7BB6F7" w14:textId="77777777" w:rsidR="00345F72" w:rsidRPr="001172CF" w:rsidRDefault="00345F72" w:rsidP="00AA24C6">
            <w:pPr>
              <w:rPr>
                <w:sz w:val="18"/>
                <w:szCs w:val="18"/>
              </w:rPr>
            </w:pPr>
            <w:r w:rsidRPr="001172CF">
              <w:rPr>
                <w:b/>
                <w:bCs/>
                <w:color w:val="FFFFFF"/>
                <w:sz w:val="18"/>
                <w:szCs w:val="18"/>
              </w:rPr>
              <w:t>Hypothesis</w:t>
            </w:r>
          </w:p>
        </w:tc>
        <w:tc>
          <w:tcPr>
            <w:tcW w:w="2346" w:type="dxa"/>
            <w:tcBorders>
              <w:top w:val="single" w:sz="1" w:space="0" w:color="CCCCCC"/>
              <w:left w:val="single" w:sz="1" w:space="0" w:color="CCCCCC"/>
              <w:bottom w:val="single" w:sz="1" w:space="0" w:color="CCCCCC"/>
              <w:right w:val="single" w:sz="1" w:space="0" w:color="CCCCCC"/>
            </w:tcBorders>
            <w:shd w:val="clear" w:color="auto" w:fill="1A5276"/>
            <w:tcMar>
              <w:top w:w="70" w:type="dxa"/>
              <w:left w:w="100" w:type="dxa"/>
              <w:bottom w:w="70" w:type="dxa"/>
              <w:right w:w="100" w:type="dxa"/>
            </w:tcMar>
          </w:tcPr>
          <w:p w14:paraId="3B26DC53" w14:textId="77777777" w:rsidR="00345F72" w:rsidRPr="001172CF" w:rsidRDefault="00345F72" w:rsidP="00AA24C6">
            <w:pPr>
              <w:rPr>
                <w:sz w:val="18"/>
                <w:szCs w:val="18"/>
              </w:rPr>
            </w:pPr>
            <w:r w:rsidRPr="001172CF">
              <w:rPr>
                <w:b/>
                <w:bCs/>
                <w:color w:val="FFFFFF"/>
                <w:sz w:val="18"/>
                <w:szCs w:val="18"/>
              </w:rPr>
              <w:t>If Supported</w:t>
            </w:r>
          </w:p>
        </w:tc>
        <w:tc>
          <w:tcPr>
            <w:tcW w:w="2345" w:type="dxa"/>
            <w:tcBorders>
              <w:top w:val="single" w:sz="1" w:space="0" w:color="CCCCCC"/>
              <w:left w:val="single" w:sz="1" w:space="0" w:color="CCCCCC"/>
              <w:bottom w:val="single" w:sz="1" w:space="0" w:color="CCCCCC"/>
              <w:right w:val="single" w:sz="1" w:space="0" w:color="CCCCCC"/>
            </w:tcBorders>
            <w:shd w:val="clear" w:color="auto" w:fill="1A5276"/>
            <w:tcMar>
              <w:top w:w="70" w:type="dxa"/>
              <w:left w:w="100" w:type="dxa"/>
              <w:bottom w:w="70" w:type="dxa"/>
              <w:right w:w="100" w:type="dxa"/>
            </w:tcMar>
          </w:tcPr>
          <w:p w14:paraId="5CDF37A3" w14:textId="77777777" w:rsidR="00345F72" w:rsidRPr="001172CF" w:rsidRDefault="00345F72" w:rsidP="00AA24C6">
            <w:pPr>
              <w:rPr>
                <w:sz w:val="18"/>
                <w:szCs w:val="18"/>
              </w:rPr>
            </w:pPr>
            <w:r w:rsidRPr="001172CF">
              <w:rPr>
                <w:b/>
                <w:bCs/>
                <w:color w:val="FFFFFF"/>
                <w:sz w:val="18"/>
                <w:szCs w:val="18"/>
              </w:rPr>
              <w:t>If Rejected</w:t>
            </w:r>
          </w:p>
        </w:tc>
        <w:tc>
          <w:tcPr>
            <w:tcW w:w="2374" w:type="dxa"/>
            <w:tcBorders>
              <w:top w:val="single" w:sz="1" w:space="0" w:color="CCCCCC"/>
              <w:left w:val="single" w:sz="1" w:space="0" w:color="CCCCCC"/>
              <w:bottom w:val="single" w:sz="1" w:space="0" w:color="CCCCCC"/>
              <w:right w:val="single" w:sz="1" w:space="0" w:color="CCCCCC"/>
            </w:tcBorders>
            <w:shd w:val="clear" w:color="auto" w:fill="1A5276"/>
            <w:tcMar>
              <w:top w:w="70" w:type="dxa"/>
              <w:left w:w="100" w:type="dxa"/>
              <w:bottom w:w="70" w:type="dxa"/>
              <w:right w:w="100" w:type="dxa"/>
            </w:tcMar>
          </w:tcPr>
          <w:p w14:paraId="7A666019" w14:textId="77777777" w:rsidR="00345F72" w:rsidRPr="001172CF" w:rsidRDefault="00345F72" w:rsidP="00AA24C6">
            <w:pPr>
              <w:rPr>
                <w:sz w:val="18"/>
                <w:szCs w:val="18"/>
              </w:rPr>
            </w:pPr>
            <w:r w:rsidRPr="001172CF">
              <w:rPr>
                <w:b/>
                <w:bCs/>
                <w:color w:val="FFFFFF"/>
                <w:sz w:val="18"/>
                <w:szCs w:val="18"/>
              </w:rPr>
              <w:t>Method</w:t>
            </w:r>
          </w:p>
        </w:tc>
      </w:tr>
      <w:tr w:rsidR="00345F72" w:rsidRPr="001172CF" w14:paraId="13AA0BA1" w14:textId="77777777" w:rsidTr="00AA24C6">
        <w:trPr>
          <w:trHeight w:val="910"/>
        </w:trPr>
        <w:tc>
          <w:tcPr>
            <w:tcW w:w="461"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39A09E19" w14:textId="77777777" w:rsidR="00345F72" w:rsidRPr="001172CF" w:rsidRDefault="00345F72" w:rsidP="00AA24C6">
            <w:pPr>
              <w:rPr>
                <w:sz w:val="18"/>
                <w:szCs w:val="18"/>
              </w:rPr>
            </w:pPr>
            <w:r w:rsidRPr="001172CF">
              <w:rPr>
                <w:b/>
                <w:bCs/>
                <w:color w:val="1A5276"/>
                <w:sz w:val="18"/>
                <w:szCs w:val="18"/>
              </w:rPr>
              <w:t>H1</w:t>
            </w:r>
          </w:p>
        </w:tc>
        <w:tc>
          <w:tcPr>
            <w:tcW w:w="2134"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61DDF70D" w14:textId="77777777" w:rsidR="00345F72" w:rsidRPr="001172CF" w:rsidRDefault="00345F72" w:rsidP="00AA24C6">
            <w:pPr>
              <w:rPr>
                <w:sz w:val="18"/>
                <w:szCs w:val="18"/>
              </w:rPr>
            </w:pPr>
            <w:r w:rsidRPr="001172CF">
              <w:rPr>
                <w:color w:val="000000"/>
                <w:sz w:val="18"/>
                <w:szCs w:val="18"/>
              </w:rPr>
              <w:t>Security signals are the strongest independent predictors of trust</w:t>
            </w:r>
          </w:p>
        </w:tc>
        <w:tc>
          <w:tcPr>
            <w:tcW w:w="2346"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1B5BA2FD" w14:textId="77777777" w:rsidR="00345F72" w:rsidRPr="001172CF" w:rsidRDefault="00345F72" w:rsidP="00AA24C6">
            <w:pPr>
              <w:rPr>
                <w:sz w:val="18"/>
                <w:szCs w:val="18"/>
              </w:rPr>
            </w:pPr>
            <w:r w:rsidRPr="001172CF">
              <w:rPr>
                <w:color w:val="000000"/>
                <w:sz w:val="18"/>
                <w:szCs w:val="18"/>
              </w:rPr>
              <w:t>Prioritise SSL, MFA, and encryption above all else in the Trust-by-Design Framework</w:t>
            </w:r>
          </w:p>
        </w:tc>
        <w:tc>
          <w:tcPr>
            <w:tcW w:w="2345"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258881A7" w14:textId="77777777" w:rsidR="00345F72" w:rsidRPr="001172CF" w:rsidRDefault="00345F72" w:rsidP="00AA24C6">
            <w:pPr>
              <w:rPr>
                <w:sz w:val="18"/>
                <w:szCs w:val="18"/>
              </w:rPr>
            </w:pPr>
            <w:r w:rsidRPr="001172CF">
              <w:rPr>
                <w:color w:val="000000"/>
                <w:sz w:val="18"/>
                <w:szCs w:val="18"/>
              </w:rPr>
              <w:t>Other factors (design quality, brand) may dominate — framework reordered accordingly</w:t>
            </w:r>
          </w:p>
        </w:tc>
        <w:tc>
          <w:tcPr>
            <w:tcW w:w="2374"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00E2B0EC" w14:textId="77777777" w:rsidR="00345F72" w:rsidRPr="001172CF" w:rsidRDefault="00345F72" w:rsidP="00AA24C6">
            <w:pPr>
              <w:rPr>
                <w:sz w:val="18"/>
                <w:szCs w:val="18"/>
              </w:rPr>
            </w:pPr>
            <w:r w:rsidRPr="001172CF">
              <w:rPr>
                <w:color w:val="000000"/>
                <w:sz w:val="18"/>
                <w:szCs w:val="18"/>
              </w:rPr>
              <w:t>Multiple regression (SPSS); standardised beta coefficients across 18 predictors</w:t>
            </w:r>
          </w:p>
        </w:tc>
      </w:tr>
      <w:tr w:rsidR="00345F72" w:rsidRPr="001172CF" w14:paraId="70D2A73A" w14:textId="77777777" w:rsidTr="00AA24C6">
        <w:trPr>
          <w:trHeight w:val="910"/>
        </w:trPr>
        <w:tc>
          <w:tcPr>
            <w:tcW w:w="461"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7D8CD44F" w14:textId="77777777" w:rsidR="00345F72" w:rsidRPr="001172CF" w:rsidRDefault="00345F72" w:rsidP="00AA24C6">
            <w:pPr>
              <w:rPr>
                <w:sz w:val="18"/>
                <w:szCs w:val="18"/>
              </w:rPr>
            </w:pPr>
            <w:r w:rsidRPr="001172CF">
              <w:rPr>
                <w:b/>
                <w:bCs/>
                <w:color w:val="1A5276"/>
                <w:sz w:val="18"/>
                <w:szCs w:val="18"/>
              </w:rPr>
              <w:t>H2</w:t>
            </w:r>
          </w:p>
        </w:tc>
        <w:tc>
          <w:tcPr>
            <w:tcW w:w="2134"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EB9E894" w14:textId="77777777" w:rsidR="00345F72" w:rsidRPr="001172CF" w:rsidRDefault="00345F72" w:rsidP="00AA24C6">
            <w:pPr>
              <w:rPr>
                <w:sz w:val="18"/>
                <w:szCs w:val="18"/>
              </w:rPr>
            </w:pPr>
            <w:r w:rsidRPr="001172CF">
              <w:rPr>
                <w:color w:val="000000"/>
                <w:sz w:val="18"/>
                <w:szCs w:val="18"/>
              </w:rPr>
              <w:t>GDPR awareness positively moderates the privacy concern-trust relationship</w:t>
            </w:r>
          </w:p>
        </w:tc>
        <w:tc>
          <w:tcPr>
            <w:tcW w:w="23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5D1C3A06" w14:textId="77777777" w:rsidR="00345F72" w:rsidRPr="001172CF" w:rsidRDefault="00345F72" w:rsidP="00AA24C6">
            <w:pPr>
              <w:rPr>
                <w:sz w:val="18"/>
                <w:szCs w:val="18"/>
              </w:rPr>
            </w:pPr>
            <w:r w:rsidRPr="001172CF">
              <w:rPr>
                <w:color w:val="000000"/>
                <w:sz w:val="18"/>
                <w:szCs w:val="18"/>
              </w:rPr>
              <w:t>Literacy programmes directly improve trust-consistent behaviour in UK adults</w:t>
            </w:r>
          </w:p>
        </w:tc>
        <w:tc>
          <w:tcPr>
            <w:tcW w:w="2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EEAE43B" w14:textId="77777777" w:rsidR="00345F72" w:rsidRPr="001172CF" w:rsidRDefault="00345F72" w:rsidP="00AA24C6">
            <w:pPr>
              <w:rPr>
                <w:sz w:val="18"/>
                <w:szCs w:val="18"/>
              </w:rPr>
            </w:pPr>
            <w:r w:rsidRPr="001172CF">
              <w:rPr>
                <w:color w:val="000000"/>
                <w:sz w:val="18"/>
                <w:szCs w:val="18"/>
              </w:rPr>
              <w:t>Privacy Paradox persists even among the informed — a significant policy finding for the ICO</w:t>
            </w:r>
          </w:p>
        </w:tc>
        <w:tc>
          <w:tcPr>
            <w:tcW w:w="2374"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4425C10" w14:textId="77777777" w:rsidR="00345F72" w:rsidRPr="001172CF" w:rsidRDefault="00345F72" w:rsidP="00AA24C6">
            <w:pPr>
              <w:rPr>
                <w:sz w:val="18"/>
                <w:szCs w:val="18"/>
              </w:rPr>
            </w:pPr>
            <w:r w:rsidRPr="001172CF">
              <w:rPr>
                <w:color w:val="000000"/>
                <w:sz w:val="18"/>
                <w:szCs w:val="18"/>
              </w:rPr>
              <w:t>PROCESS macro v4 (Hayes); interaction term at α=0.05</w:t>
            </w:r>
          </w:p>
        </w:tc>
      </w:tr>
      <w:tr w:rsidR="00345F72" w:rsidRPr="001172CF" w14:paraId="467909CF" w14:textId="77777777" w:rsidTr="00AA24C6">
        <w:trPr>
          <w:trHeight w:val="910"/>
        </w:trPr>
        <w:tc>
          <w:tcPr>
            <w:tcW w:w="461"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5C665EF8" w14:textId="77777777" w:rsidR="00345F72" w:rsidRPr="001172CF" w:rsidRDefault="00345F72" w:rsidP="00AA24C6">
            <w:pPr>
              <w:rPr>
                <w:sz w:val="18"/>
                <w:szCs w:val="18"/>
              </w:rPr>
            </w:pPr>
            <w:r w:rsidRPr="001172CF">
              <w:rPr>
                <w:b/>
                <w:bCs/>
                <w:color w:val="1A5276"/>
                <w:sz w:val="18"/>
                <w:szCs w:val="18"/>
              </w:rPr>
              <w:t>H3</w:t>
            </w:r>
          </w:p>
        </w:tc>
        <w:tc>
          <w:tcPr>
            <w:tcW w:w="2134"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5E563685" w14:textId="77777777" w:rsidR="00345F72" w:rsidRPr="001172CF" w:rsidRDefault="00345F72" w:rsidP="00AA24C6">
            <w:pPr>
              <w:rPr>
                <w:sz w:val="18"/>
                <w:szCs w:val="18"/>
              </w:rPr>
            </w:pPr>
            <w:r w:rsidRPr="001172CF">
              <w:rPr>
                <w:color w:val="000000"/>
                <w:sz w:val="18"/>
                <w:szCs w:val="18"/>
              </w:rPr>
              <w:t>Trust scores differ significantly across the six sectors</w:t>
            </w:r>
          </w:p>
        </w:tc>
        <w:tc>
          <w:tcPr>
            <w:tcW w:w="2346"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2C7671C5" w14:textId="77777777" w:rsidR="00345F72" w:rsidRPr="001172CF" w:rsidRDefault="00345F72" w:rsidP="00AA24C6">
            <w:pPr>
              <w:rPr>
                <w:sz w:val="18"/>
                <w:szCs w:val="18"/>
              </w:rPr>
            </w:pPr>
            <w:r w:rsidRPr="001172CF">
              <w:rPr>
                <w:color w:val="000000"/>
                <w:sz w:val="18"/>
                <w:szCs w:val="18"/>
              </w:rPr>
              <w:t>Sector-specific benchmarks confirmed; banking and NHS attract highest trust</w:t>
            </w:r>
          </w:p>
        </w:tc>
        <w:tc>
          <w:tcPr>
            <w:tcW w:w="2345"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56F76A28" w14:textId="77777777" w:rsidR="00345F72" w:rsidRPr="001172CF" w:rsidRDefault="00345F72" w:rsidP="00AA24C6">
            <w:pPr>
              <w:rPr>
                <w:sz w:val="18"/>
                <w:szCs w:val="18"/>
              </w:rPr>
            </w:pPr>
            <w:r w:rsidRPr="001172CF">
              <w:rPr>
                <w:color w:val="000000"/>
                <w:sz w:val="18"/>
                <w:szCs w:val="18"/>
              </w:rPr>
              <w:t>Trust is uniform across sectors — context matters less than assumed in the literature</w:t>
            </w:r>
          </w:p>
        </w:tc>
        <w:tc>
          <w:tcPr>
            <w:tcW w:w="2374" w:type="dxa"/>
            <w:tcBorders>
              <w:top w:val="single" w:sz="1" w:space="0" w:color="CCCCCC"/>
              <w:left w:val="single" w:sz="1" w:space="0" w:color="CCCCCC"/>
              <w:bottom w:val="single" w:sz="1" w:space="0" w:color="CCCCCC"/>
              <w:right w:val="single" w:sz="1" w:space="0" w:color="CCCCCC"/>
            </w:tcBorders>
            <w:shd w:val="clear" w:color="auto" w:fill="EBF5FB"/>
            <w:tcMar>
              <w:top w:w="70" w:type="dxa"/>
              <w:left w:w="100" w:type="dxa"/>
              <w:bottom w:w="70" w:type="dxa"/>
              <w:right w:w="100" w:type="dxa"/>
            </w:tcMar>
          </w:tcPr>
          <w:p w14:paraId="6CB06755" w14:textId="77777777" w:rsidR="00345F72" w:rsidRPr="001172CF" w:rsidRDefault="00345F72" w:rsidP="00AA24C6">
            <w:pPr>
              <w:rPr>
                <w:sz w:val="18"/>
                <w:szCs w:val="18"/>
              </w:rPr>
            </w:pPr>
            <w:r w:rsidRPr="001172CF">
              <w:rPr>
                <w:color w:val="000000"/>
                <w:sz w:val="18"/>
                <w:szCs w:val="18"/>
              </w:rPr>
              <w:t>One-way ANOVA; post-hoc Tukey test</w:t>
            </w:r>
          </w:p>
        </w:tc>
      </w:tr>
    </w:tbl>
    <w:p w14:paraId="44AB36B4" w14:textId="775E7C8A" w:rsidR="004033E3" w:rsidRDefault="004033E3" w:rsidP="004033E3">
      <w:pPr>
        <w:spacing w:before="160" w:after="60" w:line="360" w:lineRule="auto"/>
        <w:jc w:val="center"/>
      </w:pPr>
      <w:r w:rsidRPr="00A439C2">
        <w:rPr>
          <w:rFonts w:ascii="Calibri" w:eastAsia="Calibri" w:hAnsi="Calibri" w:cs="Calibri"/>
          <w:b/>
          <w:bCs/>
          <w:i/>
          <w:iCs/>
          <w:color w:val="1A4A6E"/>
          <w:sz w:val="20"/>
          <w:szCs w:val="20"/>
        </w:rPr>
        <w:t>Source: Generated by author (2026).</w:t>
      </w:r>
    </w:p>
    <w:p w14:paraId="5C84272B" w14:textId="068F5B38" w:rsidR="00DB2077" w:rsidRPr="005563AA" w:rsidRDefault="00DB2077" w:rsidP="005563AA">
      <w:pPr>
        <w:spacing w:before="160" w:after="60" w:line="360" w:lineRule="auto"/>
        <w:jc w:val="both"/>
      </w:pPr>
      <w:r w:rsidRPr="005563AA">
        <w:t>Table E1 demonstrates that each hypothesis is capable of producing meaningful findings regardless of whether it is supported or rejected, ensuring the research remains theoretically valuable under either outcome.</w:t>
      </w:r>
    </w:p>
    <w:p w14:paraId="3DA630FA" w14:textId="77777777" w:rsidR="00624AD6" w:rsidRDefault="00624AD6" w:rsidP="00624AD6">
      <w:pPr>
        <w:spacing w:before="200"/>
      </w:pPr>
    </w:p>
    <w:p w14:paraId="1D0243FC" w14:textId="20248394" w:rsidR="00345F72" w:rsidRPr="00624AD6" w:rsidRDefault="00624AD6" w:rsidP="00624AD6">
      <w:pPr>
        <w:spacing w:before="60" w:after="100"/>
        <w:rPr>
          <w:sz w:val="20"/>
          <w:szCs w:val="20"/>
        </w:rPr>
      </w:pPr>
      <w:r w:rsidRPr="00624AD6">
        <w:rPr>
          <w:rFonts w:ascii="Calibri" w:eastAsia="Calibri" w:hAnsi="Calibri" w:cs="Calibri"/>
          <w:b/>
          <w:bCs/>
          <w:i/>
          <w:iCs/>
          <w:color w:val="1A4A6E"/>
          <w:sz w:val="20"/>
          <w:szCs w:val="20"/>
        </w:rPr>
        <w:t>Table E2: Expected Research Findings. Source: Generated by author (2026).</w:t>
      </w:r>
    </w:p>
    <w:tbl>
      <w:tblPr>
        <w:tblW w:w="9431" w:type="dxa"/>
        <w:tblBorders>
          <w:insideH w:val="single" w:sz="4" w:space="0" w:color="CCCCCC"/>
          <w:insideV w:val="single" w:sz="4" w:space="0" w:color="CCCCCC"/>
        </w:tblBorders>
        <w:tblLook w:val="04A0" w:firstRow="1" w:lastRow="0" w:firstColumn="1" w:lastColumn="0" w:noHBand="0" w:noVBand="1"/>
      </w:tblPr>
      <w:tblGrid>
        <w:gridCol w:w="367"/>
        <w:gridCol w:w="3304"/>
        <w:gridCol w:w="2299"/>
        <w:gridCol w:w="3461"/>
      </w:tblGrid>
      <w:tr w:rsidR="00345F72" w:rsidRPr="001172CF" w14:paraId="3B1A01FE" w14:textId="77777777" w:rsidTr="00AA24C6">
        <w:trPr>
          <w:trHeight w:val="329"/>
          <w:tblHeader/>
        </w:trPr>
        <w:tc>
          <w:tcPr>
            <w:tcW w:w="367" w:type="dxa"/>
            <w:tcBorders>
              <w:top w:val="single" w:sz="4" w:space="0" w:color="CCCCCC"/>
              <w:left w:val="single" w:sz="4" w:space="0" w:color="CCCCCC"/>
              <w:bottom w:val="single" w:sz="4" w:space="0" w:color="CCCCCC"/>
              <w:right w:val="single" w:sz="4" w:space="0" w:color="CCCCCC"/>
            </w:tcBorders>
            <w:shd w:val="clear" w:color="auto" w:fill="1A5276"/>
          </w:tcPr>
          <w:p w14:paraId="7AF6E9F8" w14:textId="77777777" w:rsidR="00345F72" w:rsidRPr="001172CF" w:rsidRDefault="00345F72" w:rsidP="00AA24C6">
            <w:pPr>
              <w:jc w:val="center"/>
              <w:rPr>
                <w:b/>
                <w:bCs/>
                <w:color w:val="FFFFFF"/>
                <w:sz w:val="18"/>
                <w:szCs w:val="18"/>
              </w:rPr>
            </w:pPr>
            <w:r w:rsidRPr="001172CF">
              <w:rPr>
                <w:b/>
                <w:bCs/>
                <w:color w:val="FFFFFF"/>
                <w:sz w:val="18"/>
                <w:szCs w:val="18"/>
              </w:rPr>
              <w:t>#</w:t>
            </w:r>
          </w:p>
        </w:tc>
        <w:tc>
          <w:tcPr>
            <w:tcW w:w="3304" w:type="dxa"/>
            <w:tcBorders>
              <w:top w:val="single" w:sz="4" w:space="0" w:color="CCCCCC"/>
              <w:left w:val="single" w:sz="4" w:space="0" w:color="CCCCCC"/>
              <w:bottom w:val="single" w:sz="4" w:space="0" w:color="CCCCCC"/>
              <w:right w:val="single" w:sz="4" w:space="0" w:color="CCCCCC"/>
            </w:tcBorders>
            <w:shd w:val="clear" w:color="auto" w:fill="1A5276"/>
          </w:tcPr>
          <w:p w14:paraId="6D7ABD9C" w14:textId="77777777" w:rsidR="00345F72" w:rsidRPr="001172CF" w:rsidRDefault="00345F72" w:rsidP="00AA24C6">
            <w:pPr>
              <w:jc w:val="center"/>
              <w:rPr>
                <w:b/>
                <w:bCs/>
                <w:color w:val="FFFFFF"/>
                <w:sz w:val="18"/>
                <w:szCs w:val="18"/>
              </w:rPr>
            </w:pPr>
            <w:r w:rsidRPr="001172CF">
              <w:rPr>
                <w:b/>
                <w:bCs/>
                <w:color w:val="FFFFFF"/>
                <w:sz w:val="18"/>
                <w:szCs w:val="18"/>
              </w:rPr>
              <w:t>Anticipated Finding</w:t>
            </w:r>
          </w:p>
        </w:tc>
        <w:tc>
          <w:tcPr>
            <w:tcW w:w="2299" w:type="dxa"/>
            <w:tcBorders>
              <w:top w:val="single" w:sz="4" w:space="0" w:color="CCCCCC"/>
              <w:left w:val="single" w:sz="4" w:space="0" w:color="CCCCCC"/>
              <w:bottom w:val="single" w:sz="4" w:space="0" w:color="CCCCCC"/>
              <w:right w:val="single" w:sz="4" w:space="0" w:color="CCCCCC"/>
            </w:tcBorders>
            <w:shd w:val="clear" w:color="auto" w:fill="1A5276"/>
          </w:tcPr>
          <w:p w14:paraId="18C906E1" w14:textId="77777777" w:rsidR="00345F72" w:rsidRPr="001172CF" w:rsidRDefault="00345F72" w:rsidP="00AA24C6">
            <w:pPr>
              <w:jc w:val="center"/>
              <w:rPr>
                <w:b/>
                <w:bCs/>
                <w:color w:val="FFFFFF"/>
                <w:sz w:val="18"/>
                <w:szCs w:val="18"/>
              </w:rPr>
            </w:pPr>
            <w:r w:rsidRPr="001172CF">
              <w:rPr>
                <w:b/>
                <w:bCs/>
                <w:color w:val="FFFFFF"/>
                <w:sz w:val="18"/>
                <w:szCs w:val="18"/>
              </w:rPr>
              <w:t>Hypothesis / Link</w:t>
            </w:r>
          </w:p>
        </w:tc>
        <w:tc>
          <w:tcPr>
            <w:tcW w:w="3461" w:type="dxa"/>
            <w:tcBorders>
              <w:top w:val="single" w:sz="4" w:space="0" w:color="CCCCCC"/>
              <w:left w:val="single" w:sz="4" w:space="0" w:color="CCCCCC"/>
              <w:bottom w:val="single" w:sz="4" w:space="0" w:color="CCCCCC"/>
              <w:right w:val="single" w:sz="4" w:space="0" w:color="CCCCCC"/>
            </w:tcBorders>
            <w:shd w:val="clear" w:color="auto" w:fill="1A5276"/>
          </w:tcPr>
          <w:p w14:paraId="7319AD4B" w14:textId="77777777" w:rsidR="00345F72" w:rsidRPr="001172CF" w:rsidRDefault="00345F72" w:rsidP="00AA24C6">
            <w:pPr>
              <w:jc w:val="center"/>
              <w:rPr>
                <w:b/>
                <w:bCs/>
                <w:color w:val="FFFFFF"/>
                <w:sz w:val="18"/>
                <w:szCs w:val="18"/>
              </w:rPr>
            </w:pPr>
            <w:r w:rsidRPr="001172CF">
              <w:rPr>
                <w:b/>
                <w:bCs/>
                <w:color w:val="FFFFFF"/>
                <w:sz w:val="18"/>
                <w:szCs w:val="18"/>
              </w:rPr>
              <w:t>Supporting Evidence</w:t>
            </w:r>
          </w:p>
        </w:tc>
      </w:tr>
      <w:tr w:rsidR="00345F72" w:rsidRPr="001172CF" w14:paraId="66EA5A87" w14:textId="77777777" w:rsidTr="00AA24C6">
        <w:trPr>
          <w:trHeight w:val="1271"/>
        </w:trPr>
        <w:tc>
          <w:tcPr>
            <w:tcW w:w="367" w:type="dxa"/>
            <w:tcBorders>
              <w:top w:val="single" w:sz="4" w:space="0" w:color="CCCCCC"/>
              <w:left w:val="single" w:sz="4" w:space="0" w:color="CCCCCC"/>
              <w:bottom w:val="single" w:sz="4" w:space="0" w:color="CCCCCC"/>
              <w:right w:val="single" w:sz="4" w:space="0" w:color="CCCCCC"/>
            </w:tcBorders>
            <w:shd w:val="clear" w:color="auto" w:fill="EBF5FB"/>
          </w:tcPr>
          <w:p w14:paraId="6FCB4EE7" w14:textId="77777777" w:rsidR="00345F72" w:rsidRPr="001172CF" w:rsidRDefault="00345F72" w:rsidP="00AA24C6">
            <w:pPr>
              <w:jc w:val="center"/>
              <w:rPr>
                <w:b/>
                <w:bCs/>
                <w:color w:val="1A5276"/>
                <w:sz w:val="18"/>
                <w:szCs w:val="18"/>
              </w:rPr>
            </w:pPr>
            <w:r w:rsidRPr="001172CF">
              <w:rPr>
                <w:b/>
                <w:bCs/>
                <w:color w:val="1A5276"/>
                <w:sz w:val="18"/>
                <w:szCs w:val="18"/>
              </w:rPr>
              <w:t>1</w:t>
            </w:r>
          </w:p>
        </w:tc>
        <w:tc>
          <w:tcPr>
            <w:tcW w:w="3304" w:type="dxa"/>
            <w:tcBorders>
              <w:top w:val="single" w:sz="4" w:space="0" w:color="CCCCCC"/>
              <w:left w:val="single" w:sz="4" w:space="0" w:color="CCCCCC"/>
              <w:bottom w:val="single" w:sz="4" w:space="0" w:color="CCCCCC"/>
              <w:right w:val="single" w:sz="4" w:space="0" w:color="CCCCCC"/>
            </w:tcBorders>
            <w:shd w:val="clear" w:color="auto" w:fill="EBF5FB"/>
          </w:tcPr>
          <w:p w14:paraId="659EE7C1" w14:textId="77777777" w:rsidR="00345F72" w:rsidRPr="001172CF" w:rsidRDefault="00345F72" w:rsidP="00AA24C6">
            <w:pPr>
              <w:rPr>
                <w:color w:val="000000"/>
                <w:sz w:val="18"/>
                <w:szCs w:val="18"/>
              </w:rPr>
            </w:pPr>
            <w:r w:rsidRPr="001172CF">
              <w:rPr>
                <w:color w:val="000000"/>
                <w:sz w:val="18"/>
                <w:szCs w:val="18"/>
              </w:rPr>
              <w:t>Security signals will emerge as the strongest trust predictor. Factors related to perceived data security are expected to account for the largest proportion of variance in overall trust scores.</w:t>
            </w:r>
          </w:p>
        </w:tc>
        <w:tc>
          <w:tcPr>
            <w:tcW w:w="2299" w:type="dxa"/>
            <w:tcBorders>
              <w:top w:val="single" w:sz="4" w:space="0" w:color="CCCCCC"/>
              <w:left w:val="single" w:sz="4" w:space="0" w:color="CCCCCC"/>
              <w:bottom w:val="single" w:sz="4" w:space="0" w:color="CCCCCC"/>
              <w:right w:val="single" w:sz="4" w:space="0" w:color="CCCCCC"/>
            </w:tcBorders>
            <w:shd w:val="clear" w:color="auto" w:fill="EBF5FB"/>
          </w:tcPr>
          <w:p w14:paraId="1C2DD06D" w14:textId="77777777" w:rsidR="00345F72" w:rsidRPr="001172CF" w:rsidRDefault="00345F72" w:rsidP="00AA24C6">
            <w:pPr>
              <w:rPr>
                <w:b/>
                <w:bCs/>
                <w:color w:val="1A5276"/>
                <w:sz w:val="18"/>
                <w:szCs w:val="18"/>
              </w:rPr>
            </w:pPr>
            <w:r w:rsidRPr="001172CF">
              <w:rPr>
                <w:b/>
                <w:bCs/>
                <w:color w:val="1A5276"/>
                <w:sz w:val="18"/>
                <w:szCs w:val="18"/>
              </w:rPr>
              <w:t>H1 — directly tested by Multiple Regression (SPSS)</w:t>
            </w:r>
          </w:p>
        </w:tc>
        <w:tc>
          <w:tcPr>
            <w:tcW w:w="3461" w:type="dxa"/>
            <w:tcBorders>
              <w:top w:val="single" w:sz="4" w:space="0" w:color="CCCCCC"/>
              <w:left w:val="single" w:sz="4" w:space="0" w:color="CCCCCC"/>
              <w:bottom w:val="single" w:sz="4" w:space="0" w:color="CCCCCC"/>
              <w:right w:val="single" w:sz="4" w:space="0" w:color="CCCCCC"/>
            </w:tcBorders>
            <w:shd w:val="clear" w:color="auto" w:fill="EBF5FB"/>
          </w:tcPr>
          <w:p w14:paraId="24A19BFF" w14:textId="77777777" w:rsidR="00345F72" w:rsidRPr="001172CF" w:rsidRDefault="00345F72" w:rsidP="00AA24C6">
            <w:pPr>
              <w:rPr>
                <w:color w:val="333333"/>
                <w:sz w:val="18"/>
                <w:szCs w:val="18"/>
              </w:rPr>
            </w:pPr>
            <w:r w:rsidRPr="001172CF">
              <w:rPr>
                <w:color w:val="333333"/>
                <w:sz w:val="18"/>
                <w:szCs w:val="18"/>
              </w:rPr>
              <w:t>Consistent with McKnight et al.’s [12] structural assurance construct and industry data from Thales [1] and Cisco [7].</w:t>
            </w:r>
          </w:p>
        </w:tc>
      </w:tr>
      <w:tr w:rsidR="00345F72" w:rsidRPr="001172CF" w14:paraId="7702B120" w14:textId="77777777" w:rsidTr="00AA24C6">
        <w:trPr>
          <w:trHeight w:val="1704"/>
        </w:trPr>
        <w:tc>
          <w:tcPr>
            <w:tcW w:w="367" w:type="dxa"/>
            <w:tcBorders>
              <w:top w:val="single" w:sz="4" w:space="0" w:color="CCCCCC"/>
              <w:left w:val="single" w:sz="4" w:space="0" w:color="CCCCCC"/>
              <w:bottom w:val="single" w:sz="4" w:space="0" w:color="CCCCCC"/>
              <w:right w:val="single" w:sz="4" w:space="0" w:color="CCCCCC"/>
            </w:tcBorders>
            <w:shd w:val="clear" w:color="auto" w:fill="FFFFFF"/>
          </w:tcPr>
          <w:p w14:paraId="479FE587" w14:textId="77777777" w:rsidR="00345F72" w:rsidRPr="001172CF" w:rsidRDefault="00345F72" w:rsidP="00AA24C6">
            <w:pPr>
              <w:jc w:val="center"/>
              <w:rPr>
                <w:b/>
                <w:bCs/>
                <w:color w:val="1A5276"/>
                <w:sz w:val="18"/>
                <w:szCs w:val="18"/>
              </w:rPr>
            </w:pPr>
            <w:r w:rsidRPr="001172CF">
              <w:rPr>
                <w:b/>
                <w:bCs/>
                <w:color w:val="1A5276"/>
                <w:sz w:val="18"/>
                <w:szCs w:val="18"/>
              </w:rPr>
              <w:t>2</w:t>
            </w:r>
          </w:p>
        </w:tc>
        <w:tc>
          <w:tcPr>
            <w:tcW w:w="3304" w:type="dxa"/>
            <w:tcBorders>
              <w:top w:val="single" w:sz="4" w:space="0" w:color="CCCCCC"/>
              <w:left w:val="single" w:sz="4" w:space="0" w:color="CCCCCC"/>
              <w:bottom w:val="single" w:sz="4" w:space="0" w:color="CCCCCC"/>
              <w:right w:val="single" w:sz="4" w:space="0" w:color="CCCCCC"/>
            </w:tcBorders>
            <w:shd w:val="clear" w:color="auto" w:fill="FFFFFF"/>
          </w:tcPr>
          <w:p w14:paraId="5C3548E1" w14:textId="77777777" w:rsidR="00345F72" w:rsidRPr="001172CF" w:rsidRDefault="00345F72" w:rsidP="00AA24C6">
            <w:pPr>
              <w:rPr>
                <w:color w:val="000000"/>
                <w:sz w:val="18"/>
                <w:szCs w:val="18"/>
              </w:rPr>
            </w:pPr>
            <w:r w:rsidRPr="001172CF">
              <w:rPr>
                <w:color w:val="000000"/>
                <w:sz w:val="18"/>
                <w:szCs w:val="18"/>
              </w:rPr>
              <w:t>The Privacy Paradox will be confirmed in the UK post-GDPR context. Respondents are expected to report high privacy concern but demonstrate low GDPR-protective behaviour, with GDPR awareness functioning as a significant positive moderator.</w:t>
            </w:r>
          </w:p>
        </w:tc>
        <w:tc>
          <w:tcPr>
            <w:tcW w:w="2299" w:type="dxa"/>
            <w:tcBorders>
              <w:top w:val="single" w:sz="4" w:space="0" w:color="CCCCCC"/>
              <w:left w:val="single" w:sz="4" w:space="0" w:color="CCCCCC"/>
              <w:bottom w:val="single" w:sz="4" w:space="0" w:color="CCCCCC"/>
              <w:right w:val="single" w:sz="4" w:space="0" w:color="CCCCCC"/>
            </w:tcBorders>
            <w:shd w:val="clear" w:color="auto" w:fill="EBF5FB"/>
          </w:tcPr>
          <w:p w14:paraId="0339BB9B" w14:textId="77777777" w:rsidR="00345F72" w:rsidRPr="001172CF" w:rsidRDefault="00345F72" w:rsidP="00AA24C6">
            <w:pPr>
              <w:rPr>
                <w:b/>
                <w:bCs/>
                <w:color w:val="1A5276"/>
                <w:sz w:val="18"/>
                <w:szCs w:val="18"/>
              </w:rPr>
            </w:pPr>
            <w:r w:rsidRPr="001172CF">
              <w:rPr>
                <w:b/>
                <w:bCs/>
                <w:color w:val="1A5276"/>
                <w:sz w:val="18"/>
                <w:szCs w:val="18"/>
              </w:rPr>
              <w:t>H2 — directly tested by Moderation Analysis (PROCESS macro)</w:t>
            </w:r>
          </w:p>
        </w:tc>
        <w:tc>
          <w:tcPr>
            <w:tcW w:w="3461" w:type="dxa"/>
            <w:tcBorders>
              <w:top w:val="single" w:sz="4" w:space="0" w:color="CCCCCC"/>
              <w:left w:val="single" w:sz="4" w:space="0" w:color="CCCCCC"/>
              <w:bottom w:val="single" w:sz="4" w:space="0" w:color="CCCCCC"/>
              <w:right w:val="single" w:sz="4" w:space="0" w:color="CCCCCC"/>
            </w:tcBorders>
            <w:shd w:val="clear" w:color="auto" w:fill="FFFFFF"/>
          </w:tcPr>
          <w:p w14:paraId="58DED0F2" w14:textId="77777777" w:rsidR="00345F72" w:rsidRPr="001172CF" w:rsidRDefault="00345F72" w:rsidP="00AA24C6">
            <w:pPr>
              <w:rPr>
                <w:color w:val="333333"/>
                <w:sz w:val="18"/>
                <w:szCs w:val="18"/>
              </w:rPr>
            </w:pPr>
            <w:r w:rsidRPr="001172CF">
              <w:rPr>
                <w:color w:val="333333"/>
                <w:sz w:val="18"/>
                <w:szCs w:val="18"/>
              </w:rPr>
              <w:t xml:space="preserve">Consistent with </w:t>
            </w:r>
            <w:proofErr w:type="spellStart"/>
            <w:r w:rsidRPr="001172CF">
              <w:rPr>
                <w:color w:val="333333"/>
                <w:sz w:val="18"/>
                <w:szCs w:val="18"/>
              </w:rPr>
              <w:t>Kokolakis</w:t>
            </w:r>
            <w:proofErr w:type="spellEnd"/>
            <w:r w:rsidRPr="001172CF">
              <w:rPr>
                <w:color w:val="333333"/>
                <w:sz w:val="18"/>
                <w:szCs w:val="18"/>
              </w:rPr>
              <w:t xml:space="preserve"> [9] and Wang &amp; Chen [10], the moderation mechanism is grounded in Dinev &amp; Hart's [18] privacy calculus model.</w:t>
            </w:r>
          </w:p>
        </w:tc>
      </w:tr>
      <w:tr w:rsidR="00345F72" w:rsidRPr="001172CF" w14:paraId="50133628" w14:textId="77777777" w:rsidTr="00AA24C6">
        <w:trPr>
          <w:trHeight w:val="1061"/>
        </w:trPr>
        <w:tc>
          <w:tcPr>
            <w:tcW w:w="367" w:type="dxa"/>
            <w:tcBorders>
              <w:top w:val="single" w:sz="4" w:space="0" w:color="CCCCCC"/>
              <w:left w:val="single" w:sz="4" w:space="0" w:color="CCCCCC"/>
              <w:bottom w:val="single" w:sz="4" w:space="0" w:color="CCCCCC"/>
              <w:right w:val="single" w:sz="4" w:space="0" w:color="CCCCCC"/>
            </w:tcBorders>
            <w:shd w:val="clear" w:color="auto" w:fill="EBF5FB"/>
          </w:tcPr>
          <w:p w14:paraId="3D5207F8" w14:textId="77777777" w:rsidR="00345F72" w:rsidRPr="001172CF" w:rsidRDefault="00345F72" w:rsidP="00AA24C6">
            <w:pPr>
              <w:jc w:val="center"/>
              <w:rPr>
                <w:b/>
                <w:bCs/>
                <w:color w:val="1A5276"/>
                <w:sz w:val="18"/>
                <w:szCs w:val="18"/>
              </w:rPr>
            </w:pPr>
            <w:r w:rsidRPr="001172CF">
              <w:rPr>
                <w:b/>
                <w:bCs/>
                <w:color w:val="1A5276"/>
                <w:sz w:val="18"/>
                <w:szCs w:val="18"/>
              </w:rPr>
              <w:t>3</w:t>
            </w:r>
          </w:p>
        </w:tc>
        <w:tc>
          <w:tcPr>
            <w:tcW w:w="3304" w:type="dxa"/>
            <w:tcBorders>
              <w:top w:val="single" w:sz="4" w:space="0" w:color="CCCCCC"/>
              <w:left w:val="single" w:sz="4" w:space="0" w:color="CCCCCC"/>
              <w:bottom w:val="single" w:sz="4" w:space="0" w:color="CCCCCC"/>
              <w:right w:val="single" w:sz="4" w:space="0" w:color="CCCCCC"/>
            </w:tcBorders>
            <w:shd w:val="clear" w:color="auto" w:fill="EBF5FB"/>
          </w:tcPr>
          <w:p w14:paraId="0F088BF0" w14:textId="77777777" w:rsidR="00345F72" w:rsidRPr="001172CF" w:rsidRDefault="00345F72" w:rsidP="00AA24C6">
            <w:pPr>
              <w:rPr>
                <w:color w:val="000000"/>
                <w:sz w:val="18"/>
                <w:szCs w:val="18"/>
              </w:rPr>
            </w:pPr>
            <w:r w:rsidRPr="001172CF">
              <w:rPr>
                <w:color w:val="000000"/>
                <w:sz w:val="18"/>
                <w:szCs w:val="18"/>
              </w:rPr>
              <w:t>Trust will vary significantly by sector. Online banking and NHS portals are expected to attract significantly higher baseline trust than social media platforms.</w:t>
            </w:r>
          </w:p>
        </w:tc>
        <w:tc>
          <w:tcPr>
            <w:tcW w:w="2299" w:type="dxa"/>
            <w:tcBorders>
              <w:top w:val="single" w:sz="4" w:space="0" w:color="CCCCCC"/>
              <w:left w:val="single" w:sz="4" w:space="0" w:color="CCCCCC"/>
              <w:bottom w:val="single" w:sz="4" w:space="0" w:color="CCCCCC"/>
              <w:right w:val="single" w:sz="4" w:space="0" w:color="CCCCCC"/>
            </w:tcBorders>
            <w:shd w:val="clear" w:color="auto" w:fill="EBF5FB"/>
          </w:tcPr>
          <w:p w14:paraId="55ED3DAB" w14:textId="77777777" w:rsidR="00345F72" w:rsidRPr="001172CF" w:rsidRDefault="00345F72" w:rsidP="00AA24C6">
            <w:pPr>
              <w:rPr>
                <w:b/>
                <w:bCs/>
                <w:color w:val="1A5276"/>
                <w:sz w:val="18"/>
                <w:szCs w:val="18"/>
              </w:rPr>
            </w:pPr>
            <w:r w:rsidRPr="001172CF">
              <w:rPr>
                <w:b/>
                <w:bCs/>
                <w:color w:val="1A5276"/>
                <w:sz w:val="18"/>
                <w:szCs w:val="18"/>
              </w:rPr>
              <w:t>H3 — directly tested by One-way ANOVA with Tukey post-hoc test</w:t>
            </w:r>
          </w:p>
        </w:tc>
        <w:tc>
          <w:tcPr>
            <w:tcW w:w="3461" w:type="dxa"/>
            <w:tcBorders>
              <w:top w:val="single" w:sz="4" w:space="0" w:color="CCCCCC"/>
              <w:left w:val="single" w:sz="4" w:space="0" w:color="CCCCCC"/>
              <w:bottom w:val="single" w:sz="4" w:space="0" w:color="CCCCCC"/>
              <w:right w:val="single" w:sz="4" w:space="0" w:color="CCCCCC"/>
            </w:tcBorders>
            <w:shd w:val="clear" w:color="auto" w:fill="EBF5FB"/>
          </w:tcPr>
          <w:p w14:paraId="0963ADE7" w14:textId="77777777" w:rsidR="00345F72" w:rsidRPr="001172CF" w:rsidRDefault="00345F72" w:rsidP="00AA24C6">
            <w:pPr>
              <w:rPr>
                <w:color w:val="333333"/>
                <w:sz w:val="18"/>
                <w:szCs w:val="18"/>
              </w:rPr>
            </w:pPr>
            <w:r w:rsidRPr="001172CF">
              <w:rPr>
                <w:color w:val="333333"/>
                <w:sz w:val="18"/>
                <w:szCs w:val="18"/>
              </w:rPr>
              <w:t>Consistent with Goodman et al.’s [15] finding of domain-specific trust variation across UK adults.</w:t>
            </w:r>
          </w:p>
        </w:tc>
      </w:tr>
      <w:tr w:rsidR="00345F72" w:rsidRPr="001172CF" w14:paraId="6E9968D1" w14:textId="77777777" w:rsidTr="00AA24C6">
        <w:trPr>
          <w:trHeight w:val="1494"/>
        </w:trPr>
        <w:tc>
          <w:tcPr>
            <w:tcW w:w="367" w:type="dxa"/>
            <w:tcBorders>
              <w:top w:val="single" w:sz="4" w:space="0" w:color="CCCCCC"/>
              <w:left w:val="single" w:sz="4" w:space="0" w:color="CCCCCC"/>
              <w:bottom w:val="single" w:sz="4" w:space="0" w:color="CCCCCC"/>
              <w:right w:val="single" w:sz="4" w:space="0" w:color="CCCCCC"/>
            </w:tcBorders>
            <w:shd w:val="clear" w:color="auto" w:fill="FFFFFF"/>
          </w:tcPr>
          <w:p w14:paraId="0C118210" w14:textId="77777777" w:rsidR="00345F72" w:rsidRPr="001172CF" w:rsidRDefault="00345F72" w:rsidP="00AA24C6">
            <w:pPr>
              <w:jc w:val="center"/>
              <w:rPr>
                <w:b/>
                <w:bCs/>
                <w:color w:val="1A5276"/>
                <w:sz w:val="18"/>
                <w:szCs w:val="18"/>
              </w:rPr>
            </w:pPr>
            <w:r w:rsidRPr="001172CF">
              <w:rPr>
                <w:b/>
                <w:bCs/>
                <w:color w:val="1A5276"/>
                <w:sz w:val="18"/>
                <w:szCs w:val="18"/>
              </w:rPr>
              <w:lastRenderedPageBreak/>
              <w:t>4</w:t>
            </w:r>
          </w:p>
        </w:tc>
        <w:tc>
          <w:tcPr>
            <w:tcW w:w="3304" w:type="dxa"/>
            <w:tcBorders>
              <w:top w:val="single" w:sz="4" w:space="0" w:color="CCCCCC"/>
              <w:left w:val="single" w:sz="4" w:space="0" w:color="CCCCCC"/>
              <w:bottom w:val="single" w:sz="4" w:space="0" w:color="CCCCCC"/>
              <w:right w:val="single" w:sz="4" w:space="0" w:color="CCCCCC"/>
            </w:tcBorders>
            <w:shd w:val="clear" w:color="auto" w:fill="FFFFFF"/>
          </w:tcPr>
          <w:p w14:paraId="16B75803" w14:textId="77777777" w:rsidR="00345F72" w:rsidRPr="001172CF" w:rsidRDefault="00345F72" w:rsidP="00AA24C6">
            <w:pPr>
              <w:rPr>
                <w:color w:val="000000"/>
                <w:sz w:val="18"/>
                <w:szCs w:val="18"/>
              </w:rPr>
            </w:pPr>
            <w:r w:rsidRPr="001172CF">
              <w:rPr>
                <w:color w:val="000000"/>
                <w:sz w:val="18"/>
                <w:szCs w:val="18"/>
              </w:rPr>
              <w:t>Visual design quality will be a significant but secondary predictor. Design factors are expected to be significant predictors of trust, but secondary to security and privacy signals when perceived stakes are high.</w:t>
            </w:r>
          </w:p>
        </w:tc>
        <w:tc>
          <w:tcPr>
            <w:tcW w:w="2299" w:type="dxa"/>
            <w:tcBorders>
              <w:top w:val="single" w:sz="4" w:space="0" w:color="CCCCCC"/>
              <w:left w:val="single" w:sz="4" w:space="0" w:color="CCCCCC"/>
              <w:bottom w:val="single" w:sz="4" w:space="0" w:color="CCCCCC"/>
              <w:right w:val="single" w:sz="4" w:space="0" w:color="CCCCCC"/>
            </w:tcBorders>
            <w:shd w:val="clear" w:color="auto" w:fill="F4F6F7"/>
          </w:tcPr>
          <w:p w14:paraId="12B82769" w14:textId="77777777" w:rsidR="00345F72" w:rsidRPr="001172CF" w:rsidRDefault="00345F72" w:rsidP="00AA24C6">
            <w:pPr>
              <w:rPr>
                <w:b/>
                <w:bCs/>
                <w:color w:val="555555"/>
                <w:sz w:val="18"/>
                <w:szCs w:val="18"/>
              </w:rPr>
            </w:pPr>
            <w:r w:rsidRPr="001172CF">
              <w:rPr>
                <w:b/>
                <w:bCs/>
                <w:color w:val="555555"/>
                <w:sz w:val="18"/>
                <w:szCs w:val="18"/>
              </w:rPr>
              <w:t>Secondary finding — not a formal hypothesis; contributes to Trust-by-Design Framework (Layer 3)</w:t>
            </w:r>
          </w:p>
        </w:tc>
        <w:tc>
          <w:tcPr>
            <w:tcW w:w="3461" w:type="dxa"/>
            <w:tcBorders>
              <w:top w:val="single" w:sz="4" w:space="0" w:color="CCCCCC"/>
              <w:left w:val="single" w:sz="4" w:space="0" w:color="CCCCCC"/>
              <w:bottom w:val="single" w:sz="4" w:space="0" w:color="CCCCCC"/>
              <w:right w:val="single" w:sz="4" w:space="0" w:color="CCCCCC"/>
            </w:tcBorders>
            <w:shd w:val="clear" w:color="auto" w:fill="FFFFFF"/>
          </w:tcPr>
          <w:p w14:paraId="3DCCA316" w14:textId="77777777" w:rsidR="00345F72" w:rsidRPr="001172CF" w:rsidRDefault="00345F72" w:rsidP="00AA24C6">
            <w:pPr>
              <w:rPr>
                <w:color w:val="333333"/>
                <w:sz w:val="18"/>
                <w:szCs w:val="18"/>
              </w:rPr>
            </w:pPr>
            <w:r w:rsidRPr="001172CF">
              <w:rPr>
                <w:color w:val="333333"/>
                <w:sz w:val="18"/>
                <w:szCs w:val="18"/>
              </w:rPr>
              <w:t xml:space="preserve">Grounded in Fogg et al. [13], Zieglmeier &amp; </w:t>
            </w:r>
            <w:proofErr w:type="spellStart"/>
            <w:r w:rsidRPr="001172CF">
              <w:rPr>
                <w:color w:val="333333"/>
                <w:sz w:val="18"/>
                <w:szCs w:val="18"/>
              </w:rPr>
              <w:t>Lehene</w:t>
            </w:r>
            <w:proofErr w:type="spellEnd"/>
            <w:r w:rsidRPr="001172CF">
              <w:rPr>
                <w:color w:val="333333"/>
                <w:sz w:val="18"/>
                <w:szCs w:val="18"/>
              </w:rPr>
              <w:t xml:space="preserve"> [14], and Gulati et al. [16], who confirm design quality as a consistent HCI trust predictor.</w:t>
            </w:r>
          </w:p>
        </w:tc>
      </w:tr>
      <w:tr w:rsidR="00345F72" w:rsidRPr="001172CF" w14:paraId="55CBC3A2" w14:textId="77777777" w:rsidTr="00AA24C6">
        <w:trPr>
          <w:trHeight w:val="1271"/>
        </w:trPr>
        <w:tc>
          <w:tcPr>
            <w:tcW w:w="367" w:type="dxa"/>
            <w:tcBorders>
              <w:top w:val="single" w:sz="4" w:space="0" w:color="CCCCCC"/>
              <w:left w:val="single" w:sz="4" w:space="0" w:color="CCCCCC"/>
              <w:bottom w:val="single" w:sz="4" w:space="0" w:color="CCCCCC"/>
              <w:right w:val="single" w:sz="4" w:space="0" w:color="CCCCCC"/>
            </w:tcBorders>
            <w:shd w:val="clear" w:color="auto" w:fill="EBF5FB"/>
          </w:tcPr>
          <w:p w14:paraId="0E57145D" w14:textId="77777777" w:rsidR="00345F72" w:rsidRPr="001172CF" w:rsidRDefault="00345F72" w:rsidP="00AA24C6">
            <w:pPr>
              <w:jc w:val="center"/>
              <w:rPr>
                <w:b/>
                <w:bCs/>
                <w:color w:val="1A5276"/>
                <w:sz w:val="18"/>
                <w:szCs w:val="18"/>
              </w:rPr>
            </w:pPr>
            <w:r w:rsidRPr="001172CF">
              <w:rPr>
                <w:b/>
                <w:bCs/>
                <w:color w:val="1A5276"/>
                <w:sz w:val="18"/>
                <w:szCs w:val="18"/>
              </w:rPr>
              <w:t>5</w:t>
            </w:r>
          </w:p>
        </w:tc>
        <w:tc>
          <w:tcPr>
            <w:tcW w:w="3304" w:type="dxa"/>
            <w:tcBorders>
              <w:top w:val="single" w:sz="4" w:space="0" w:color="CCCCCC"/>
              <w:left w:val="single" w:sz="4" w:space="0" w:color="CCCCCC"/>
              <w:bottom w:val="single" w:sz="4" w:space="0" w:color="CCCCCC"/>
              <w:right w:val="single" w:sz="4" w:space="0" w:color="CCCCCC"/>
            </w:tcBorders>
            <w:shd w:val="clear" w:color="auto" w:fill="EBF5FB"/>
          </w:tcPr>
          <w:p w14:paraId="3DB4DFC5" w14:textId="77777777" w:rsidR="00345F72" w:rsidRPr="001172CF" w:rsidRDefault="00345F72" w:rsidP="00AA24C6">
            <w:pPr>
              <w:rPr>
                <w:color w:val="000000"/>
                <w:sz w:val="18"/>
                <w:szCs w:val="18"/>
              </w:rPr>
            </w:pPr>
            <w:r w:rsidRPr="001172CF">
              <w:rPr>
                <w:color w:val="000000"/>
                <w:sz w:val="18"/>
                <w:szCs w:val="18"/>
              </w:rPr>
              <w:t>Demographic variation will be significant. Older adults and women are expected to report lower baseline trust across all six sectors.</w:t>
            </w:r>
          </w:p>
        </w:tc>
        <w:tc>
          <w:tcPr>
            <w:tcW w:w="2299" w:type="dxa"/>
            <w:tcBorders>
              <w:top w:val="single" w:sz="4" w:space="0" w:color="CCCCCC"/>
              <w:left w:val="single" w:sz="4" w:space="0" w:color="CCCCCC"/>
              <w:bottom w:val="single" w:sz="4" w:space="0" w:color="CCCCCC"/>
              <w:right w:val="single" w:sz="4" w:space="0" w:color="CCCCCC"/>
            </w:tcBorders>
            <w:shd w:val="clear" w:color="auto" w:fill="F4F6F7"/>
          </w:tcPr>
          <w:p w14:paraId="5EF953F1" w14:textId="77777777" w:rsidR="00345F72" w:rsidRPr="001172CF" w:rsidRDefault="00345F72" w:rsidP="00AA24C6">
            <w:pPr>
              <w:rPr>
                <w:b/>
                <w:bCs/>
                <w:color w:val="555555"/>
                <w:sz w:val="18"/>
                <w:szCs w:val="18"/>
              </w:rPr>
            </w:pPr>
            <w:r w:rsidRPr="001172CF">
              <w:rPr>
                <w:b/>
                <w:bCs/>
                <w:color w:val="555555"/>
                <w:sz w:val="18"/>
                <w:szCs w:val="18"/>
              </w:rPr>
              <w:t>Secondary finding — not a formal hypothesis; informs sampling and subgroup analysis in ANOVA</w:t>
            </w:r>
          </w:p>
        </w:tc>
        <w:tc>
          <w:tcPr>
            <w:tcW w:w="3461" w:type="dxa"/>
            <w:tcBorders>
              <w:top w:val="single" w:sz="4" w:space="0" w:color="CCCCCC"/>
              <w:left w:val="single" w:sz="4" w:space="0" w:color="CCCCCC"/>
              <w:bottom w:val="single" w:sz="4" w:space="0" w:color="CCCCCC"/>
              <w:right w:val="single" w:sz="4" w:space="0" w:color="CCCCCC"/>
            </w:tcBorders>
            <w:shd w:val="clear" w:color="auto" w:fill="EBF5FB"/>
          </w:tcPr>
          <w:p w14:paraId="1E163A6A" w14:textId="77777777" w:rsidR="00345F72" w:rsidRPr="001172CF" w:rsidRDefault="00345F72" w:rsidP="00AA24C6">
            <w:pPr>
              <w:rPr>
                <w:color w:val="333333"/>
                <w:sz w:val="18"/>
                <w:szCs w:val="18"/>
              </w:rPr>
            </w:pPr>
            <w:r w:rsidRPr="001172CF">
              <w:rPr>
                <w:color w:val="333333"/>
                <w:sz w:val="18"/>
                <w:szCs w:val="18"/>
              </w:rPr>
              <w:t>Consistent with Goodman et al. [15], who found significant trust variation by age and gender in a UK census-matched sample.</w:t>
            </w:r>
          </w:p>
        </w:tc>
      </w:tr>
    </w:tbl>
    <w:p w14:paraId="035B1E23" w14:textId="77777777" w:rsidR="00345F72" w:rsidRPr="001172CF" w:rsidRDefault="00345F72" w:rsidP="00345F72"/>
    <w:p w14:paraId="13966905" w14:textId="3A0C4B63" w:rsidR="00345F72" w:rsidRPr="005563AA" w:rsidRDefault="00290814" w:rsidP="00290814">
      <w:pPr>
        <w:spacing w:line="360" w:lineRule="auto"/>
        <w:jc w:val="both"/>
      </w:pPr>
      <w:r w:rsidRPr="005563AA">
        <w:t>Together, the anticipated findings indicate that security and privacy-related trust signals are expected to exert the strongest influence on trust, while design quality and demographic factors are anticipated to provide important secondary effects.</w:t>
      </w:r>
    </w:p>
    <w:p w14:paraId="0C47B1C5" w14:textId="77777777" w:rsidR="00345F72" w:rsidRPr="001172CF" w:rsidRDefault="00345F72" w:rsidP="00290814">
      <w:pPr>
        <w:pStyle w:val="ListParagraph"/>
        <w:spacing w:before="70" w:after="70" w:line="360" w:lineRule="auto"/>
        <w:ind w:left="720"/>
        <w:jc w:val="both"/>
        <w:rPr>
          <w:rFonts w:ascii="Times New Roman" w:hAnsi="Times New Roman" w:cs="Times New Roman"/>
        </w:rPr>
      </w:pPr>
    </w:p>
    <w:p w14:paraId="357B9AF3" w14:textId="77777777" w:rsidR="00345F72" w:rsidRPr="001172CF" w:rsidRDefault="00345F72" w:rsidP="00345F72"/>
    <w:p w14:paraId="69B1E2B2" w14:textId="61F42196" w:rsidR="00345F72" w:rsidRPr="001172CF" w:rsidRDefault="00345F72">
      <w:pPr>
        <w:rPr>
          <w:b/>
          <w:bCs/>
          <w:color w:val="1A5276"/>
          <w:sz w:val="30"/>
          <w:szCs w:val="30"/>
        </w:rPr>
      </w:pPr>
    </w:p>
    <w:p w14:paraId="2AF55520" w14:textId="77777777" w:rsidR="00290814" w:rsidRPr="001172CF" w:rsidRDefault="00290814">
      <w:pPr>
        <w:rPr>
          <w:b/>
          <w:bCs/>
          <w:color w:val="1A5276"/>
          <w:sz w:val="30"/>
          <w:szCs w:val="30"/>
        </w:rPr>
      </w:pPr>
      <w:r w:rsidRPr="001172CF">
        <w:br w:type="page"/>
      </w:r>
    </w:p>
    <w:p w14:paraId="7C8D8DD3" w14:textId="5BA46B12" w:rsidR="002D0FA0" w:rsidRPr="001172CF" w:rsidRDefault="00290814" w:rsidP="008507B9">
      <w:pPr>
        <w:pStyle w:val="Heading1"/>
        <w:rPr>
          <w:rFonts w:ascii="Times New Roman" w:hAnsi="Times New Roman" w:cs="Times New Roman"/>
        </w:rPr>
      </w:pPr>
      <w:bookmarkStart w:id="46" w:name="_Toc234710578"/>
      <w:r w:rsidRPr="001172CF">
        <w:rPr>
          <w:rFonts w:ascii="Times New Roman" w:hAnsi="Times New Roman" w:cs="Times New Roman"/>
        </w:rPr>
        <w:lastRenderedPageBreak/>
        <w:t xml:space="preserve">Appendix F - </w:t>
      </w:r>
      <w:r w:rsidR="008507B9" w:rsidRPr="001172CF">
        <w:rPr>
          <w:rFonts w:ascii="Times New Roman" w:hAnsi="Times New Roman" w:cs="Times New Roman"/>
        </w:rPr>
        <w:t>Proposed Trust-by-Design Framework</w:t>
      </w:r>
      <w:bookmarkEnd w:id="46"/>
    </w:p>
    <w:p w14:paraId="539D1AB7" w14:textId="7E2B0214" w:rsidR="0058647C" w:rsidRDefault="004062B8" w:rsidP="004062B8">
      <w:pPr>
        <w:spacing w:before="60" w:after="80" w:line="360" w:lineRule="auto"/>
        <w:jc w:val="both"/>
      </w:pPr>
      <w:r w:rsidRPr="004062B8">
        <w:rPr>
          <w:rFonts w:ascii="Calibri" w:eastAsia="Calibri" w:hAnsi="Calibri" w:cs="Calibri"/>
          <w:color w:val="1A1A1A"/>
        </w:rPr>
        <w:t xml:space="preserve">This appendix presents the preliminary Trust-by-Design Framework developed from the literature review. The framework is conceptual at </w:t>
      </w:r>
      <w:r w:rsidR="0004723E">
        <w:rPr>
          <w:rFonts w:ascii="Calibri" w:eastAsia="Calibri" w:hAnsi="Calibri" w:cs="Calibri"/>
          <w:color w:val="1A1A1A"/>
        </w:rPr>
        <w:t xml:space="preserve">the </w:t>
      </w:r>
      <w:r w:rsidRPr="004062B8">
        <w:rPr>
          <w:rFonts w:ascii="Calibri" w:eastAsia="Calibri" w:hAnsi="Calibri" w:cs="Calibri"/>
          <w:color w:val="1A1A1A"/>
        </w:rPr>
        <w:t>proposal stage and is expected to evolve following completion of the statistical analysis.</w:t>
      </w:r>
    </w:p>
    <w:p w14:paraId="266BABFC" w14:textId="68179623" w:rsidR="008F2829" w:rsidRDefault="0005394D" w:rsidP="008F2829">
      <w:pPr>
        <w:spacing w:before="60" w:after="100"/>
      </w:pPr>
      <w:r>
        <w:rPr>
          <w:rFonts w:ascii="Calibri" w:eastAsia="Calibri" w:hAnsi="Calibri" w:cs="Calibri"/>
          <w:b/>
          <w:bCs/>
          <w:i/>
          <w:iCs/>
          <w:color w:val="1A4A6E"/>
          <w:sz w:val="20"/>
          <w:szCs w:val="20"/>
        </w:rPr>
        <w:t xml:space="preserve">Table </w:t>
      </w:r>
      <w:r w:rsidRPr="008F2829">
        <w:rPr>
          <w:rFonts w:ascii="Calibri" w:eastAsia="Calibri" w:hAnsi="Calibri" w:cs="Calibri"/>
          <w:b/>
          <w:bCs/>
          <w:i/>
          <w:iCs/>
          <w:color w:val="1A4A6E"/>
          <w:sz w:val="20"/>
          <w:szCs w:val="20"/>
        </w:rPr>
        <w:t>F</w:t>
      </w:r>
      <w:r w:rsidR="00C962F0">
        <w:rPr>
          <w:rFonts w:ascii="Calibri" w:eastAsia="Calibri" w:hAnsi="Calibri" w:cs="Calibri"/>
          <w:b/>
          <w:bCs/>
          <w:i/>
          <w:iCs/>
          <w:color w:val="1A4A6E"/>
          <w:sz w:val="20"/>
          <w:szCs w:val="20"/>
        </w:rPr>
        <w:t xml:space="preserve"> </w:t>
      </w:r>
      <w:r w:rsidRPr="008F2829">
        <w:rPr>
          <w:rFonts w:ascii="Calibri" w:eastAsia="Calibri" w:hAnsi="Calibri" w:cs="Calibri"/>
          <w:b/>
          <w:bCs/>
          <w:i/>
          <w:iCs/>
          <w:color w:val="1A4A6E"/>
          <w:sz w:val="20"/>
          <w:szCs w:val="20"/>
        </w:rPr>
        <w:t>1: Proposed Trust-by-Design Framework for UK Web Applications</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47"/>
        <w:gridCol w:w="1835"/>
        <w:gridCol w:w="7124"/>
      </w:tblGrid>
      <w:tr w:rsidR="008F2829" w14:paraId="2ECF2856" w14:textId="77777777" w:rsidTr="008F2829">
        <w:trPr>
          <w:trHeight w:val="420"/>
          <w:tblHeader/>
        </w:trPr>
        <w:tc>
          <w:tcPr>
            <w:tcW w:w="64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BB1A157" w14:textId="77777777" w:rsidR="008F2829" w:rsidRDefault="008F2829" w:rsidP="00AA24C6">
            <w:pPr>
              <w:spacing w:before="70" w:after="70"/>
            </w:pPr>
          </w:p>
        </w:tc>
        <w:tc>
          <w:tcPr>
            <w:tcW w:w="183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8874253" w14:textId="77777777" w:rsidR="008F2829" w:rsidRDefault="008F2829" w:rsidP="00AA24C6">
            <w:pPr>
              <w:spacing w:before="70" w:after="70"/>
            </w:pPr>
            <w:r>
              <w:rPr>
                <w:rFonts w:ascii="Calibri" w:eastAsia="Calibri" w:hAnsi="Calibri" w:cs="Calibri"/>
                <w:b/>
                <w:bCs/>
                <w:color w:val="FFFFFF"/>
                <w:sz w:val="16"/>
                <w:szCs w:val="16"/>
              </w:rPr>
              <w:t>Layer</w:t>
            </w:r>
          </w:p>
        </w:tc>
        <w:tc>
          <w:tcPr>
            <w:tcW w:w="7124"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8083B13" w14:textId="77777777" w:rsidR="008F2829" w:rsidRDefault="008F2829" w:rsidP="00AA24C6">
            <w:pPr>
              <w:spacing w:before="70" w:after="70"/>
            </w:pPr>
            <w:r>
              <w:rPr>
                <w:rFonts w:ascii="Calibri" w:eastAsia="Calibri" w:hAnsi="Calibri" w:cs="Calibri"/>
                <w:b/>
                <w:bCs/>
                <w:color w:val="FFFFFF"/>
                <w:sz w:val="16"/>
                <w:szCs w:val="16"/>
              </w:rPr>
              <w:t>Recommended Trust Signals</w:t>
            </w:r>
          </w:p>
        </w:tc>
      </w:tr>
      <w:tr w:rsidR="008F2829" w14:paraId="43109B54" w14:textId="77777777" w:rsidTr="008F2829">
        <w:trPr>
          <w:trHeight w:val="1039"/>
        </w:trPr>
        <w:tc>
          <w:tcPr>
            <w:tcW w:w="64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5C4B3C50" w14:textId="77777777" w:rsidR="008F2829" w:rsidRDefault="008F2829" w:rsidP="00AA24C6">
            <w:pPr>
              <w:spacing w:before="80" w:after="80"/>
              <w:jc w:val="center"/>
            </w:pPr>
            <w:r>
              <w:rPr>
                <w:rFonts w:ascii="Calibri" w:eastAsia="Calibri" w:hAnsi="Calibri" w:cs="Calibri"/>
                <w:b/>
                <w:bCs/>
                <w:color w:val="FFFFFF"/>
                <w:sz w:val="17"/>
                <w:szCs w:val="17"/>
              </w:rPr>
              <w:t>Layer 1</w:t>
            </w:r>
          </w:p>
        </w:tc>
        <w:tc>
          <w:tcPr>
            <w:tcW w:w="183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4D55B76E" w14:textId="77777777" w:rsidR="008F2829" w:rsidRDefault="008F2829" w:rsidP="00AA24C6">
            <w:pPr>
              <w:spacing w:before="80" w:after="20"/>
            </w:pPr>
            <w:r>
              <w:rPr>
                <w:rFonts w:ascii="Calibri" w:eastAsia="Calibri" w:hAnsi="Calibri" w:cs="Calibri"/>
                <w:b/>
                <w:bCs/>
                <w:color w:val="FFFFFF"/>
                <w:sz w:val="17"/>
                <w:szCs w:val="17"/>
              </w:rPr>
              <w:t>Technical Trust Signals</w:t>
            </w:r>
          </w:p>
          <w:p w14:paraId="6C6AE627" w14:textId="77777777" w:rsidR="008F2829" w:rsidRDefault="008F2829" w:rsidP="00AA24C6">
            <w:pPr>
              <w:spacing w:before="20" w:after="80"/>
            </w:pPr>
            <w:r>
              <w:rPr>
                <w:rFonts w:ascii="Calibri" w:eastAsia="Calibri" w:hAnsi="Calibri" w:cs="Calibri"/>
                <w:i/>
                <w:iCs/>
                <w:color w:val="FFFFFF"/>
                <w:sz w:val="15"/>
                <w:szCs w:val="15"/>
              </w:rPr>
              <w:t>[12], [8], [16]</w:t>
            </w:r>
          </w:p>
        </w:tc>
        <w:tc>
          <w:tcPr>
            <w:tcW w:w="7124"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5C0C5549" w14:textId="77777777" w:rsidR="008F2829" w:rsidRDefault="008F2829" w:rsidP="00AA24C6">
            <w:pPr>
              <w:spacing w:before="35" w:after="35"/>
              <w:ind w:left="200" w:hanging="180"/>
            </w:pPr>
            <w:r>
              <w:rPr>
                <w:rFonts w:ascii="Calibri" w:eastAsia="Calibri" w:hAnsi="Calibri" w:cs="Calibri"/>
                <w:color w:val="1A1A1A"/>
                <w:sz w:val="17"/>
                <w:szCs w:val="17"/>
              </w:rPr>
              <w:t>•  Valid SSL/TLS certificates with visible HTTPS indicators</w:t>
            </w:r>
          </w:p>
          <w:p w14:paraId="6030B9BE" w14:textId="77777777" w:rsidR="008F2829" w:rsidRDefault="008F2829" w:rsidP="00AA24C6">
            <w:pPr>
              <w:spacing w:before="35" w:after="35"/>
              <w:ind w:left="200" w:hanging="180"/>
            </w:pPr>
            <w:r>
              <w:rPr>
                <w:rFonts w:ascii="Calibri" w:eastAsia="Calibri" w:hAnsi="Calibri" w:cs="Calibri"/>
                <w:color w:val="1A1A1A"/>
                <w:sz w:val="17"/>
                <w:szCs w:val="17"/>
              </w:rPr>
              <w:t>•  Clear and prominent security badge placement</w:t>
            </w:r>
          </w:p>
          <w:p w14:paraId="4852A143" w14:textId="77777777" w:rsidR="008F2829" w:rsidRDefault="008F2829" w:rsidP="00AA24C6">
            <w:pPr>
              <w:spacing w:before="35" w:after="35"/>
              <w:ind w:left="200" w:hanging="180"/>
            </w:pPr>
            <w:r>
              <w:rPr>
                <w:rFonts w:ascii="Calibri" w:eastAsia="Calibri" w:hAnsi="Calibri" w:cs="Calibri"/>
                <w:color w:val="1A1A1A"/>
                <w:sz w:val="17"/>
                <w:szCs w:val="17"/>
              </w:rPr>
              <w:t>•  Multi-Factor Authentication (MFA) options presented as trust-builders, not friction</w:t>
            </w:r>
          </w:p>
          <w:p w14:paraId="25016F1E" w14:textId="77777777" w:rsidR="008F2829" w:rsidRDefault="008F2829" w:rsidP="00AA24C6">
            <w:pPr>
              <w:spacing w:before="35" w:after="35"/>
              <w:ind w:left="200" w:hanging="180"/>
            </w:pPr>
            <w:r>
              <w:rPr>
                <w:rFonts w:ascii="Calibri" w:eastAsia="Calibri" w:hAnsi="Calibri" w:cs="Calibri"/>
                <w:color w:val="1A1A1A"/>
                <w:sz w:val="17"/>
                <w:szCs w:val="17"/>
              </w:rPr>
              <w:t>•  Transparent data encryption notices at point of data entry</w:t>
            </w:r>
          </w:p>
        </w:tc>
      </w:tr>
      <w:tr w:rsidR="008F2829" w14:paraId="6BBD9844" w14:textId="77777777" w:rsidTr="008F2829">
        <w:trPr>
          <w:trHeight w:val="1039"/>
        </w:trPr>
        <w:tc>
          <w:tcPr>
            <w:tcW w:w="64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F23BFA7" w14:textId="77777777" w:rsidR="008F2829" w:rsidRDefault="008F2829" w:rsidP="00AA24C6">
            <w:pPr>
              <w:spacing w:before="80" w:after="80"/>
              <w:jc w:val="center"/>
            </w:pPr>
            <w:r>
              <w:rPr>
                <w:rFonts w:ascii="Calibri" w:eastAsia="Calibri" w:hAnsi="Calibri" w:cs="Calibri"/>
                <w:b/>
                <w:bCs/>
                <w:color w:val="FFFFFF"/>
                <w:sz w:val="17"/>
                <w:szCs w:val="17"/>
              </w:rPr>
              <w:t>Layer 2</w:t>
            </w:r>
          </w:p>
        </w:tc>
        <w:tc>
          <w:tcPr>
            <w:tcW w:w="183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97C5737" w14:textId="77777777" w:rsidR="008F2829" w:rsidRDefault="008F2829" w:rsidP="00AA24C6">
            <w:pPr>
              <w:spacing w:before="80" w:after="20"/>
            </w:pPr>
            <w:r>
              <w:rPr>
                <w:rFonts w:ascii="Calibri" w:eastAsia="Calibri" w:hAnsi="Calibri" w:cs="Calibri"/>
                <w:b/>
                <w:bCs/>
                <w:color w:val="FFFFFF"/>
                <w:sz w:val="17"/>
                <w:szCs w:val="17"/>
              </w:rPr>
              <w:t>Privacy &amp; Transparency</w:t>
            </w:r>
          </w:p>
          <w:p w14:paraId="422AA209" w14:textId="77777777" w:rsidR="008F2829" w:rsidRDefault="008F2829" w:rsidP="00AA24C6">
            <w:pPr>
              <w:spacing w:before="20" w:after="80"/>
            </w:pPr>
            <w:r>
              <w:rPr>
                <w:rFonts w:ascii="Calibri" w:eastAsia="Calibri" w:hAnsi="Calibri" w:cs="Calibri"/>
                <w:i/>
                <w:iCs/>
                <w:color w:val="FFFFFF"/>
                <w:sz w:val="15"/>
                <w:szCs w:val="15"/>
              </w:rPr>
              <w:t>[19], [21], [4]</w:t>
            </w:r>
          </w:p>
        </w:tc>
        <w:tc>
          <w:tcPr>
            <w:tcW w:w="7124"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789710ED" w14:textId="77777777" w:rsidR="008F2829" w:rsidRDefault="008F2829" w:rsidP="00AA24C6">
            <w:pPr>
              <w:spacing w:before="35" w:after="35"/>
              <w:ind w:left="200" w:hanging="180"/>
            </w:pPr>
            <w:r>
              <w:rPr>
                <w:rFonts w:ascii="Calibri" w:eastAsia="Calibri" w:hAnsi="Calibri" w:cs="Calibri"/>
                <w:color w:val="1A1A1A"/>
                <w:sz w:val="17"/>
                <w:szCs w:val="17"/>
              </w:rPr>
              <w:t>•  Plain-language privacy policy summaries (not legal jargon)</w:t>
            </w:r>
          </w:p>
          <w:p w14:paraId="5671563F" w14:textId="77777777" w:rsidR="008F2829" w:rsidRDefault="008F2829" w:rsidP="00AA24C6">
            <w:pPr>
              <w:spacing w:before="35" w:after="35"/>
              <w:ind w:left="200" w:hanging="180"/>
            </w:pPr>
            <w:r>
              <w:rPr>
                <w:rFonts w:ascii="Calibri" w:eastAsia="Calibri" w:hAnsi="Calibri" w:cs="Calibri"/>
                <w:color w:val="1A1A1A"/>
                <w:sz w:val="17"/>
                <w:szCs w:val="17"/>
              </w:rPr>
              <w:t>•  GDPR-compliant consent mechanisms that are genuinely easy to manage</w:t>
            </w:r>
          </w:p>
          <w:p w14:paraId="55069C5B" w14:textId="77777777" w:rsidR="008F2829" w:rsidRDefault="008F2829" w:rsidP="00AA24C6">
            <w:pPr>
              <w:spacing w:before="35" w:after="35"/>
              <w:ind w:left="200" w:hanging="180"/>
            </w:pPr>
            <w:r>
              <w:rPr>
                <w:rFonts w:ascii="Calibri" w:eastAsia="Calibri" w:hAnsi="Calibri" w:cs="Calibri"/>
                <w:color w:val="1A1A1A"/>
                <w:sz w:val="17"/>
                <w:szCs w:val="17"/>
              </w:rPr>
              <w:t>•  Clear data retention and deletion policies stated prominently</w:t>
            </w:r>
          </w:p>
          <w:p w14:paraId="79A9375B" w14:textId="77777777" w:rsidR="008F2829" w:rsidRDefault="008F2829" w:rsidP="00AA24C6">
            <w:pPr>
              <w:spacing w:before="35" w:after="35"/>
              <w:ind w:left="200" w:hanging="180"/>
            </w:pPr>
            <w:r>
              <w:rPr>
                <w:rFonts w:ascii="Calibri" w:eastAsia="Calibri" w:hAnsi="Calibri" w:cs="Calibri"/>
                <w:color w:val="1A1A1A"/>
                <w:sz w:val="17"/>
                <w:szCs w:val="17"/>
              </w:rPr>
              <w:t>•  Real-time data usage explanations (e.g. ‘we use this to personalise your experience’)</w:t>
            </w:r>
          </w:p>
        </w:tc>
      </w:tr>
      <w:tr w:rsidR="008F2829" w14:paraId="793B71CF" w14:textId="77777777" w:rsidTr="008F2829">
        <w:trPr>
          <w:trHeight w:val="1027"/>
        </w:trPr>
        <w:tc>
          <w:tcPr>
            <w:tcW w:w="64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3874C6E" w14:textId="77777777" w:rsidR="008F2829" w:rsidRDefault="008F2829" w:rsidP="00AA24C6">
            <w:pPr>
              <w:spacing w:before="80" w:after="80"/>
              <w:jc w:val="center"/>
            </w:pPr>
            <w:r>
              <w:rPr>
                <w:rFonts w:ascii="Calibri" w:eastAsia="Calibri" w:hAnsi="Calibri" w:cs="Calibri"/>
                <w:b/>
                <w:bCs/>
                <w:color w:val="FFFFFF"/>
                <w:sz w:val="17"/>
                <w:szCs w:val="17"/>
              </w:rPr>
              <w:t>Layer 3</w:t>
            </w:r>
          </w:p>
        </w:tc>
        <w:tc>
          <w:tcPr>
            <w:tcW w:w="1835" w:type="dxa"/>
            <w:tcBorders>
              <w:top w:val="single" w:sz="4" w:space="0" w:color="FFFFFF"/>
              <w:left w:val="single" w:sz="4" w:space="0" w:color="FFFFFF"/>
              <w:bottom w:val="single" w:sz="4" w:space="0" w:color="FFFFFF"/>
              <w:right w:val="single" w:sz="4" w:space="0" w:color="FFFFFF"/>
            </w:tcBorders>
            <w:shd w:val="clear" w:color="auto" w:fill="2E6DA4"/>
            <w:vAlign w:val="center"/>
          </w:tcPr>
          <w:p w14:paraId="588C0F2C" w14:textId="77777777" w:rsidR="008F2829" w:rsidRDefault="008F2829" w:rsidP="00AA24C6">
            <w:pPr>
              <w:spacing w:before="80" w:after="20"/>
            </w:pPr>
            <w:r>
              <w:rPr>
                <w:rFonts w:ascii="Calibri" w:eastAsia="Calibri" w:hAnsi="Calibri" w:cs="Calibri"/>
                <w:b/>
                <w:bCs/>
                <w:color w:val="FFFFFF"/>
                <w:sz w:val="17"/>
                <w:szCs w:val="17"/>
              </w:rPr>
              <w:t>Design &amp; Credibility</w:t>
            </w:r>
          </w:p>
          <w:p w14:paraId="102EE474" w14:textId="77777777" w:rsidR="008F2829" w:rsidRDefault="008F2829" w:rsidP="00AA24C6">
            <w:pPr>
              <w:spacing w:before="20" w:after="80"/>
            </w:pPr>
            <w:r>
              <w:rPr>
                <w:rFonts w:ascii="Calibri" w:eastAsia="Calibri" w:hAnsi="Calibri" w:cs="Calibri"/>
                <w:i/>
                <w:iCs/>
                <w:color w:val="FFFFFF"/>
                <w:sz w:val="15"/>
                <w:szCs w:val="15"/>
              </w:rPr>
              <w:t>[13], [14], [23]</w:t>
            </w:r>
          </w:p>
        </w:tc>
        <w:tc>
          <w:tcPr>
            <w:tcW w:w="7124"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1FEE4F8" w14:textId="77777777" w:rsidR="008F2829" w:rsidRDefault="008F2829" w:rsidP="00AA24C6">
            <w:pPr>
              <w:spacing w:before="35" w:after="35"/>
              <w:ind w:left="200" w:hanging="180"/>
            </w:pPr>
            <w:r>
              <w:rPr>
                <w:rFonts w:ascii="Calibri" w:eastAsia="Calibri" w:hAnsi="Calibri" w:cs="Calibri"/>
                <w:color w:val="1A1A1A"/>
                <w:sz w:val="17"/>
                <w:szCs w:val="17"/>
              </w:rPr>
              <w:t>•  Professional, consistent visual design aligned with brand reputation</w:t>
            </w:r>
          </w:p>
          <w:p w14:paraId="5AA2EC16" w14:textId="77777777" w:rsidR="008F2829" w:rsidRDefault="008F2829" w:rsidP="00AA24C6">
            <w:pPr>
              <w:spacing w:before="35" w:after="35"/>
              <w:ind w:left="200" w:hanging="180"/>
            </w:pPr>
            <w:r>
              <w:rPr>
                <w:rFonts w:ascii="Calibri" w:eastAsia="Calibri" w:hAnsi="Calibri" w:cs="Calibri"/>
                <w:color w:val="1A1A1A"/>
                <w:sz w:val="17"/>
                <w:szCs w:val="17"/>
              </w:rPr>
              <w:t>•  High-quality, accurate content with clear authorship</w:t>
            </w:r>
          </w:p>
          <w:p w14:paraId="3747FAB5" w14:textId="77777777" w:rsidR="008F2829" w:rsidRDefault="008F2829" w:rsidP="00AA24C6">
            <w:pPr>
              <w:spacing w:before="35" w:after="35"/>
              <w:ind w:left="200" w:hanging="180"/>
            </w:pPr>
            <w:r>
              <w:rPr>
                <w:rFonts w:ascii="Calibri" w:eastAsia="Calibri" w:hAnsi="Calibri" w:cs="Calibri"/>
                <w:color w:val="1A1A1A"/>
                <w:sz w:val="17"/>
                <w:szCs w:val="17"/>
              </w:rPr>
              <w:t>•  Responsive and accessible design (WCAG 2.1 compliance)</w:t>
            </w:r>
          </w:p>
          <w:p w14:paraId="5F69CF1D" w14:textId="77777777" w:rsidR="008F2829" w:rsidRDefault="008F2829" w:rsidP="00AA24C6">
            <w:pPr>
              <w:spacing w:before="35" w:after="35"/>
              <w:ind w:left="200" w:hanging="180"/>
            </w:pPr>
            <w:r>
              <w:rPr>
                <w:rFonts w:ascii="Calibri" w:eastAsia="Calibri" w:hAnsi="Calibri" w:cs="Calibri"/>
                <w:color w:val="1A1A1A"/>
                <w:sz w:val="17"/>
                <w:szCs w:val="17"/>
              </w:rPr>
              <w:t>•  Social proof elements: verifiable reviews, trust marks, accreditation logos</w:t>
            </w:r>
          </w:p>
        </w:tc>
      </w:tr>
    </w:tbl>
    <w:p w14:paraId="788A1013" w14:textId="3A2EA9B5" w:rsidR="008F2829" w:rsidRPr="0005394D" w:rsidRDefault="008F2829" w:rsidP="008F2829">
      <w:pPr>
        <w:spacing w:before="160" w:after="80"/>
        <w:jc w:val="center"/>
        <w:rPr>
          <w:rFonts w:ascii="Calibri" w:eastAsia="Calibri" w:hAnsi="Calibri" w:cs="Calibri"/>
          <w:i/>
          <w:iCs/>
          <w:color w:val="1A4A6E"/>
          <w:sz w:val="20"/>
          <w:szCs w:val="20"/>
        </w:rPr>
      </w:pPr>
      <w:r w:rsidRPr="0005394D">
        <w:rPr>
          <w:rFonts w:ascii="Calibri" w:eastAsia="Calibri" w:hAnsi="Calibri" w:cs="Calibri"/>
          <w:i/>
          <w:iCs/>
          <w:color w:val="1A4A6E"/>
          <w:sz w:val="20"/>
          <w:szCs w:val="20"/>
        </w:rPr>
        <w:t xml:space="preserve"> Source: Generated by author (2026).</w:t>
      </w:r>
    </w:p>
    <w:p w14:paraId="3C555892" w14:textId="77777777" w:rsidR="008F2829" w:rsidRDefault="008F2829" w:rsidP="008F2829">
      <w:pPr>
        <w:spacing w:before="160" w:after="80"/>
      </w:pPr>
    </w:p>
    <w:p w14:paraId="6397AF19" w14:textId="29AC29A3" w:rsidR="008F2829" w:rsidRPr="008F2829" w:rsidRDefault="008F2829" w:rsidP="008F2829">
      <w:pPr>
        <w:spacing w:before="60" w:after="80" w:line="360" w:lineRule="auto"/>
        <w:jc w:val="both"/>
      </w:pPr>
      <w:r w:rsidRPr="008F2829">
        <w:rPr>
          <w:rFonts w:ascii="Calibri" w:eastAsia="Calibri" w:hAnsi="Calibri" w:cs="Calibri"/>
          <w:color w:val="1A1A1A"/>
        </w:rPr>
        <w:t>The framework groups trust signals into three complementary layers</w:t>
      </w:r>
      <w:r w:rsidR="0004723E">
        <w:rPr>
          <w:rFonts w:ascii="Calibri" w:eastAsia="Calibri" w:hAnsi="Calibri" w:cs="Calibri"/>
          <w:color w:val="1A1A1A"/>
        </w:rPr>
        <w:t>:</w:t>
      </w:r>
      <w:r w:rsidRPr="008F2829">
        <w:rPr>
          <w:rFonts w:ascii="Calibri" w:eastAsia="Calibri" w:hAnsi="Calibri" w:cs="Calibri"/>
          <w:color w:val="1A1A1A"/>
        </w:rPr>
        <w:t xml:space="preserve"> technical trust mechanisms, privacy and transparency, and design credibility</w:t>
      </w:r>
      <w:r>
        <w:rPr>
          <w:rFonts w:ascii="Calibri" w:eastAsia="Calibri" w:hAnsi="Calibri" w:cs="Calibri"/>
          <w:color w:val="1A1A1A"/>
        </w:rPr>
        <w:t>,</w:t>
      </w:r>
      <w:r w:rsidRPr="008F2829">
        <w:rPr>
          <w:rFonts w:ascii="Calibri" w:eastAsia="Calibri" w:hAnsi="Calibri" w:cs="Calibri"/>
          <w:color w:val="1A1A1A"/>
        </w:rPr>
        <w:t xml:space="preserve"> to provide practitioners with an evidence-based approach to building trustworthy web applications. Each layer is grounded in empirical literature reviewed in Chapter 2 and will be refined and ranked following completion of the statistical analysis in the full study.</w:t>
      </w:r>
    </w:p>
    <w:p w14:paraId="4D253835" w14:textId="77777777" w:rsidR="008F2829" w:rsidRDefault="008F2829" w:rsidP="008F2829">
      <w:r>
        <w:br w:type="page"/>
      </w:r>
    </w:p>
    <w:p w14:paraId="6C03C289" w14:textId="6BE7B20D" w:rsidR="007D090E" w:rsidRPr="00347CB2" w:rsidRDefault="00D16C26" w:rsidP="00347CB2">
      <w:pPr>
        <w:pStyle w:val="Heading1"/>
      </w:pPr>
      <w:bookmarkStart w:id="47" w:name="_Toc234710579"/>
      <w:r w:rsidRPr="001172CF">
        <w:lastRenderedPageBreak/>
        <w:t xml:space="preserve">Appendix </w:t>
      </w:r>
      <w:r w:rsidR="009D35A1" w:rsidRPr="001172CF">
        <w:t>G -</w:t>
      </w:r>
      <w:r w:rsidR="0041508A" w:rsidRPr="001172CF">
        <w:t xml:space="preserve"> </w:t>
      </w:r>
      <w:r w:rsidRPr="001172CF">
        <w:t>Project Risk Register</w:t>
      </w:r>
      <w:bookmarkEnd w:id="47"/>
    </w:p>
    <w:p w14:paraId="0E6A0395" w14:textId="77777777" w:rsidR="00753CAF" w:rsidRDefault="00753CAF" w:rsidP="00347CB2">
      <w:pPr>
        <w:spacing w:after="200" w:line="360" w:lineRule="auto"/>
        <w:jc w:val="both"/>
        <w:rPr>
          <w:rFonts w:ascii="Calibri" w:eastAsia="Calibri" w:hAnsi="Calibri" w:cs="Calibri"/>
          <w:color w:val="000000"/>
        </w:rPr>
      </w:pPr>
      <w:r w:rsidRPr="005563AA">
        <w:rPr>
          <w:rFonts w:ascii="Calibri" w:eastAsia="Calibri" w:hAnsi="Calibri" w:cs="Calibri"/>
          <w:color w:val="000000"/>
        </w:rPr>
        <w:t>In addition to the methodological limitations identified above, this study is subject to a range of project-level risks. The table below presents a comprehensive Project Risk Register covering all identified risks, including likelihood, severity, and priority ratings.</w:t>
      </w:r>
    </w:p>
    <w:p w14:paraId="01394CF1" w14:textId="458BAFCC" w:rsidR="00961DA2" w:rsidRPr="00961DA2" w:rsidRDefault="00961DA2" w:rsidP="00961DA2">
      <w:pPr>
        <w:spacing w:before="60" w:after="100"/>
        <w:rPr>
          <w:sz w:val="20"/>
          <w:szCs w:val="20"/>
        </w:rPr>
      </w:pPr>
      <w:r w:rsidRPr="00961DA2">
        <w:rPr>
          <w:rFonts w:ascii="Calibri" w:eastAsia="Calibri" w:hAnsi="Calibri" w:cs="Calibri"/>
          <w:b/>
          <w:bCs/>
          <w:i/>
          <w:iCs/>
          <w:color w:val="1A4A6E"/>
          <w:sz w:val="20"/>
          <w:szCs w:val="20"/>
        </w:rPr>
        <w:t xml:space="preserve">Table G1: Project Risk Register. </w:t>
      </w:r>
    </w:p>
    <w:tbl>
      <w:tblPr>
        <w:tblW w:w="102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17"/>
        <w:gridCol w:w="1110"/>
        <w:gridCol w:w="1603"/>
        <w:gridCol w:w="1356"/>
        <w:gridCol w:w="1010"/>
        <w:gridCol w:w="1010"/>
        <w:gridCol w:w="2835"/>
        <w:gridCol w:w="851"/>
      </w:tblGrid>
      <w:tr w:rsidR="00753CAF" w14:paraId="67CB14DE" w14:textId="77777777" w:rsidTr="00AA24C6">
        <w:trPr>
          <w:trHeight w:val="334"/>
          <w:tblHeader/>
        </w:trPr>
        <w:tc>
          <w:tcPr>
            <w:tcW w:w="51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4183383" w14:textId="77777777" w:rsidR="00753CAF" w:rsidRDefault="00753CAF" w:rsidP="00AA24C6">
            <w:pPr>
              <w:spacing w:before="60" w:after="60"/>
              <w:jc w:val="center"/>
            </w:pPr>
            <w:r>
              <w:rPr>
                <w:rFonts w:ascii="Calibri" w:eastAsia="Calibri" w:hAnsi="Calibri" w:cs="Calibri"/>
                <w:b/>
                <w:bCs/>
                <w:color w:val="FFFFFF"/>
                <w:sz w:val="16"/>
                <w:szCs w:val="16"/>
              </w:rPr>
              <w:t>#</w:t>
            </w:r>
          </w:p>
        </w:tc>
        <w:tc>
          <w:tcPr>
            <w:tcW w:w="111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F7CEDE5" w14:textId="77777777" w:rsidR="00753CAF" w:rsidRDefault="00753CAF" w:rsidP="00AA24C6">
            <w:pPr>
              <w:spacing w:before="60" w:after="60"/>
              <w:jc w:val="center"/>
            </w:pPr>
            <w:r>
              <w:rPr>
                <w:rFonts w:ascii="Calibri" w:eastAsia="Calibri" w:hAnsi="Calibri" w:cs="Calibri"/>
                <w:b/>
                <w:bCs/>
                <w:color w:val="FFFFFF"/>
                <w:sz w:val="16"/>
                <w:szCs w:val="16"/>
              </w:rPr>
              <w:t>Category</w:t>
            </w:r>
          </w:p>
        </w:tc>
        <w:tc>
          <w:tcPr>
            <w:tcW w:w="1603"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6BF6B11" w14:textId="77777777" w:rsidR="00753CAF" w:rsidRDefault="00753CAF" w:rsidP="00AA24C6">
            <w:pPr>
              <w:spacing w:before="60" w:after="60"/>
              <w:jc w:val="center"/>
            </w:pPr>
            <w:r>
              <w:rPr>
                <w:rFonts w:ascii="Calibri" w:eastAsia="Calibri" w:hAnsi="Calibri" w:cs="Calibri"/>
                <w:b/>
                <w:bCs/>
                <w:color w:val="FFFFFF"/>
                <w:sz w:val="16"/>
                <w:szCs w:val="16"/>
              </w:rPr>
              <w:t>Risk</w:t>
            </w:r>
          </w:p>
        </w:tc>
        <w:tc>
          <w:tcPr>
            <w:tcW w:w="1356"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287B5533" w14:textId="77777777" w:rsidR="00753CAF" w:rsidRDefault="00753CAF" w:rsidP="00AA24C6">
            <w:pPr>
              <w:spacing w:before="60" w:after="60"/>
              <w:jc w:val="center"/>
            </w:pPr>
            <w:r>
              <w:rPr>
                <w:rFonts w:ascii="Calibri" w:eastAsia="Calibri" w:hAnsi="Calibri" w:cs="Calibri"/>
                <w:b/>
                <w:bCs/>
                <w:color w:val="FFFFFF"/>
                <w:sz w:val="16"/>
                <w:szCs w:val="16"/>
              </w:rPr>
              <w:t>Impact</w:t>
            </w:r>
          </w:p>
        </w:tc>
        <w:tc>
          <w:tcPr>
            <w:tcW w:w="101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E806045" w14:textId="77777777" w:rsidR="00753CAF" w:rsidRDefault="00753CAF" w:rsidP="00AA24C6">
            <w:pPr>
              <w:spacing w:before="60" w:after="60"/>
              <w:jc w:val="center"/>
            </w:pPr>
            <w:r>
              <w:rPr>
                <w:rFonts w:ascii="Calibri" w:eastAsia="Calibri" w:hAnsi="Calibri" w:cs="Calibri"/>
                <w:b/>
                <w:bCs/>
                <w:color w:val="FFFFFF"/>
                <w:sz w:val="16"/>
                <w:szCs w:val="16"/>
              </w:rPr>
              <w:t>Likelihood</w:t>
            </w:r>
          </w:p>
        </w:tc>
        <w:tc>
          <w:tcPr>
            <w:tcW w:w="1010"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DF9E945" w14:textId="77777777" w:rsidR="00753CAF" w:rsidRDefault="00753CAF" w:rsidP="00AA24C6">
            <w:pPr>
              <w:spacing w:before="60" w:after="60"/>
              <w:jc w:val="center"/>
            </w:pPr>
            <w:r>
              <w:rPr>
                <w:rFonts w:ascii="Calibri" w:eastAsia="Calibri" w:hAnsi="Calibri" w:cs="Calibri"/>
                <w:b/>
                <w:bCs/>
                <w:color w:val="FFFFFF"/>
                <w:sz w:val="16"/>
                <w:szCs w:val="16"/>
              </w:rPr>
              <w:t>Severity</w:t>
            </w:r>
          </w:p>
        </w:tc>
        <w:tc>
          <w:tcPr>
            <w:tcW w:w="283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3776CA5E" w14:textId="77777777" w:rsidR="00753CAF" w:rsidRDefault="00753CAF" w:rsidP="00AA24C6">
            <w:pPr>
              <w:spacing w:before="60" w:after="60"/>
              <w:jc w:val="center"/>
            </w:pPr>
            <w:r>
              <w:rPr>
                <w:rFonts w:ascii="Calibri" w:eastAsia="Calibri" w:hAnsi="Calibri" w:cs="Calibri"/>
                <w:b/>
                <w:bCs/>
                <w:color w:val="FFFFFF"/>
                <w:sz w:val="16"/>
                <w:szCs w:val="16"/>
              </w:rPr>
              <w:t>Mitigation Strategy</w:t>
            </w:r>
          </w:p>
        </w:tc>
        <w:tc>
          <w:tcPr>
            <w:tcW w:w="851"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33E4ADE" w14:textId="77777777" w:rsidR="00753CAF" w:rsidRDefault="00753CAF" w:rsidP="00AA24C6">
            <w:pPr>
              <w:spacing w:before="60" w:after="60"/>
              <w:jc w:val="center"/>
            </w:pPr>
            <w:r>
              <w:rPr>
                <w:rFonts w:ascii="Calibri" w:eastAsia="Calibri" w:hAnsi="Calibri" w:cs="Calibri"/>
                <w:b/>
                <w:bCs/>
                <w:color w:val="FFFFFF"/>
                <w:sz w:val="16"/>
                <w:szCs w:val="16"/>
              </w:rPr>
              <w:t>Priority</w:t>
            </w:r>
          </w:p>
        </w:tc>
      </w:tr>
      <w:tr w:rsidR="00753CAF" w14:paraId="0DD19EF6"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74EC69E7" w14:textId="77777777" w:rsidR="00753CAF" w:rsidRDefault="00753CAF" w:rsidP="00AA24C6">
            <w:pPr>
              <w:spacing w:before="50" w:after="50"/>
            </w:pPr>
            <w:r>
              <w:rPr>
                <w:rFonts w:ascii="Calibri" w:eastAsia="Calibri" w:hAnsi="Calibri" w:cs="Calibri"/>
                <w:color w:val="000000"/>
                <w:sz w:val="16"/>
                <w:szCs w:val="16"/>
              </w:rPr>
              <w:t>1</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2CA7BA48" w14:textId="77777777" w:rsidR="00753CAF" w:rsidRDefault="00753CAF" w:rsidP="00AA24C6">
            <w:pPr>
              <w:spacing w:before="50" w:after="50"/>
            </w:pPr>
            <w:r>
              <w:rPr>
                <w:rFonts w:ascii="Calibri" w:eastAsia="Calibri" w:hAnsi="Calibri" w:cs="Calibri"/>
                <w:color w:val="000000"/>
                <w:sz w:val="16"/>
                <w:szCs w:val="16"/>
              </w:rPr>
              <w:t>Ethics</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9A21D45" w14:textId="77777777" w:rsidR="00753CAF" w:rsidRDefault="00753CAF" w:rsidP="00AA24C6">
            <w:pPr>
              <w:spacing w:before="50" w:after="50"/>
            </w:pPr>
            <w:r>
              <w:rPr>
                <w:rFonts w:ascii="Calibri" w:eastAsia="Calibri" w:hAnsi="Calibri" w:cs="Calibri"/>
                <w:color w:val="000000"/>
                <w:sz w:val="16"/>
                <w:szCs w:val="16"/>
              </w:rPr>
              <w:t>Delay in ethics approval</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B49B3FD" w14:textId="77777777" w:rsidR="00753CAF" w:rsidRDefault="00753CAF" w:rsidP="00AA24C6">
            <w:pPr>
              <w:spacing w:before="50" w:after="50"/>
            </w:pPr>
            <w:r>
              <w:rPr>
                <w:rFonts w:ascii="Calibri" w:eastAsia="Calibri" w:hAnsi="Calibri" w:cs="Calibri"/>
                <w:color w:val="000000"/>
                <w:sz w:val="16"/>
                <w:szCs w:val="16"/>
              </w:rPr>
              <w:t>Delays data collection</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758AB52B"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65551EAA"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0D865D44" w14:textId="77777777" w:rsidR="00753CAF" w:rsidRDefault="00753CAF" w:rsidP="00AA24C6">
            <w:pPr>
              <w:spacing w:before="50" w:after="50"/>
            </w:pPr>
            <w:r>
              <w:rPr>
                <w:rFonts w:ascii="Calibri" w:eastAsia="Calibri" w:hAnsi="Calibri" w:cs="Calibri"/>
                <w:color w:val="000000"/>
                <w:sz w:val="16"/>
                <w:szCs w:val="16"/>
              </w:rPr>
              <w:t>Submit ethics application early and allow time for revisions</w:t>
            </w:r>
          </w:p>
        </w:tc>
        <w:tc>
          <w:tcPr>
            <w:tcW w:w="851"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76B4B6B1" w14:textId="77777777" w:rsidR="00753CAF" w:rsidRDefault="00753CAF" w:rsidP="00AA24C6">
            <w:pPr>
              <w:spacing w:before="50" w:after="50"/>
            </w:pPr>
            <w:r>
              <w:rPr>
                <w:rFonts w:ascii="Calibri" w:eastAsia="Calibri" w:hAnsi="Calibri" w:cs="Calibri"/>
                <w:b/>
                <w:bCs/>
                <w:color w:val="7B0000"/>
                <w:sz w:val="16"/>
                <w:szCs w:val="16"/>
              </w:rPr>
              <w:t>High</w:t>
            </w:r>
          </w:p>
        </w:tc>
      </w:tr>
      <w:tr w:rsidR="00753CAF" w14:paraId="46833136"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3DCC042E" w14:textId="77777777" w:rsidR="00753CAF" w:rsidRDefault="00753CAF" w:rsidP="00AA24C6">
            <w:pPr>
              <w:spacing w:before="50" w:after="50"/>
            </w:pPr>
            <w:r>
              <w:rPr>
                <w:rFonts w:ascii="Calibri" w:eastAsia="Calibri" w:hAnsi="Calibri" w:cs="Calibri"/>
                <w:color w:val="000000"/>
                <w:sz w:val="16"/>
                <w:szCs w:val="16"/>
              </w:rPr>
              <w:t>2</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6C9371F" w14:textId="77777777" w:rsidR="00753CAF" w:rsidRDefault="00753CAF" w:rsidP="00AA24C6">
            <w:pPr>
              <w:spacing w:before="50" w:after="50"/>
            </w:pPr>
            <w:r>
              <w:rPr>
                <w:rFonts w:ascii="Calibri" w:eastAsia="Calibri" w:hAnsi="Calibri" w:cs="Calibri"/>
                <w:color w:val="000000"/>
                <w:sz w:val="16"/>
                <w:szCs w:val="16"/>
              </w:rPr>
              <w:t>Recruitment</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00547503" w14:textId="77777777" w:rsidR="00753CAF" w:rsidRDefault="00753CAF" w:rsidP="00AA24C6">
            <w:pPr>
              <w:spacing w:before="50" w:after="50"/>
            </w:pPr>
            <w:r>
              <w:rPr>
                <w:rFonts w:ascii="Calibri" w:eastAsia="Calibri" w:hAnsi="Calibri" w:cs="Calibri"/>
                <w:color w:val="000000"/>
                <w:sz w:val="16"/>
                <w:szCs w:val="16"/>
              </w:rPr>
              <w:t>Low participant response rate</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431991E9" w14:textId="77777777" w:rsidR="00753CAF" w:rsidRDefault="00753CAF" w:rsidP="00AA24C6">
            <w:pPr>
              <w:spacing w:before="50" w:after="50"/>
            </w:pPr>
            <w:r>
              <w:rPr>
                <w:rFonts w:ascii="Calibri" w:eastAsia="Calibri" w:hAnsi="Calibri" w:cs="Calibri"/>
                <w:color w:val="000000"/>
                <w:sz w:val="16"/>
                <w:szCs w:val="16"/>
              </w:rPr>
              <w:t>Insufficient sample size</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46FF7CB9"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5C0C0"/>
            <w:vAlign w:val="center"/>
          </w:tcPr>
          <w:p w14:paraId="5260AEB5"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21B2600" w14:textId="77777777" w:rsidR="00753CAF" w:rsidRDefault="00753CAF" w:rsidP="00AA24C6">
            <w:pPr>
              <w:spacing w:before="50" w:after="50"/>
            </w:pPr>
            <w:r>
              <w:rPr>
                <w:rFonts w:ascii="Calibri" w:eastAsia="Calibri" w:hAnsi="Calibri" w:cs="Calibri"/>
                <w:color w:val="000000"/>
                <w:sz w:val="16"/>
                <w:szCs w:val="16"/>
              </w:rPr>
              <w:t>Distribute survey across multiple channels and send reminders</w:t>
            </w:r>
          </w:p>
        </w:tc>
        <w:tc>
          <w:tcPr>
            <w:tcW w:w="851" w:type="dxa"/>
            <w:tcBorders>
              <w:top w:val="single" w:sz="4" w:space="0" w:color="FFFFFF"/>
              <w:left w:val="single" w:sz="4" w:space="0" w:color="FFFFFF"/>
              <w:bottom w:val="single" w:sz="4" w:space="0" w:color="FFFFFF"/>
              <w:right w:val="single" w:sz="4" w:space="0" w:color="FFFFFF"/>
            </w:tcBorders>
            <w:shd w:val="clear" w:color="auto" w:fill="F5C0C0"/>
            <w:vAlign w:val="center"/>
          </w:tcPr>
          <w:p w14:paraId="468DBC72" w14:textId="77777777" w:rsidR="00753CAF" w:rsidRDefault="00753CAF" w:rsidP="00AA24C6">
            <w:pPr>
              <w:spacing w:before="50" w:after="50"/>
            </w:pPr>
            <w:r>
              <w:rPr>
                <w:rFonts w:ascii="Calibri" w:eastAsia="Calibri" w:hAnsi="Calibri" w:cs="Calibri"/>
                <w:b/>
                <w:bCs/>
                <w:color w:val="7B0000"/>
                <w:sz w:val="16"/>
                <w:szCs w:val="16"/>
              </w:rPr>
              <w:t>High</w:t>
            </w:r>
          </w:p>
        </w:tc>
      </w:tr>
      <w:tr w:rsidR="00753CAF" w14:paraId="37DED3B6" w14:textId="77777777" w:rsidTr="00AA24C6">
        <w:trPr>
          <w:trHeight w:val="732"/>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203CF9E" w14:textId="77777777" w:rsidR="00753CAF" w:rsidRDefault="00753CAF" w:rsidP="00AA24C6">
            <w:pPr>
              <w:spacing w:before="50" w:after="50"/>
            </w:pPr>
            <w:r>
              <w:rPr>
                <w:rFonts w:ascii="Calibri" w:eastAsia="Calibri" w:hAnsi="Calibri" w:cs="Calibri"/>
                <w:color w:val="000000"/>
                <w:sz w:val="16"/>
                <w:szCs w:val="16"/>
              </w:rPr>
              <w:t>3</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5740A28F" w14:textId="77777777" w:rsidR="00753CAF" w:rsidRDefault="00753CAF" w:rsidP="00AA24C6">
            <w:pPr>
              <w:spacing w:before="50" w:after="50"/>
            </w:pPr>
            <w:r>
              <w:rPr>
                <w:rFonts w:ascii="Calibri" w:eastAsia="Calibri" w:hAnsi="Calibri" w:cs="Calibri"/>
                <w:color w:val="000000"/>
                <w:sz w:val="16"/>
                <w:szCs w:val="16"/>
              </w:rPr>
              <w:t>Recruitment</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65A930B2" w14:textId="77777777" w:rsidR="00753CAF" w:rsidRDefault="00753CAF" w:rsidP="00AA24C6">
            <w:pPr>
              <w:spacing w:before="50" w:after="50"/>
            </w:pPr>
            <w:r>
              <w:rPr>
                <w:rFonts w:ascii="Calibri" w:eastAsia="Calibri" w:hAnsi="Calibri" w:cs="Calibri"/>
                <w:color w:val="000000"/>
                <w:sz w:val="16"/>
                <w:szCs w:val="16"/>
              </w:rPr>
              <w:t>Participants fail to meet inclusion criteria</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26BE1A52" w14:textId="77777777" w:rsidR="00753CAF" w:rsidRDefault="00753CAF" w:rsidP="00AA24C6">
            <w:pPr>
              <w:spacing w:before="50" w:after="50"/>
            </w:pPr>
            <w:r>
              <w:rPr>
                <w:rFonts w:ascii="Calibri" w:eastAsia="Calibri" w:hAnsi="Calibri" w:cs="Calibri"/>
                <w:color w:val="000000"/>
                <w:sz w:val="16"/>
                <w:szCs w:val="16"/>
              </w:rPr>
              <w:t>Reduced usable sample</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660486B7"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56B10CE5"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6148950A" w14:textId="77777777" w:rsidR="00753CAF" w:rsidRDefault="00753CAF" w:rsidP="00AA24C6">
            <w:pPr>
              <w:spacing w:before="50" w:after="50"/>
            </w:pPr>
            <w:r>
              <w:rPr>
                <w:rFonts w:ascii="Calibri" w:eastAsia="Calibri" w:hAnsi="Calibri" w:cs="Calibri"/>
                <w:color w:val="000000"/>
                <w:sz w:val="16"/>
                <w:szCs w:val="16"/>
              </w:rPr>
              <w:t>Include screening questions and apply exclusion criteria</w:t>
            </w:r>
          </w:p>
        </w:tc>
        <w:tc>
          <w:tcPr>
            <w:tcW w:w="851"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388A9765"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481E1625" w14:textId="77777777" w:rsidTr="00AA24C6">
        <w:trPr>
          <w:trHeight w:val="513"/>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7A6CB4AC" w14:textId="77777777" w:rsidR="00753CAF" w:rsidRDefault="00753CAF" w:rsidP="00AA24C6">
            <w:pPr>
              <w:spacing w:before="50" w:after="50"/>
            </w:pPr>
            <w:r>
              <w:rPr>
                <w:rFonts w:ascii="Calibri" w:eastAsia="Calibri" w:hAnsi="Calibri" w:cs="Calibri"/>
                <w:color w:val="000000"/>
                <w:sz w:val="16"/>
                <w:szCs w:val="16"/>
              </w:rPr>
              <w:t>4</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375C163B" w14:textId="77777777" w:rsidR="00753CAF" w:rsidRDefault="00753CAF" w:rsidP="00AA24C6">
            <w:pPr>
              <w:spacing w:before="50" w:after="50"/>
            </w:pPr>
            <w:r>
              <w:rPr>
                <w:rFonts w:ascii="Calibri" w:eastAsia="Calibri" w:hAnsi="Calibri" w:cs="Calibri"/>
                <w:color w:val="000000"/>
                <w:sz w:val="16"/>
                <w:szCs w:val="16"/>
              </w:rPr>
              <w:t>Data Collection</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2CDB710" w14:textId="77777777" w:rsidR="00753CAF" w:rsidRDefault="00753CAF" w:rsidP="00AA24C6">
            <w:pPr>
              <w:spacing w:before="50" w:after="50"/>
            </w:pPr>
            <w:r>
              <w:rPr>
                <w:rFonts w:ascii="Calibri" w:eastAsia="Calibri" w:hAnsi="Calibri" w:cs="Calibri"/>
                <w:color w:val="000000"/>
                <w:sz w:val="16"/>
                <w:szCs w:val="16"/>
              </w:rPr>
              <w:t>Incomplete questionnaires</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08F4D4A8" w14:textId="77777777" w:rsidR="00753CAF" w:rsidRDefault="00753CAF" w:rsidP="00AA24C6">
            <w:pPr>
              <w:spacing w:before="50" w:after="50"/>
            </w:pPr>
            <w:r>
              <w:rPr>
                <w:rFonts w:ascii="Calibri" w:eastAsia="Calibri" w:hAnsi="Calibri" w:cs="Calibri"/>
                <w:color w:val="000000"/>
                <w:sz w:val="16"/>
                <w:szCs w:val="16"/>
              </w:rPr>
              <w:t>Missing data</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338EDD77"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0AD2ED0F"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8DD0F38" w14:textId="77777777" w:rsidR="00753CAF" w:rsidRDefault="00753CAF" w:rsidP="00AA24C6">
            <w:pPr>
              <w:spacing w:before="50" w:after="50"/>
            </w:pPr>
            <w:r>
              <w:rPr>
                <w:rFonts w:ascii="Calibri" w:eastAsia="Calibri" w:hAnsi="Calibri" w:cs="Calibri"/>
                <w:color w:val="000000"/>
                <w:sz w:val="16"/>
                <w:szCs w:val="16"/>
              </w:rPr>
              <w:t>Make key survey questions mandatory where appropriate</w:t>
            </w:r>
          </w:p>
        </w:tc>
        <w:tc>
          <w:tcPr>
            <w:tcW w:w="851"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339DCF15"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2E3CD361" w14:textId="77777777" w:rsidTr="00AA24C6">
        <w:trPr>
          <w:trHeight w:val="732"/>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45446827" w14:textId="77777777" w:rsidR="00753CAF" w:rsidRDefault="00753CAF" w:rsidP="00AA24C6">
            <w:pPr>
              <w:spacing w:before="50" w:after="50"/>
            </w:pPr>
            <w:r>
              <w:rPr>
                <w:rFonts w:ascii="Calibri" w:eastAsia="Calibri" w:hAnsi="Calibri" w:cs="Calibri"/>
                <w:color w:val="000000"/>
                <w:sz w:val="16"/>
                <w:szCs w:val="16"/>
              </w:rPr>
              <w:t>5</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6C5C6A6B" w14:textId="77777777" w:rsidR="00753CAF" w:rsidRDefault="00753CAF" w:rsidP="00AA24C6">
            <w:pPr>
              <w:spacing w:before="50" w:after="50"/>
            </w:pPr>
            <w:r>
              <w:rPr>
                <w:rFonts w:ascii="Calibri" w:eastAsia="Calibri" w:hAnsi="Calibri" w:cs="Calibri"/>
                <w:color w:val="000000"/>
                <w:sz w:val="16"/>
                <w:szCs w:val="16"/>
              </w:rPr>
              <w:t>Data Quality</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06B8B4D" w14:textId="77777777" w:rsidR="00753CAF" w:rsidRDefault="00753CAF" w:rsidP="00AA24C6">
            <w:pPr>
              <w:spacing w:before="50" w:after="50"/>
            </w:pPr>
            <w:r>
              <w:rPr>
                <w:rFonts w:ascii="Calibri" w:eastAsia="Calibri" w:hAnsi="Calibri" w:cs="Calibri"/>
                <w:color w:val="000000"/>
                <w:sz w:val="16"/>
                <w:szCs w:val="16"/>
              </w:rPr>
              <w:t>Response bias or socially desirable answers</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28CBC956" w14:textId="77777777" w:rsidR="00753CAF" w:rsidRDefault="00753CAF" w:rsidP="00AA24C6">
            <w:pPr>
              <w:spacing w:before="50" w:after="50"/>
            </w:pPr>
            <w:r>
              <w:rPr>
                <w:rFonts w:ascii="Calibri" w:eastAsia="Calibri" w:hAnsi="Calibri" w:cs="Calibri"/>
                <w:color w:val="000000"/>
                <w:sz w:val="16"/>
                <w:szCs w:val="16"/>
              </w:rPr>
              <w:t>Reduced validity</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2CF7C335"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38088F5D"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B70A4B9" w14:textId="77777777" w:rsidR="00753CAF" w:rsidRDefault="00753CAF" w:rsidP="00AA24C6">
            <w:pPr>
              <w:spacing w:before="50" w:after="50"/>
            </w:pPr>
            <w:r>
              <w:rPr>
                <w:rFonts w:ascii="Calibri" w:eastAsia="Calibri" w:hAnsi="Calibri" w:cs="Calibri"/>
                <w:color w:val="000000"/>
                <w:sz w:val="16"/>
                <w:szCs w:val="16"/>
              </w:rPr>
              <w:t>Ensure anonymity and neutral wording of questions</w:t>
            </w:r>
          </w:p>
        </w:tc>
        <w:tc>
          <w:tcPr>
            <w:tcW w:w="851"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6B6C210D" w14:textId="77777777" w:rsidR="00753CAF" w:rsidRDefault="00753CAF" w:rsidP="00AA24C6">
            <w:pPr>
              <w:spacing w:before="50" w:after="50"/>
            </w:pPr>
            <w:r>
              <w:rPr>
                <w:rFonts w:ascii="Calibri" w:eastAsia="Calibri" w:hAnsi="Calibri" w:cs="Calibri"/>
                <w:b/>
                <w:bCs/>
                <w:color w:val="7B0000"/>
                <w:sz w:val="16"/>
                <w:szCs w:val="16"/>
              </w:rPr>
              <w:t>High</w:t>
            </w:r>
          </w:p>
        </w:tc>
      </w:tr>
      <w:tr w:rsidR="00753CAF" w14:paraId="3F072E2C"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E85FA31" w14:textId="77777777" w:rsidR="00753CAF" w:rsidRDefault="00753CAF" w:rsidP="00AA24C6">
            <w:pPr>
              <w:spacing w:before="50" w:after="50"/>
            </w:pPr>
            <w:r>
              <w:rPr>
                <w:rFonts w:ascii="Calibri" w:eastAsia="Calibri" w:hAnsi="Calibri" w:cs="Calibri"/>
                <w:color w:val="000000"/>
                <w:sz w:val="16"/>
                <w:szCs w:val="16"/>
              </w:rPr>
              <w:t>6</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4DC0E5B" w14:textId="77777777" w:rsidR="00753CAF" w:rsidRDefault="00753CAF" w:rsidP="00AA24C6">
            <w:pPr>
              <w:spacing w:before="50" w:after="50"/>
            </w:pPr>
            <w:r>
              <w:rPr>
                <w:rFonts w:ascii="Calibri" w:eastAsia="Calibri" w:hAnsi="Calibri" w:cs="Calibri"/>
                <w:color w:val="000000"/>
                <w:sz w:val="16"/>
                <w:szCs w:val="16"/>
              </w:rPr>
              <w:t>Instrument</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91F89E8" w14:textId="77777777" w:rsidR="00753CAF" w:rsidRDefault="00753CAF" w:rsidP="00AA24C6">
            <w:pPr>
              <w:spacing w:before="50" w:after="50"/>
            </w:pPr>
            <w:r>
              <w:rPr>
                <w:rFonts w:ascii="Calibri" w:eastAsia="Calibri" w:hAnsi="Calibri" w:cs="Calibri"/>
                <w:color w:val="000000"/>
                <w:sz w:val="16"/>
                <w:szCs w:val="16"/>
              </w:rPr>
              <w:t>Pilot testing identifies unclear questions</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39FA62BF" w14:textId="77777777" w:rsidR="00753CAF" w:rsidRDefault="00753CAF" w:rsidP="00AA24C6">
            <w:pPr>
              <w:spacing w:before="50" w:after="50"/>
            </w:pPr>
            <w:r>
              <w:rPr>
                <w:rFonts w:ascii="Calibri" w:eastAsia="Calibri" w:hAnsi="Calibri" w:cs="Calibri"/>
                <w:color w:val="000000"/>
                <w:sz w:val="16"/>
                <w:szCs w:val="16"/>
              </w:rPr>
              <w:t>Delayed survey launch</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5AB0E94"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1E5B31C3"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B90D231" w14:textId="77777777" w:rsidR="00753CAF" w:rsidRDefault="00753CAF" w:rsidP="00AA24C6">
            <w:pPr>
              <w:spacing w:before="50" w:after="50"/>
            </w:pPr>
            <w:r>
              <w:rPr>
                <w:rFonts w:ascii="Calibri" w:eastAsia="Calibri" w:hAnsi="Calibri" w:cs="Calibri"/>
                <w:color w:val="000000"/>
                <w:sz w:val="16"/>
                <w:szCs w:val="16"/>
              </w:rPr>
              <w:t>Revise questionnaire before full deployment</w:t>
            </w:r>
          </w:p>
        </w:tc>
        <w:tc>
          <w:tcPr>
            <w:tcW w:w="851"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6DDC7F29"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749D8D3D"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1832594" w14:textId="77777777" w:rsidR="00753CAF" w:rsidRDefault="00753CAF" w:rsidP="00AA24C6">
            <w:pPr>
              <w:spacing w:before="50" w:after="50"/>
            </w:pPr>
            <w:r>
              <w:rPr>
                <w:rFonts w:ascii="Calibri" w:eastAsia="Calibri" w:hAnsi="Calibri" w:cs="Calibri"/>
                <w:color w:val="000000"/>
                <w:sz w:val="16"/>
                <w:szCs w:val="16"/>
              </w:rPr>
              <w:t>7</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6F455F34" w14:textId="77777777" w:rsidR="00753CAF" w:rsidRDefault="00753CAF" w:rsidP="00AA24C6">
            <w:pPr>
              <w:spacing w:before="50" w:after="50"/>
            </w:pPr>
            <w:r>
              <w:rPr>
                <w:rFonts w:ascii="Calibri" w:eastAsia="Calibri" w:hAnsi="Calibri" w:cs="Calibri"/>
                <w:color w:val="000000"/>
                <w:sz w:val="16"/>
                <w:szCs w:val="16"/>
              </w:rPr>
              <w:t>Data Analysis</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53622FD2" w14:textId="77777777" w:rsidR="00753CAF" w:rsidRDefault="00753CAF" w:rsidP="00AA24C6">
            <w:pPr>
              <w:spacing w:before="50" w:after="50"/>
            </w:pPr>
            <w:r>
              <w:rPr>
                <w:rFonts w:ascii="Calibri" w:eastAsia="Calibri" w:hAnsi="Calibri" w:cs="Calibri"/>
                <w:color w:val="000000"/>
                <w:sz w:val="16"/>
                <w:szCs w:val="16"/>
              </w:rPr>
              <w:t>Statistical assumptions not met</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78D174B6" w14:textId="77777777" w:rsidR="00753CAF" w:rsidRDefault="00753CAF" w:rsidP="00AA24C6">
            <w:pPr>
              <w:spacing w:before="50" w:after="50"/>
            </w:pPr>
            <w:r>
              <w:rPr>
                <w:rFonts w:ascii="Calibri" w:eastAsia="Calibri" w:hAnsi="Calibri" w:cs="Calibri"/>
                <w:color w:val="000000"/>
                <w:sz w:val="16"/>
                <w:szCs w:val="16"/>
              </w:rPr>
              <w:t>Alternative analyses required</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67759C3"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7BBB5A30"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5D7FE729" w14:textId="77777777" w:rsidR="00753CAF" w:rsidRDefault="00753CAF" w:rsidP="00AA24C6">
            <w:pPr>
              <w:spacing w:before="50" w:after="50"/>
            </w:pPr>
            <w:r>
              <w:rPr>
                <w:rFonts w:ascii="Calibri" w:eastAsia="Calibri" w:hAnsi="Calibri" w:cs="Calibri"/>
                <w:color w:val="000000"/>
                <w:sz w:val="16"/>
                <w:szCs w:val="16"/>
              </w:rPr>
              <w:t>Check assumptions before analysis and apply alternative tests if necessary</w:t>
            </w:r>
          </w:p>
        </w:tc>
        <w:tc>
          <w:tcPr>
            <w:tcW w:w="851"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0ED3F653"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48CDB2E7" w14:textId="77777777" w:rsidTr="00AA24C6">
        <w:trPr>
          <w:trHeight w:val="513"/>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B405B1D" w14:textId="77777777" w:rsidR="00753CAF" w:rsidRDefault="00753CAF" w:rsidP="00AA24C6">
            <w:pPr>
              <w:spacing w:before="50" w:after="50"/>
            </w:pPr>
            <w:r>
              <w:rPr>
                <w:rFonts w:ascii="Calibri" w:eastAsia="Calibri" w:hAnsi="Calibri" w:cs="Calibri"/>
                <w:color w:val="000000"/>
                <w:sz w:val="16"/>
                <w:szCs w:val="16"/>
              </w:rPr>
              <w:t>8</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4EF44E69" w14:textId="77777777" w:rsidR="00753CAF" w:rsidRDefault="00753CAF" w:rsidP="00AA24C6">
            <w:pPr>
              <w:spacing w:before="50" w:after="50"/>
            </w:pPr>
            <w:r>
              <w:rPr>
                <w:rFonts w:ascii="Calibri" w:eastAsia="Calibri" w:hAnsi="Calibri" w:cs="Calibri"/>
                <w:color w:val="000000"/>
                <w:sz w:val="16"/>
                <w:szCs w:val="16"/>
              </w:rPr>
              <w:t>Software</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0D70FB0C" w14:textId="77777777" w:rsidR="00753CAF" w:rsidRDefault="00753CAF" w:rsidP="00AA24C6">
            <w:pPr>
              <w:spacing w:before="50" w:after="50"/>
            </w:pPr>
            <w:r>
              <w:rPr>
                <w:rFonts w:ascii="Calibri" w:eastAsia="Calibri" w:hAnsi="Calibri" w:cs="Calibri"/>
                <w:color w:val="000000"/>
                <w:sz w:val="16"/>
                <w:szCs w:val="16"/>
              </w:rPr>
              <w:t>SPSS or PROCESS Macro issues</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425BBA39" w14:textId="77777777" w:rsidR="00753CAF" w:rsidRDefault="00753CAF" w:rsidP="00AA24C6">
            <w:pPr>
              <w:spacing w:before="50" w:after="50"/>
            </w:pPr>
            <w:r>
              <w:rPr>
                <w:rFonts w:ascii="Calibri" w:eastAsia="Calibri" w:hAnsi="Calibri" w:cs="Calibri"/>
                <w:color w:val="000000"/>
                <w:sz w:val="16"/>
                <w:szCs w:val="16"/>
              </w:rPr>
              <w:t>Analysis delays</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40405C1"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395DB047"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A407499" w14:textId="77777777" w:rsidR="00753CAF" w:rsidRDefault="00753CAF" w:rsidP="00AA24C6">
            <w:pPr>
              <w:spacing w:before="50" w:after="50"/>
            </w:pPr>
            <w:r>
              <w:rPr>
                <w:rFonts w:ascii="Calibri" w:eastAsia="Calibri" w:hAnsi="Calibri" w:cs="Calibri"/>
                <w:color w:val="000000"/>
                <w:sz w:val="16"/>
                <w:szCs w:val="16"/>
              </w:rPr>
              <w:t>Verify software installation before data collection</w:t>
            </w:r>
          </w:p>
        </w:tc>
        <w:tc>
          <w:tcPr>
            <w:tcW w:w="851"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75C6057E"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7FEF27DD"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65512C6" w14:textId="77777777" w:rsidR="00753CAF" w:rsidRDefault="00753CAF" w:rsidP="00AA24C6">
            <w:pPr>
              <w:spacing w:before="50" w:after="50"/>
            </w:pPr>
            <w:r>
              <w:rPr>
                <w:rFonts w:ascii="Calibri" w:eastAsia="Calibri" w:hAnsi="Calibri" w:cs="Calibri"/>
                <w:color w:val="000000"/>
                <w:sz w:val="16"/>
                <w:szCs w:val="16"/>
              </w:rPr>
              <w:t>9</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58BDFB03" w14:textId="77777777" w:rsidR="00753CAF" w:rsidRDefault="00753CAF" w:rsidP="00AA24C6">
            <w:pPr>
              <w:spacing w:before="50" w:after="50"/>
            </w:pPr>
            <w:r>
              <w:rPr>
                <w:rFonts w:ascii="Calibri" w:eastAsia="Calibri" w:hAnsi="Calibri" w:cs="Calibri"/>
                <w:color w:val="000000"/>
                <w:sz w:val="16"/>
                <w:szCs w:val="16"/>
              </w:rPr>
              <w:t>Data Security</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0B538E11" w14:textId="77777777" w:rsidR="00753CAF" w:rsidRDefault="00753CAF" w:rsidP="00AA24C6">
            <w:pPr>
              <w:spacing w:before="50" w:after="50"/>
            </w:pPr>
            <w:r>
              <w:rPr>
                <w:rFonts w:ascii="Calibri" w:eastAsia="Calibri" w:hAnsi="Calibri" w:cs="Calibri"/>
                <w:color w:val="000000"/>
                <w:sz w:val="16"/>
                <w:szCs w:val="16"/>
              </w:rPr>
              <w:t>Accidental loss of research data</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F7DCBD7" w14:textId="77777777" w:rsidR="00753CAF" w:rsidRDefault="00753CAF" w:rsidP="00AA24C6">
            <w:pPr>
              <w:spacing w:before="50" w:after="50"/>
            </w:pPr>
            <w:r>
              <w:rPr>
                <w:rFonts w:ascii="Calibri" w:eastAsia="Calibri" w:hAnsi="Calibri" w:cs="Calibri"/>
                <w:color w:val="000000"/>
                <w:sz w:val="16"/>
                <w:szCs w:val="16"/>
              </w:rPr>
              <w:t>Loss of responses</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801AA48"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32EE6852"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7F24D54C" w14:textId="77777777" w:rsidR="00753CAF" w:rsidRDefault="00753CAF" w:rsidP="00AA24C6">
            <w:pPr>
              <w:spacing w:before="50" w:after="50"/>
            </w:pPr>
            <w:r>
              <w:rPr>
                <w:rFonts w:ascii="Calibri" w:eastAsia="Calibri" w:hAnsi="Calibri" w:cs="Calibri"/>
                <w:color w:val="000000"/>
                <w:sz w:val="16"/>
                <w:szCs w:val="16"/>
              </w:rPr>
              <w:t>Store encrypted backups on university-approved storage</w:t>
            </w:r>
          </w:p>
        </w:tc>
        <w:tc>
          <w:tcPr>
            <w:tcW w:w="851"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4317B7B3" w14:textId="77777777" w:rsidR="00753CAF" w:rsidRDefault="00753CAF" w:rsidP="00AA24C6">
            <w:pPr>
              <w:spacing w:before="50" w:after="50"/>
            </w:pPr>
            <w:r>
              <w:rPr>
                <w:rFonts w:ascii="Calibri" w:eastAsia="Calibri" w:hAnsi="Calibri" w:cs="Calibri"/>
                <w:b/>
                <w:bCs/>
                <w:color w:val="7B0000"/>
                <w:sz w:val="16"/>
                <w:szCs w:val="16"/>
              </w:rPr>
              <w:t>High</w:t>
            </w:r>
          </w:p>
        </w:tc>
      </w:tr>
      <w:tr w:rsidR="00753CAF" w14:paraId="3AB43DE3" w14:textId="77777777" w:rsidTr="00AA24C6">
        <w:trPr>
          <w:trHeight w:val="732"/>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14D94153" w14:textId="77777777" w:rsidR="00753CAF" w:rsidRDefault="00753CAF" w:rsidP="00AA24C6">
            <w:pPr>
              <w:spacing w:before="50" w:after="50"/>
            </w:pPr>
            <w:r>
              <w:rPr>
                <w:rFonts w:ascii="Calibri" w:eastAsia="Calibri" w:hAnsi="Calibri" w:cs="Calibri"/>
                <w:color w:val="000000"/>
                <w:sz w:val="16"/>
                <w:szCs w:val="16"/>
              </w:rPr>
              <w:t>10</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DABC053" w14:textId="77777777" w:rsidR="00753CAF" w:rsidRDefault="00753CAF" w:rsidP="00AA24C6">
            <w:pPr>
              <w:spacing w:before="50" w:after="50"/>
            </w:pPr>
            <w:r>
              <w:rPr>
                <w:rFonts w:ascii="Calibri" w:eastAsia="Calibri" w:hAnsi="Calibri" w:cs="Calibri"/>
                <w:color w:val="000000"/>
                <w:sz w:val="16"/>
                <w:szCs w:val="16"/>
              </w:rPr>
              <w:t>Time Management</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70FE32AD" w14:textId="77777777" w:rsidR="00753CAF" w:rsidRDefault="00753CAF" w:rsidP="00AA24C6">
            <w:pPr>
              <w:spacing w:before="50" w:after="50"/>
            </w:pPr>
            <w:r>
              <w:rPr>
                <w:rFonts w:ascii="Calibri" w:eastAsia="Calibri" w:hAnsi="Calibri" w:cs="Calibri"/>
                <w:color w:val="000000"/>
                <w:sz w:val="16"/>
                <w:szCs w:val="16"/>
              </w:rPr>
              <w:t>Delays completing analysis or writing</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2EB00DF" w14:textId="77777777" w:rsidR="00753CAF" w:rsidRDefault="00753CAF" w:rsidP="00AA24C6">
            <w:pPr>
              <w:spacing w:before="50" w:after="50"/>
            </w:pPr>
            <w:r>
              <w:rPr>
                <w:rFonts w:ascii="Calibri" w:eastAsia="Calibri" w:hAnsi="Calibri" w:cs="Calibri"/>
                <w:color w:val="000000"/>
                <w:sz w:val="16"/>
                <w:szCs w:val="16"/>
              </w:rPr>
              <w:t>Missed submission deadline</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C8D45BF"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5C0C0"/>
            <w:vAlign w:val="center"/>
          </w:tcPr>
          <w:p w14:paraId="02B9AF52"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88784E1" w14:textId="77777777" w:rsidR="00753CAF" w:rsidRDefault="00753CAF" w:rsidP="00AA24C6">
            <w:pPr>
              <w:spacing w:before="50" w:after="50"/>
            </w:pPr>
            <w:r>
              <w:rPr>
                <w:rFonts w:ascii="Calibri" w:eastAsia="Calibri" w:hAnsi="Calibri" w:cs="Calibri"/>
                <w:color w:val="000000"/>
                <w:sz w:val="16"/>
                <w:szCs w:val="16"/>
              </w:rPr>
              <w:t>Follow project timeline and schedule regular progress reviews</w:t>
            </w:r>
          </w:p>
        </w:tc>
        <w:tc>
          <w:tcPr>
            <w:tcW w:w="851" w:type="dxa"/>
            <w:tcBorders>
              <w:top w:val="single" w:sz="4" w:space="0" w:color="FFFFFF"/>
              <w:left w:val="single" w:sz="4" w:space="0" w:color="FFFFFF"/>
              <w:bottom w:val="single" w:sz="4" w:space="0" w:color="FFFFFF"/>
              <w:right w:val="single" w:sz="4" w:space="0" w:color="FFFFFF"/>
            </w:tcBorders>
            <w:shd w:val="clear" w:color="auto" w:fill="F5C0C0"/>
            <w:vAlign w:val="center"/>
          </w:tcPr>
          <w:p w14:paraId="72016608" w14:textId="77777777" w:rsidR="00753CAF" w:rsidRDefault="00753CAF" w:rsidP="00AA24C6">
            <w:pPr>
              <w:spacing w:before="50" w:after="50"/>
            </w:pPr>
            <w:r>
              <w:rPr>
                <w:rFonts w:ascii="Calibri" w:eastAsia="Calibri" w:hAnsi="Calibri" w:cs="Calibri"/>
                <w:b/>
                <w:bCs/>
                <w:color w:val="7B0000"/>
                <w:sz w:val="16"/>
                <w:szCs w:val="16"/>
              </w:rPr>
              <w:t>High</w:t>
            </w:r>
          </w:p>
        </w:tc>
      </w:tr>
      <w:tr w:rsidR="00753CAF" w14:paraId="361366E8" w14:textId="77777777" w:rsidTr="00AA24C6">
        <w:trPr>
          <w:trHeight w:val="526"/>
        </w:trPr>
        <w:tc>
          <w:tcPr>
            <w:tcW w:w="517"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2FB70668" w14:textId="77777777" w:rsidR="00753CAF" w:rsidRDefault="00753CAF" w:rsidP="00AA24C6">
            <w:pPr>
              <w:spacing w:before="50" w:after="50"/>
            </w:pPr>
            <w:r>
              <w:rPr>
                <w:rFonts w:ascii="Calibri" w:eastAsia="Calibri" w:hAnsi="Calibri" w:cs="Calibri"/>
                <w:color w:val="000000"/>
                <w:sz w:val="16"/>
                <w:szCs w:val="16"/>
              </w:rPr>
              <w:t>11</w:t>
            </w:r>
          </w:p>
        </w:tc>
        <w:tc>
          <w:tcPr>
            <w:tcW w:w="11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1B7D8E90" w14:textId="77777777" w:rsidR="00753CAF" w:rsidRDefault="00753CAF" w:rsidP="00AA24C6">
            <w:pPr>
              <w:spacing w:before="50" w:after="50"/>
            </w:pPr>
            <w:r>
              <w:rPr>
                <w:rFonts w:ascii="Calibri" w:eastAsia="Calibri" w:hAnsi="Calibri" w:cs="Calibri"/>
                <w:color w:val="000000"/>
                <w:sz w:val="16"/>
                <w:szCs w:val="16"/>
              </w:rPr>
              <w:t>Research Scope</w:t>
            </w:r>
          </w:p>
        </w:tc>
        <w:tc>
          <w:tcPr>
            <w:tcW w:w="1603"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AD2E86E" w14:textId="77777777" w:rsidR="00753CAF" w:rsidRDefault="00753CAF" w:rsidP="00AA24C6">
            <w:pPr>
              <w:spacing w:before="50" w:after="50"/>
            </w:pPr>
            <w:r>
              <w:rPr>
                <w:rFonts w:ascii="Calibri" w:eastAsia="Calibri" w:hAnsi="Calibri" w:cs="Calibri"/>
                <w:color w:val="000000"/>
                <w:sz w:val="16"/>
                <w:szCs w:val="16"/>
              </w:rPr>
              <w:t>Word count exceeded</w:t>
            </w:r>
          </w:p>
        </w:tc>
        <w:tc>
          <w:tcPr>
            <w:tcW w:w="1356"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482B8DB1" w14:textId="77777777" w:rsidR="00753CAF" w:rsidRDefault="00753CAF" w:rsidP="00AA24C6">
            <w:pPr>
              <w:spacing w:before="50" w:after="50"/>
            </w:pPr>
            <w:r>
              <w:rPr>
                <w:rFonts w:ascii="Calibri" w:eastAsia="Calibri" w:hAnsi="Calibri" w:cs="Calibri"/>
                <w:color w:val="000000"/>
                <w:sz w:val="16"/>
                <w:szCs w:val="16"/>
              </w:rPr>
              <w:t>Loss of marks</w:t>
            </w:r>
          </w:p>
        </w:tc>
        <w:tc>
          <w:tcPr>
            <w:tcW w:w="1010"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49E78EF3" w14:textId="77777777" w:rsidR="00753CAF" w:rsidRDefault="00753CAF" w:rsidP="00AA24C6">
            <w:pPr>
              <w:spacing w:before="50" w:after="50"/>
            </w:pPr>
            <w:r>
              <w:rPr>
                <w:rFonts w:ascii="Calibri" w:eastAsia="Calibri" w:hAnsi="Calibri" w:cs="Calibri"/>
                <w:color w:val="000000"/>
                <w:sz w:val="16"/>
                <w:szCs w:val="16"/>
              </w:rPr>
              <w:t>Medium</w:t>
            </w:r>
          </w:p>
        </w:tc>
        <w:tc>
          <w:tcPr>
            <w:tcW w:w="1010"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5363DD56" w14:textId="77777777" w:rsidR="00753CAF" w:rsidRDefault="00753CAF" w:rsidP="00AA24C6">
            <w:pPr>
              <w:spacing w:before="50" w:after="50"/>
            </w:pPr>
            <w:r>
              <w:rPr>
                <w:rFonts w:ascii="Calibri" w:eastAsia="Calibri" w:hAnsi="Calibri" w:cs="Calibri"/>
                <w:b/>
                <w:bCs/>
                <w:color w:val="5C3D00"/>
                <w:sz w:val="16"/>
                <w:szCs w:val="16"/>
              </w:rPr>
              <w:t>Medium</w:t>
            </w:r>
          </w:p>
        </w:tc>
        <w:tc>
          <w:tcPr>
            <w:tcW w:w="283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392F1D03" w14:textId="77777777" w:rsidR="00753CAF" w:rsidRDefault="00753CAF" w:rsidP="00AA24C6">
            <w:pPr>
              <w:spacing w:before="50" w:after="50"/>
            </w:pPr>
            <w:r>
              <w:rPr>
                <w:rFonts w:ascii="Calibri" w:eastAsia="Calibri" w:hAnsi="Calibri" w:cs="Calibri"/>
                <w:color w:val="000000"/>
                <w:sz w:val="16"/>
                <w:szCs w:val="16"/>
              </w:rPr>
              <w:t>Regularly review and edit the dissertation throughout writing</w:t>
            </w:r>
          </w:p>
        </w:tc>
        <w:tc>
          <w:tcPr>
            <w:tcW w:w="851"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5F78BDBA" w14:textId="77777777" w:rsidR="00753CAF" w:rsidRDefault="00753CAF" w:rsidP="00AA24C6">
            <w:pPr>
              <w:spacing w:before="50" w:after="50"/>
            </w:pPr>
            <w:r>
              <w:rPr>
                <w:rFonts w:ascii="Calibri" w:eastAsia="Calibri" w:hAnsi="Calibri" w:cs="Calibri"/>
                <w:b/>
                <w:bCs/>
                <w:color w:val="5C3D00"/>
                <w:sz w:val="16"/>
                <w:szCs w:val="16"/>
              </w:rPr>
              <w:t>Medium</w:t>
            </w:r>
          </w:p>
        </w:tc>
      </w:tr>
      <w:tr w:rsidR="00753CAF" w14:paraId="706346DF" w14:textId="77777777" w:rsidTr="00AA24C6">
        <w:trPr>
          <w:trHeight w:val="732"/>
        </w:trPr>
        <w:tc>
          <w:tcPr>
            <w:tcW w:w="517"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15FA00F" w14:textId="77777777" w:rsidR="00753CAF" w:rsidRDefault="00753CAF" w:rsidP="00AA24C6">
            <w:pPr>
              <w:spacing w:before="50" w:after="50"/>
            </w:pPr>
            <w:r>
              <w:rPr>
                <w:rFonts w:ascii="Calibri" w:eastAsia="Calibri" w:hAnsi="Calibri" w:cs="Calibri"/>
                <w:color w:val="000000"/>
                <w:sz w:val="16"/>
                <w:szCs w:val="16"/>
              </w:rPr>
              <w:t>12</w:t>
            </w:r>
          </w:p>
        </w:tc>
        <w:tc>
          <w:tcPr>
            <w:tcW w:w="11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C8C27C1" w14:textId="77777777" w:rsidR="00753CAF" w:rsidRDefault="00753CAF" w:rsidP="00AA24C6">
            <w:pPr>
              <w:spacing w:before="50" w:after="50"/>
            </w:pPr>
            <w:r>
              <w:rPr>
                <w:rFonts w:ascii="Calibri" w:eastAsia="Calibri" w:hAnsi="Calibri" w:cs="Calibri"/>
                <w:color w:val="000000"/>
                <w:sz w:val="16"/>
                <w:szCs w:val="16"/>
              </w:rPr>
              <w:t>Personal</w:t>
            </w:r>
          </w:p>
        </w:tc>
        <w:tc>
          <w:tcPr>
            <w:tcW w:w="1603"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57DDFBD1" w14:textId="77777777" w:rsidR="00753CAF" w:rsidRDefault="00753CAF" w:rsidP="00AA24C6">
            <w:pPr>
              <w:spacing w:before="50" w:after="50"/>
            </w:pPr>
            <w:r>
              <w:rPr>
                <w:rFonts w:ascii="Calibri" w:eastAsia="Calibri" w:hAnsi="Calibri" w:cs="Calibri"/>
                <w:color w:val="000000"/>
                <w:sz w:val="16"/>
                <w:szCs w:val="16"/>
              </w:rPr>
              <w:t>Illness or unforeseen personal circumstances</w:t>
            </w:r>
          </w:p>
        </w:tc>
        <w:tc>
          <w:tcPr>
            <w:tcW w:w="1356"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7A125F8F" w14:textId="77777777" w:rsidR="00753CAF" w:rsidRDefault="00753CAF" w:rsidP="00AA24C6">
            <w:pPr>
              <w:spacing w:before="50" w:after="50"/>
            </w:pPr>
            <w:r>
              <w:rPr>
                <w:rFonts w:ascii="Calibri" w:eastAsia="Calibri" w:hAnsi="Calibri" w:cs="Calibri"/>
                <w:color w:val="000000"/>
                <w:sz w:val="16"/>
                <w:szCs w:val="16"/>
              </w:rPr>
              <w:t>Reduced productivity</w:t>
            </w:r>
          </w:p>
        </w:tc>
        <w:tc>
          <w:tcPr>
            <w:tcW w:w="1010"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2DE8DA99" w14:textId="77777777" w:rsidR="00753CAF" w:rsidRDefault="00753CAF" w:rsidP="00AA24C6">
            <w:pPr>
              <w:spacing w:before="50" w:after="50"/>
            </w:pPr>
            <w:r>
              <w:rPr>
                <w:rFonts w:ascii="Calibri" w:eastAsia="Calibri" w:hAnsi="Calibri" w:cs="Calibri"/>
                <w:color w:val="000000"/>
                <w:sz w:val="16"/>
                <w:szCs w:val="16"/>
              </w:rPr>
              <w:t>Low</w:t>
            </w:r>
          </w:p>
        </w:tc>
        <w:tc>
          <w:tcPr>
            <w:tcW w:w="1010" w:type="dxa"/>
            <w:tcBorders>
              <w:top w:val="single" w:sz="4" w:space="0" w:color="FFFFFF"/>
              <w:left w:val="single" w:sz="4" w:space="0" w:color="FFFFFF"/>
              <w:bottom w:val="single" w:sz="4" w:space="0" w:color="FFFFFF"/>
              <w:right w:val="single" w:sz="4" w:space="0" w:color="FFFFFF"/>
            </w:tcBorders>
            <w:shd w:val="clear" w:color="auto" w:fill="F5C0C0"/>
            <w:vAlign w:val="center"/>
          </w:tcPr>
          <w:p w14:paraId="5916FDEA" w14:textId="77777777" w:rsidR="00753CAF" w:rsidRDefault="00753CAF" w:rsidP="00AA24C6">
            <w:pPr>
              <w:spacing w:before="50" w:after="50"/>
            </w:pPr>
            <w:r>
              <w:rPr>
                <w:rFonts w:ascii="Calibri" w:eastAsia="Calibri" w:hAnsi="Calibri" w:cs="Calibri"/>
                <w:b/>
                <w:bCs/>
                <w:color w:val="7B0000"/>
                <w:sz w:val="16"/>
                <w:szCs w:val="16"/>
              </w:rPr>
              <w:t>High</w:t>
            </w:r>
          </w:p>
        </w:tc>
        <w:tc>
          <w:tcPr>
            <w:tcW w:w="283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6217EE25" w14:textId="77777777" w:rsidR="00753CAF" w:rsidRDefault="00753CAF" w:rsidP="00AA24C6">
            <w:pPr>
              <w:spacing w:before="50" w:after="50"/>
            </w:pPr>
            <w:r>
              <w:rPr>
                <w:rFonts w:ascii="Calibri" w:eastAsia="Calibri" w:hAnsi="Calibri" w:cs="Calibri"/>
                <w:color w:val="000000"/>
                <w:sz w:val="16"/>
                <w:szCs w:val="16"/>
              </w:rPr>
              <w:t>Maintain regular progress and allow contingency time within the schedule</w:t>
            </w:r>
          </w:p>
        </w:tc>
        <w:tc>
          <w:tcPr>
            <w:tcW w:w="851" w:type="dxa"/>
            <w:tcBorders>
              <w:top w:val="single" w:sz="4" w:space="0" w:color="FFFFFF"/>
              <w:left w:val="single" w:sz="4" w:space="0" w:color="FFFFFF"/>
              <w:bottom w:val="single" w:sz="4" w:space="0" w:color="FFFFFF"/>
              <w:right w:val="single" w:sz="4" w:space="0" w:color="FFFFFF"/>
            </w:tcBorders>
            <w:shd w:val="clear" w:color="auto" w:fill="FFF0C0"/>
            <w:vAlign w:val="center"/>
          </w:tcPr>
          <w:p w14:paraId="4B17F01C" w14:textId="77777777" w:rsidR="00753CAF" w:rsidRDefault="00753CAF" w:rsidP="00AA24C6">
            <w:pPr>
              <w:spacing w:before="50" w:after="50"/>
            </w:pPr>
            <w:r>
              <w:rPr>
                <w:rFonts w:ascii="Calibri" w:eastAsia="Calibri" w:hAnsi="Calibri" w:cs="Calibri"/>
                <w:b/>
                <w:bCs/>
                <w:color w:val="5C3D00"/>
                <w:sz w:val="16"/>
                <w:szCs w:val="16"/>
              </w:rPr>
              <w:t>Medium</w:t>
            </w:r>
          </w:p>
        </w:tc>
      </w:tr>
    </w:tbl>
    <w:p w14:paraId="2BA2DE03" w14:textId="1AE40ED6" w:rsidR="00753CAF" w:rsidRDefault="006D3ED4" w:rsidP="006D3ED4">
      <w:pPr>
        <w:spacing w:before="200" w:after="80"/>
        <w:jc w:val="center"/>
      </w:pPr>
      <w:r w:rsidRPr="00961DA2">
        <w:rPr>
          <w:rFonts w:ascii="Calibri" w:eastAsia="Calibri" w:hAnsi="Calibri" w:cs="Calibri"/>
          <w:b/>
          <w:bCs/>
          <w:i/>
          <w:iCs/>
          <w:color w:val="1A4A6E"/>
          <w:sz w:val="20"/>
          <w:szCs w:val="20"/>
        </w:rPr>
        <w:t>Source: Generated by author (2026).</w:t>
      </w:r>
    </w:p>
    <w:p w14:paraId="222BDC74" w14:textId="77777777" w:rsidR="00753CAF" w:rsidRDefault="00753CAF" w:rsidP="00753CAF">
      <w:pPr>
        <w:spacing w:after="120"/>
      </w:pPr>
      <w:r>
        <w:rPr>
          <w:rFonts w:ascii="Calibri" w:eastAsia="Calibri" w:hAnsi="Calibri" w:cs="Calibri"/>
          <w:b/>
          <w:bCs/>
          <w:color w:val="1A4A6E"/>
          <w:sz w:val="20"/>
          <w:szCs w:val="20"/>
        </w:rPr>
        <w:t>Priority Key</w:t>
      </w:r>
    </w:p>
    <w:tbl>
      <w:tblPr>
        <w:tblW w:w="66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57"/>
        <w:gridCol w:w="5205"/>
      </w:tblGrid>
      <w:tr w:rsidR="00753CAF" w14:paraId="5B8EED6B" w14:textId="77777777" w:rsidTr="005563AA">
        <w:trPr>
          <w:trHeight w:val="451"/>
          <w:tblHeader/>
        </w:trPr>
        <w:tc>
          <w:tcPr>
            <w:tcW w:w="145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07B50CEF" w14:textId="77777777" w:rsidR="00753CAF" w:rsidRDefault="00753CAF" w:rsidP="00AA24C6">
            <w:pPr>
              <w:spacing w:before="60" w:after="60"/>
            </w:pPr>
            <w:r>
              <w:rPr>
                <w:rFonts w:ascii="Calibri" w:eastAsia="Calibri" w:hAnsi="Calibri" w:cs="Calibri"/>
                <w:b/>
                <w:bCs/>
                <w:color w:val="FFFFFF"/>
                <w:sz w:val="16"/>
                <w:szCs w:val="16"/>
              </w:rPr>
              <w:t>Priority</w:t>
            </w:r>
          </w:p>
        </w:tc>
        <w:tc>
          <w:tcPr>
            <w:tcW w:w="5205"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47BDE88B" w14:textId="77777777" w:rsidR="00753CAF" w:rsidRDefault="00753CAF" w:rsidP="00AA24C6">
            <w:pPr>
              <w:spacing w:before="60" w:after="60"/>
            </w:pPr>
            <w:r>
              <w:rPr>
                <w:rFonts w:ascii="Calibri" w:eastAsia="Calibri" w:hAnsi="Calibri" w:cs="Calibri"/>
                <w:b/>
                <w:bCs/>
                <w:color w:val="FFFFFF"/>
                <w:sz w:val="16"/>
                <w:szCs w:val="16"/>
              </w:rPr>
              <w:t>Meaning</w:t>
            </w:r>
          </w:p>
        </w:tc>
      </w:tr>
      <w:tr w:rsidR="00753CAF" w14:paraId="58D3F326" w14:textId="77777777" w:rsidTr="005563AA">
        <w:trPr>
          <w:trHeight w:val="434"/>
        </w:trPr>
        <w:tc>
          <w:tcPr>
            <w:tcW w:w="1457" w:type="dxa"/>
            <w:tcBorders>
              <w:top w:val="single" w:sz="4" w:space="0" w:color="FFFFFF"/>
              <w:left w:val="single" w:sz="4" w:space="0" w:color="FFFFFF"/>
              <w:bottom w:val="single" w:sz="4" w:space="0" w:color="FFFFFF"/>
              <w:right w:val="single" w:sz="4" w:space="0" w:color="FFFFFF"/>
            </w:tcBorders>
            <w:shd w:val="clear" w:color="auto" w:fill="FDECEA"/>
            <w:vAlign w:val="center"/>
          </w:tcPr>
          <w:p w14:paraId="1537024F" w14:textId="77777777" w:rsidR="00753CAF" w:rsidRPr="005563AA" w:rsidRDefault="00753CAF" w:rsidP="00AA24C6">
            <w:pPr>
              <w:spacing w:before="50" w:after="50"/>
              <w:rPr>
                <w:sz w:val="18"/>
                <w:szCs w:val="18"/>
              </w:rPr>
            </w:pPr>
            <w:r w:rsidRPr="005563AA">
              <w:rPr>
                <w:rFonts w:ascii="Calibri" w:eastAsia="Calibri" w:hAnsi="Calibri" w:cs="Calibri"/>
                <w:b/>
                <w:bCs/>
                <w:color w:val="7B0000"/>
                <w:sz w:val="18"/>
                <w:szCs w:val="18"/>
              </w:rPr>
              <w:t>High</w:t>
            </w:r>
          </w:p>
        </w:tc>
        <w:tc>
          <w:tcPr>
            <w:tcW w:w="5205" w:type="dxa"/>
            <w:tcBorders>
              <w:top w:val="single" w:sz="4" w:space="0" w:color="FFFFFF"/>
              <w:left w:val="single" w:sz="4" w:space="0" w:color="FFFFFF"/>
              <w:bottom w:val="single" w:sz="4" w:space="0" w:color="FFFFFF"/>
              <w:right w:val="single" w:sz="4" w:space="0" w:color="FFFFFF"/>
            </w:tcBorders>
            <w:shd w:val="clear" w:color="auto" w:fill="FFFFFF"/>
            <w:vAlign w:val="center"/>
          </w:tcPr>
          <w:p w14:paraId="7A603B68" w14:textId="77777777" w:rsidR="00753CAF" w:rsidRPr="005563AA" w:rsidRDefault="00753CAF" w:rsidP="00AA24C6">
            <w:pPr>
              <w:spacing w:before="50" w:after="50"/>
              <w:rPr>
                <w:sz w:val="18"/>
                <w:szCs w:val="18"/>
              </w:rPr>
            </w:pPr>
            <w:r w:rsidRPr="005563AA">
              <w:rPr>
                <w:rFonts w:ascii="Calibri" w:eastAsia="Calibri" w:hAnsi="Calibri" w:cs="Calibri"/>
                <w:color w:val="000000"/>
                <w:sz w:val="18"/>
                <w:szCs w:val="18"/>
              </w:rPr>
              <w:t>Should be addressed promptly — significant impact on research quality</w:t>
            </w:r>
          </w:p>
        </w:tc>
      </w:tr>
      <w:tr w:rsidR="00753CAF" w14:paraId="7F3E0E27" w14:textId="77777777" w:rsidTr="005563AA">
        <w:trPr>
          <w:trHeight w:val="417"/>
        </w:trPr>
        <w:tc>
          <w:tcPr>
            <w:tcW w:w="1457" w:type="dxa"/>
            <w:tcBorders>
              <w:top w:val="single" w:sz="4" w:space="0" w:color="FFFFFF"/>
              <w:left w:val="single" w:sz="4" w:space="0" w:color="FFFFFF"/>
              <w:bottom w:val="single" w:sz="4" w:space="0" w:color="FFFFFF"/>
              <w:right w:val="single" w:sz="4" w:space="0" w:color="FFFFFF"/>
            </w:tcBorders>
            <w:shd w:val="clear" w:color="auto" w:fill="FFF8E1"/>
            <w:vAlign w:val="center"/>
          </w:tcPr>
          <w:p w14:paraId="5623E812" w14:textId="77777777" w:rsidR="00753CAF" w:rsidRPr="005563AA" w:rsidRDefault="00753CAF" w:rsidP="00AA24C6">
            <w:pPr>
              <w:spacing w:before="50" w:after="50"/>
              <w:rPr>
                <w:sz w:val="18"/>
                <w:szCs w:val="18"/>
              </w:rPr>
            </w:pPr>
            <w:r w:rsidRPr="005563AA">
              <w:rPr>
                <w:rFonts w:ascii="Calibri" w:eastAsia="Calibri" w:hAnsi="Calibri" w:cs="Calibri"/>
                <w:b/>
                <w:bCs/>
                <w:color w:val="5C3D00"/>
                <w:sz w:val="18"/>
                <w:szCs w:val="18"/>
              </w:rPr>
              <w:t>Medium</w:t>
            </w:r>
          </w:p>
        </w:tc>
        <w:tc>
          <w:tcPr>
            <w:tcW w:w="5205" w:type="dxa"/>
            <w:tcBorders>
              <w:top w:val="single" w:sz="4" w:space="0" w:color="FFFFFF"/>
              <w:left w:val="single" w:sz="4" w:space="0" w:color="FFFFFF"/>
              <w:bottom w:val="single" w:sz="4" w:space="0" w:color="FFFFFF"/>
              <w:right w:val="single" w:sz="4" w:space="0" w:color="FFFFFF"/>
            </w:tcBorders>
            <w:shd w:val="clear" w:color="auto" w:fill="D6E4F0"/>
            <w:vAlign w:val="center"/>
          </w:tcPr>
          <w:p w14:paraId="3A8AF0A0" w14:textId="77777777" w:rsidR="00753CAF" w:rsidRPr="005563AA" w:rsidRDefault="00753CAF" w:rsidP="00AA24C6">
            <w:pPr>
              <w:spacing w:before="50" w:after="50"/>
              <w:rPr>
                <w:sz w:val="18"/>
                <w:szCs w:val="18"/>
              </w:rPr>
            </w:pPr>
            <w:r w:rsidRPr="005563AA">
              <w:rPr>
                <w:rFonts w:ascii="Calibri" w:eastAsia="Calibri" w:hAnsi="Calibri" w:cs="Calibri"/>
                <w:color w:val="000000"/>
                <w:sz w:val="18"/>
                <w:szCs w:val="18"/>
              </w:rPr>
              <w:t>Monitor and manage — manageable with early action</w:t>
            </w:r>
          </w:p>
        </w:tc>
      </w:tr>
    </w:tbl>
    <w:p w14:paraId="7B8CB94F" w14:textId="77777777" w:rsidR="005563AA" w:rsidRDefault="005563AA" w:rsidP="009C0D87">
      <w:pPr>
        <w:spacing w:line="276" w:lineRule="auto"/>
        <w:jc w:val="both"/>
        <w:rPr>
          <w:rFonts w:ascii="Calibri" w:eastAsia="Calibri" w:hAnsi="Calibri" w:cs="Calibri"/>
          <w:i/>
          <w:iCs/>
          <w:color w:val="000000"/>
          <w:sz w:val="18"/>
          <w:szCs w:val="18"/>
        </w:rPr>
      </w:pPr>
    </w:p>
    <w:p w14:paraId="0CB894F3" w14:textId="77777777" w:rsidR="005563AA" w:rsidRDefault="005563AA" w:rsidP="009C0D87">
      <w:pPr>
        <w:spacing w:line="276" w:lineRule="auto"/>
        <w:jc w:val="both"/>
        <w:rPr>
          <w:rFonts w:ascii="Calibri" w:eastAsia="Calibri" w:hAnsi="Calibri" w:cs="Calibri"/>
          <w:i/>
          <w:iCs/>
          <w:color w:val="000000"/>
          <w:sz w:val="18"/>
          <w:szCs w:val="18"/>
        </w:rPr>
      </w:pPr>
    </w:p>
    <w:p w14:paraId="230C14CA" w14:textId="60ADF5B9" w:rsidR="009C0D87" w:rsidRDefault="009C0D87" w:rsidP="009C0D87">
      <w:pPr>
        <w:spacing w:line="276" w:lineRule="auto"/>
        <w:jc w:val="both"/>
      </w:pPr>
      <w:r w:rsidRPr="001172CF">
        <w:t>Overall, the identified risks are considered manageable through effective project planning, early ethical approval, careful questionnaire design, secure data management, and regular progress monitoring. The mitigation strategies outlined above are intended to minimise disruption and support the successful completion of the research within the planned project timeframe.</w:t>
      </w:r>
    </w:p>
    <w:p w14:paraId="643BC946" w14:textId="77777777" w:rsidR="00B8587E" w:rsidRDefault="00B8587E" w:rsidP="009C0D87">
      <w:pPr>
        <w:spacing w:line="276" w:lineRule="auto"/>
        <w:jc w:val="both"/>
      </w:pPr>
    </w:p>
    <w:p w14:paraId="0AC39419" w14:textId="77777777" w:rsidR="00DE0FA1" w:rsidRDefault="00B8587E" w:rsidP="00DE0FA1">
      <w:pPr>
        <w:pStyle w:val="Heading1"/>
      </w:pPr>
      <w:bookmarkStart w:id="48" w:name="_Toc234710580"/>
      <w:r w:rsidRPr="00B8587E">
        <w:lastRenderedPageBreak/>
        <w:t>Appendix H</w:t>
      </w:r>
      <w:r w:rsidR="00C75057">
        <w:t xml:space="preserve"> - </w:t>
      </w:r>
      <w:r w:rsidRPr="00B8587E">
        <w:t>Project Timeline</w:t>
      </w:r>
      <w:bookmarkEnd w:id="48"/>
    </w:p>
    <w:p w14:paraId="64331302" w14:textId="5D867857" w:rsidR="00DE0FA1" w:rsidRDefault="00DE0FA1" w:rsidP="00DE0FA1">
      <w:pPr>
        <w:spacing w:line="276" w:lineRule="auto"/>
        <w:jc w:val="both"/>
      </w:pPr>
      <w:r w:rsidRPr="00521741">
        <w:t>This appendix presents the full ten-week project timeline for the proposed research. The Gantt chart below maps all thirteen tasks across the research period, indicating where activities run concurrently and identifying the key milestones that must be achieved before subsequent phases can begin. Dissertation writing runs continuously from Week 6 alongside all active research phases to ensure steady progress toward the final submission deadline.</w:t>
      </w:r>
    </w:p>
    <w:p w14:paraId="6EB6A6A5" w14:textId="77777777" w:rsidR="00225398" w:rsidRDefault="00225398" w:rsidP="00225398">
      <w:pPr>
        <w:spacing w:after="100"/>
      </w:pPr>
      <w:r>
        <w:rPr>
          <w:rFonts w:ascii="Calibri" w:eastAsia="Calibri" w:hAnsi="Calibri" w:cs="Calibri"/>
          <w:b/>
          <w:bCs/>
          <w:i/>
          <w:iCs/>
          <w:color w:val="1E293B"/>
          <w:sz w:val="19"/>
          <w:szCs w:val="19"/>
        </w:rPr>
        <w:t xml:space="preserve">Figure H1. </w:t>
      </w:r>
      <w:r>
        <w:rPr>
          <w:rFonts w:ascii="Calibri" w:eastAsia="Calibri" w:hAnsi="Calibri" w:cs="Calibri"/>
          <w:i/>
          <w:iCs/>
          <w:color w:val="1E293B"/>
          <w:sz w:val="19"/>
          <w:szCs w:val="19"/>
        </w:rPr>
        <w:t>Gantt chart illustrating the proposed ten-week project plan, key milestones, and task dependencies.</w:t>
      </w:r>
    </w:p>
    <w:p w14:paraId="7023FA94" w14:textId="77777777" w:rsidR="00225398" w:rsidRDefault="00225398" w:rsidP="00225398">
      <w:pPr>
        <w:spacing w:before="80"/>
      </w:pPr>
    </w:p>
    <w:tbl>
      <w:tblPr>
        <w:tblW w:w="93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31"/>
        <w:gridCol w:w="698"/>
        <w:gridCol w:w="698"/>
        <w:gridCol w:w="698"/>
        <w:gridCol w:w="698"/>
        <w:gridCol w:w="698"/>
        <w:gridCol w:w="698"/>
        <w:gridCol w:w="698"/>
        <w:gridCol w:w="698"/>
        <w:gridCol w:w="698"/>
        <w:gridCol w:w="698"/>
        <w:gridCol w:w="16"/>
      </w:tblGrid>
      <w:tr w:rsidR="00225398" w14:paraId="1AAE5B7C" w14:textId="77777777" w:rsidTr="00225398">
        <w:tblPrEx>
          <w:tblCellMar>
            <w:top w:w="0" w:type="dxa"/>
            <w:bottom w:w="0" w:type="dxa"/>
          </w:tblCellMar>
        </w:tblPrEx>
        <w:trPr>
          <w:gridAfter w:val="1"/>
          <w:wAfter w:w="16" w:type="dxa"/>
          <w:trHeight w:val="618"/>
          <w:tblHeader/>
        </w:trPr>
        <w:tc>
          <w:tcPr>
            <w:tcW w:w="2331"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2F50FCAC" w14:textId="77777777" w:rsidR="00225398" w:rsidRDefault="00225398" w:rsidP="007A0064">
            <w:pPr>
              <w:spacing w:before="80" w:after="80"/>
            </w:pPr>
            <w:r>
              <w:rPr>
                <w:rFonts w:ascii="Calibri" w:eastAsia="Calibri" w:hAnsi="Calibri" w:cs="Calibri"/>
                <w:b/>
                <w:bCs/>
                <w:color w:val="FFFFFF"/>
                <w:sz w:val="17"/>
                <w:szCs w:val="17"/>
              </w:rPr>
              <w:t>Task / Milestone</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50FA2488" w14:textId="77777777" w:rsidR="00225398" w:rsidRDefault="00225398" w:rsidP="007A0064">
            <w:pPr>
              <w:spacing w:before="80" w:after="80"/>
              <w:jc w:val="center"/>
            </w:pPr>
            <w:r>
              <w:rPr>
                <w:rFonts w:ascii="Calibri" w:eastAsia="Calibri" w:hAnsi="Calibri" w:cs="Calibri"/>
                <w:b/>
                <w:bCs/>
                <w:color w:val="FFFFFF"/>
                <w:sz w:val="16"/>
                <w:szCs w:val="16"/>
              </w:rPr>
              <w:t>W1</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27584B47" w14:textId="77777777" w:rsidR="00225398" w:rsidRDefault="00225398" w:rsidP="007A0064">
            <w:pPr>
              <w:spacing w:before="80" w:after="80"/>
              <w:jc w:val="center"/>
            </w:pPr>
            <w:r>
              <w:rPr>
                <w:rFonts w:ascii="Calibri" w:eastAsia="Calibri" w:hAnsi="Calibri" w:cs="Calibri"/>
                <w:b/>
                <w:bCs/>
                <w:color w:val="FFFFFF"/>
                <w:sz w:val="16"/>
                <w:szCs w:val="16"/>
              </w:rPr>
              <w:t>W2</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014C9C6B" w14:textId="77777777" w:rsidR="00225398" w:rsidRDefault="00225398" w:rsidP="007A0064">
            <w:pPr>
              <w:spacing w:before="80" w:after="80"/>
              <w:jc w:val="center"/>
            </w:pPr>
            <w:r>
              <w:rPr>
                <w:rFonts w:ascii="Calibri" w:eastAsia="Calibri" w:hAnsi="Calibri" w:cs="Calibri"/>
                <w:b/>
                <w:bCs/>
                <w:color w:val="FFFFFF"/>
                <w:sz w:val="16"/>
                <w:szCs w:val="16"/>
              </w:rPr>
              <w:t>W3</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73195C21" w14:textId="77777777" w:rsidR="00225398" w:rsidRDefault="00225398" w:rsidP="007A0064">
            <w:pPr>
              <w:spacing w:before="80" w:after="80"/>
              <w:jc w:val="center"/>
            </w:pPr>
            <w:r>
              <w:rPr>
                <w:rFonts w:ascii="Calibri" w:eastAsia="Calibri" w:hAnsi="Calibri" w:cs="Calibri"/>
                <w:b/>
                <w:bCs/>
                <w:color w:val="FFFFFF"/>
                <w:sz w:val="16"/>
                <w:szCs w:val="16"/>
              </w:rPr>
              <w:t>W4</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2EF06516" w14:textId="77777777" w:rsidR="00225398" w:rsidRDefault="00225398" w:rsidP="007A0064">
            <w:pPr>
              <w:spacing w:before="80" w:after="80"/>
              <w:jc w:val="center"/>
            </w:pPr>
            <w:r>
              <w:rPr>
                <w:rFonts w:ascii="Calibri" w:eastAsia="Calibri" w:hAnsi="Calibri" w:cs="Calibri"/>
                <w:b/>
                <w:bCs/>
                <w:color w:val="FFFFFF"/>
                <w:sz w:val="16"/>
                <w:szCs w:val="16"/>
              </w:rPr>
              <w:t>W5</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5762CF30" w14:textId="77777777" w:rsidR="00225398" w:rsidRDefault="00225398" w:rsidP="007A0064">
            <w:pPr>
              <w:spacing w:before="80" w:after="80"/>
              <w:jc w:val="center"/>
            </w:pPr>
            <w:r>
              <w:rPr>
                <w:rFonts w:ascii="Calibri" w:eastAsia="Calibri" w:hAnsi="Calibri" w:cs="Calibri"/>
                <w:b/>
                <w:bCs/>
                <w:color w:val="FFFFFF"/>
                <w:sz w:val="16"/>
                <w:szCs w:val="16"/>
              </w:rPr>
              <w:t>W6</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04B3483F" w14:textId="77777777" w:rsidR="00225398" w:rsidRDefault="00225398" w:rsidP="007A0064">
            <w:pPr>
              <w:spacing w:before="80" w:after="80"/>
              <w:jc w:val="center"/>
            </w:pPr>
            <w:r>
              <w:rPr>
                <w:rFonts w:ascii="Calibri" w:eastAsia="Calibri" w:hAnsi="Calibri" w:cs="Calibri"/>
                <w:b/>
                <w:bCs/>
                <w:color w:val="FFFFFF"/>
                <w:sz w:val="16"/>
                <w:szCs w:val="16"/>
              </w:rPr>
              <w:t>W7</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6CE74A43" w14:textId="77777777" w:rsidR="00225398" w:rsidRDefault="00225398" w:rsidP="007A0064">
            <w:pPr>
              <w:spacing w:before="80" w:after="80"/>
              <w:jc w:val="center"/>
            </w:pPr>
            <w:r>
              <w:rPr>
                <w:rFonts w:ascii="Calibri" w:eastAsia="Calibri" w:hAnsi="Calibri" w:cs="Calibri"/>
                <w:b/>
                <w:bCs/>
                <w:color w:val="FFFFFF"/>
                <w:sz w:val="16"/>
                <w:szCs w:val="16"/>
              </w:rPr>
              <w:t>W8</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0018E115" w14:textId="77777777" w:rsidR="00225398" w:rsidRDefault="00225398" w:rsidP="007A0064">
            <w:pPr>
              <w:spacing w:before="80" w:after="80"/>
              <w:jc w:val="center"/>
            </w:pPr>
            <w:r>
              <w:rPr>
                <w:rFonts w:ascii="Calibri" w:eastAsia="Calibri" w:hAnsi="Calibri" w:cs="Calibri"/>
                <w:b/>
                <w:bCs/>
                <w:color w:val="FFFFFF"/>
                <w:sz w:val="16"/>
                <w:szCs w:val="16"/>
              </w:rPr>
              <w:t>W9</w:t>
            </w: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557F961B" w14:textId="77777777" w:rsidR="00225398" w:rsidRDefault="00225398" w:rsidP="007A0064">
            <w:pPr>
              <w:spacing w:before="80" w:after="80"/>
              <w:jc w:val="center"/>
            </w:pPr>
            <w:r>
              <w:rPr>
                <w:rFonts w:ascii="Calibri" w:eastAsia="Calibri" w:hAnsi="Calibri" w:cs="Calibri"/>
                <w:b/>
                <w:bCs/>
                <w:color w:val="FFFFFF"/>
                <w:sz w:val="16"/>
                <w:szCs w:val="16"/>
              </w:rPr>
              <w:t>W10</w:t>
            </w:r>
          </w:p>
        </w:tc>
      </w:tr>
      <w:tr w:rsidR="00225398" w14:paraId="3EC862FA" w14:textId="77777777" w:rsidTr="00225398">
        <w:tblPrEx>
          <w:tblCellMar>
            <w:top w:w="0" w:type="dxa"/>
            <w:bottom w:w="0" w:type="dxa"/>
          </w:tblCellMar>
        </w:tblPrEx>
        <w:trPr>
          <w:gridAfter w:val="1"/>
          <w:wAfter w:w="16" w:type="dxa"/>
          <w:trHeight w:val="597"/>
        </w:trPr>
        <w:tc>
          <w:tcPr>
            <w:tcW w:w="2331" w:type="dxa"/>
            <w:tcBorders>
              <w:top w:val="single" w:sz="2" w:space="0" w:color="C8D0DA"/>
              <w:left w:val="single" w:sz="2" w:space="0" w:color="C8D0DA"/>
              <w:bottom w:val="single" w:sz="2" w:space="0" w:color="C8D0DA"/>
              <w:right w:val="single" w:sz="2" w:space="0" w:color="C8D0DA"/>
            </w:tcBorders>
            <w:shd w:val="clear" w:color="auto" w:fill="FFFFFF"/>
            <w:vAlign w:val="center"/>
          </w:tcPr>
          <w:p w14:paraId="2DF864B6" w14:textId="77777777" w:rsidR="00225398" w:rsidRDefault="00225398" w:rsidP="007A0064">
            <w:pPr>
              <w:spacing w:before="70" w:after="70"/>
            </w:pPr>
            <w:r>
              <w:rPr>
                <w:rFonts w:ascii="Calibri" w:eastAsia="Calibri" w:hAnsi="Calibri" w:cs="Calibri"/>
                <w:color w:val="1E293B"/>
                <w:sz w:val="16"/>
                <w:szCs w:val="16"/>
              </w:rPr>
              <w:t>Literature Review &amp; Proposal Refinement</w:t>
            </w: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2D3C6A97"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01D1FFD8"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050C4E7"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59EBE0A"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5ED7A99"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28507D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489944C"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D0B0A5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B997B0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A12D027" w14:textId="77777777" w:rsidR="00225398" w:rsidRDefault="00225398" w:rsidP="007A0064">
            <w:pPr>
              <w:spacing w:before="55" w:after="55"/>
              <w:jc w:val="center"/>
            </w:pPr>
          </w:p>
        </w:tc>
      </w:tr>
      <w:tr w:rsidR="00225398" w14:paraId="4893B5D2"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EBF5FB"/>
            <w:vAlign w:val="center"/>
          </w:tcPr>
          <w:p w14:paraId="2889DF92" w14:textId="77777777" w:rsidR="00225398" w:rsidRDefault="00225398" w:rsidP="007A0064">
            <w:pPr>
              <w:spacing w:before="70" w:after="70"/>
            </w:pPr>
            <w:r>
              <w:rPr>
                <w:rFonts w:ascii="Calibri" w:eastAsia="Calibri" w:hAnsi="Calibri" w:cs="Calibri"/>
                <w:color w:val="1E293B"/>
                <w:sz w:val="16"/>
                <w:szCs w:val="16"/>
              </w:rPr>
              <w:t>Ethics Committee Approval (planned)</w:t>
            </w: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4C52BA35"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1CBE58C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D5F7AE4"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2FA5F0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A1DA14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DC22BE4"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D1A9BA6"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0D216A2"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6BB0AD5"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09B803E" w14:textId="77777777" w:rsidR="00225398" w:rsidRDefault="00225398" w:rsidP="007A0064">
            <w:pPr>
              <w:spacing w:before="55" w:after="55"/>
              <w:jc w:val="center"/>
            </w:pPr>
          </w:p>
        </w:tc>
      </w:tr>
      <w:tr w:rsidR="00225398" w14:paraId="0F0583A2"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FFFFFF"/>
            <w:vAlign w:val="center"/>
          </w:tcPr>
          <w:p w14:paraId="65B31752" w14:textId="77777777" w:rsidR="00225398" w:rsidRDefault="00225398" w:rsidP="007A0064">
            <w:pPr>
              <w:spacing w:before="70" w:after="70"/>
            </w:pPr>
            <w:r>
              <w:rPr>
                <w:rFonts w:ascii="Calibri" w:eastAsia="Calibri" w:hAnsi="Calibri" w:cs="Calibri"/>
                <w:color w:val="1E293B"/>
                <w:sz w:val="16"/>
                <w:szCs w:val="16"/>
              </w:rPr>
              <w:t>Questionnaire Design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292A36C"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6E9418A9"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4282EE9A"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408504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DFD8951"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289BF1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975C1C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598E8D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629FE6A"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411EEDE" w14:textId="77777777" w:rsidR="00225398" w:rsidRDefault="00225398" w:rsidP="007A0064">
            <w:pPr>
              <w:spacing w:before="55" w:after="55"/>
              <w:jc w:val="center"/>
            </w:pPr>
          </w:p>
        </w:tc>
      </w:tr>
      <w:tr w:rsidR="00225398" w14:paraId="176B630F"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EBF5FB"/>
            <w:vAlign w:val="center"/>
          </w:tcPr>
          <w:p w14:paraId="61978E2E" w14:textId="77777777" w:rsidR="00225398" w:rsidRDefault="00225398" w:rsidP="007A0064">
            <w:pPr>
              <w:spacing w:before="70" w:after="70"/>
            </w:pPr>
            <w:r>
              <w:rPr>
                <w:rFonts w:ascii="Calibri" w:eastAsia="Calibri" w:hAnsi="Calibri" w:cs="Calibri"/>
                <w:color w:val="1E293B"/>
                <w:sz w:val="16"/>
                <w:szCs w:val="16"/>
              </w:rPr>
              <w:t>Pilot Study &amp; Refinement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E365A9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63F4C6B"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556389B9"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6A76AC7"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FB835B3"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8F0F2F7"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EA5A686"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3F256B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2F69ECC"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A36E7E7" w14:textId="77777777" w:rsidR="00225398" w:rsidRDefault="00225398" w:rsidP="007A0064">
            <w:pPr>
              <w:spacing w:before="55" w:after="55"/>
              <w:jc w:val="center"/>
            </w:pPr>
          </w:p>
        </w:tc>
      </w:tr>
      <w:tr w:rsidR="00225398" w14:paraId="03837744"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FFFFFF"/>
            <w:vAlign w:val="center"/>
          </w:tcPr>
          <w:p w14:paraId="0DC3FDA2" w14:textId="77777777" w:rsidR="00225398" w:rsidRDefault="00225398" w:rsidP="007A0064">
            <w:pPr>
              <w:spacing w:before="70" w:after="70"/>
            </w:pPr>
            <w:r>
              <w:rPr>
                <w:rFonts w:ascii="Calibri" w:eastAsia="Calibri" w:hAnsi="Calibri" w:cs="Calibri"/>
                <w:color w:val="1E293B"/>
                <w:sz w:val="16"/>
                <w:szCs w:val="16"/>
              </w:rPr>
              <w:t>Participant Recruitment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2E5F8C2"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B84FA33"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777F5A8E"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6BC1E63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8AA4DF6"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87D98D5"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55CDB46"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654F999"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4F8555F"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5F001D8" w14:textId="77777777" w:rsidR="00225398" w:rsidRDefault="00225398" w:rsidP="007A0064">
            <w:pPr>
              <w:spacing w:before="55" w:after="55"/>
              <w:jc w:val="center"/>
            </w:pPr>
          </w:p>
        </w:tc>
      </w:tr>
      <w:tr w:rsidR="00225398" w14:paraId="661839EB"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EBF5FB"/>
            <w:vAlign w:val="center"/>
          </w:tcPr>
          <w:p w14:paraId="65831D3B" w14:textId="77777777" w:rsidR="00225398" w:rsidRDefault="00225398" w:rsidP="007A0064">
            <w:pPr>
              <w:spacing w:before="70" w:after="70"/>
            </w:pPr>
            <w:r>
              <w:rPr>
                <w:rFonts w:ascii="Calibri" w:eastAsia="Calibri" w:hAnsi="Calibri" w:cs="Calibri"/>
                <w:color w:val="1E293B"/>
                <w:sz w:val="16"/>
                <w:szCs w:val="16"/>
              </w:rPr>
              <w:t>Survey Data Collection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2053CB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DF83CD5"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742A24D"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62594587"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15CD38E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D0D3FEC"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05A358D"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FC51C98"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7E6B9CD"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972D9BF" w14:textId="77777777" w:rsidR="00225398" w:rsidRDefault="00225398" w:rsidP="007A0064">
            <w:pPr>
              <w:spacing w:before="55" w:after="55"/>
              <w:jc w:val="center"/>
            </w:pPr>
          </w:p>
        </w:tc>
      </w:tr>
      <w:tr w:rsidR="00225398" w14:paraId="00A0F3B7" w14:textId="77777777" w:rsidTr="00225398">
        <w:tblPrEx>
          <w:tblCellMar>
            <w:top w:w="0" w:type="dxa"/>
            <w:bottom w:w="0" w:type="dxa"/>
          </w:tblCellMar>
        </w:tblPrEx>
        <w:trPr>
          <w:gridAfter w:val="1"/>
          <w:wAfter w:w="16" w:type="dxa"/>
          <w:trHeight w:val="597"/>
        </w:trPr>
        <w:tc>
          <w:tcPr>
            <w:tcW w:w="2331" w:type="dxa"/>
            <w:tcBorders>
              <w:top w:val="single" w:sz="2" w:space="0" w:color="C8D0DA"/>
              <w:left w:val="single" w:sz="2" w:space="0" w:color="C8D0DA"/>
              <w:bottom w:val="single" w:sz="2" w:space="0" w:color="C8D0DA"/>
              <w:right w:val="single" w:sz="2" w:space="0" w:color="C8D0DA"/>
            </w:tcBorders>
            <w:shd w:val="clear" w:color="auto" w:fill="FFFFFF"/>
            <w:vAlign w:val="center"/>
          </w:tcPr>
          <w:p w14:paraId="4A72DBCA" w14:textId="77777777" w:rsidR="00225398" w:rsidRDefault="00225398" w:rsidP="007A0064">
            <w:pPr>
              <w:spacing w:before="70" w:after="70"/>
            </w:pPr>
            <w:r>
              <w:rPr>
                <w:rFonts w:ascii="Calibri" w:eastAsia="Calibri" w:hAnsi="Calibri" w:cs="Calibri"/>
                <w:color w:val="1E293B"/>
                <w:sz w:val="16"/>
                <w:szCs w:val="16"/>
              </w:rPr>
              <w:t>Data Cleaning &amp; Analysis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366B20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5C92BCA"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1A1850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C7A250D"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74EC620D"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2B7A7027"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132D6382"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F4F35D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CD04042"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C3DF9B2" w14:textId="77777777" w:rsidR="00225398" w:rsidRDefault="00225398" w:rsidP="007A0064">
            <w:pPr>
              <w:spacing w:before="55" w:after="55"/>
              <w:jc w:val="center"/>
            </w:pPr>
          </w:p>
        </w:tc>
      </w:tr>
      <w:tr w:rsidR="00225398" w14:paraId="2C44FEE8"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EBF5FB"/>
            <w:vAlign w:val="center"/>
          </w:tcPr>
          <w:p w14:paraId="39B262FC" w14:textId="77777777" w:rsidR="00225398" w:rsidRDefault="00225398" w:rsidP="007A0064">
            <w:pPr>
              <w:spacing w:before="70" w:after="70"/>
            </w:pPr>
            <w:r>
              <w:rPr>
                <w:rFonts w:ascii="Calibri" w:eastAsia="Calibri" w:hAnsi="Calibri" w:cs="Calibri"/>
                <w:color w:val="1E293B"/>
                <w:sz w:val="16"/>
                <w:szCs w:val="16"/>
              </w:rPr>
              <w:t>Trust-by-Design Framework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B8C3D89"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E21638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01F2D7D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C4FA26E"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61746CD"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6042C71"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1929E290"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0D2137"/>
            <w:vAlign w:val="center"/>
          </w:tcPr>
          <w:p w14:paraId="76E57D5C"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D072476"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60EAE63" w14:textId="77777777" w:rsidR="00225398" w:rsidRDefault="00225398" w:rsidP="007A0064">
            <w:pPr>
              <w:spacing w:before="55" w:after="55"/>
              <w:jc w:val="center"/>
            </w:pPr>
          </w:p>
        </w:tc>
      </w:tr>
      <w:tr w:rsidR="00225398" w14:paraId="3F6C4F68"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FFFFFF"/>
            <w:vAlign w:val="center"/>
          </w:tcPr>
          <w:p w14:paraId="6DF3D655" w14:textId="77777777" w:rsidR="00225398" w:rsidRDefault="00225398" w:rsidP="007A0064">
            <w:pPr>
              <w:spacing w:before="70" w:after="70"/>
            </w:pPr>
            <w:r>
              <w:rPr>
                <w:rFonts w:ascii="Calibri" w:eastAsia="Calibri" w:hAnsi="Calibri" w:cs="Calibri"/>
                <w:color w:val="1E293B"/>
                <w:sz w:val="16"/>
                <w:szCs w:val="16"/>
              </w:rPr>
              <w:t>Dissertation Writing &amp; Revision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E7262B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4542707B"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0E202A4"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98C0CE5"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CD77353"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60701197"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465FB0E9"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6012B96D"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4960822F"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1E4A7A"/>
            <w:vAlign w:val="center"/>
          </w:tcPr>
          <w:p w14:paraId="166F1B05" w14:textId="77777777" w:rsidR="00225398" w:rsidRDefault="00225398" w:rsidP="007A0064">
            <w:pPr>
              <w:spacing w:before="55" w:after="55"/>
              <w:jc w:val="center"/>
            </w:pPr>
          </w:p>
        </w:tc>
      </w:tr>
      <w:tr w:rsidR="00225398" w14:paraId="26F4029A" w14:textId="77777777" w:rsidTr="00225398">
        <w:tblPrEx>
          <w:tblCellMar>
            <w:top w:w="0" w:type="dxa"/>
            <w:bottom w:w="0" w:type="dxa"/>
          </w:tblCellMar>
        </w:tblPrEx>
        <w:trPr>
          <w:gridAfter w:val="1"/>
          <w:wAfter w:w="16" w:type="dxa"/>
          <w:trHeight w:val="577"/>
        </w:trPr>
        <w:tc>
          <w:tcPr>
            <w:tcW w:w="2331" w:type="dxa"/>
            <w:tcBorders>
              <w:top w:val="single" w:sz="2" w:space="0" w:color="C8D0DA"/>
              <w:left w:val="single" w:sz="2" w:space="0" w:color="C8D0DA"/>
              <w:bottom w:val="single" w:sz="2" w:space="0" w:color="C8D0DA"/>
              <w:right w:val="single" w:sz="2" w:space="0" w:color="C8D0DA"/>
            </w:tcBorders>
            <w:shd w:val="clear" w:color="auto" w:fill="EBF5FB"/>
            <w:vAlign w:val="center"/>
          </w:tcPr>
          <w:p w14:paraId="392F1249" w14:textId="77777777" w:rsidR="00225398" w:rsidRDefault="00225398" w:rsidP="007A0064">
            <w:pPr>
              <w:spacing w:before="70" w:after="70"/>
            </w:pPr>
            <w:r>
              <w:rPr>
                <w:rFonts w:ascii="Calibri" w:eastAsia="Calibri" w:hAnsi="Calibri" w:cs="Calibri"/>
                <w:color w:val="1E293B"/>
                <w:sz w:val="16"/>
                <w:szCs w:val="16"/>
              </w:rPr>
              <w:t>Supervisor Feedback &amp; Submission (proposed)</w:t>
            </w: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DDD5BA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1010F28D"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7535D480"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D262511"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2B68CCAD"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6E80D7F8"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5FEA3E1A" w14:textId="77777777" w:rsidR="00225398" w:rsidRDefault="00225398" w:rsidP="007A0064">
            <w:pPr>
              <w:spacing w:before="55" w:after="55"/>
              <w:jc w:val="center"/>
            </w:pPr>
          </w:p>
        </w:tc>
        <w:tc>
          <w:tcPr>
            <w:tcW w:w="698" w:type="dxa"/>
            <w:tcBorders>
              <w:top w:val="single" w:sz="2" w:space="0" w:color="C8D0DA"/>
              <w:left w:val="single" w:sz="2" w:space="0" w:color="C8D0DA"/>
              <w:bottom w:val="single" w:sz="2" w:space="0" w:color="C8D0DA"/>
              <w:right w:val="single" w:sz="2" w:space="0" w:color="C8D0DA"/>
            </w:tcBorders>
            <w:shd w:val="clear" w:color="auto" w:fill="D5DCE8"/>
            <w:vAlign w:val="center"/>
          </w:tcPr>
          <w:p w14:paraId="385D52C6" w14:textId="77777777" w:rsidR="00225398" w:rsidRDefault="00225398" w:rsidP="007A0064">
            <w:pPr>
              <w:spacing w:before="55" w:after="55"/>
              <w:jc w:val="center"/>
            </w:pPr>
          </w:p>
        </w:tc>
        <w:tc>
          <w:tcPr>
            <w:tcW w:w="698" w:type="dxa"/>
            <w:tcBorders>
              <w:top w:val="single" w:sz="4" w:space="0" w:color="FFFFFF"/>
              <w:left w:val="single" w:sz="4" w:space="0" w:color="FFFFFF"/>
              <w:bottom w:val="single" w:sz="4" w:space="0" w:color="FFFFFF"/>
              <w:right w:val="single" w:sz="4" w:space="0" w:color="FFFFFF"/>
            </w:tcBorders>
            <w:shd w:val="clear" w:color="auto" w:fill="DC2626"/>
            <w:vAlign w:val="center"/>
          </w:tcPr>
          <w:p w14:paraId="6F3D3BE9" w14:textId="77777777" w:rsidR="00225398" w:rsidRDefault="00225398" w:rsidP="007A0064">
            <w:pPr>
              <w:spacing w:before="55" w:after="55"/>
              <w:jc w:val="center"/>
            </w:pPr>
            <w:r>
              <w:rPr>
                <w:rFonts w:ascii="Segoe UI Symbol" w:eastAsia="Calibri" w:hAnsi="Segoe UI Symbol" w:cs="Segoe UI Symbol"/>
                <w:b/>
                <w:bCs/>
                <w:color w:val="FFFFFF"/>
                <w:sz w:val="14"/>
                <w:szCs w:val="14"/>
              </w:rPr>
              <w:t>★</w:t>
            </w:r>
          </w:p>
        </w:tc>
        <w:tc>
          <w:tcPr>
            <w:tcW w:w="698" w:type="dxa"/>
            <w:tcBorders>
              <w:top w:val="single" w:sz="4" w:space="0" w:color="FFFFFF"/>
              <w:left w:val="single" w:sz="4" w:space="0" w:color="FFFFFF"/>
              <w:bottom w:val="single" w:sz="4" w:space="0" w:color="FFFFFF"/>
              <w:right w:val="single" w:sz="4" w:space="0" w:color="FFFFFF"/>
            </w:tcBorders>
            <w:shd w:val="clear" w:color="auto" w:fill="DC2626"/>
            <w:vAlign w:val="center"/>
          </w:tcPr>
          <w:p w14:paraId="1B304C83" w14:textId="77777777" w:rsidR="00225398" w:rsidRDefault="00225398" w:rsidP="007A0064">
            <w:pPr>
              <w:spacing w:before="55" w:after="55"/>
              <w:jc w:val="center"/>
            </w:pPr>
            <w:r>
              <w:rPr>
                <w:rFonts w:ascii="Segoe UI Symbol" w:eastAsia="Calibri" w:hAnsi="Segoe UI Symbol" w:cs="Segoe UI Symbol"/>
                <w:b/>
                <w:bCs/>
                <w:color w:val="FFFFFF"/>
                <w:sz w:val="14"/>
                <w:szCs w:val="14"/>
              </w:rPr>
              <w:t>★</w:t>
            </w:r>
          </w:p>
        </w:tc>
      </w:tr>
      <w:tr w:rsidR="00225398" w14:paraId="01622AA4" w14:textId="77777777" w:rsidTr="00225398">
        <w:tblPrEx>
          <w:tblCellMar>
            <w:top w:w="0" w:type="dxa"/>
            <w:bottom w:w="0" w:type="dxa"/>
          </w:tblCellMar>
        </w:tblPrEx>
        <w:trPr>
          <w:trHeight w:val="700"/>
        </w:trPr>
        <w:tc>
          <w:tcPr>
            <w:tcW w:w="9327" w:type="dxa"/>
            <w:gridSpan w:val="12"/>
            <w:tcBorders>
              <w:top w:val="single" w:sz="2" w:space="0" w:color="C8D0DA"/>
              <w:left w:val="single" w:sz="2" w:space="0" w:color="C8D0DA"/>
              <w:bottom w:val="single" w:sz="2" w:space="0" w:color="C8D0DA"/>
              <w:right w:val="single" w:sz="2" w:space="0" w:color="C8D0DA"/>
            </w:tcBorders>
            <w:shd w:val="clear" w:color="auto" w:fill="F0F4F8"/>
            <w:vAlign w:val="center"/>
          </w:tcPr>
          <w:p w14:paraId="7A148C95" w14:textId="77777777" w:rsidR="00225398" w:rsidRDefault="00225398" w:rsidP="007A0064">
            <w:pPr>
              <w:spacing w:before="80" w:after="80"/>
            </w:pPr>
            <w:r>
              <w:rPr>
                <w:rFonts w:ascii="Calibri" w:eastAsia="Calibri" w:hAnsi="Calibri" w:cs="Calibri"/>
                <w:b/>
                <w:bCs/>
                <w:color w:val="1A3A5C"/>
                <w:sz w:val="16"/>
                <w:szCs w:val="16"/>
              </w:rPr>
              <w:t xml:space="preserve">Legend:  </w:t>
            </w:r>
            <w:r>
              <w:rPr>
                <w:rFonts w:ascii="Arial" w:eastAsia="Calibri" w:hAnsi="Arial" w:cs="Arial"/>
                <w:b/>
                <w:bCs/>
                <w:color w:val="0D2137"/>
                <w:sz w:val="20"/>
                <w:szCs w:val="20"/>
              </w:rPr>
              <w:t>█</w:t>
            </w:r>
            <w:r>
              <w:rPr>
                <w:rFonts w:ascii="Calibri" w:eastAsia="Calibri" w:hAnsi="Calibri" w:cs="Calibri"/>
                <w:b/>
                <w:bCs/>
                <w:color w:val="0D2137"/>
                <w:sz w:val="20"/>
                <w:szCs w:val="20"/>
              </w:rPr>
              <w:t xml:space="preserve"> </w:t>
            </w:r>
            <w:r>
              <w:rPr>
                <w:rFonts w:ascii="Calibri" w:eastAsia="Calibri" w:hAnsi="Calibri" w:cs="Calibri"/>
                <w:color w:val="1E293B"/>
                <w:sz w:val="15"/>
                <w:szCs w:val="15"/>
              </w:rPr>
              <w:t xml:space="preserve">Research/Analysis (proposed)   </w:t>
            </w:r>
            <w:r>
              <w:rPr>
                <w:rFonts w:ascii="Arial" w:eastAsia="Calibri" w:hAnsi="Arial" w:cs="Arial"/>
                <w:b/>
                <w:bCs/>
                <w:color w:val="1E4A7A"/>
                <w:sz w:val="20"/>
                <w:szCs w:val="20"/>
              </w:rPr>
              <w:t>█</w:t>
            </w:r>
            <w:r>
              <w:rPr>
                <w:rFonts w:ascii="Calibri" w:eastAsia="Calibri" w:hAnsi="Calibri" w:cs="Calibri"/>
                <w:b/>
                <w:bCs/>
                <w:color w:val="1E4A7A"/>
                <w:sz w:val="20"/>
                <w:szCs w:val="20"/>
              </w:rPr>
              <w:t xml:space="preserve"> </w:t>
            </w:r>
            <w:r>
              <w:rPr>
                <w:rFonts w:ascii="Calibri" w:eastAsia="Calibri" w:hAnsi="Calibri" w:cs="Calibri"/>
                <w:color w:val="1E293B"/>
                <w:sz w:val="15"/>
                <w:szCs w:val="15"/>
              </w:rPr>
              <w:t xml:space="preserve">Dissertation Writing &amp; Revision (proposed)   </w:t>
            </w:r>
            <w:r>
              <w:rPr>
                <w:rFonts w:ascii="Segoe UI Symbol" w:eastAsia="Calibri" w:hAnsi="Segoe UI Symbol" w:cs="Segoe UI Symbol"/>
                <w:b/>
                <w:bCs/>
                <w:color w:val="DC2626"/>
                <w:sz w:val="18"/>
                <w:szCs w:val="18"/>
              </w:rPr>
              <w:t>★</w:t>
            </w:r>
            <w:r>
              <w:rPr>
                <w:rFonts w:ascii="Calibri" w:eastAsia="Calibri" w:hAnsi="Calibri" w:cs="Calibri"/>
                <w:b/>
                <w:bCs/>
                <w:color w:val="DC2626"/>
                <w:sz w:val="18"/>
                <w:szCs w:val="18"/>
              </w:rPr>
              <w:t xml:space="preserve"> </w:t>
            </w:r>
            <w:r>
              <w:rPr>
                <w:rFonts w:ascii="Calibri" w:eastAsia="Calibri" w:hAnsi="Calibri" w:cs="Calibri"/>
                <w:color w:val="1E293B"/>
                <w:sz w:val="15"/>
                <w:szCs w:val="15"/>
              </w:rPr>
              <w:t>Final Submission milestone</w:t>
            </w:r>
          </w:p>
        </w:tc>
      </w:tr>
    </w:tbl>
    <w:p w14:paraId="1F4F4AA1" w14:textId="77777777" w:rsidR="00DE0FA1" w:rsidRPr="00F72202" w:rsidRDefault="00DE0FA1" w:rsidP="00225398">
      <w:pPr>
        <w:spacing w:before="320" w:after="120"/>
        <w:jc w:val="center"/>
        <w:rPr>
          <w:color w:val="156082" w:themeColor="accent1"/>
          <w:sz w:val="19"/>
          <w:szCs w:val="19"/>
        </w:rPr>
      </w:pPr>
      <w:r>
        <w:rPr>
          <w:rFonts w:ascii="Calibri" w:eastAsia="Calibri" w:hAnsi="Calibri" w:cs="Calibri"/>
          <w:i/>
          <w:iCs/>
          <w:color w:val="1A4A6E"/>
          <w:sz w:val="19"/>
          <w:szCs w:val="19"/>
        </w:rPr>
        <w:t>Figure H1: Project Timeline — Six Months</w:t>
      </w:r>
      <w:r>
        <w:rPr>
          <w:rFonts w:ascii="Calibri" w:eastAsia="Calibri" w:hAnsi="Calibri" w:cs="Calibri"/>
          <w:i/>
          <w:iCs/>
          <w:color w:val="1A4A6E"/>
          <w:sz w:val="18"/>
          <w:szCs w:val="18"/>
        </w:rPr>
        <w:t>.</w:t>
      </w:r>
      <w:r>
        <w:rPr>
          <w:rFonts w:ascii="Calibri" w:eastAsia="Calibri" w:hAnsi="Calibri" w:cs="Calibri"/>
          <w:i/>
          <w:iCs/>
          <w:color w:val="777777"/>
          <w:sz w:val="18"/>
          <w:szCs w:val="18"/>
        </w:rPr>
        <w:t xml:space="preserve"> </w:t>
      </w:r>
      <w:r>
        <w:rPr>
          <w:rFonts w:ascii="Calibri" w:eastAsia="Calibri" w:hAnsi="Calibri" w:cs="Calibri"/>
          <w:i/>
          <w:iCs/>
          <w:color w:val="156082" w:themeColor="accent1"/>
          <w:sz w:val="19"/>
          <w:szCs w:val="19"/>
        </w:rPr>
        <w:t>Source: Generated by author (2026).</w:t>
      </w:r>
    </w:p>
    <w:p w14:paraId="103EE3B9" w14:textId="77777777" w:rsidR="00225398" w:rsidRDefault="00225398" w:rsidP="00DE0FA1">
      <w:pPr>
        <w:spacing w:before="280" w:after="100"/>
        <w:rPr>
          <w:rFonts w:ascii="Calibri" w:eastAsia="Calibri" w:hAnsi="Calibri" w:cs="Calibri"/>
          <w:b/>
          <w:bCs/>
          <w:color w:val="1A4A6E"/>
          <w:sz w:val="22"/>
          <w:szCs w:val="22"/>
        </w:rPr>
      </w:pPr>
    </w:p>
    <w:p w14:paraId="3FEED06A" w14:textId="60F7748B" w:rsidR="00DE0FA1" w:rsidRDefault="00DE0FA1" w:rsidP="00DE0FA1">
      <w:pPr>
        <w:spacing w:before="280" w:after="100"/>
      </w:pPr>
      <w:r>
        <w:rPr>
          <w:rFonts w:ascii="Calibri" w:eastAsia="Calibri" w:hAnsi="Calibri" w:cs="Calibri"/>
          <w:b/>
          <w:bCs/>
          <w:color w:val="1A4A6E"/>
          <w:sz w:val="22"/>
          <w:szCs w:val="22"/>
        </w:rPr>
        <w:t>Project Milestones</w:t>
      </w:r>
    </w:p>
    <w:p w14:paraId="47BE48C0" w14:textId="77777777" w:rsidR="00DE0FA1" w:rsidRDefault="00DE0FA1" w:rsidP="00DE0FA1">
      <w:pPr>
        <w:spacing w:before="60" w:after="90" w:line="360" w:lineRule="auto"/>
        <w:jc w:val="both"/>
      </w:pPr>
      <w:r>
        <w:rPr>
          <w:rFonts w:ascii="Calibri" w:eastAsia="Calibri" w:hAnsi="Calibri" w:cs="Calibri"/>
          <w:color w:val="1A1A1A"/>
          <w:sz w:val="20"/>
          <w:szCs w:val="20"/>
        </w:rPr>
        <w:t>The project is structured around six key milestones to ensure steady, measurable progress throughout the research period. Each milestone corresponds to the completion of a defined phase or deliverable.</w:t>
      </w:r>
    </w:p>
    <w:p w14:paraId="69F9CA36" w14:textId="77777777" w:rsidR="00DE0FA1" w:rsidRDefault="00DE0FA1" w:rsidP="00DE0FA1">
      <w:pPr>
        <w:spacing w:before="100"/>
      </w:pPr>
    </w:p>
    <w:p w14:paraId="2ECF5901" w14:textId="013912F9" w:rsidR="00DE0FA1" w:rsidRDefault="00DE0FA1" w:rsidP="00DE0FA1">
      <w:pPr>
        <w:spacing w:before="80" w:after="120"/>
      </w:pPr>
      <w:r>
        <w:rPr>
          <w:rFonts w:ascii="Calibri" w:eastAsia="Calibri" w:hAnsi="Calibri" w:cs="Calibri"/>
          <w:b/>
          <w:bCs/>
          <w:i/>
          <w:iCs/>
          <w:color w:val="1A4A6E"/>
          <w:sz w:val="19"/>
          <w:szCs w:val="19"/>
        </w:rPr>
        <w:t xml:space="preserve">Table H1: Project Milestones and Deliverables. </w:t>
      </w:r>
    </w:p>
    <w:tbl>
      <w:tblPr>
        <w:tblW w:w="96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73"/>
        <w:gridCol w:w="3822"/>
        <w:gridCol w:w="4587"/>
      </w:tblGrid>
      <w:tr w:rsidR="00DE0FA1" w14:paraId="4DC9C586" w14:textId="77777777" w:rsidTr="009D6E1B">
        <w:trPr>
          <w:trHeight w:val="382"/>
          <w:tblHeader/>
        </w:trPr>
        <w:tc>
          <w:tcPr>
            <w:tcW w:w="1273"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6396379B" w14:textId="77777777" w:rsidR="00DE0FA1" w:rsidRDefault="00DE0FA1" w:rsidP="00B160DA">
            <w:pPr>
              <w:spacing w:before="80" w:after="80"/>
            </w:pPr>
            <w:r>
              <w:rPr>
                <w:rFonts w:ascii="Calibri" w:eastAsia="Calibri" w:hAnsi="Calibri" w:cs="Calibri"/>
                <w:b/>
                <w:bCs/>
                <w:color w:val="FFFFFF"/>
                <w:sz w:val="18"/>
                <w:szCs w:val="18"/>
              </w:rPr>
              <w:t>Period</w:t>
            </w:r>
          </w:p>
        </w:tc>
        <w:tc>
          <w:tcPr>
            <w:tcW w:w="3822"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14E010A6" w14:textId="77777777" w:rsidR="00DE0FA1" w:rsidRDefault="00DE0FA1" w:rsidP="00B160DA">
            <w:pPr>
              <w:spacing w:before="80" w:after="80"/>
            </w:pPr>
            <w:r>
              <w:rPr>
                <w:rFonts w:ascii="Calibri" w:eastAsia="Calibri" w:hAnsi="Calibri" w:cs="Calibri"/>
                <w:b/>
                <w:bCs/>
                <w:color w:val="FFFFFF"/>
                <w:sz w:val="18"/>
                <w:szCs w:val="18"/>
              </w:rPr>
              <w:t>Activity</w:t>
            </w:r>
          </w:p>
        </w:tc>
        <w:tc>
          <w:tcPr>
            <w:tcW w:w="4587" w:type="dxa"/>
            <w:tcBorders>
              <w:top w:val="single" w:sz="4" w:space="0" w:color="FFFFFF"/>
              <w:left w:val="single" w:sz="4" w:space="0" w:color="FFFFFF"/>
              <w:bottom w:val="single" w:sz="4" w:space="0" w:color="FFFFFF"/>
              <w:right w:val="single" w:sz="4" w:space="0" w:color="FFFFFF"/>
            </w:tcBorders>
            <w:shd w:val="clear" w:color="auto" w:fill="1A4A6E"/>
            <w:vAlign w:val="center"/>
          </w:tcPr>
          <w:p w14:paraId="72EB73E3" w14:textId="77777777" w:rsidR="00DE0FA1" w:rsidRDefault="00DE0FA1" w:rsidP="00B160DA">
            <w:pPr>
              <w:spacing w:before="80" w:after="80"/>
            </w:pPr>
            <w:r>
              <w:rPr>
                <w:rFonts w:ascii="Calibri" w:eastAsia="Calibri" w:hAnsi="Calibri" w:cs="Calibri"/>
                <w:b/>
                <w:bCs/>
                <w:color w:val="FFFFFF"/>
                <w:sz w:val="18"/>
                <w:szCs w:val="18"/>
              </w:rPr>
              <w:t>Milestone / Deliverable</w:t>
            </w:r>
          </w:p>
        </w:tc>
      </w:tr>
      <w:tr w:rsidR="00DE0FA1" w14:paraId="09ACB641" w14:textId="77777777" w:rsidTr="009D6E1B">
        <w:trPr>
          <w:trHeight w:val="605"/>
        </w:trPr>
        <w:tc>
          <w:tcPr>
            <w:tcW w:w="127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0AB7B79" w14:textId="77777777" w:rsidR="00DE0FA1" w:rsidRDefault="00DE0FA1" w:rsidP="00B160DA">
            <w:pPr>
              <w:spacing w:before="75" w:after="75"/>
            </w:pPr>
            <w:r>
              <w:rPr>
                <w:rFonts w:ascii="Calibri" w:eastAsia="Calibri" w:hAnsi="Calibri" w:cs="Calibri"/>
                <w:b/>
                <w:bCs/>
                <w:color w:val="1A4A6E"/>
                <w:sz w:val="18"/>
                <w:szCs w:val="18"/>
              </w:rPr>
              <w:t>Week 1–2</w:t>
            </w:r>
          </w:p>
        </w:tc>
        <w:tc>
          <w:tcPr>
            <w:tcW w:w="3822"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DACA9F8" w14:textId="77777777" w:rsidR="00DE0FA1" w:rsidRDefault="00DE0FA1" w:rsidP="00B160DA">
            <w:pPr>
              <w:spacing w:before="75" w:after="75"/>
            </w:pPr>
            <w:r>
              <w:rPr>
                <w:rFonts w:ascii="Calibri" w:eastAsia="Calibri" w:hAnsi="Calibri" w:cs="Calibri"/>
                <w:color w:val="1A1A1A"/>
                <w:sz w:val="18"/>
                <w:szCs w:val="18"/>
              </w:rPr>
              <w:t>Refine literature review and proposal; obtain ethics committee approval</w:t>
            </w:r>
          </w:p>
        </w:tc>
        <w:tc>
          <w:tcPr>
            <w:tcW w:w="4587"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4018734" w14:textId="77777777" w:rsidR="00DE0FA1" w:rsidRDefault="00DE0FA1" w:rsidP="00B160DA">
            <w:pPr>
              <w:spacing w:before="75" w:after="75"/>
            </w:pPr>
            <w:r>
              <w:rPr>
                <w:rFonts w:ascii="Calibri" w:eastAsia="Calibri" w:hAnsi="Calibri" w:cs="Calibri"/>
                <w:color w:val="1A1A1A"/>
                <w:sz w:val="18"/>
                <w:szCs w:val="18"/>
              </w:rPr>
              <w:t>Ethics committee approval confirmed (planned); theoretical framework finalised</w:t>
            </w:r>
          </w:p>
        </w:tc>
      </w:tr>
      <w:tr w:rsidR="00DE0FA1" w14:paraId="1E8D3479" w14:textId="77777777" w:rsidTr="009D6E1B">
        <w:trPr>
          <w:trHeight w:val="394"/>
        </w:trPr>
        <w:tc>
          <w:tcPr>
            <w:tcW w:w="1273"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41D87F5B" w14:textId="77777777" w:rsidR="00DE0FA1" w:rsidRDefault="00DE0FA1" w:rsidP="00B160DA">
            <w:pPr>
              <w:spacing w:before="75" w:after="75"/>
            </w:pPr>
            <w:r>
              <w:rPr>
                <w:rFonts w:ascii="Calibri" w:eastAsia="Calibri" w:hAnsi="Calibri" w:cs="Calibri"/>
                <w:b/>
                <w:bCs/>
                <w:color w:val="1A4A6E"/>
                <w:sz w:val="18"/>
                <w:szCs w:val="18"/>
              </w:rPr>
              <w:lastRenderedPageBreak/>
              <w:t>Week 2–3</w:t>
            </w:r>
          </w:p>
        </w:tc>
        <w:tc>
          <w:tcPr>
            <w:tcW w:w="3822"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99A9230" w14:textId="77777777" w:rsidR="00DE0FA1" w:rsidRDefault="00DE0FA1" w:rsidP="00B160DA">
            <w:pPr>
              <w:spacing w:before="75" w:after="75"/>
            </w:pPr>
            <w:r>
              <w:rPr>
                <w:rFonts w:ascii="Calibri" w:eastAsia="Calibri" w:hAnsi="Calibri" w:cs="Calibri"/>
                <w:color w:val="1A1A1A"/>
                <w:sz w:val="18"/>
                <w:szCs w:val="18"/>
              </w:rPr>
              <w:t>Design and refine survey questionnaire</w:t>
            </w:r>
          </w:p>
        </w:tc>
        <w:tc>
          <w:tcPr>
            <w:tcW w:w="4587"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9E703E5" w14:textId="77777777" w:rsidR="00DE0FA1" w:rsidRDefault="00DE0FA1" w:rsidP="00B160DA">
            <w:pPr>
              <w:spacing w:before="75" w:after="75"/>
            </w:pPr>
            <w:r>
              <w:rPr>
                <w:rFonts w:ascii="Calibri" w:eastAsia="Calibri" w:hAnsi="Calibri" w:cs="Calibri"/>
                <w:color w:val="1A1A1A"/>
                <w:sz w:val="18"/>
                <w:szCs w:val="18"/>
              </w:rPr>
              <w:t>Draft instrument complete and ready for piloting</w:t>
            </w:r>
          </w:p>
        </w:tc>
      </w:tr>
      <w:tr w:rsidR="00DE0FA1" w14:paraId="3C802971" w14:textId="77777777" w:rsidTr="009D6E1B">
        <w:trPr>
          <w:trHeight w:val="617"/>
        </w:trPr>
        <w:tc>
          <w:tcPr>
            <w:tcW w:w="127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A22B5FD" w14:textId="77777777" w:rsidR="00DE0FA1" w:rsidRDefault="00DE0FA1" w:rsidP="00B160DA">
            <w:pPr>
              <w:spacing w:before="75" w:after="75"/>
            </w:pPr>
            <w:r>
              <w:rPr>
                <w:rFonts w:ascii="Calibri" w:eastAsia="Calibri" w:hAnsi="Calibri" w:cs="Calibri"/>
                <w:b/>
                <w:bCs/>
                <w:color w:val="1A4A6E"/>
                <w:sz w:val="18"/>
                <w:szCs w:val="18"/>
              </w:rPr>
              <w:t>Week 3–4</w:t>
            </w:r>
          </w:p>
        </w:tc>
        <w:tc>
          <w:tcPr>
            <w:tcW w:w="3822"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0AC6EF3" w14:textId="77777777" w:rsidR="00DE0FA1" w:rsidRDefault="00DE0FA1" w:rsidP="00B160DA">
            <w:pPr>
              <w:spacing w:before="75" w:after="75"/>
            </w:pPr>
            <w:r>
              <w:rPr>
                <w:rFonts w:ascii="Calibri" w:eastAsia="Calibri" w:hAnsi="Calibri" w:cs="Calibri"/>
                <w:color w:val="1A1A1A"/>
                <w:sz w:val="18"/>
                <w:szCs w:val="18"/>
              </w:rPr>
              <w:t>Conduct pilot study; refine questionnaire; begin participant recruitment</w:t>
            </w:r>
          </w:p>
        </w:tc>
        <w:tc>
          <w:tcPr>
            <w:tcW w:w="4587"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229110E" w14:textId="77777777" w:rsidR="00DE0FA1" w:rsidRDefault="00DE0FA1" w:rsidP="00B160DA">
            <w:pPr>
              <w:spacing w:before="75" w:after="75"/>
            </w:pPr>
            <w:r>
              <w:rPr>
                <w:rFonts w:ascii="Calibri" w:eastAsia="Calibri" w:hAnsi="Calibri" w:cs="Calibri"/>
                <w:color w:val="1A1A1A"/>
                <w:sz w:val="18"/>
                <w:szCs w:val="18"/>
              </w:rPr>
              <w:t>Questionnaire validated; Cronbach's alpha ≥ 0.70 confirmed</w:t>
            </w:r>
          </w:p>
        </w:tc>
      </w:tr>
      <w:tr w:rsidR="00DE0FA1" w14:paraId="07B1920D" w14:textId="77777777" w:rsidTr="009D6E1B">
        <w:trPr>
          <w:trHeight w:val="382"/>
        </w:trPr>
        <w:tc>
          <w:tcPr>
            <w:tcW w:w="1273"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BC2A859" w14:textId="77777777" w:rsidR="00DE0FA1" w:rsidRDefault="00DE0FA1" w:rsidP="00B160DA">
            <w:pPr>
              <w:spacing w:before="75" w:after="75"/>
            </w:pPr>
            <w:r>
              <w:rPr>
                <w:rFonts w:ascii="Calibri" w:eastAsia="Calibri" w:hAnsi="Calibri" w:cs="Calibri"/>
                <w:b/>
                <w:bCs/>
                <w:color w:val="1A4A6E"/>
                <w:sz w:val="18"/>
                <w:szCs w:val="18"/>
              </w:rPr>
              <w:t>Week 4–5</w:t>
            </w:r>
          </w:p>
        </w:tc>
        <w:tc>
          <w:tcPr>
            <w:tcW w:w="3822"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5C11F13" w14:textId="73B0D777" w:rsidR="00DE0FA1" w:rsidRDefault="00DE0FA1" w:rsidP="00B160DA">
            <w:pPr>
              <w:spacing w:before="75" w:after="75"/>
            </w:pPr>
            <w:r>
              <w:rPr>
                <w:rFonts w:ascii="Calibri" w:eastAsia="Calibri" w:hAnsi="Calibri" w:cs="Calibri"/>
                <w:color w:val="1A1A1A"/>
                <w:sz w:val="18"/>
                <w:szCs w:val="18"/>
              </w:rPr>
              <w:t xml:space="preserve">Distribute </w:t>
            </w:r>
            <w:r w:rsidR="009D6E1B">
              <w:rPr>
                <w:rFonts w:ascii="Calibri" w:eastAsia="Calibri" w:hAnsi="Calibri" w:cs="Calibri"/>
                <w:color w:val="1A1A1A"/>
                <w:sz w:val="18"/>
                <w:szCs w:val="18"/>
              </w:rPr>
              <w:t xml:space="preserve">the </w:t>
            </w:r>
            <w:r>
              <w:rPr>
                <w:rFonts w:ascii="Calibri" w:eastAsia="Calibri" w:hAnsi="Calibri" w:cs="Calibri"/>
                <w:color w:val="1A1A1A"/>
                <w:sz w:val="18"/>
                <w:szCs w:val="18"/>
              </w:rPr>
              <w:t>survey and complete primary data collection</w:t>
            </w:r>
          </w:p>
        </w:tc>
        <w:tc>
          <w:tcPr>
            <w:tcW w:w="4587"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CD1CCFB" w14:textId="77777777" w:rsidR="00DE0FA1" w:rsidRDefault="00DE0FA1" w:rsidP="00B160DA">
            <w:pPr>
              <w:spacing w:before="75" w:after="75"/>
            </w:pPr>
            <w:r>
              <w:rPr>
                <w:rFonts w:ascii="Calibri" w:eastAsia="Calibri" w:hAnsi="Calibri" w:cs="Calibri"/>
                <w:color w:val="1A1A1A"/>
                <w:sz w:val="18"/>
                <w:szCs w:val="18"/>
              </w:rPr>
              <w:t>Minimum 180 valid responses received, cleaned, and archived</w:t>
            </w:r>
          </w:p>
        </w:tc>
      </w:tr>
      <w:tr w:rsidR="00DE0FA1" w14:paraId="7809D0CC" w14:textId="77777777" w:rsidTr="009D6E1B">
        <w:trPr>
          <w:trHeight w:val="617"/>
        </w:trPr>
        <w:tc>
          <w:tcPr>
            <w:tcW w:w="127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423CC088" w14:textId="77777777" w:rsidR="00DE0FA1" w:rsidRDefault="00DE0FA1" w:rsidP="00B160DA">
            <w:pPr>
              <w:spacing w:before="75" w:after="75"/>
            </w:pPr>
            <w:r>
              <w:rPr>
                <w:rFonts w:ascii="Calibri" w:eastAsia="Calibri" w:hAnsi="Calibri" w:cs="Calibri"/>
                <w:b/>
                <w:bCs/>
                <w:color w:val="1A4A6E"/>
                <w:sz w:val="18"/>
                <w:szCs w:val="18"/>
              </w:rPr>
              <w:t>Week 5–7</w:t>
            </w:r>
          </w:p>
        </w:tc>
        <w:tc>
          <w:tcPr>
            <w:tcW w:w="3822"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2FB30A02" w14:textId="77777777" w:rsidR="00DE0FA1" w:rsidRDefault="00DE0FA1" w:rsidP="00B160DA">
            <w:pPr>
              <w:spacing w:before="75" w:after="75"/>
            </w:pPr>
            <w:r>
              <w:rPr>
                <w:rFonts w:ascii="Calibri" w:eastAsia="Calibri" w:hAnsi="Calibri" w:cs="Calibri"/>
                <w:color w:val="1A1A1A"/>
                <w:sz w:val="18"/>
                <w:szCs w:val="18"/>
              </w:rPr>
              <w:t>Clean data; conduct statistical analysis (SPSS); interpret results</w:t>
            </w:r>
          </w:p>
        </w:tc>
        <w:tc>
          <w:tcPr>
            <w:tcW w:w="4587"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0293B816" w14:textId="77777777" w:rsidR="00DE0FA1" w:rsidRDefault="00DE0FA1" w:rsidP="00B160DA">
            <w:pPr>
              <w:spacing w:before="75" w:after="75"/>
            </w:pPr>
            <w:r>
              <w:rPr>
                <w:rFonts w:ascii="Calibri" w:eastAsia="Calibri" w:hAnsi="Calibri" w:cs="Calibri"/>
                <w:color w:val="1A1A1A"/>
                <w:sz w:val="18"/>
                <w:szCs w:val="18"/>
              </w:rPr>
              <w:t>All five analyses complete: descriptive, correlation, regression, PROCESS, ANOVA</w:t>
            </w:r>
          </w:p>
        </w:tc>
      </w:tr>
      <w:tr w:rsidR="00DE0FA1" w14:paraId="71949C42" w14:textId="77777777" w:rsidTr="009D6E1B">
        <w:trPr>
          <w:trHeight w:val="382"/>
        </w:trPr>
        <w:tc>
          <w:tcPr>
            <w:tcW w:w="1273"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2B9C13C8" w14:textId="77777777" w:rsidR="00DE0FA1" w:rsidRDefault="00DE0FA1" w:rsidP="00B160DA">
            <w:pPr>
              <w:spacing w:before="75" w:after="75"/>
            </w:pPr>
            <w:r>
              <w:rPr>
                <w:rFonts w:ascii="Calibri" w:eastAsia="Calibri" w:hAnsi="Calibri" w:cs="Calibri"/>
                <w:b/>
                <w:bCs/>
                <w:color w:val="1A4A6E"/>
                <w:sz w:val="18"/>
                <w:szCs w:val="18"/>
              </w:rPr>
              <w:t>Week 7–8</w:t>
            </w:r>
          </w:p>
        </w:tc>
        <w:tc>
          <w:tcPr>
            <w:tcW w:w="3822"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1DAF98D4" w14:textId="3706A68D" w:rsidR="00DE0FA1" w:rsidRDefault="00DE0FA1" w:rsidP="00B160DA">
            <w:pPr>
              <w:spacing w:before="75" w:after="75"/>
            </w:pPr>
            <w:r>
              <w:rPr>
                <w:rFonts w:ascii="Calibri" w:eastAsia="Calibri" w:hAnsi="Calibri" w:cs="Calibri"/>
                <w:color w:val="1A1A1A"/>
                <w:sz w:val="18"/>
                <w:szCs w:val="18"/>
              </w:rPr>
              <w:t xml:space="preserve">Develop </w:t>
            </w:r>
            <w:r w:rsidR="009D6E1B">
              <w:rPr>
                <w:rFonts w:ascii="Calibri" w:eastAsia="Calibri" w:hAnsi="Calibri" w:cs="Calibri"/>
                <w:color w:val="1A1A1A"/>
                <w:sz w:val="18"/>
                <w:szCs w:val="18"/>
              </w:rPr>
              <w:t xml:space="preserve">a </w:t>
            </w:r>
            <w:r>
              <w:rPr>
                <w:rFonts w:ascii="Calibri" w:eastAsia="Calibri" w:hAnsi="Calibri" w:cs="Calibri"/>
                <w:color w:val="1A1A1A"/>
                <w:sz w:val="18"/>
                <w:szCs w:val="18"/>
              </w:rPr>
              <w:t>Trust-by-Design Framework from empirical findings</w:t>
            </w:r>
          </w:p>
        </w:tc>
        <w:tc>
          <w:tcPr>
            <w:tcW w:w="4587" w:type="dxa"/>
            <w:tcBorders>
              <w:top w:val="single" w:sz="2" w:space="0" w:color="D5D8DC"/>
              <w:left w:val="single" w:sz="2" w:space="0" w:color="D5D8DC"/>
              <w:bottom w:val="single" w:sz="2" w:space="0" w:color="D5D8DC"/>
              <w:right w:val="single" w:sz="2" w:space="0" w:color="D5D8DC"/>
            </w:tcBorders>
            <w:shd w:val="clear" w:color="auto" w:fill="D6EAF8"/>
            <w:vAlign w:val="center"/>
          </w:tcPr>
          <w:p w14:paraId="7486C731" w14:textId="77777777" w:rsidR="00DE0FA1" w:rsidRDefault="00DE0FA1" w:rsidP="00B160DA">
            <w:pPr>
              <w:spacing w:before="75" w:after="75"/>
            </w:pPr>
            <w:r>
              <w:rPr>
                <w:rFonts w:ascii="Calibri" w:eastAsia="Calibri" w:hAnsi="Calibri" w:cs="Calibri"/>
                <w:color w:val="1A1A1A"/>
                <w:sz w:val="18"/>
                <w:szCs w:val="18"/>
              </w:rPr>
              <w:t>Three-layer framework finalised based on ranked trust predictors</w:t>
            </w:r>
          </w:p>
        </w:tc>
      </w:tr>
      <w:tr w:rsidR="00DE0FA1" w14:paraId="3DECAC45" w14:textId="77777777" w:rsidTr="009D6E1B">
        <w:trPr>
          <w:trHeight w:val="617"/>
        </w:trPr>
        <w:tc>
          <w:tcPr>
            <w:tcW w:w="1273"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6D3B7ABF" w14:textId="77777777" w:rsidR="00DE0FA1" w:rsidRDefault="00DE0FA1" w:rsidP="00B160DA">
            <w:pPr>
              <w:spacing w:before="75" w:after="75"/>
            </w:pPr>
            <w:r>
              <w:rPr>
                <w:rFonts w:ascii="Calibri" w:eastAsia="Calibri" w:hAnsi="Calibri" w:cs="Calibri"/>
                <w:b/>
                <w:bCs/>
                <w:color w:val="1A4A6E"/>
                <w:sz w:val="18"/>
                <w:szCs w:val="18"/>
              </w:rPr>
              <w:t>Week 6–10</w:t>
            </w:r>
          </w:p>
        </w:tc>
        <w:tc>
          <w:tcPr>
            <w:tcW w:w="3822"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1DE0EB73" w14:textId="77777777" w:rsidR="00DE0FA1" w:rsidRDefault="00DE0FA1" w:rsidP="00B160DA">
            <w:pPr>
              <w:spacing w:before="75" w:after="75"/>
            </w:pPr>
            <w:r>
              <w:rPr>
                <w:rFonts w:ascii="Calibri" w:eastAsia="Calibri" w:hAnsi="Calibri" w:cs="Calibri"/>
                <w:color w:val="1A1A1A"/>
                <w:sz w:val="18"/>
                <w:szCs w:val="18"/>
              </w:rPr>
              <w:t>Dissertation writing, supervisor feedback, final editing, and submission</w:t>
            </w:r>
          </w:p>
        </w:tc>
        <w:tc>
          <w:tcPr>
            <w:tcW w:w="4587" w:type="dxa"/>
            <w:tcBorders>
              <w:top w:val="single" w:sz="2" w:space="0" w:color="D5D8DC"/>
              <w:left w:val="single" w:sz="2" w:space="0" w:color="D5D8DC"/>
              <w:bottom w:val="single" w:sz="2" w:space="0" w:color="D5D8DC"/>
              <w:right w:val="single" w:sz="2" w:space="0" w:color="D5D8DC"/>
            </w:tcBorders>
            <w:shd w:val="clear" w:color="auto" w:fill="FFFFFF"/>
            <w:vAlign w:val="center"/>
          </w:tcPr>
          <w:p w14:paraId="58B54A35" w14:textId="77777777" w:rsidR="00DE0FA1" w:rsidRDefault="00DE0FA1" w:rsidP="00B160DA">
            <w:pPr>
              <w:spacing w:before="75" w:after="75"/>
            </w:pPr>
            <w:r>
              <w:rPr>
                <w:rFonts w:ascii="Calibri" w:eastAsia="Calibri" w:hAnsi="Calibri" w:cs="Calibri"/>
                <w:color w:val="1A1A1A"/>
                <w:sz w:val="18"/>
                <w:szCs w:val="18"/>
              </w:rPr>
              <w:t>Completed dissertation submitted before deadline — Week 10</w:t>
            </w:r>
          </w:p>
        </w:tc>
      </w:tr>
    </w:tbl>
    <w:p w14:paraId="3B99A4D0" w14:textId="77777777" w:rsidR="00DE0FA1" w:rsidRPr="00E04AB3" w:rsidRDefault="00DE0FA1" w:rsidP="00DE0FA1">
      <w:pPr>
        <w:spacing w:before="80" w:after="160"/>
        <w:jc w:val="center"/>
        <w:rPr>
          <w:color w:val="156082" w:themeColor="accent1"/>
        </w:rPr>
      </w:pPr>
      <w:r w:rsidRPr="00E04AB3">
        <w:rPr>
          <w:rFonts w:ascii="Calibri" w:eastAsia="Calibri" w:hAnsi="Calibri" w:cs="Calibri"/>
          <w:i/>
          <w:iCs/>
          <w:color w:val="156082" w:themeColor="accent1"/>
          <w:sz w:val="17"/>
          <w:szCs w:val="17"/>
        </w:rPr>
        <w:t>Source: Generated by author (2026).</w:t>
      </w:r>
    </w:p>
    <w:p w14:paraId="43E03509" w14:textId="77777777" w:rsidR="00756FB2" w:rsidRDefault="00756FB2" w:rsidP="00DE0FA1">
      <w:pPr>
        <w:spacing w:before="60" w:after="90" w:line="360" w:lineRule="auto"/>
        <w:jc w:val="both"/>
        <w:rPr>
          <w:rFonts w:ascii="Calibri" w:eastAsia="Calibri" w:hAnsi="Calibri" w:cs="Calibri"/>
          <w:color w:val="1A1A1A"/>
          <w:sz w:val="20"/>
          <w:szCs w:val="20"/>
        </w:rPr>
      </w:pPr>
    </w:p>
    <w:p w14:paraId="10549FEC" w14:textId="7ACCE9E9" w:rsidR="00DE0FA1" w:rsidRPr="00756FB2" w:rsidRDefault="00DE0FA1" w:rsidP="00DE0FA1">
      <w:pPr>
        <w:spacing w:before="60" w:after="90" w:line="360" w:lineRule="auto"/>
        <w:jc w:val="both"/>
      </w:pPr>
      <w:r w:rsidRPr="00756FB2">
        <w:rPr>
          <w:rFonts w:ascii="Calibri" w:eastAsia="Calibri" w:hAnsi="Calibri" w:cs="Calibri"/>
          <w:color w:val="1A1A1A"/>
        </w:rPr>
        <w:t xml:space="preserve">The timeline confirms that the proposed research is feasible within </w:t>
      </w:r>
      <w:r w:rsidR="009D6E1B">
        <w:rPr>
          <w:rFonts w:ascii="Calibri" w:eastAsia="Calibri" w:hAnsi="Calibri" w:cs="Calibri"/>
          <w:color w:val="1A1A1A"/>
        </w:rPr>
        <w:t>ten weeks</w:t>
      </w:r>
      <w:r w:rsidRPr="00756FB2">
        <w:rPr>
          <w:rFonts w:ascii="Calibri" w:eastAsia="Calibri" w:hAnsi="Calibri" w:cs="Calibri"/>
          <w:color w:val="1A1A1A"/>
        </w:rPr>
        <w:t>. The two most critical dependencies are ethics committee approval, which must be confirmed before any participant recruitment or data collection begins, and completion of all statistical analysis, which must precede development of the Trust-by-Design Framework. A one-week contingency buffer is incorporated into Week 10 to accommodate final supervisor review, proofreading, and formatting checks before submission.</w:t>
      </w:r>
    </w:p>
    <w:p w14:paraId="6FDDA11F" w14:textId="1987EAD7" w:rsidR="00B8587E" w:rsidRPr="00B8587E" w:rsidRDefault="00B8587E" w:rsidP="00C75057">
      <w:pPr>
        <w:pStyle w:val="Heading1"/>
      </w:pPr>
    </w:p>
    <w:sectPr w:rsidR="00B8587E" w:rsidRPr="00B8587E" w:rsidSect="009D549D">
      <w:footerReference w:type="default" r:id="rId12"/>
      <w:pgSz w:w="11906" w:h="16838"/>
      <w:pgMar w:top="1134" w:right="1134" w:bottom="1134" w:left="1134" w:header="708" w:footer="708"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ABE26" w14:textId="77777777" w:rsidR="00B6384A" w:rsidRDefault="00B6384A">
      <w:r>
        <w:separator/>
      </w:r>
    </w:p>
  </w:endnote>
  <w:endnote w:type="continuationSeparator" w:id="0">
    <w:p w14:paraId="79A1E2A0" w14:textId="77777777" w:rsidR="00B6384A" w:rsidRDefault="00B638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229926"/>
      <w:docPartObj>
        <w:docPartGallery w:val="Page Numbers (Bottom of Page)"/>
        <w:docPartUnique/>
      </w:docPartObj>
    </w:sdtPr>
    <w:sdtEndPr/>
    <w:sdtContent>
      <w:p w14:paraId="6579ACE6" w14:textId="77777777" w:rsidR="009D549D" w:rsidRDefault="009D549D">
        <w:pPr>
          <w:pStyle w:val="Footer"/>
          <w:jc w:val="center"/>
        </w:pPr>
        <w:r>
          <w:fldChar w:fldCharType="begin"/>
        </w:r>
        <w:r>
          <w:instrText>PAGE   \* MERGEFORMAT</w:instrText>
        </w:r>
        <w:r>
          <w:fldChar w:fldCharType="separate"/>
        </w:r>
        <w:r>
          <w:t>2</w:t>
        </w:r>
        <w:r>
          <w:fldChar w:fldCharType="end"/>
        </w:r>
      </w:p>
    </w:sdtContent>
  </w:sdt>
  <w:p w14:paraId="07EAEFCA" w14:textId="77777777" w:rsidR="00B37289" w:rsidRDefault="00B37289">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469E2" w14:textId="77777777" w:rsidR="00B6384A" w:rsidRDefault="00B6384A">
      <w:r>
        <w:separator/>
      </w:r>
    </w:p>
  </w:footnote>
  <w:footnote w:type="continuationSeparator" w:id="0">
    <w:p w14:paraId="60086930" w14:textId="77777777" w:rsidR="00B6384A" w:rsidRDefault="00B638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0562F"/>
    <w:multiLevelType w:val="multilevel"/>
    <w:tmpl w:val="0B58A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119AC"/>
    <w:multiLevelType w:val="hybridMultilevel"/>
    <w:tmpl w:val="FF6A2F36"/>
    <w:lvl w:ilvl="0" w:tplc="AD74C46A">
      <w:start w:val="1"/>
      <w:numFmt w:val="decimal"/>
      <w:lvlText w:val="%1."/>
      <w:lvlJc w:val="left"/>
      <w:pPr>
        <w:ind w:left="720" w:hanging="360"/>
      </w:pPr>
    </w:lvl>
    <w:lvl w:ilvl="1" w:tplc="ADB6BD58">
      <w:numFmt w:val="decimal"/>
      <w:lvlText w:val=""/>
      <w:lvlJc w:val="left"/>
    </w:lvl>
    <w:lvl w:ilvl="2" w:tplc="522CCAEC">
      <w:numFmt w:val="decimal"/>
      <w:lvlText w:val=""/>
      <w:lvlJc w:val="left"/>
    </w:lvl>
    <w:lvl w:ilvl="3" w:tplc="7410140E">
      <w:numFmt w:val="decimal"/>
      <w:lvlText w:val=""/>
      <w:lvlJc w:val="left"/>
    </w:lvl>
    <w:lvl w:ilvl="4" w:tplc="AB404A7A">
      <w:numFmt w:val="decimal"/>
      <w:lvlText w:val=""/>
      <w:lvlJc w:val="left"/>
    </w:lvl>
    <w:lvl w:ilvl="5" w:tplc="94924FFC">
      <w:numFmt w:val="decimal"/>
      <w:lvlText w:val=""/>
      <w:lvlJc w:val="left"/>
    </w:lvl>
    <w:lvl w:ilvl="6" w:tplc="F6B8A094">
      <w:numFmt w:val="decimal"/>
      <w:lvlText w:val=""/>
      <w:lvlJc w:val="left"/>
    </w:lvl>
    <w:lvl w:ilvl="7" w:tplc="F440DFB6">
      <w:numFmt w:val="decimal"/>
      <w:lvlText w:val=""/>
      <w:lvlJc w:val="left"/>
    </w:lvl>
    <w:lvl w:ilvl="8" w:tplc="DA521406">
      <w:numFmt w:val="decimal"/>
      <w:lvlText w:val=""/>
      <w:lvlJc w:val="left"/>
    </w:lvl>
  </w:abstractNum>
  <w:abstractNum w:abstractNumId="2" w15:restartNumberingAfterBreak="0">
    <w:nsid w:val="09EF456C"/>
    <w:multiLevelType w:val="hybridMultilevel"/>
    <w:tmpl w:val="E182C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17101"/>
    <w:multiLevelType w:val="hybridMultilevel"/>
    <w:tmpl w:val="E878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40203"/>
    <w:multiLevelType w:val="hybridMultilevel"/>
    <w:tmpl w:val="B63CC5A8"/>
    <w:lvl w:ilvl="0" w:tplc="6718638E">
      <w:start w:val="1"/>
      <w:numFmt w:val="bullet"/>
      <w:lvlText w:val="•"/>
      <w:lvlJc w:val="left"/>
      <w:pPr>
        <w:ind w:left="720" w:hanging="360"/>
      </w:pPr>
    </w:lvl>
    <w:lvl w:ilvl="1" w:tplc="9398B2FE">
      <w:numFmt w:val="decimal"/>
      <w:lvlText w:val=""/>
      <w:lvlJc w:val="left"/>
    </w:lvl>
    <w:lvl w:ilvl="2" w:tplc="54885220">
      <w:numFmt w:val="decimal"/>
      <w:lvlText w:val=""/>
      <w:lvlJc w:val="left"/>
    </w:lvl>
    <w:lvl w:ilvl="3" w:tplc="E86E6624">
      <w:numFmt w:val="decimal"/>
      <w:lvlText w:val=""/>
      <w:lvlJc w:val="left"/>
    </w:lvl>
    <w:lvl w:ilvl="4" w:tplc="EC4820BC">
      <w:numFmt w:val="decimal"/>
      <w:lvlText w:val=""/>
      <w:lvlJc w:val="left"/>
    </w:lvl>
    <w:lvl w:ilvl="5" w:tplc="17CAE83C">
      <w:numFmt w:val="decimal"/>
      <w:lvlText w:val=""/>
      <w:lvlJc w:val="left"/>
    </w:lvl>
    <w:lvl w:ilvl="6" w:tplc="EA3C9932">
      <w:numFmt w:val="decimal"/>
      <w:lvlText w:val=""/>
      <w:lvlJc w:val="left"/>
    </w:lvl>
    <w:lvl w:ilvl="7" w:tplc="8E1E911A">
      <w:numFmt w:val="decimal"/>
      <w:lvlText w:val=""/>
      <w:lvlJc w:val="left"/>
    </w:lvl>
    <w:lvl w:ilvl="8" w:tplc="F5BCDF50">
      <w:numFmt w:val="decimal"/>
      <w:lvlText w:val=""/>
      <w:lvlJc w:val="left"/>
    </w:lvl>
  </w:abstractNum>
  <w:abstractNum w:abstractNumId="5" w15:restartNumberingAfterBreak="0">
    <w:nsid w:val="1C9F38BE"/>
    <w:multiLevelType w:val="multilevel"/>
    <w:tmpl w:val="3B94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5929E7"/>
    <w:multiLevelType w:val="multilevel"/>
    <w:tmpl w:val="9AFC3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8C45F4"/>
    <w:multiLevelType w:val="multilevel"/>
    <w:tmpl w:val="EA287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106E20"/>
    <w:multiLevelType w:val="multilevel"/>
    <w:tmpl w:val="14E6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E80999"/>
    <w:multiLevelType w:val="hybridMultilevel"/>
    <w:tmpl w:val="C70CCB16"/>
    <w:lvl w:ilvl="0" w:tplc="7F28BE32">
      <w:start w:val="1"/>
      <w:numFmt w:val="bullet"/>
      <w:lvlText w:val="●"/>
      <w:lvlJc w:val="left"/>
      <w:pPr>
        <w:ind w:left="720" w:hanging="360"/>
      </w:pPr>
    </w:lvl>
    <w:lvl w:ilvl="1" w:tplc="1A127E66">
      <w:start w:val="1"/>
      <w:numFmt w:val="bullet"/>
      <w:lvlText w:val="○"/>
      <w:lvlJc w:val="left"/>
      <w:pPr>
        <w:ind w:left="1440" w:hanging="360"/>
      </w:pPr>
    </w:lvl>
    <w:lvl w:ilvl="2" w:tplc="8C562F58">
      <w:start w:val="1"/>
      <w:numFmt w:val="bullet"/>
      <w:lvlText w:val="■"/>
      <w:lvlJc w:val="left"/>
      <w:pPr>
        <w:ind w:left="2160" w:hanging="360"/>
      </w:pPr>
    </w:lvl>
    <w:lvl w:ilvl="3" w:tplc="A08E0236">
      <w:start w:val="1"/>
      <w:numFmt w:val="bullet"/>
      <w:lvlText w:val="●"/>
      <w:lvlJc w:val="left"/>
      <w:pPr>
        <w:ind w:left="2880" w:hanging="360"/>
      </w:pPr>
    </w:lvl>
    <w:lvl w:ilvl="4" w:tplc="3B34CBE2">
      <w:start w:val="1"/>
      <w:numFmt w:val="bullet"/>
      <w:lvlText w:val="○"/>
      <w:lvlJc w:val="left"/>
      <w:pPr>
        <w:ind w:left="3600" w:hanging="360"/>
      </w:pPr>
    </w:lvl>
    <w:lvl w:ilvl="5" w:tplc="453ECFCC">
      <w:start w:val="1"/>
      <w:numFmt w:val="bullet"/>
      <w:lvlText w:val="■"/>
      <w:lvlJc w:val="left"/>
      <w:pPr>
        <w:ind w:left="4320" w:hanging="360"/>
      </w:pPr>
    </w:lvl>
    <w:lvl w:ilvl="6" w:tplc="55368E08">
      <w:start w:val="1"/>
      <w:numFmt w:val="bullet"/>
      <w:lvlText w:val="●"/>
      <w:lvlJc w:val="left"/>
      <w:pPr>
        <w:ind w:left="5040" w:hanging="360"/>
      </w:pPr>
    </w:lvl>
    <w:lvl w:ilvl="7" w:tplc="5F1AF950">
      <w:start w:val="1"/>
      <w:numFmt w:val="bullet"/>
      <w:lvlText w:val="●"/>
      <w:lvlJc w:val="left"/>
      <w:pPr>
        <w:ind w:left="5760" w:hanging="360"/>
      </w:pPr>
    </w:lvl>
    <w:lvl w:ilvl="8" w:tplc="34725376">
      <w:start w:val="1"/>
      <w:numFmt w:val="bullet"/>
      <w:lvlText w:val="●"/>
      <w:lvlJc w:val="left"/>
      <w:pPr>
        <w:ind w:left="6480" w:hanging="360"/>
      </w:pPr>
    </w:lvl>
  </w:abstractNum>
  <w:abstractNum w:abstractNumId="10" w15:restartNumberingAfterBreak="0">
    <w:nsid w:val="66DB3FC8"/>
    <w:multiLevelType w:val="hybridMultilevel"/>
    <w:tmpl w:val="4B461EC0"/>
    <w:lvl w:ilvl="0" w:tplc="EC3C3C4A">
      <w:start w:val="1"/>
      <w:numFmt w:val="bullet"/>
      <w:lvlText w:val="•"/>
      <w:lvlJc w:val="left"/>
      <w:pPr>
        <w:ind w:left="720" w:hanging="360"/>
      </w:pPr>
    </w:lvl>
    <w:lvl w:ilvl="1" w:tplc="3954AFE6">
      <w:numFmt w:val="decimal"/>
      <w:lvlText w:val=""/>
      <w:lvlJc w:val="left"/>
    </w:lvl>
    <w:lvl w:ilvl="2" w:tplc="899EE5E4">
      <w:numFmt w:val="decimal"/>
      <w:lvlText w:val=""/>
      <w:lvlJc w:val="left"/>
    </w:lvl>
    <w:lvl w:ilvl="3" w:tplc="D7DA72B8">
      <w:numFmt w:val="decimal"/>
      <w:lvlText w:val=""/>
      <w:lvlJc w:val="left"/>
    </w:lvl>
    <w:lvl w:ilvl="4" w:tplc="6FA2FED0">
      <w:numFmt w:val="decimal"/>
      <w:lvlText w:val=""/>
      <w:lvlJc w:val="left"/>
    </w:lvl>
    <w:lvl w:ilvl="5" w:tplc="1CD0BA5A">
      <w:numFmt w:val="decimal"/>
      <w:lvlText w:val=""/>
      <w:lvlJc w:val="left"/>
    </w:lvl>
    <w:lvl w:ilvl="6" w:tplc="BC521724">
      <w:numFmt w:val="decimal"/>
      <w:lvlText w:val=""/>
      <w:lvlJc w:val="left"/>
    </w:lvl>
    <w:lvl w:ilvl="7" w:tplc="0CA217EC">
      <w:numFmt w:val="decimal"/>
      <w:lvlText w:val=""/>
      <w:lvlJc w:val="left"/>
    </w:lvl>
    <w:lvl w:ilvl="8" w:tplc="2D080A3C">
      <w:numFmt w:val="decimal"/>
      <w:lvlText w:val=""/>
      <w:lvlJc w:val="left"/>
    </w:lvl>
  </w:abstractNum>
  <w:num w:numId="1" w16cid:durableId="795295746">
    <w:abstractNumId w:val="9"/>
    <w:lvlOverride w:ilvl="0">
      <w:startOverride w:val="1"/>
    </w:lvlOverride>
  </w:num>
  <w:num w:numId="2" w16cid:durableId="914584236">
    <w:abstractNumId w:val="4"/>
    <w:lvlOverride w:ilvl="0">
      <w:startOverride w:val="1"/>
    </w:lvlOverride>
  </w:num>
  <w:num w:numId="3" w16cid:durableId="1629124308">
    <w:abstractNumId w:val="10"/>
    <w:lvlOverride w:ilvl="0">
      <w:startOverride w:val="1"/>
    </w:lvlOverride>
  </w:num>
  <w:num w:numId="4" w16cid:durableId="104202990">
    <w:abstractNumId w:val="3"/>
  </w:num>
  <w:num w:numId="5" w16cid:durableId="1027874775">
    <w:abstractNumId w:val="5"/>
  </w:num>
  <w:num w:numId="6" w16cid:durableId="1727022010">
    <w:abstractNumId w:val="7"/>
  </w:num>
  <w:num w:numId="7" w16cid:durableId="752431586">
    <w:abstractNumId w:val="2"/>
  </w:num>
  <w:num w:numId="8" w16cid:durableId="1300066453">
    <w:abstractNumId w:val="6"/>
  </w:num>
  <w:num w:numId="9" w16cid:durableId="730495154">
    <w:abstractNumId w:val="8"/>
  </w:num>
  <w:num w:numId="10" w16cid:durableId="1662003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289"/>
    <w:rsid w:val="00000754"/>
    <w:rsid w:val="000031A3"/>
    <w:rsid w:val="00011198"/>
    <w:rsid w:val="000124E2"/>
    <w:rsid w:val="00013C47"/>
    <w:rsid w:val="000162BA"/>
    <w:rsid w:val="000271D9"/>
    <w:rsid w:val="00027EC5"/>
    <w:rsid w:val="00027FA9"/>
    <w:rsid w:val="00037E50"/>
    <w:rsid w:val="00041961"/>
    <w:rsid w:val="000434A4"/>
    <w:rsid w:val="0004723E"/>
    <w:rsid w:val="0005394D"/>
    <w:rsid w:val="000604D0"/>
    <w:rsid w:val="00070405"/>
    <w:rsid w:val="00070D8E"/>
    <w:rsid w:val="0008181B"/>
    <w:rsid w:val="00084A05"/>
    <w:rsid w:val="00091EE1"/>
    <w:rsid w:val="00096C89"/>
    <w:rsid w:val="000A1FC4"/>
    <w:rsid w:val="000A3149"/>
    <w:rsid w:val="000C07D7"/>
    <w:rsid w:val="000C1993"/>
    <w:rsid w:val="000C6A9E"/>
    <w:rsid w:val="000C7AF4"/>
    <w:rsid w:val="000D701C"/>
    <w:rsid w:val="000D7292"/>
    <w:rsid w:val="000E1EBE"/>
    <w:rsid w:val="000E38D5"/>
    <w:rsid w:val="000E484C"/>
    <w:rsid w:val="000E5089"/>
    <w:rsid w:val="000F0D32"/>
    <w:rsid w:val="000F1BD0"/>
    <w:rsid w:val="000F2E84"/>
    <w:rsid w:val="000F33AF"/>
    <w:rsid w:val="000F3D9F"/>
    <w:rsid w:val="000F4049"/>
    <w:rsid w:val="000F7E55"/>
    <w:rsid w:val="00102838"/>
    <w:rsid w:val="00106E25"/>
    <w:rsid w:val="001118FE"/>
    <w:rsid w:val="00113164"/>
    <w:rsid w:val="001172CF"/>
    <w:rsid w:val="00117BEF"/>
    <w:rsid w:val="00123752"/>
    <w:rsid w:val="00123C4E"/>
    <w:rsid w:val="00124654"/>
    <w:rsid w:val="001346D1"/>
    <w:rsid w:val="00134B58"/>
    <w:rsid w:val="00136400"/>
    <w:rsid w:val="001423E1"/>
    <w:rsid w:val="00147EC3"/>
    <w:rsid w:val="001526BB"/>
    <w:rsid w:val="00154FF5"/>
    <w:rsid w:val="00156D58"/>
    <w:rsid w:val="001745E5"/>
    <w:rsid w:val="0017468E"/>
    <w:rsid w:val="00181188"/>
    <w:rsid w:val="00182966"/>
    <w:rsid w:val="0018462B"/>
    <w:rsid w:val="001903AD"/>
    <w:rsid w:val="00196EE0"/>
    <w:rsid w:val="001A199D"/>
    <w:rsid w:val="001E74C6"/>
    <w:rsid w:val="001F1487"/>
    <w:rsid w:val="001F4A6B"/>
    <w:rsid w:val="001F51DA"/>
    <w:rsid w:val="00203A2C"/>
    <w:rsid w:val="00205021"/>
    <w:rsid w:val="00212983"/>
    <w:rsid w:val="002209F7"/>
    <w:rsid w:val="00221B70"/>
    <w:rsid w:val="0022371D"/>
    <w:rsid w:val="00225398"/>
    <w:rsid w:val="0022560D"/>
    <w:rsid w:val="00236AD4"/>
    <w:rsid w:val="00236EA4"/>
    <w:rsid w:val="002428E6"/>
    <w:rsid w:val="00242D38"/>
    <w:rsid w:val="00244241"/>
    <w:rsid w:val="002451F5"/>
    <w:rsid w:val="00247808"/>
    <w:rsid w:val="00250610"/>
    <w:rsid w:val="00251715"/>
    <w:rsid w:val="00252D9A"/>
    <w:rsid w:val="0025473F"/>
    <w:rsid w:val="002605CC"/>
    <w:rsid w:val="002610EB"/>
    <w:rsid w:val="00267EDE"/>
    <w:rsid w:val="0027722A"/>
    <w:rsid w:val="00281363"/>
    <w:rsid w:val="00290814"/>
    <w:rsid w:val="0029154F"/>
    <w:rsid w:val="0029534D"/>
    <w:rsid w:val="002955CA"/>
    <w:rsid w:val="00295AF0"/>
    <w:rsid w:val="0029651E"/>
    <w:rsid w:val="00296E97"/>
    <w:rsid w:val="002C0E0C"/>
    <w:rsid w:val="002C3D15"/>
    <w:rsid w:val="002D04AA"/>
    <w:rsid w:val="002D0FA0"/>
    <w:rsid w:val="002D1300"/>
    <w:rsid w:val="002D147F"/>
    <w:rsid w:val="002D4C99"/>
    <w:rsid w:val="002D4EC0"/>
    <w:rsid w:val="002D5C48"/>
    <w:rsid w:val="002E26C2"/>
    <w:rsid w:val="002E32CD"/>
    <w:rsid w:val="002F5812"/>
    <w:rsid w:val="002F744B"/>
    <w:rsid w:val="00301016"/>
    <w:rsid w:val="00306686"/>
    <w:rsid w:val="003071F7"/>
    <w:rsid w:val="003110AF"/>
    <w:rsid w:val="00314A86"/>
    <w:rsid w:val="003237C0"/>
    <w:rsid w:val="00330307"/>
    <w:rsid w:val="00333689"/>
    <w:rsid w:val="00333A4B"/>
    <w:rsid w:val="003439B0"/>
    <w:rsid w:val="00343BDA"/>
    <w:rsid w:val="003446C5"/>
    <w:rsid w:val="00345F72"/>
    <w:rsid w:val="00347069"/>
    <w:rsid w:val="003472CC"/>
    <w:rsid w:val="00347CB2"/>
    <w:rsid w:val="0035640B"/>
    <w:rsid w:val="0036550C"/>
    <w:rsid w:val="00367919"/>
    <w:rsid w:val="00371C5B"/>
    <w:rsid w:val="003772F8"/>
    <w:rsid w:val="00381112"/>
    <w:rsid w:val="00387CBE"/>
    <w:rsid w:val="00391FA4"/>
    <w:rsid w:val="00393F39"/>
    <w:rsid w:val="0039731A"/>
    <w:rsid w:val="003A3AF1"/>
    <w:rsid w:val="003C1F2B"/>
    <w:rsid w:val="003D2F60"/>
    <w:rsid w:val="003E7971"/>
    <w:rsid w:val="003F7633"/>
    <w:rsid w:val="004011AD"/>
    <w:rsid w:val="004027DD"/>
    <w:rsid w:val="004033E3"/>
    <w:rsid w:val="00404393"/>
    <w:rsid w:val="00405A12"/>
    <w:rsid w:val="00405A1D"/>
    <w:rsid w:val="004062B8"/>
    <w:rsid w:val="00406C1C"/>
    <w:rsid w:val="00410EBA"/>
    <w:rsid w:val="0041508A"/>
    <w:rsid w:val="00415454"/>
    <w:rsid w:val="00422C91"/>
    <w:rsid w:val="00424DE0"/>
    <w:rsid w:val="004261BB"/>
    <w:rsid w:val="004318F6"/>
    <w:rsid w:val="004325DF"/>
    <w:rsid w:val="0043489D"/>
    <w:rsid w:val="00437EF5"/>
    <w:rsid w:val="004409F1"/>
    <w:rsid w:val="00443437"/>
    <w:rsid w:val="0044428B"/>
    <w:rsid w:val="0045043A"/>
    <w:rsid w:val="004561A2"/>
    <w:rsid w:val="00464C5E"/>
    <w:rsid w:val="00472317"/>
    <w:rsid w:val="00474DF6"/>
    <w:rsid w:val="00477DEB"/>
    <w:rsid w:val="0048210C"/>
    <w:rsid w:val="004856E1"/>
    <w:rsid w:val="0048645B"/>
    <w:rsid w:val="004923AA"/>
    <w:rsid w:val="00492847"/>
    <w:rsid w:val="004A2982"/>
    <w:rsid w:val="004A35F0"/>
    <w:rsid w:val="004A6CDC"/>
    <w:rsid w:val="004A7B6A"/>
    <w:rsid w:val="004B1631"/>
    <w:rsid w:val="004B5830"/>
    <w:rsid w:val="004D0CFB"/>
    <w:rsid w:val="004E1F04"/>
    <w:rsid w:val="004F148B"/>
    <w:rsid w:val="004F2359"/>
    <w:rsid w:val="004F6510"/>
    <w:rsid w:val="004F78AE"/>
    <w:rsid w:val="00502162"/>
    <w:rsid w:val="00502DD2"/>
    <w:rsid w:val="00506800"/>
    <w:rsid w:val="00514975"/>
    <w:rsid w:val="00521A9B"/>
    <w:rsid w:val="00527D2A"/>
    <w:rsid w:val="00531C20"/>
    <w:rsid w:val="005323C2"/>
    <w:rsid w:val="00555B8C"/>
    <w:rsid w:val="00556090"/>
    <w:rsid w:val="005563AA"/>
    <w:rsid w:val="00562707"/>
    <w:rsid w:val="00572767"/>
    <w:rsid w:val="00573996"/>
    <w:rsid w:val="00580CE8"/>
    <w:rsid w:val="0058647C"/>
    <w:rsid w:val="00595526"/>
    <w:rsid w:val="0059598E"/>
    <w:rsid w:val="0059668E"/>
    <w:rsid w:val="00597BB2"/>
    <w:rsid w:val="005A2712"/>
    <w:rsid w:val="005A4BCA"/>
    <w:rsid w:val="005B0C6E"/>
    <w:rsid w:val="005B396C"/>
    <w:rsid w:val="005B6087"/>
    <w:rsid w:val="005B79A2"/>
    <w:rsid w:val="005C31D2"/>
    <w:rsid w:val="005D5398"/>
    <w:rsid w:val="005D590B"/>
    <w:rsid w:val="005F0110"/>
    <w:rsid w:val="00600A46"/>
    <w:rsid w:val="00601239"/>
    <w:rsid w:val="006071A5"/>
    <w:rsid w:val="006135CB"/>
    <w:rsid w:val="0062034D"/>
    <w:rsid w:val="006212C1"/>
    <w:rsid w:val="00622CE4"/>
    <w:rsid w:val="00624AD6"/>
    <w:rsid w:val="00630510"/>
    <w:rsid w:val="00630951"/>
    <w:rsid w:val="00631AE5"/>
    <w:rsid w:val="00652812"/>
    <w:rsid w:val="006642FA"/>
    <w:rsid w:val="006712CA"/>
    <w:rsid w:val="00672238"/>
    <w:rsid w:val="00674A98"/>
    <w:rsid w:val="00683492"/>
    <w:rsid w:val="00685046"/>
    <w:rsid w:val="006877F2"/>
    <w:rsid w:val="006A4011"/>
    <w:rsid w:val="006A72C0"/>
    <w:rsid w:val="006A7E76"/>
    <w:rsid w:val="006B26C8"/>
    <w:rsid w:val="006B710E"/>
    <w:rsid w:val="006C38F7"/>
    <w:rsid w:val="006C5D92"/>
    <w:rsid w:val="006D0235"/>
    <w:rsid w:val="006D35C0"/>
    <w:rsid w:val="006D3ED4"/>
    <w:rsid w:val="006D5514"/>
    <w:rsid w:val="006D62B0"/>
    <w:rsid w:val="006E1C29"/>
    <w:rsid w:val="006E7669"/>
    <w:rsid w:val="006F399F"/>
    <w:rsid w:val="00712FD9"/>
    <w:rsid w:val="00715787"/>
    <w:rsid w:val="007408EC"/>
    <w:rsid w:val="00742B05"/>
    <w:rsid w:val="00745A3B"/>
    <w:rsid w:val="00753CAF"/>
    <w:rsid w:val="00753F07"/>
    <w:rsid w:val="00756FB2"/>
    <w:rsid w:val="007667A4"/>
    <w:rsid w:val="00772C58"/>
    <w:rsid w:val="007772A5"/>
    <w:rsid w:val="0077759F"/>
    <w:rsid w:val="00783119"/>
    <w:rsid w:val="00785FB4"/>
    <w:rsid w:val="007864ED"/>
    <w:rsid w:val="00790989"/>
    <w:rsid w:val="00790EE9"/>
    <w:rsid w:val="007A3247"/>
    <w:rsid w:val="007A618F"/>
    <w:rsid w:val="007A69C2"/>
    <w:rsid w:val="007B0B67"/>
    <w:rsid w:val="007B1165"/>
    <w:rsid w:val="007B2B1B"/>
    <w:rsid w:val="007B3B9E"/>
    <w:rsid w:val="007B5D88"/>
    <w:rsid w:val="007C5698"/>
    <w:rsid w:val="007D090E"/>
    <w:rsid w:val="007E2DFD"/>
    <w:rsid w:val="007F287D"/>
    <w:rsid w:val="007F3577"/>
    <w:rsid w:val="00800799"/>
    <w:rsid w:val="0080081D"/>
    <w:rsid w:val="00800C97"/>
    <w:rsid w:val="00803FAF"/>
    <w:rsid w:val="00804E0F"/>
    <w:rsid w:val="008129ED"/>
    <w:rsid w:val="00821419"/>
    <w:rsid w:val="00826CA7"/>
    <w:rsid w:val="0083086D"/>
    <w:rsid w:val="008314C9"/>
    <w:rsid w:val="008373D7"/>
    <w:rsid w:val="00842293"/>
    <w:rsid w:val="008507B9"/>
    <w:rsid w:val="008509A0"/>
    <w:rsid w:val="0085503C"/>
    <w:rsid w:val="00860315"/>
    <w:rsid w:val="00860648"/>
    <w:rsid w:val="00867C26"/>
    <w:rsid w:val="00867FD9"/>
    <w:rsid w:val="008716C0"/>
    <w:rsid w:val="00875838"/>
    <w:rsid w:val="00877160"/>
    <w:rsid w:val="00891226"/>
    <w:rsid w:val="008A0D64"/>
    <w:rsid w:val="008A4F54"/>
    <w:rsid w:val="008B2594"/>
    <w:rsid w:val="008B27AD"/>
    <w:rsid w:val="008B3B8A"/>
    <w:rsid w:val="008B4FD7"/>
    <w:rsid w:val="008B7E69"/>
    <w:rsid w:val="008C4330"/>
    <w:rsid w:val="008C5D97"/>
    <w:rsid w:val="008D04FB"/>
    <w:rsid w:val="008F1E57"/>
    <w:rsid w:val="008F2829"/>
    <w:rsid w:val="008F5816"/>
    <w:rsid w:val="008F6696"/>
    <w:rsid w:val="00905FF5"/>
    <w:rsid w:val="00906748"/>
    <w:rsid w:val="00906C1F"/>
    <w:rsid w:val="00912EEC"/>
    <w:rsid w:val="009147AE"/>
    <w:rsid w:val="00924261"/>
    <w:rsid w:val="009243D0"/>
    <w:rsid w:val="0092704B"/>
    <w:rsid w:val="00937B8F"/>
    <w:rsid w:val="00947C1F"/>
    <w:rsid w:val="00952797"/>
    <w:rsid w:val="0096163B"/>
    <w:rsid w:val="00961DA2"/>
    <w:rsid w:val="00964848"/>
    <w:rsid w:val="009658E6"/>
    <w:rsid w:val="00981ADF"/>
    <w:rsid w:val="00984D75"/>
    <w:rsid w:val="009A269B"/>
    <w:rsid w:val="009A490D"/>
    <w:rsid w:val="009B32B0"/>
    <w:rsid w:val="009B552B"/>
    <w:rsid w:val="009B777F"/>
    <w:rsid w:val="009C0D87"/>
    <w:rsid w:val="009C237A"/>
    <w:rsid w:val="009C2966"/>
    <w:rsid w:val="009C3116"/>
    <w:rsid w:val="009C6B2F"/>
    <w:rsid w:val="009C7592"/>
    <w:rsid w:val="009D1233"/>
    <w:rsid w:val="009D35A1"/>
    <w:rsid w:val="009D549D"/>
    <w:rsid w:val="009D61AA"/>
    <w:rsid w:val="009D6E1B"/>
    <w:rsid w:val="009E1971"/>
    <w:rsid w:val="009E2526"/>
    <w:rsid w:val="009E26E9"/>
    <w:rsid w:val="009F036C"/>
    <w:rsid w:val="009F11F4"/>
    <w:rsid w:val="009F4012"/>
    <w:rsid w:val="00A0620D"/>
    <w:rsid w:val="00A06F97"/>
    <w:rsid w:val="00A0757C"/>
    <w:rsid w:val="00A21EEC"/>
    <w:rsid w:val="00A2589D"/>
    <w:rsid w:val="00A370A2"/>
    <w:rsid w:val="00A433B9"/>
    <w:rsid w:val="00A439C2"/>
    <w:rsid w:val="00A43DE3"/>
    <w:rsid w:val="00A44340"/>
    <w:rsid w:val="00A455B7"/>
    <w:rsid w:val="00A47CBF"/>
    <w:rsid w:val="00A50CF1"/>
    <w:rsid w:val="00A56141"/>
    <w:rsid w:val="00A6486B"/>
    <w:rsid w:val="00A6532C"/>
    <w:rsid w:val="00A733BA"/>
    <w:rsid w:val="00A74CD3"/>
    <w:rsid w:val="00A75CDA"/>
    <w:rsid w:val="00A765A9"/>
    <w:rsid w:val="00A910ED"/>
    <w:rsid w:val="00AA587B"/>
    <w:rsid w:val="00AA7E0A"/>
    <w:rsid w:val="00AC2615"/>
    <w:rsid w:val="00AC3ABD"/>
    <w:rsid w:val="00AC513C"/>
    <w:rsid w:val="00AD02FA"/>
    <w:rsid w:val="00AD161B"/>
    <w:rsid w:val="00AD4641"/>
    <w:rsid w:val="00AD71F4"/>
    <w:rsid w:val="00AE2EE4"/>
    <w:rsid w:val="00AE2F16"/>
    <w:rsid w:val="00AE4879"/>
    <w:rsid w:val="00AF02EB"/>
    <w:rsid w:val="00AF6EFB"/>
    <w:rsid w:val="00B04BFA"/>
    <w:rsid w:val="00B127A7"/>
    <w:rsid w:val="00B21D65"/>
    <w:rsid w:val="00B259CE"/>
    <w:rsid w:val="00B26038"/>
    <w:rsid w:val="00B267A1"/>
    <w:rsid w:val="00B2694D"/>
    <w:rsid w:val="00B30AB1"/>
    <w:rsid w:val="00B31035"/>
    <w:rsid w:val="00B366FB"/>
    <w:rsid w:val="00B368BF"/>
    <w:rsid w:val="00B37226"/>
    <w:rsid w:val="00B37289"/>
    <w:rsid w:val="00B37A07"/>
    <w:rsid w:val="00B43609"/>
    <w:rsid w:val="00B53F38"/>
    <w:rsid w:val="00B54291"/>
    <w:rsid w:val="00B6202C"/>
    <w:rsid w:val="00B6384A"/>
    <w:rsid w:val="00B706C2"/>
    <w:rsid w:val="00B7272D"/>
    <w:rsid w:val="00B73DFF"/>
    <w:rsid w:val="00B76A96"/>
    <w:rsid w:val="00B76ACE"/>
    <w:rsid w:val="00B805D5"/>
    <w:rsid w:val="00B8244D"/>
    <w:rsid w:val="00B8587E"/>
    <w:rsid w:val="00B9289D"/>
    <w:rsid w:val="00BC166A"/>
    <w:rsid w:val="00BC2C37"/>
    <w:rsid w:val="00BC3202"/>
    <w:rsid w:val="00BC3B76"/>
    <w:rsid w:val="00BC3E22"/>
    <w:rsid w:val="00BC7065"/>
    <w:rsid w:val="00BD2447"/>
    <w:rsid w:val="00BD7536"/>
    <w:rsid w:val="00BE30C3"/>
    <w:rsid w:val="00BE6E57"/>
    <w:rsid w:val="00C057DD"/>
    <w:rsid w:val="00C073D0"/>
    <w:rsid w:val="00C1769B"/>
    <w:rsid w:val="00C2393F"/>
    <w:rsid w:val="00C35267"/>
    <w:rsid w:val="00C36E84"/>
    <w:rsid w:val="00C40FE3"/>
    <w:rsid w:val="00C43840"/>
    <w:rsid w:val="00C47C92"/>
    <w:rsid w:val="00C66BAD"/>
    <w:rsid w:val="00C72D29"/>
    <w:rsid w:val="00C75057"/>
    <w:rsid w:val="00C841F3"/>
    <w:rsid w:val="00C843A8"/>
    <w:rsid w:val="00C8665C"/>
    <w:rsid w:val="00C9535B"/>
    <w:rsid w:val="00C962F0"/>
    <w:rsid w:val="00C96D19"/>
    <w:rsid w:val="00CA20C8"/>
    <w:rsid w:val="00CA3F5F"/>
    <w:rsid w:val="00CA7CB6"/>
    <w:rsid w:val="00CA7F95"/>
    <w:rsid w:val="00CC4D48"/>
    <w:rsid w:val="00CC676B"/>
    <w:rsid w:val="00CC6827"/>
    <w:rsid w:val="00CC6F7C"/>
    <w:rsid w:val="00CC7EC5"/>
    <w:rsid w:val="00CD7DBB"/>
    <w:rsid w:val="00CE37E5"/>
    <w:rsid w:val="00CF2030"/>
    <w:rsid w:val="00CF25BA"/>
    <w:rsid w:val="00CF4425"/>
    <w:rsid w:val="00D10A34"/>
    <w:rsid w:val="00D11DB0"/>
    <w:rsid w:val="00D16C26"/>
    <w:rsid w:val="00D2533B"/>
    <w:rsid w:val="00D265D9"/>
    <w:rsid w:val="00D274AD"/>
    <w:rsid w:val="00D31CEC"/>
    <w:rsid w:val="00D3568E"/>
    <w:rsid w:val="00D44ABC"/>
    <w:rsid w:val="00D509CA"/>
    <w:rsid w:val="00D5228E"/>
    <w:rsid w:val="00D55753"/>
    <w:rsid w:val="00D60200"/>
    <w:rsid w:val="00D60EC9"/>
    <w:rsid w:val="00D6200E"/>
    <w:rsid w:val="00D62915"/>
    <w:rsid w:val="00D65947"/>
    <w:rsid w:val="00D66C77"/>
    <w:rsid w:val="00D77395"/>
    <w:rsid w:val="00D81B04"/>
    <w:rsid w:val="00D83444"/>
    <w:rsid w:val="00D84763"/>
    <w:rsid w:val="00D84899"/>
    <w:rsid w:val="00D916E1"/>
    <w:rsid w:val="00DA4F25"/>
    <w:rsid w:val="00DB1A07"/>
    <w:rsid w:val="00DB2077"/>
    <w:rsid w:val="00DB6E5A"/>
    <w:rsid w:val="00DC2EF9"/>
    <w:rsid w:val="00DC727A"/>
    <w:rsid w:val="00DC7D83"/>
    <w:rsid w:val="00DD11AC"/>
    <w:rsid w:val="00DD23F5"/>
    <w:rsid w:val="00DE0FA1"/>
    <w:rsid w:val="00DE6AA4"/>
    <w:rsid w:val="00DF7617"/>
    <w:rsid w:val="00E009A6"/>
    <w:rsid w:val="00E009B3"/>
    <w:rsid w:val="00E07843"/>
    <w:rsid w:val="00E10073"/>
    <w:rsid w:val="00E10F25"/>
    <w:rsid w:val="00E14AEC"/>
    <w:rsid w:val="00E217D5"/>
    <w:rsid w:val="00E24395"/>
    <w:rsid w:val="00E24F00"/>
    <w:rsid w:val="00E25889"/>
    <w:rsid w:val="00E27849"/>
    <w:rsid w:val="00E3775F"/>
    <w:rsid w:val="00E513B6"/>
    <w:rsid w:val="00E54545"/>
    <w:rsid w:val="00E56755"/>
    <w:rsid w:val="00E62832"/>
    <w:rsid w:val="00E62FF0"/>
    <w:rsid w:val="00E66204"/>
    <w:rsid w:val="00E6629B"/>
    <w:rsid w:val="00E72343"/>
    <w:rsid w:val="00E73BD1"/>
    <w:rsid w:val="00E76AC4"/>
    <w:rsid w:val="00E80EC2"/>
    <w:rsid w:val="00E825C1"/>
    <w:rsid w:val="00E8453D"/>
    <w:rsid w:val="00E86D0F"/>
    <w:rsid w:val="00E91F85"/>
    <w:rsid w:val="00E94565"/>
    <w:rsid w:val="00EB1062"/>
    <w:rsid w:val="00EB33AB"/>
    <w:rsid w:val="00EC2608"/>
    <w:rsid w:val="00ED614E"/>
    <w:rsid w:val="00ED7283"/>
    <w:rsid w:val="00EE0A0F"/>
    <w:rsid w:val="00EE16EC"/>
    <w:rsid w:val="00EF1632"/>
    <w:rsid w:val="00EF570E"/>
    <w:rsid w:val="00F01A3E"/>
    <w:rsid w:val="00F078F7"/>
    <w:rsid w:val="00F10E20"/>
    <w:rsid w:val="00F15BD8"/>
    <w:rsid w:val="00F510FF"/>
    <w:rsid w:val="00F52564"/>
    <w:rsid w:val="00F541BE"/>
    <w:rsid w:val="00F610BC"/>
    <w:rsid w:val="00F72202"/>
    <w:rsid w:val="00F748A7"/>
    <w:rsid w:val="00F77FA8"/>
    <w:rsid w:val="00F83300"/>
    <w:rsid w:val="00F9127B"/>
    <w:rsid w:val="00F92A86"/>
    <w:rsid w:val="00F92C0B"/>
    <w:rsid w:val="00FB731E"/>
    <w:rsid w:val="00FC0D86"/>
    <w:rsid w:val="00FC1B51"/>
    <w:rsid w:val="00FD52AF"/>
    <w:rsid w:val="00FE1A7E"/>
    <w:rsid w:val="00FE1FC0"/>
    <w:rsid w:val="00FE3F52"/>
    <w:rsid w:val="00FF1066"/>
    <w:rsid w:val="00FF3B9F"/>
    <w:rsid w:val="00FF3C40"/>
    <w:rsid w:val="00FF4F5A"/>
    <w:rsid w:val="1A374D76"/>
    <w:rsid w:val="72A92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C786"/>
  <w15:docId w15:val="{9A99B2D4-152E-488F-8062-9507B12FD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63B"/>
    <w:rPr>
      <w:rFonts w:ascii="Times New Roman" w:eastAsia="Times New Roman" w:hAnsi="Times New Roman" w:cs="Times New Roman"/>
      <w:sz w:val="24"/>
      <w:szCs w:val="24"/>
    </w:rPr>
  </w:style>
  <w:style w:type="paragraph" w:styleId="Heading1">
    <w:name w:val="heading 1"/>
    <w:uiPriority w:val="9"/>
    <w:qFormat/>
    <w:pPr>
      <w:spacing w:before="400" w:after="120"/>
      <w:outlineLvl w:val="0"/>
    </w:pPr>
    <w:rPr>
      <w:b/>
      <w:bCs/>
      <w:color w:val="1A5276"/>
      <w:sz w:val="30"/>
      <w:szCs w:val="30"/>
    </w:rPr>
  </w:style>
  <w:style w:type="paragraph" w:styleId="Heading2">
    <w:name w:val="heading 2"/>
    <w:uiPriority w:val="9"/>
    <w:unhideWhenUsed/>
    <w:qFormat/>
    <w:pPr>
      <w:spacing w:before="280" w:after="100"/>
      <w:outlineLvl w:val="1"/>
    </w:pPr>
    <w:rPr>
      <w:b/>
      <w:bCs/>
      <w:color w:val="21618C"/>
      <w:sz w:val="25"/>
      <w:szCs w:val="25"/>
    </w:rPr>
  </w:style>
  <w:style w:type="paragraph" w:styleId="Heading3">
    <w:name w:val="heading 3"/>
    <w:link w:val="Heading3Char"/>
    <w:uiPriority w:val="9"/>
    <w:unhideWhenUsed/>
    <w:qFormat/>
    <w:pPr>
      <w:spacing w:before="200" w:after="80"/>
      <w:outlineLvl w:val="2"/>
    </w:pPr>
    <w:rPr>
      <w:b/>
      <w:bCs/>
      <w:i/>
      <w:iCs/>
      <w:color w:val="2874A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24395"/>
    <w:pPr>
      <w:tabs>
        <w:tab w:val="center" w:pos="4513"/>
        <w:tab w:val="right" w:pos="9026"/>
      </w:tabs>
    </w:pPr>
  </w:style>
  <w:style w:type="character" w:customStyle="1" w:styleId="HeaderChar">
    <w:name w:val="Header Char"/>
    <w:basedOn w:val="DefaultParagraphFont"/>
    <w:link w:val="Header"/>
    <w:uiPriority w:val="99"/>
    <w:rsid w:val="00E24395"/>
  </w:style>
  <w:style w:type="paragraph" w:styleId="Footer">
    <w:name w:val="footer"/>
    <w:basedOn w:val="Normal"/>
    <w:link w:val="FooterChar"/>
    <w:uiPriority w:val="99"/>
    <w:unhideWhenUsed/>
    <w:rsid w:val="00E24395"/>
    <w:pPr>
      <w:tabs>
        <w:tab w:val="center" w:pos="4513"/>
        <w:tab w:val="right" w:pos="9026"/>
      </w:tabs>
    </w:pPr>
  </w:style>
  <w:style w:type="character" w:customStyle="1" w:styleId="FooterChar">
    <w:name w:val="Footer Char"/>
    <w:basedOn w:val="DefaultParagraphFont"/>
    <w:link w:val="Footer"/>
    <w:uiPriority w:val="99"/>
    <w:rsid w:val="00E24395"/>
  </w:style>
  <w:style w:type="paragraph" w:styleId="NormalWeb">
    <w:name w:val="Normal (Web)"/>
    <w:basedOn w:val="Normal"/>
    <w:uiPriority w:val="99"/>
    <w:semiHidden/>
    <w:unhideWhenUsed/>
    <w:rsid w:val="00027EC5"/>
  </w:style>
  <w:style w:type="paragraph" w:styleId="TOCHeading">
    <w:name w:val="TOC Heading"/>
    <w:basedOn w:val="Heading1"/>
    <w:next w:val="Normal"/>
    <w:uiPriority w:val="39"/>
    <w:unhideWhenUsed/>
    <w:qFormat/>
    <w:rsid w:val="00DC2EF9"/>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2">
    <w:name w:val="toc 2"/>
    <w:basedOn w:val="Normal"/>
    <w:next w:val="Normal"/>
    <w:autoRedefine/>
    <w:uiPriority w:val="39"/>
    <w:unhideWhenUsed/>
    <w:rsid w:val="00DC2EF9"/>
    <w:pPr>
      <w:spacing w:after="100"/>
      <w:ind w:left="220"/>
    </w:pPr>
  </w:style>
  <w:style w:type="paragraph" w:styleId="TOC3">
    <w:name w:val="toc 3"/>
    <w:basedOn w:val="Normal"/>
    <w:next w:val="Normal"/>
    <w:autoRedefine/>
    <w:uiPriority w:val="39"/>
    <w:unhideWhenUsed/>
    <w:rsid w:val="00DC2EF9"/>
    <w:pPr>
      <w:spacing w:after="100"/>
      <w:ind w:left="440"/>
    </w:pPr>
  </w:style>
  <w:style w:type="paragraph" w:styleId="TOC1">
    <w:name w:val="toc 1"/>
    <w:basedOn w:val="Normal"/>
    <w:next w:val="Normal"/>
    <w:autoRedefine/>
    <w:uiPriority w:val="39"/>
    <w:unhideWhenUsed/>
    <w:rsid w:val="00E10073"/>
    <w:pPr>
      <w:spacing w:after="100"/>
    </w:pPr>
  </w:style>
  <w:style w:type="paragraph" w:styleId="Caption">
    <w:name w:val="caption"/>
    <w:basedOn w:val="Normal"/>
    <w:next w:val="Normal"/>
    <w:uiPriority w:val="35"/>
    <w:unhideWhenUsed/>
    <w:qFormat/>
    <w:rsid w:val="00B73DFF"/>
    <w:pPr>
      <w:spacing w:after="200"/>
    </w:pPr>
    <w:rPr>
      <w:i/>
      <w:iCs/>
      <w:color w:val="0E2841" w:themeColor="text2"/>
      <w:sz w:val="18"/>
      <w:szCs w:val="18"/>
    </w:rPr>
  </w:style>
  <w:style w:type="character" w:customStyle="1" w:styleId="Heading3Char">
    <w:name w:val="Heading 3 Char"/>
    <w:basedOn w:val="DefaultParagraphFont"/>
    <w:link w:val="Heading3"/>
    <w:uiPriority w:val="9"/>
    <w:rsid w:val="003472CC"/>
    <w:rPr>
      <w:b/>
      <w:bCs/>
      <w:i/>
      <w:iCs/>
      <w:color w:val="2874A6"/>
    </w:rPr>
  </w:style>
  <w:style w:type="paragraph" w:customStyle="1" w:styleId="pdq2pgselectionanchorcontainer">
    <w:name w:val="pdq2pg_selectionanchorcontainer"/>
    <w:basedOn w:val="Normal"/>
    <w:rsid w:val="0025473F"/>
    <w:pPr>
      <w:spacing w:before="100" w:beforeAutospacing="1" w:after="100" w:afterAutospacing="1"/>
    </w:pPr>
  </w:style>
  <w:style w:type="character" w:styleId="Strong">
    <w:name w:val="Strong"/>
    <w:basedOn w:val="DefaultParagraphFont"/>
    <w:uiPriority w:val="22"/>
    <w:qFormat/>
    <w:rsid w:val="0025473F"/>
    <w:rPr>
      <w:b/>
      <w:bCs/>
    </w:rPr>
  </w:style>
  <w:style w:type="character" w:styleId="UnresolvedMention">
    <w:name w:val="Unresolved Mention"/>
    <w:basedOn w:val="DefaultParagraphFont"/>
    <w:uiPriority w:val="99"/>
    <w:semiHidden/>
    <w:unhideWhenUsed/>
    <w:rsid w:val="004856E1"/>
    <w:rPr>
      <w:color w:val="605E5C"/>
      <w:shd w:val="clear" w:color="auto" w:fill="E1DFDD"/>
    </w:rPr>
  </w:style>
  <w:style w:type="table" w:styleId="GridTable2-Accent1">
    <w:name w:val="Grid Table 2 Accent 1"/>
    <w:basedOn w:val="TableNormal"/>
    <w:uiPriority w:val="47"/>
    <w:rsid w:val="000F1BD0"/>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ercara.com/resources/reports/2024-consumer-trust-risk-report"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A7892-CC3B-4020-92C8-7CDDA8DA6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3103</TotalTime>
  <Pages>53</Pages>
  <Words>18678</Words>
  <Characters>106465</Characters>
  <Application>Microsoft Office Word</Application>
  <DocSecurity>0</DocSecurity>
  <Lines>887</Lines>
  <Paragraphs>249</Paragraphs>
  <ScaleCrop>false</ScaleCrop>
  <Company/>
  <LinksUpToDate>false</LinksUpToDate>
  <CharactersWithSpaces>124894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Sobia Tabassam (2222632)</cp:lastModifiedBy>
  <cp:revision>447</cp:revision>
  <dcterms:created xsi:type="dcterms:W3CDTF">2026-07-01T01:47:00Z</dcterms:created>
  <dcterms:modified xsi:type="dcterms:W3CDTF">2026-07-14T10:59:00Z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d244efc8-2a7b-49b8-b603-14b31f00d54c</vt:lpwstr>
  </property>
</Properties>
</file>