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8D5DB" w14:textId="77777777" w:rsidR="00AA2E99" w:rsidRDefault="00AA2E99" w:rsidP="00826181"/>
    <w:p w14:paraId="7E8D7054" w14:textId="69F6FE54" w:rsidR="00A6153A" w:rsidRPr="00066BA9" w:rsidRDefault="00851C90" w:rsidP="00826181">
      <w:pPr>
        <w:rPr>
          <w:b/>
          <w:bCs/>
        </w:rPr>
      </w:pPr>
      <w:r w:rsidRPr="00066BA9">
        <w:rPr>
          <w:b/>
          <w:bCs/>
        </w:rPr>
        <w:t xml:space="preserve">To what extent </w:t>
      </w:r>
      <w:r w:rsidR="005A657E">
        <w:rPr>
          <w:b/>
          <w:bCs/>
        </w:rPr>
        <w:t>did</w:t>
      </w:r>
      <w:r w:rsidRPr="00066BA9">
        <w:rPr>
          <w:b/>
          <w:bCs/>
        </w:rPr>
        <w:t xml:space="preserve"> </w:t>
      </w:r>
      <w:r w:rsidR="00B032DD" w:rsidRPr="00066BA9">
        <w:rPr>
          <w:b/>
          <w:bCs/>
        </w:rPr>
        <w:t>Islam inform the Muslim Brotherhood’s political policy</w:t>
      </w:r>
      <w:r w:rsidR="00E56976" w:rsidRPr="00066BA9">
        <w:rPr>
          <w:b/>
          <w:bCs/>
        </w:rPr>
        <w:t xml:space="preserve"> in Egypt</w:t>
      </w:r>
      <w:r w:rsidR="005A657E">
        <w:rPr>
          <w:b/>
          <w:bCs/>
        </w:rPr>
        <w:t xml:space="preserve"> around the 2011 uprising</w:t>
      </w:r>
      <w:r w:rsidR="00E56976" w:rsidRPr="00066BA9">
        <w:rPr>
          <w:b/>
          <w:bCs/>
        </w:rPr>
        <w:t>?</w:t>
      </w:r>
    </w:p>
    <w:p w14:paraId="794887D5" w14:textId="6E8FFA2D" w:rsidR="008F308A" w:rsidRDefault="008F308A" w:rsidP="00826181"/>
    <w:p w14:paraId="60307F10" w14:textId="4815DF7B" w:rsidR="00543562" w:rsidRPr="00C64327" w:rsidRDefault="008F308A" w:rsidP="00512E5F">
      <w:pPr>
        <w:spacing w:line="360" w:lineRule="auto"/>
        <w:jc w:val="both"/>
        <w:rPr>
          <w:rFonts w:cstheme="minorHAnsi"/>
        </w:rPr>
      </w:pPr>
      <w:r w:rsidRPr="00C64327">
        <w:rPr>
          <w:rFonts w:cstheme="minorHAnsi"/>
        </w:rPr>
        <w:t>This essay seeks to understand to what extent religion informed the Muslim Brotherhood’s approach t</w:t>
      </w:r>
      <w:r w:rsidR="00154F50">
        <w:rPr>
          <w:rFonts w:cstheme="minorHAnsi"/>
        </w:rPr>
        <w:t>owards</w:t>
      </w:r>
      <w:r w:rsidRPr="00C64327">
        <w:rPr>
          <w:rFonts w:cstheme="minorHAnsi"/>
        </w:rPr>
        <w:t xml:space="preserve"> the</w:t>
      </w:r>
      <w:r w:rsidR="00154F50">
        <w:rPr>
          <w:rFonts w:cstheme="minorHAnsi"/>
        </w:rPr>
        <w:t xml:space="preserve"> </w:t>
      </w:r>
      <w:r w:rsidRPr="00C64327">
        <w:rPr>
          <w:rFonts w:cstheme="minorHAnsi"/>
        </w:rPr>
        <w:t xml:space="preserve">2011 Egyptian uprising. </w:t>
      </w:r>
      <w:r w:rsidR="00D1116E" w:rsidRPr="00C64327">
        <w:rPr>
          <w:rFonts w:cstheme="minorHAnsi"/>
        </w:rPr>
        <w:t xml:space="preserve">There is little scope to </w:t>
      </w:r>
      <w:r w:rsidR="0064652B" w:rsidRPr="00C64327">
        <w:rPr>
          <w:rFonts w:cstheme="minorHAnsi"/>
        </w:rPr>
        <w:t xml:space="preserve">demonstrate how </w:t>
      </w:r>
      <w:r w:rsidRPr="00C64327">
        <w:rPr>
          <w:rFonts w:cstheme="minorHAnsi"/>
        </w:rPr>
        <w:t>the Muslim Brotherhood engendered followers and how their identity is placed within the politics of</w:t>
      </w:r>
      <w:r w:rsidR="0064652B" w:rsidRPr="00C64327">
        <w:rPr>
          <w:rFonts w:cstheme="minorHAnsi"/>
        </w:rPr>
        <w:t xml:space="preserve"> this</w:t>
      </w:r>
      <w:r w:rsidRPr="00C64327">
        <w:rPr>
          <w:rFonts w:cstheme="minorHAnsi"/>
        </w:rPr>
        <w:t xml:space="preserve"> Islamist organisation</w:t>
      </w:r>
      <w:r w:rsidR="0064652B" w:rsidRPr="00C64327">
        <w:rPr>
          <w:rFonts w:cstheme="minorHAnsi"/>
        </w:rPr>
        <w:t>, however some relevant points that show</w:t>
      </w:r>
      <w:r w:rsidR="00543562" w:rsidRPr="00C64327">
        <w:rPr>
          <w:rFonts w:cstheme="minorHAnsi"/>
        </w:rPr>
        <w:t xml:space="preserve"> how political frameworks were used are included</w:t>
      </w:r>
      <w:r w:rsidRPr="00C64327">
        <w:rPr>
          <w:rFonts w:cstheme="minorHAnsi"/>
        </w:rPr>
        <w:t xml:space="preserve">. </w:t>
      </w:r>
    </w:p>
    <w:p w14:paraId="247D7DAC" w14:textId="5CB23390" w:rsidR="008F308A" w:rsidRPr="00C64327" w:rsidRDefault="008F308A" w:rsidP="00512E5F">
      <w:pPr>
        <w:spacing w:line="360" w:lineRule="auto"/>
        <w:jc w:val="both"/>
        <w:rPr>
          <w:rFonts w:cstheme="minorHAnsi"/>
          <w:color w:val="000000"/>
          <w:shd w:val="clear" w:color="auto" w:fill="FFFFFF"/>
        </w:rPr>
      </w:pPr>
      <w:r w:rsidRPr="00C64327">
        <w:rPr>
          <w:rFonts w:cstheme="minorHAnsi"/>
        </w:rPr>
        <w:t xml:space="preserve">Scott argued that contemporary commentators assigned the term secular and non-violent to the </w:t>
      </w:r>
      <w:r w:rsidR="00283894" w:rsidRPr="00C64327">
        <w:rPr>
          <w:rFonts w:cstheme="minorHAnsi"/>
        </w:rPr>
        <w:t>uprising</w:t>
      </w:r>
      <w:r w:rsidRPr="00C64327">
        <w:rPr>
          <w:rFonts w:cstheme="minorHAnsi"/>
        </w:rPr>
        <w:t xml:space="preserve"> due to the lack (at that time) of the Muslim Brotherhood’s involvement</w:t>
      </w:r>
      <w:r w:rsidRPr="00C64327">
        <w:rPr>
          <w:rStyle w:val="FootnoteReference"/>
          <w:rFonts w:cstheme="minorHAnsi"/>
        </w:rPr>
        <w:footnoteReference w:id="1"/>
      </w:r>
      <w:r w:rsidRPr="00C64327">
        <w:rPr>
          <w:rFonts w:cstheme="minorHAnsi"/>
        </w:rPr>
        <w:t>. Initially playing a low-profile role in the uprising, the Muslim Brotherhood eventually took part and saw their candidate Mohamed Morsi elected as president</w:t>
      </w:r>
      <w:r w:rsidRPr="00C64327">
        <w:rPr>
          <w:rFonts w:cstheme="minorHAnsi"/>
          <w:color w:val="000000"/>
          <w:shd w:val="clear" w:color="auto" w:fill="FFFFFF"/>
        </w:rPr>
        <w:t xml:space="preserve"> of Egypt in June 2012</w:t>
      </w:r>
      <w:r w:rsidRPr="00C64327">
        <w:rPr>
          <w:rStyle w:val="FootnoteReference"/>
          <w:rFonts w:cstheme="minorHAnsi"/>
          <w:color w:val="000000"/>
          <w:shd w:val="clear" w:color="auto" w:fill="FFFFFF"/>
        </w:rPr>
        <w:footnoteReference w:id="2"/>
      </w:r>
      <w:r w:rsidRPr="00C64327">
        <w:rPr>
          <w:rFonts w:cstheme="minorHAnsi"/>
          <w:color w:val="000000"/>
          <w:shd w:val="clear" w:color="auto" w:fill="FFFFFF"/>
        </w:rPr>
        <w:t xml:space="preserve">. </w:t>
      </w:r>
    </w:p>
    <w:p w14:paraId="39CD4653" w14:textId="1173B033" w:rsidR="00953BFD" w:rsidRPr="00C64327" w:rsidRDefault="00D9680D" w:rsidP="00512E5F">
      <w:pPr>
        <w:tabs>
          <w:tab w:val="left" w:pos="3870"/>
        </w:tabs>
        <w:spacing w:line="360" w:lineRule="auto"/>
        <w:jc w:val="both"/>
        <w:rPr>
          <w:rFonts w:cstheme="minorHAnsi"/>
        </w:rPr>
      </w:pPr>
      <w:r w:rsidRPr="00C64327">
        <w:rPr>
          <w:rFonts w:cstheme="minorHAnsi"/>
        </w:rPr>
        <w:t>Th</w:t>
      </w:r>
      <w:r w:rsidR="00F93803" w:rsidRPr="00C64327">
        <w:rPr>
          <w:rFonts w:cstheme="minorHAnsi"/>
        </w:rPr>
        <w:t>e</w:t>
      </w:r>
      <w:r w:rsidRPr="00C64327">
        <w:rPr>
          <w:rFonts w:cstheme="minorHAnsi"/>
        </w:rPr>
        <w:t xml:space="preserve"> Muslim Brotherhood’s slogan </w:t>
      </w:r>
      <w:r w:rsidR="00283894" w:rsidRPr="00C64327">
        <w:rPr>
          <w:rFonts w:cstheme="minorHAnsi"/>
        </w:rPr>
        <w:t>stated</w:t>
      </w:r>
      <w:r w:rsidR="00953BFD" w:rsidRPr="00C64327">
        <w:rPr>
          <w:rFonts w:cstheme="minorHAnsi"/>
        </w:rPr>
        <w:t>:</w:t>
      </w:r>
      <w:r w:rsidR="00414D00" w:rsidRPr="00C64327">
        <w:rPr>
          <w:rFonts w:cstheme="minorHAnsi"/>
        </w:rPr>
        <w:tab/>
      </w:r>
    </w:p>
    <w:p w14:paraId="5DF85299" w14:textId="77777777" w:rsidR="00953BFD" w:rsidRPr="00C64327" w:rsidRDefault="00D9680D" w:rsidP="00512E5F">
      <w:pPr>
        <w:spacing w:line="360" w:lineRule="auto"/>
        <w:jc w:val="both"/>
        <w:rPr>
          <w:rFonts w:cstheme="minorHAnsi"/>
          <w:i/>
          <w:iCs/>
        </w:rPr>
      </w:pPr>
      <w:r w:rsidRPr="00C64327">
        <w:rPr>
          <w:rFonts w:cstheme="minorHAnsi"/>
          <w:i/>
          <w:iCs/>
        </w:rPr>
        <w:t xml:space="preserve"> ‘God is our purpose, the Prophet is our leader, the Qur’an our constitution</w:t>
      </w:r>
      <w:r w:rsidR="000178E4" w:rsidRPr="00C64327">
        <w:rPr>
          <w:rFonts w:cstheme="minorHAnsi"/>
          <w:i/>
          <w:iCs/>
        </w:rPr>
        <w:t>, jihad our way and dying for God’s cause our supreme</w:t>
      </w:r>
      <w:r w:rsidR="00F93803" w:rsidRPr="00C64327">
        <w:rPr>
          <w:rFonts w:cstheme="minorHAnsi"/>
          <w:i/>
          <w:iCs/>
        </w:rPr>
        <w:t xml:space="preserve"> objective’.</w:t>
      </w:r>
      <w:r w:rsidR="003E793E" w:rsidRPr="00C64327">
        <w:rPr>
          <w:rFonts w:cstheme="minorHAnsi"/>
          <w:i/>
          <w:iCs/>
        </w:rPr>
        <w:t xml:space="preserve"> </w:t>
      </w:r>
    </w:p>
    <w:p w14:paraId="524F258A" w14:textId="5E618A70" w:rsidR="0013601E" w:rsidRPr="00C64327" w:rsidRDefault="00BD681D" w:rsidP="00512E5F">
      <w:pPr>
        <w:spacing w:line="360" w:lineRule="auto"/>
        <w:jc w:val="both"/>
        <w:rPr>
          <w:rFonts w:cstheme="minorHAnsi"/>
        </w:rPr>
      </w:pPr>
      <w:r w:rsidRPr="00C64327">
        <w:rPr>
          <w:rFonts w:cstheme="minorHAnsi"/>
        </w:rPr>
        <w:t>The Brotherhood’s banner consists of two crossed swords, a copy of the Qur’an and the words ‘prepare’</w:t>
      </w:r>
      <w:r w:rsidR="00C66522" w:rsidRPr="00C64327">
        <w:rPr>
          <w:rStyle w:val="FootnoteReference"/>
          <w:rFonts w:cstheme="minorHAnsi"/>
        </w:rPr>
        <w:footnoteReference w:id="3"/>
      </w:r>
      <w:r w:rsidRPr="00C64327">
        <w:rPr>
          <w:rFonts w:cstheme="minorHAnsi"/>
        </w:rPr>
        <w:t>.</w:t>
      </w:r>
      <w:r w:rsidR="0030689F" w:rsidRPr="00C64327">
        <w:rPr>
          <w:rFonts w:cstheme="minorHAnsi"/>
        </w:rPr>
        <w:t xml:space="preserve"> </w:t>
      </w:r>
      <w:r w:rsidR="00924F5C" w:rsidRPr="00C64327">
        <w:rPr>
          <w:rFonts w:cstheme="minorHAnsi"/>
        </w:rPr>
        <w:t>T</w:t>
      </w:r>
      <w:r w:rsidR="001F4B81" w:rsidRPr="00C64327">
        <w:rPr>
          <w:rFonts w:cstheme="minorHAnsi"/>
        </w:rPr>
        <w:t>hese overtly religious words are symbolic</w:t>
      </w:r>
      <w:r w:rsidR="00C26462" w:rsidRPr="00C64327">
        <w:rPr>
          <w:rFonts w:cstheme="minorHAnsi"/>
        </w:rPr>
        <w:t xml:space="preserve"> to Muslims and </w:t>
      </w:r>
      <w:r w:rsidR="00BF1F9E" w:rsidRPr="00C64327">
        <w:rPr>
          <w:rFonts w:cstheme="minorHAnsi"/>
        </w:rPr>
        <w:t xml:space="preserve">are representative </w:t>
      </w:r>
      <w:r w:rsidR="00CF6E1B" w:rsidRPr="00C64327">
        <w:rPr>
          <w:rFonts w:cstheme="minorHAnsi"/>
        </w:rPr>
        <w:t xml:space="preserve">of the ‘divinely ordained and </w:t>
      </w:r>
      <w:r w:rsidR="00DC777F" w:rsidRPr="00C64327">
        <w:rPr>
          <w:rFonts w:cstheme="minorHAnsi"/>
        </w:rPr>
        <w:t>universal nature of the movement’s struggle’</w:t>
      </w:r>
      <w:r w:rsidR="00C66522" w:rsidRPr="00C64327">
        <w:rPr>
          <w:rStyle w:val="FootnoteReference"/>
          <w:rFonts w:cstheme="minorHAnsi"/>
        </w:rPr>
        <w:footnoteReference w:id="4"/>
      </w:r>
      <w:r w:rsidR="00DC777F" w:rsidRPr="00C64327">
        <w:rPr>
          <w:rFonts w:cstheme="minorHAnsi"/>
        </w:rPr>
        <w:t>.</w:t>
      </w:r>
      <w:r w:rsidR="00C57BAE" w:rsidRPr="00C64327">
        <w:rPr>
          <w:rFonts w:cstheme="minorHAnsi"/>
        </w:rPr>
        <w:t xml:space="preserve"> This </w:t>
      </w:r>
      <w:r w:rsidR="004B2B1C" w:rsidRPr="00C64327">
        <w:rPr>
          <w:rFonts w:cstheme="minorHAnsi"/>
        </w:rPr>
        <w:t>represents the Muslim Brotherhood’s claim to sacred authority</w:t>
      </w:r>
      <w:r w:rsidR="004B2B1C" w:rsidRPr="00C64327">
        <w:rPr>
          <w:rStyle w:val="FootnoteReference"/>
          <w:rFonts w:cstheme="minorHAnsi"/>
        </w:rPr>
        <w:footnoteReference w:id="5"/>
      </w:r>
      <w:r w:rsidR="004B2B1C" w:rsidRPr="00C64327">
        <w:rPr>
          <w:rFonts w:cstheme="minorHAnsi"/>
        </w:rPr>
        <w:t>.</w:t>
      </w:r>
    </w:p>
    <w:p w14:paraId="0F41B4CE" w14:textId="77777777" w:rsidR="00414D00" w:rsidRPr="00C64327" w:rsidRDefault="00414D00" w:rsidP="00512E5F">
      <w:pPr>
        <w:spacing w:line="360" w:lineRule="auto"/>
        <w:jc w:val="both"/>
        <w:rPr>
          <w:rFonts w:cstheme="minorHAnsi"/>
        </w:rPr>
      </w:pPr>
      <w:r w:rsidRPr="00C64327">
        <w:rPr>
          <w:rFonts w:cstheme="minorHAnsi"/>
        </w:rPr>
        <w:t>As the Brotherhood has developed politically and ideologically, it has concentrated more on economic, social, and political issues from a religious perspective</w:t>
      </w:r>
      <w:r w:rsidRPr="00C64327">
        <w:rPr>
          <w:rStyle w:val="FootnoteReference"/>
          <w:rFonts w:cstheme="minorHAnsi"/>
        </w:rPr>
        <w:footnoteReference w:id="6"/>
      </w:r>
      <w:r w:rsidRPr="00C64327">
        <w:rPr>
          <w:rFonts w:cstheme="minorHAnsi"/>
        </w:rPr>
        <w:t>. Established as a reactionary organisation to combat imperialism and colonialism, its agenda also sought to re-establish the caliphate through the re-Islamisation of Egyptian society</w:t>
      </w:r>
      <w:r w:rsidRPr="00C64327">
        <w:rPr>
          <w:rStyle w:val="FootnoteReference"/>
          <w:rFonts w:cstheme="minorHAnsi"/>
        </w:rPr>
        <w:footnoteReference w:id="7"/>
      </w:r>
      <w:r w:rsidRPr="00C64327">
        <w:rPr>
          <w:rFonts w:cstheme="minorHAnsi"/>
        </w:rPr>
        <w:t xml:space="preserve">. The Islamisation of society was viewed as a gradual process. The belief that Islamic self-reform led to familial reform and ultimately the raising of an Islamic consciousness within and throughout society was followed by al-Banna. Once such a process is </w:t>
      </w:r>
      <w:r w:rsidRPr="00C64327">
        <w:rPr>
          <w:rFonts w:cstheme="minorHAnsi"/>
        </w:rPr>
        <w:lastRenderedPageBreak/>
        <w:t>followed, society would eventually be ready to re-order along Islamic principles</w:t>
      </w:r>
      <w:r w:rsidRPr="00C64327">
        <w:rPr>
          <w:rStyle w:val="FootnoteReference"/>
          <w:rFonts w:cstheme="minorHAnsi"/>
        </w:rPr>
        <w:footnoteReference w:id="8"/>
      </w:r>
      <w:r w:rsidRPr="00C64327">
        <w:rPr>
          <w:rFonts w:cstheme="minorHAnsi"/>
        </w:rPr>
        <w:t>. The Brotherhood became involved at all levels of civic life, penetrating institutions that lacked support or control of the state. This included welfare and professional institutions and associations, eventually gaining control of tens of thousands of private mosques</w:t>
      </w:r>
      <w:r w:rsidRPr="00C64327">
        <w:rPr>
          <w:rStyle w:val="FootnoteReference"/>
          <w:rFonts w:cstheme="minorHAnsi"/>
        </w:rPr>
        <w:footnoteReference w:id="9"/>
      </w:r>
      <w:r w:rsidRPr="00C64327">
        <w:rPr>
          <w:rFonts w:cstheme="minorHAnsi"/>
        </w:rPr>
        <w:t xml:space="preserve">. Of these institutions, the Brotherhood placed special emphasis on education as a tool employed to spread an Islamic message through </w:t>
      </w:r>
      <w:r w:rsidRPr="00C64327">
        <w:rPr>
          <w:rFonts w:cstheme="minorHAnsi"/>
          <w:i/>
          <w:iCs/>
        </w:rPr>
        <w:t>tarbiyya</w:t>
      </w:r>
      <w:r w:rsidRPr="00C64327">
        <w:rPr>
          <w:rFonts w:cstheme="minorHAnsi"/>
        </w:rPr>
        <w:t xml:space="preserve"> (preaching and education). Religious instruction, through Quranic classes, formed part of a comprehensive educational provision, many of those students later became members and recruiters for the organisation</w:t>
      </w:r>
      <w:r w:rsidRPr="00C64327">
        <w:rPr>
          <w:rStyle w:val="FootnoteReference"/>
          <w:rFonts w:cstheme="minorHAnsi"/>
        </w:rPr>
        <w:footnoteReference w:id="10"/>
      </w:r>
      <w:r w:rsidRPr="00C64327">
        <w:rPr>
          <w:rFonts w:cstheme="minorHAnsi"/>
        </w:rPr>
        <w:t>. Education engendered the process of objectification. The process of presenting the purpose of religion and its importance to the believer’s life can become shared experiences that shape discourse and practice of Muslims from all social classes. Religion therefore becomes a self-contained system, describing, characterising, and distinguishing from other systems</w:t>
      </w:r>
      <w:r w:rsidRPr="00C64327">
        <w:rPr>
          <w:rStyle w:val="FootnoteReference"/>
          <w:rFonts w:cstheme="minorHAnsi"/>
        </w:rPr>
        <w:footnoteReference w:id="11"/>
      </w:r>
      <w:r w:rsidRPr="00C64327">
        <w:rPr>
          <w:rFonts w:cstheme="minorHAnsi"/>
        </w:rPr>
        <w:t>.</w:t>
      </w:r>
    </w:p>
    <w:p w14:paraId="09BF9D59" w14:textId="02AB46C7" w:rsidR="00F2305C" w:rsidRDefault="008A6B36" w:rsidP="00512E5F">
      <w:pPr>
        <w:spacing w:line="360" w:lineRule="auto"/>
        <w:jc w:val="both"/>
        <w:rPr>
          <w:rFonts w:cstheme="minorHAnsi"/>
        </w:rPr>
      </w:pPr>
      <w:r w:rsidRPr="00C64327">
        <w:rPr>
          <w:rFonts w:cstheme="minorHAnsi"/>
        </w:rPr>
        <w:t>Scott argued that</w:t>
      </w:r>
      <w:r w:rsidR="00373E92" w:rsidRPr="00C64327">
        <w:rPr>
          <w:rFonts w:cstheme="minorHAnsi"/>
        </w:rPr>
        <w:t xml:space="preserve"> the Muslim Brotherhood conformed to the state</w:t>
      </w:r>
      <w:r w:rsidR="00DC050B" w:rsidRPr="00C64327">
        <w:rPr>
          <w:rFonts w:cstheme="minorHAnsi"/>
        </w:rPr>
        <w:t>’s</w:t>
      </w:r>
      <w:r w:rsidR="001A0D7D" w:rsidRPr="00C64327">
        <w:rPr>
          <w:rFonts w:cstheme="minorHAnsi"/>
        </w:rPr>
        <w:t xml:space="preserve"> </w:t>
      </w:r>
      <w:r w:rsidR="00DC050B" w:rsidRPr="00C64327">
        <w:rPr>
          <w:rFonts w:cstheme="minorHAnsi"/>
        </w:rPr>
        <w:t xml:space="preserve">mechanisms, concepts and categories when addressing the issue of managing religion. </w:t>
      </w:r>
      <w:r w:rsidR="00255B5E" w:rsidRPr="00C64327">
        <w:rPr>
          <w:rFonts w:cstheme="minorHAnsi"/>
        </w:rPr>
        <w:t xml:space="preserve">She posited the Brotherhood as </w:t>
      </w:r>
      <w:r w:rsidR="007F563B" w:rsidRPr="00C64327">
        <w:rPr>
          <w:rFonts w:cstheme="minorHAnsi"/>
        </w:rPr>
        <w:t xml:space="preserve">being in the process of adopting a principle of secular power rather than seeking </w:t>
      </w:r>
      <w:r w:rsidR="001229A4" w:rsidRPr="00C64327">
        <w:rPr>
          <w:rFonts w:cstheme="minorHAnsi"/>
        </w:rPr>
        <w:t>its reversal</w:t>
      </w:r>
      <w:r w:rsidR="005F184D" w:rsidRPr="00C64327">
        <w:rPr>
          <w:rFonts w:cstheme="minorHAnsi"/>
        </w:rPr>
        <w:t xml:space="preserve"> at the time of Morsi</w:t>
      </w:r>
      <w:r w:rsidR="001229A4" w:rsidRPr="00C64327">
        <w:rPr>
          <w:rStyle w:val="FootnoteReference"/>
          <w:rFonts w:cstheme="minorHAnsi"/>
        </w:rPr>
        <w:footnoteReference w:id="12"/>
      </w:r>
      <w:r w:rsidR="001C675F" w:rsidRPr="00C64327">
        <w:rPr>
          <w:rFonts w:cstheme="minorHAnsi"/>
        </w:rPr>
        <w:t>.</w:t>
      </w:r>
      <w:r w:rsidR="00A13F5C" w:rsidRPr="00C64327">
        <w:rPr>
          <w:rFonts w:cstheme="minorHAnsi"/>
        </w:rPr>
        <w:t xml:space="preserve"> In</w:t>
      </w:r>
      <w:r w:rsidR="003E5890" w:rsidRPr="00C64327">
        <w:rPr>
          <w:rFonts w:cstheme="minorHAnsi"/>
        </w:rPr>
        <w:t xml:space="preserve"> 2008,</w:t>
      </w:r>
      <w:r w:rsidR="00DA0ABC" w:rsidRPr="00C64327">
        <w:rPr>
          <w:rFonts w:cstheme="minorHAnsi"/>
        </w:rPr>
        <w:t xml:space="preserve"> Brown and Hamzawy wrote that some </w:t>
      </w:r>
      <w:r w:rsidR="001A0D7D" w:rsidRPr="00C64327">
        <w:rPr>
          <w:rFonts w:cstheme="minorHAnsi"/>
        </w:rPr>
        <w:t xml:space="preserve">Muslim Brotherhood </w:t>
      </w:r>
      <w:r w:rsidR="00DA0ABC" w:rsidRPr="00C64327">
        <w:rPr>
          <w:rFonts w:cstheme="minorHAnsi"/>
        </w:rPr>
        <w:t xml:space="preserve">followers emphasise the need to implement </w:t>
      </w:r>
      <w:r w:rsidR="005A690B">
        <w:rPr>
          <w:rFonts w:cstheme="minorHAnsi"/>
        </w:rPr>
        <w:t>sharia</w:t>
      </w:r>
      <w:r w:rsidR="00DA0ABC" w:rsidRPr="00C64327">
        <w:rPr>
          <w:rFonts w:cstheme="minorHAnsi"/>
        </w:rPr>
        <w:t xml:space="preserve"> as it is central to the movement’s mission and political involvement and the organisations leadership are committed to ‘increasing the role of Islam in Egyptian public life’. Additionally, the </w:t>
      </w:r>
      <w:r w:rsidR="005A690B">
        <w:rPr>
          <w:rFonts w:cstheme="minorHAnsi"/>
        </w:rPr>
        <w:t>s</w:t>
      </w:r>
      <w:r w:rsidR="00DA0ABC" w:rsidRPr="00C64327">
        <w:rPr>
          <w:rFonts w:cstheme="minorHAnsi"/>
        </w:rPr>
        <w:t>haria as an authentic, just, and moral legal order has much appeal to the population, while grassroots supporters have an expectation of its application</w:t>
      </w:r>
      <w:r w:rsidR="001A0D7D" w:rsidRPr="00C64327">
        <w:rPr>
          <w:rStyle w:val="FootnoteReference"/>
          <w:rFonts w:cstheme="minorHAnsi"/>
        </w:rPr>
        <w:footnoteReference w:id="13"/>
      </w:r>
      <w:r w:rsidR="00DA0ABC" w:rsidRPr="00C64327">
        <w:rPr>
          <w:rFonts w:cstheme="minorHAnsi"/>
        </w:rPr>
        <w:t>.</w:t>
      </w:r>
      <w:r w:rsidR="00165FE3" w:rsidRPr="00C64327">
        <w:rPr>
          <w:rFonts w:cstheme="minorHAnsi"/>
        </w:rPr>
        <w:t xml:space="preserve"> </w:t>
      </w:r>
      <w:r w:rsidR="00B45FED" w:rsidRPr="00C64327">
        <w:rPr>
          <w:rFonts w:cstheme="minorHAnsi"/>
        </w:rPr>
        <w:t>At this time</w:t>
      </w:r>
      <w:r w:rsidR="006F43D8" w:rsidRPr="00C64327">
        <w:rPr>
          <w:rFonts w:cstheme="minorHAnsi"/>
        </w:rPr>
        <w:t xml:space="preserve">, </w:t>
      </w:r>
      <w:r w:rsidR="00B45FED" w:rsidRPr="00C64327">
        <w:rPr>
          <w:rFonts w:cstheme="minorHAnsi"/>
        </w:rPr>
        <w:t>the Brotherhood stood accused of holding ‘vague ideological and religious slogans and inability to come up with specific policy prescriptions</w:t>
      </w:r>
      <w:r w:rsidR="002F768C" w:rsidRPr="00C64327">
        <w:rPr>
          <w:rStyle w:val="FootnoteReference"/>
          <w:rFonts w:cstheme="minorHAnsi"/>
        </w:rPr>
        <w:footnoteReference w:id="14"/>
      </w:r>
      <w:r w:rsidR="00B45FED" w:rsidRPr="00C64327">
        <w:rPr>
          <w:rFonts w:cstheme="minorHAnsi"/>
        </w:rPr>
        <w:t>’</w:t>
      </w:r>
      <w:r w:rsidR="006F43D8" w:rsidRPr="00C64327">
        <w:rPr>
          <w:rFonts w:cstheme="minorHAnsi"/>
        </w:rPr>
        <w:t>.</w:t>
      </w:r>
      <w:r w:rsidR="00F2305C" w:rsidRPr="00C64327">
        <w:rPr>
          <w:rFonts w:cstheme="minorHAnsi"/>
        </w:rPr>
        <w:t xml:space="preserve"> </w:t>
      </w:r>
      <w:r w:rsidR="00512E5F" w:rsidRPr="00C64327">
        <w:rPr>
          <w:rFonts w:cstheme="minorHAnsi"/>
        </w:rPr>
        <w:t>There w</w:t>
      </w:r>
      <w:r w:rsidR="0020109A">
        <w:rPr>
          <w:rFonts w:cstheme="minorHAnsi"/>
        </w:rPr>
        <w:t>ere</w:t>
      </w:r>
      <w:r w:rsidR="00512E5F" w:rsidRPr="00C64327">
        <w:rPr>
          <w:rFonts w:cstheme="minorHAnsi"/>
        </w:rPr>
        <w:t xml:space="preserve"> clear divides in this</w:t>
      </w:r>
      <w:r w:rsidR="00F2305C" w:rsidRPr="00C64327">
        <w:rPr>
          <w:rFonts w:cstheme="minorHAnsi"/>
        </w:rPr>
        <w:t xml:space="preserve"> 2007 draft </w:t>
      </w:r>
      <w:r w:rsidR="00512E5F" w:rsidRPr="00C64327">
        <w:rPr>
          <w:rFonts w:cstheme="minorHAnsi"/>
        </w:rPr>
        <w:t xml:space="preserve">party </w:t>
      </w:r>
      <w:r w:rsidR="00F2305C" w:rsidRPr="00C64327">
        <w:rPr>
          <w:rFonts w:cstheme="minorHAnsi"/>
        </w:rPr>
        <w:t>platform</w:t>
      </w:r>
      <w:r w:rsidR="00512E5F" w:rsidRPr="00C64327">
        <w:rPr>
          <w:rFonts w:cstheme="minorHAnsi"/>
        </w:rPr>
        <w:t>.</w:t>
      </w:r>
      <w:r w:rsidR="00F2305C" w:rsidRPr="00C64327">
        <w:rPr>
          <w:rFonts w:cstheme="minorHAnsi"/>
        </w:rPr>
        <w:t xml:space="preserve"> A suggestion of the creation of a council of religious scholars was made that would advise officials on matters of religious law. In matters where it was believed that the sharia could be compromised, the council’s ruling would be binding. A split in opinion was demonstrable between the movement’s ‘foot soldiers’ who urged not to abandon the sharia and the potential alienation of those inside and outside of the movement </w:t>
      </w:r>
      <w:r w:rsidR="00F2305C" w:rsidRPr="00C64327">
        <w:rPr>
          <w:rFonts w:cstheme="minorHAnsi"/>
        </w:rPr>
        <w:lastRenderedPageBreak/>
        <w:t>who would see such an insertion of a proposal as the illegitimate privileging of some aspects of sharia</w:t>
      </w:r>
      <w:r w:rsidR="00512E5F" w:rsidRPr="00C64327">
        <w:rPr>
          <w:rStyle w:val="FootnoteReference"/>
          <w:rFonts w:cstheme="minorHAnsi"/>
        </w:rPr>
        <w:footnoteReference w:id="15"/>
      </w:r>
      <w:r w:rsidR="00512E5F" w:rsidRPr="00C64327">
        <w:rPr>
          <w:rFonts w:cstheme="minorHAnsi"/>
        </w:rPr>
        <w:t>.</w:t>
      </w:r>
    </w:p>
    <w:p w14:paraId="7FC6E082" w14:textId="01A50788" w:rsidR="00645577" w:rsidRPr="00C64327" w:rsidRDefault="00645577" w:rsidP="00512E5F">
      <w:pPr>
        <w:spacing w:line="360" w:lineRule="auto"/>
        <w:jc w:val="both"/>
        <w:rPr>
          <w:rFonts w:cstheme="minorHAnsi"/>
        </w:rPr>
      </w:pPr>
      <w:r>
        <w:rPr>
          <w:rFonts w:cstheme="minorHAnsi"/>
        </w:rPr>
        <w:t xml:space="preserve">It can be argued that the Muslim Brotherhood </w:t>
      </w:r>
      <w:r w:rsidR="00B9450F">
        <w:rPr>
          <w:rFonts w:cstheme="minorHAnsi"/>
        </w:rPr>
        <w:t xml:space="preserve">were slow to start in the 2011 uprising. Racheal Scott arguably placed the Brotherhood as </w:t>
      </w:r>
      <w:r w:rsidR="004F1C19">
        <w:rPr>
          <w:rFonts w:cstheme="minorHAnsi"/>
        </w:rPr>
        <w:t>religious actors but ones who followed the best suited political agenda while being receptive and adaptive to contemporary political feelings.</w:t>
      </w:r>
      <w:r w:rsidR="00614170">
        <w:rPr>
          <w:rFonts w:cstheme="minorHAnsi"/>
        </w:rPr>
        <w:t xml:space="preserve"> Additionally, to a great extent, Brown and Hamzawry</w:t>
      </w:r>
      <w:r w:rsidR="00A809EA">
        <w:rPr>
          <w:rFonts w:cstheme="minorHAnsi"/>
        </w:rPr>
        <w:t xml:space="preserve"> placed the Brotherhood in total disarray and lacking clear direction in the years immediately before the uprising. </w:t>
      </w:r>
      <w:r w:rsidR="0050328C">
        <w:rPr>
          <w:rFonts w:cstheme="minorHAnsi"/>
        </w:rPr>
        <w:t xml:space="preserve">With a slow start and a clear lack of policy direction the Brotherhood may have stood accused of opportunism at the time of the uprising; while the groups core beliefs centre around religion, </w:t>
      </w:r>
      <w:r w:rsidR="00817824">
        <w:rPr>
          <w:rFonts w:cstheme="minorHAnsi"/>
        </w:rPr>
        <w:t>at the time of the uprising there appeared to be a lack of strong religious and political direction.</w:t>
      </w:r>
    </w:p>
    <w:p w14:paraId="1AD926C5" w14:textId="17042731" w:rsidR="00DA0ABC" w:rsidRDefault="00DA0ABC" w:rsidP="001A0D7D">
      <w:pPr>
        <w:spacing w:line="360" w:lineRule="auto"/>
      </w:pPr>
    </w:p>
    <w:p w14:paraId="420C3117" w14:textId="1FDE71DB" w:rsidR="00DC4736" w:rsidRDefault="00DC4736" w:rsidP="001A0D7D">
      <w:pPr>
        <w:spacing w:line="360" w:lineRule="auto"/>
        <w:jc w:val="both"/>
      </w:pPr>
    </w:p>
    <w:p w14:paraId="6C5A6750" w14:textId="77777777" w:rsidR="00B071F5" w:rsidRDefault="00B071F5" w:rsidP="001A0D7D">
      <w:pPr>
        <w:spacing w:line="360" w:lineRule="auto"/>
        <w:jc w:val="both"/>
      </w:pPr>
    </w:p>
    <w:p w14:paraId="518E1828" w14:textId="77777777" w:rsidR="00B071F5" w:rsidRDefault="00B071F5" w:rsidP="001A0D7D">
      <w:pPr>
        <w:spacing w:line="360" w:lineRule="auto"/>
        <w:jc w:val="both"/>
      </w:pPr>
    </w:p>
    <w:p w14:paraId="187F9954" w14:textId="77777777" w:rsidR="00B071F5" w:rsidRDefault="00B071F5" w:rsidP="001A0D7D">
      <w:pPr>
        <w:spacing w:line="360" w:lineRule="auto"/>
        <w:jc w:val="both"/>
      </w:pPr>
    </w:p>
    <w:p w14:paraId="4D818F3E" w14:textId="77777777" w:rsidR="00B071F5" w:rsidRDefault="00B071F5" w:rsidP="001A0D7D">
      <w:pPr>
        <w:spacing w:line="360" w:lineRule="auto"/>
        <w:jc w:val="both"/>
      </w:pPr>
    </w:p>
    <w:p w14:paraId="7081BD28" w14:textId="77777777" w:rsidR="00B071F5" w:rsidRDefault="00B071F5" w:rsidP="001A0D7D">
      <w:pPr>
        <w:spacing w:line="360" w:lineRule="auto"/>
        <w:jc w:val="both"/>
      </w:pPr>
    </w:p>
    <w:p w14:paraId="641E298F" w14:textId="77777777" w:rsidR="00B071F5" w:rsidRDefault="00B071F5" w:rsidP="001A0D7D">
      <w:pPr>
        <w:spacing w:line="360" w:lineRule="auto"/>
        <w:jc w:val="both"/>
      </w:pPr>
    </w:p>
    <w:p w14:paraId="078E8B5B" w14:textId="77777777" w:rsidR="00B071F5" w:rsidRDefault="00B071F5" w:rsidP="001A0D7D">
      <w:pPr>
        <w:spacing w:line="360" w:lineRule="auto"/>
        <w:jc w:val="both"/>
      </w:pPr>
    </w:p>
    <w:p w14:paraId="3D11F9AA" w14:textId="77777777" w:rsidR="00B071F5" w:rsidRDefault="00B071F5" w:rsidP="001A0D7D">
      <w:pPr>
        <w:spacing w:line="360" w:lineRule="auto"/>
        <w:jc w:val="both"/>
      </w:pPr>
    </w:p>
    <w:p w14:paraId="294D677F" w14:textId="77777777" w:rsidR="00B071F5" w:rsidRDefault="00B071F5" w:rsidP="001A0D7D">
      <w:pPr>
        <w:spacing w:line="360" w:lineRule="auto"/>
        <w:jc w:val="both"/>
      </w:pPr>
    </w:p>
    <w:p w14:paraId="1C1DAE95" w14:textId="77777777" w:rsidR="00B071F5" w:rsidRDefault="00B071F5" w:rsidP="001A0D7D">
      <w:pPr>
        <w:spacing w:line="360" w:lineRule="auto"/>
        <w:jc w:val="both"/>
      </w:pPr>
    </w:p>
    <w:p w14:paraId="7AC79CAA" w14:textId="77777777" w:rsidR="00B071F5" w:rsidRDefault="00B071F5" w:rsidP="001A0D7D">
      <w:pPr>
        <w:spacing w:line="360" w:lineRule="auto"/>
        <w:jc w:val="both"/>
      </w:pPr>
    </w:p>
    <w:p w14:paraId="1A7B5AE5" w14:textId="77777777" w:rsidR="00B071F5" w:rsidRDefault="00B071F5" w:rsidP="001A0D7D">
      <w:pPr>
        <w:spacing w:line="360" w:lineRule="auto"/>
        <w:jc w:val="both"/>
      </w:pPr>
    </w:p>
    <w:p w14:paraId="16BF119A" w14:textId="77777777" w:rsidR="000A2E3B" w:rsidRDefault="000A2E3B" w:rsidP="001A0D7D">
      <w:pPr>
        <w:spacing w:line="360" w:lineRule="auto"/>
        <w:jc w:val="both"/>
      </w:pPr>
    </w:p>
    <w:p w14:paraId="403F2FD1" w14:textId="368B3D65" w:rsidR="00D509AA" w:rsidRDefault="0041456A" w:rsidP="001A0D7D">
      <w:pPr>
        <w:spacing w:line="360" w:lineRule="auto"/>
        <w:jc w:val="both"/>
      </w:pPr>
      <w:r>
        <w:lastRenderedPageBreak/>
        <w:t>References</w:t>
      </w:r>
    </w:p>
    <w:p w14:paraId="4F31DAED" w14:textId="77777777" w:rsidR="0041456A" w:rsidRPr="00B071F5" w:rsidRDefault="0041456A" w:rsidP="000A2E3B">
      <w:pPr>
        <w:pStyle w:val="FootnoteText"/>
        <w:spacing w:line="360" w:lineRule="auto"/>
        <w:rPr>
          <w:rFonts w:cstheme="minorHAnsi"/>
          <w:color w:val="000000" w:themeColor="text1"/>
          <w:sz w:val="22"/>
          <w:szCs w:val="22"/>
        </w:rPr>
      </w:pPr>
      <w:r w:rsidRPr="00B071F5">
        <w:rPr>
          <w:rFonts w:cstheme="minorHAnsi"/>
          <w:color w:val="000000" w:themeColor="text1"/>
          <w:sz w:val="22"/>
          <w:szCs w:val="22"/>
        </w:rPr>
        <w:t>Aknur, Müge. "The Muslim Brotherhood in Politics in Egypt: From Moderation to Authoritarianism?" Uluslararası Hukuk Ve Politika, no. 33 (2013): 1-25, p.4, last accessed 21</w:t>
      </w:r>
      <w:r w:rsidRPr="00B071F5">
        <w:rPr>
          <w:rFonts w:cstheme="minorHAnsi"/>
          <w:color w:val="000000" w:themeColor="text1"/>
          <w:sz w:val="22"/>
          <w:szCs w:val="22"/>
          <w:vertAlign w:val="superscript"/>
        </w:rPr>
        <w:t>st</w:t>
      </w:r>
      <w:r w:rsidRPr="00B071F5">
        <w:rPr>
          <w:rFonts w:cstheme="minorHAnsi"/>
          <w:color w:val="000000" w:themeColor="text1"/>
          <w:sz w:val="22"/>
          <w:szCs w:val="22"/>
        </w:rPr>
        <w:t xml:space="preserve"> September 2020, </w:t>
      </w:r>
      <w:hyperlink r:id="rId7" w:history="1">
        <w:r w:rsidRPr="00B071F5">
          <w:rPr>
            <w:rStyle w:val="Hyperlink"/>
            <w:rFonts w:cstheme="minorHAnsi"/>
            <w:color w:val="000000" w:themeColor="text1"/>
            <w:sz w:val="22"/>
            <w:szCs w:val="22"/>
          </w:rPr>
          <w:t>https://whel-primo.hosted.exlibrisgroup.com/permalink/f/mqg008/TN_cdi_ceeol_journals_70358</w:t>
        </w:r>
      </w:hyperlink>
    </w:p>
    <w:p w14:paraId="1A1F1933" w14:textId="77777777" w:rsidR="000A2E3B" w:rsidRDefault="000A2E3B" w:rsidP="000A2E3B">
      <w:pPr>
        <w:pStyle w:val="FootnoteText"/>
        <w:spacing w:line="360" w:lineRule="auto"/>
        <w:rPr>
          <w:rFonts w:cstheme="minorHAnsi"/>
          <w:color w:val="000000" w:themeColor="text1"/>
          <w:sz w:val="22"/>
          <w:szCs w:val="22"/>
        </w:rPr>
      </w:pPr>
    </w:p>
    <w:p w14:paraId="06444EAC" w14:textId="294012D4" w:rsidR="0041456A" w:rsidRDefault="0041456A" w:rsidP="000A2E3B">
      <w:pPr>
        <w:pStyle w:val="FootnoteText"/>
        <w:spacing w:line="360" w:lineRule="auto"/>
        <w:rPr>
          <w:rStyle w:val="Hyperlink"/>
          <w:rFonts w:cstheme="minorHAnsi"/>
          <w:color w:val="000000" w:themeColor="text1"/>
          <w:sz w:val="22"/>
          <w:szCs w:val="22"/>
        </w:rPr>
      </w:pPr>
      <w:r w:rsidRPr="00B071F5">
        <w:rPr>
          <w:rFonts w:cstheme="minorHAnsi"/>
          <w:color w:val="000000" w:themeColor="text1"/>
          <w:sz w:val="22"/>
          <w:szCs w:val="22"/>
        </w:rPr>
        <w:t xml:space="preserve">Brown, N.J. and Hamzawy, A., ‘The Draft Party Platform of the Egyptian Muslim Brotherhood: Foray Into Political Integration or Retreat Into Old Positions?’ </w:t>
      </w:r>
      <w:r w:rsidRPr="00B071F5">
        <w:rPr>
          <w:rFonts w:cstheme="minorHAnsi"/>
          <w:i/>
          <w:iCs/>
          <w:color w:val="000000" w:themeColor="text1"/>
          <w:sz w:val="22"/>
          <w:szCs w:val="22"/>
        </w:rPr>
        <w:t>Carnegie Papers</w:t>
      </w:r>
      <w:r w:rsidRPr="00B071F5">
        <w:rPr>
          <w:rFonts w:cstheme="minorHAnsi"/>
          <w:color w:val="000000" w:themeColor="text1"/>
          <w:sz w:val="22"/>
          <w:szCs w:val="22"/>
        </w:rPr>
        <w:t>,  2008,pp 1-32. , p.1 Carnegie Endowment for International Peace, last accessed 23</w:t>
      </w:r>
      <w:r w:rsidRPr="00B071F5">
        <w:rPr>
          <w:rFonts w:cstheme="minorHAnsi"/>
          <w:color w:val="000000" w:themeColor="text1"/>
          <w:sz w:val="22"/>
          <w:szCs w:val="22"/>
          <w:vertAlign w:val="superscript"/>
        </w:rPr>
        <w:t>rd</w:t>
      </w:r>
      <w:r w:rsidRPr="00B071F5">
        <w:rPr>
          <w:rFonts w:cstheme="minorHAnsi"/>
          <w:color w:val="000000" w:themeColor="text1"/>
          <w:sz w:val="22"/>
          <w:szCs w:val="22"/>
        </w:rPr>
        <w:t xml:space="preserve"> September 2020 </w:t>
      </w:r>
      <w:hyperlink r:id="rId8" w:history="1">
        <w:r w:rsidRPr="00B071F5">
          <w:rPr>
            <w:rStyle w:val="Hyperlink"/>
            <w:rFonts w:cstheme="minorHAnsi"/>
            <w:color w:val="000000" w:themeColor="text1"/>
            <w:sz w:val="22"/>
            <w:szCs w:val="22"/>
          </w:rPr>
          <w:t>https://carnegieendowment.org/2008/01/14/draft-party-platform-of-egyptian-muslim-brotherhood-foray-into-political-integration-or-retreat-into-old-positions-pub-19835</w:t>
        </w:r>
      </w:hyperlink>
    </w:p>
    <w:p w14:paraId="1C100EE0" w14:textId="77777777" w:rsidR="000A2E3B" w:rsidRPr="000A2E3B" w:rsidRDefault="000A2E3B" w:rsidP="000A2E3B">
      <w:pPr>
        <w:pStyle w:val="FootnoteText"/>
        <w:spacing w:line="360" w:lineRule="auto"/>
        <w:rPr>
          <w:rFonts w:cstheme="minorHAnsi"/>
          <w:color w:val="000000" w:themeColor="text1"/>
          <w:sz w:val="22"/>
          <w:szCs w:val="22"/>
          <w:u w:val="single"/>
        </w:rPr>
      </w:pPr>
    </w:p>
    <w:p w14:paraId="7D84800B" w14:textId="2F176963" w:rsidR="0041456A" w:rsidRDefault="0041456A" w:rsidP="000A2E3B">
      <w:pPr>
        <w:pStyle w:val="FootnoteText"/>
        <w:spacing w:line="360" w:lineRule="auto"/>
        <w:rPr>
          <w:rFonts w:cstheme="minorHAnsi"/>
          <w:color w:val="000000" w:themeColor="text1"/>
          <w:sz w:val="22"/>
          <w:szCs w:val="22"/>
        </w:rPr>
      </w:pPr>
      <w:r w:rsidRPr="00B071F5">
        <w:rPr>
          <w:rFonts w:cstheme="minorHAnsi"/>
          <w:color w:val="000000" w:themeColor="text1"/>
          <w:sz w:val="22"/>
          <w:szCs w:val="22"/>
        </w:rPr>
        <w:t>Eickelman, D.F., and Piscatori, J., ‘Muslim Politics’, Princeton University Press, England, 1996, p.67</w:t>
      </w:r>
    </w:p>
    <w:p w14:paraId="3032D5C7" w14:textId="77777777" w:rsidR="000A2E3B" w:rsidRPr="000A2E3B" w:rsidRDefault="000A2E3B" w:rsidP="000A2E3B">
      <w:pPr>
        <w:pStyle w:val="FootnoteText"/>
        <w:spacing w:line="360" w:lineRule="auto"/>
        <w:rPr>
          <w:rFonts w:cstheme="minorHAnsi"/>
          <w:color w:val="000000" w:themeColor="text1"/>
          <w:sz w:val="22"/>
          <w:szCs w:val="22"/>
        </w:rPr>
      </w:pPr>
    </w:p>
    <w:p w14:paraId="2DCCBA74" w14:textId="3B13067B" w:rsidR="00B071F5" w:rsidRPr="00B071F5" w:rsidRDefault="0041456A" w:rsidP="000A2E3B">
      <w:pPr>
        <w:spacing w:line="360" w:lineRule="auto"/>
        <w:rPr>
          <w:rFonts w:cstheme="minorHAnsi"/>
          <w:color w:val="000000" w:themeColor="text1"/>
        </w:rPr>
      </w:pPr>
      <w:r w:rsidRPr="00B071F5">
        <w:rPr>
          <w:rFonts w:cstheme="minorHAnsi"/>
          <w:color w:val="000000" w:themeColor="text1"/>
        </w:rPr>
        <w:t xml:space="preserve">Hossain, I., "Arab Spring." In The Oxford Encyclopedia of Islam and Politics. Oxford Islamic Studies Online. 22-Sep-2020. </w:t>
      </w:r>
      <w:hyperlink r:id="rId9" w:history="1">
        <w:r w:rsidRPr="00B071F5">
          <w:rPr>
            <w:rStyle w:val="Hyperlink"/>
            <w:rFonts w:cstheme="minorHAnsi"/>
            <w:color w:val="000000" w:themeColor="text1"/>
          </w:rPr>
          <w:t>http://www.oxfordislamicstudies.com/article/opr/t342/e0100</w:t>
        </w:r>
      </w:hyperlink>
    </w:p>
    <w:p w14:paraId="75E5C34A" w14:textId="0A81E625" w:rsidR="0041456A" w:rsidRDefault="0041456A" w:rsidP="000A2E3B">
      <w:pPr>
        <w:spacing w:line="360" w:lineRule="auto"/>
      </w:pPr>
      <w:r w:rsidRPr="00B071F5">
        <w:rPr>
          <w:rFonts w:cstheme="minorHAnsi"/>
          <w:color w:val="000000" w:themeColor="text1"/>
          <w:shd w:val="clear" w:color="auto" w:fill="FFFFFF"/>
        </w:rPr>
        <w:t>Scott, R.M., 2014. Managing Religion and Renegotiating the Secular: The Muslim Brotherhood and Defining the Religious Sphere. </w:t>
      </w:r>
      <w:r w:rsidRPr="00B071F5">
        <w:rPr>
          <w:rFonts w:cstheme="minorHAnsi"/>
          <w:i/>
          <w:iCs/>
          <w:color w:val="000000" w:themeColor="text1"/>
          <w:shd w:val="clear" w:color="auto" w:fill="FFFFFF"/>
        </w:rPr>
        <w:t>Politics &amp; Religion, </w:t>
      </w:r>
      <w:r w:rsidRPr="00B071F5">
        <w:rPr>
          <w:rFonts w:cstheme="minorHAnsi"/>
          <w:b/>
          <w:bCs/>
          <w:color w:val="000000" w:themeColor="text1"/>
          <w:shd w:val="clear" w:color="auto" w:fill="FFFFFF"/>
        </w:rPr>
        <w:t>7</w:t>
      </w:r>
      <w:r w:rsidRPr="00B071F5">
        <w:rPr>
          <w:rFonts w:cstheme="minorHAnsi"/>
          <w:color w:val="000000" w:themeColor="text1"/>
          <w:shd w:val="clear" w:color="auto" w:fill="FFFFFF"/>
        </w:rPr>
        <w:t xml:space="preserve">(1), pp. 51-78, p.51-2 </w:t>
      </w:r>
      <w:hyperlink r:id="rId10" w:history="1">
        <w:r w:rsidRPr="00B071F5">
          <w:rPr>
            <w:rStyle w:val="Hyperlink"/>
            <w:rFonts w:cstheme="minorHAnsi"/>
            <w:color w:val="000000" w:themeColor="text1"/>
            <w:shd w:val="clear" w:color="auto" w:fill="FFFFFF"/>
          </w:rPr>
          <w:t>https://whel-primo.hosted.exlibrisgroup.com/permalink/f/mqg008/TN_cdi_crossref_primary_10_1017_S1755048313000400</w:t>
        </w:r>
      </w:hyperlink>
    </w:p>
    <w:p w14:paraId="40DEE08B" w14:textId="4159111C" w:rsidR="00A31E05" w:rsidRDefault="00A31E05" w:rsidP="00181ECD">
      <w:pPr>
        <w:spacing w:line="360" w:lineRule="auto"/>
        <w:jc w:val="both"/>
      </w:pPr>
    </w:p>
    <w:p w14:paraId="10F22622" w14:textId="77777777" w:rsidR="00A31E05" w:rsidRDefault="00A31E05" w:rsidP="00181ECD">
      <w:pPr>
        <w:spacing w:line="360" w:lineRule="auto"/>
        <w:jc w:val="both"/>
      </w:pPr>
    </w:p>
    <w:p w14:paraId="6D42F12D" w14:textId="556911E2" w:rsidR="00C77272" w:rsidRDefault="00C77272" w:rsidP="00181ECD">
      <w:pPr>
        <w:spacing w:line="360" w:lineRule="auto"/>
        <w:jc w:val="both"/>
      </w:pPr>
    </w:p>
    <w:p w14:paraId="3ADFF859" w14:textId="3D4741BA" w:rsidR="00035597" w:rsidRDefault="00035597" w:rsidP="00181ECD">
      <w:pPr>
        <w:spacing w:line="360" w:lineRule="auto"/>
        <w:jc w:val="both"/>
      </w:pPr>
    </w:p>
    <w:p w14:paraId="6B3D682D" w14:textId="2DD26ECD" w:rsidR="00180245" w:rsidRDefault="00180245" w:rsidP="00181ECD">
      <w:pPr>
        <w:spacing w:line="360" w:lineRule="auto"/>
        <w:jc w:val="both"/>
        <w:rPr>
          <w:rFonts w:ascii="Helvetica" w:hAnsi="Helvetica" w:cs="Helvetica"/>
          <w:color w:val="555555"/>
          <w:sz w:val="21"/>
          <w:szCs w:val="21"/>
          <w:shd w:val="clear" w:color="auto" w:fill="FFFFFF"/>
        </w:rPr>
      </w:pPr>
    </w:p>
    <w:sectPr w:rsidR="0018024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F710E" w14:textId="77777777" w:rsidR="00EA2D89" w:rsidRDefault="00EA2D89" w:rsidP="003D5672">
      <w:pPr>
        <w:spacing w:after="0" w:line="240" w:lineRule="auto"/>
      </w:pPr>
      <w:r>
        <w:separator/>
      </w:r>
    </w:p>
  </w:endnote>
  <w:endnote w:type="continuationSeparator" w:id="0">
    <w:p w14:paraId="0ECA84DC" w14:textId="77777777" w:rsidR="00EA2D89" w:rsidRDefault="00EA2D89" w:rsidP="003D5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752614"/>
      <w:docPartObj>
        <w:docPartGallery w:val="Page Numbers (Bottom of Page)"/>
        <w:docPartUnique/>
      </w:docPartObj>
    </w:sdtPr>
    <w:sdtEndPr>
      <w:rPr>
        <w:noProof/>
      </w:rPr>
    </w:sdtEndPr>
    <w:sdtContent>
      <w:p w14:paraId="75B5A3C2" w14:textId="5B17DE0F" w:rsidR="00AA2E99" w:rsidRDefault="00AA2E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68D0E" w14:textId="77777777" w:rsidR="00AA2E99" w:rsidRDefault="00AA2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AAC01" w14:textId="77777777" w:rsidR="00EA2D89" w:rsidRDefault="00EA2D89" w:rsidP="003D5672">
      <w:pPr>
        <w:spacing w:after="0" w:line="240" w:lineRule="auto"/>
      </w:pPr>
      <w:r>
        <w:separator/>
      </w:r>
    </w:p>
  </w:footnote>
  <w:footnote w:type="continuationSeparator" w:id="0">
    <w:p w14:paraId="49A70BFF" w14:textId="77777777" w:rsidR="00EA2D89" w:rsidRDefault="00EA2D89" w:rsidP="003D5672">
      <w:pPr>
        <w:spacing w:after="0" w:line="240" w:lineRule="auto"/>
      </w:pPr>
      <w:r>
        <w:continuationSeparator/>
      </w:r>
    </w:p>
  </w:footnote>
  <w:footnote w:id="1">
    <w:p w14:paraId="5DCABF00" w14:textId="4789FB77" w:rsidR="009D1A69" w:rsidRPr="001B3692" w:rsidRDefault="008F308A" w:rsidP="008F308A">
      <w:pPr>
        <w:pStyle w:val="FootnoteText"/>
        <w:rPr>
          <w:rFonts w:cstheme="minorHAnsi"/>
          <w:sz w:val="18"/>
          <w:szCs w:val="18"/>
          <w:shd w:val="clear" w:color="auto" w:fill="FFFFFF"/>
        </w:rPr>
      </w:pPr>
      <w:r w:rsidRPr="001B3692">
        <w:rPr>
          <w:rStyle w:val="FootnoteReference"/>
          <w:rFonts w:cstheme="minorHAnsi"/>
          <w:sz w:val="18"/>
          <w:szCs w:val="18"/>
        </w:rPr>
        <w:footnoteRef/>
      </w:r>
      <w:r w:rsidRPr="001B3692">
        <w:rPr>
          <w:rFonts w:cstheme="minorHAnsi"/>
          <w:sz w:val="18"/>
          <w:szCs w:val="18"/>
        </w:rPr>
        <w:t xml:space="preserve"> </w:t>
      </w:r>
      <w:r w:rsidRPr="001B3692">
        <w:rPr>
          <w:rFonts w:cstheme="minorHAnsi"/>
          <w:sz w:val="18"/>
          <w:szCs w:val="18"/>
          <w:shd w:val="clear" w:color="auto" w:fill="FFFFFF"/>
        </w:rPr>
        <w:t>Scott, R.M., 2014. Managing Religion and Renegotiating the Secular: The Muslim Brotherhood and Defining the Religious Sphere. </w:t>
      </w:r>
      <w:r w:rsidRPr="001B3692">
        <w:rPr>
          <w:rFonts w:cstheme="minorHAnsi"/>
          <w:i/>
          <w:iCs/>
          <w:sz w:val="18"/>
          <w:szCs w:val="18"/>
          <w:shd w:val="clear" w:color="auto" w:fill="FFFFFF"/>
        </w:rPr>
        <w:t>Politics &amp; Religion, </w:t>
      </w:r>
      <w:r w:rsidRPr="001B3692">
        <w:rPr>
          <w:rFonts w:cstheme="minorHAnsi"/>
          <w:b/>
          <w:bCs/>
          <w:sz w:val="18"/>
          <w:szCs w:val="18"/>
          <w:shd w:val="clear" w:color="auto" w:fill="FFFFFF"/>
        </w:rPr>
        <w:t>7</w:t>
      </w:r>
      <w:r w:rsidRPr="001B3692">
        <w:rPr>
          <w:rFonts w:cstheme="minorHAnsi"/>
          <w:sz w:val="18"/>
          <w:szCs w:val="18"/>
          <w:shd w:val="clear" w:color="auto" w:fill="FFFFFF"/>
        </w:rPr>
        <w:t xml:space="preserve">(1), pp. 51-78, p.51-2 </w:t>
      </w:r>
      <w:hyperlink r:id="rId1" w:history="1">
        <w:r w:rsidRPr="001B3692">
          <w:rPr>
            <w:rStyle w:val="Hyperlink"/>
            <w:rFonts w:cstheme="minorHAnsi"/>
            <w:color w:val="auto"/>
            <w:sz w:val="18"/>
            <w:szCs w:val="18"/>
            <w:shd w:val="clear" w:color="auto" w:fill="FFFFFF"/>
          </w:rPr>
          <w:t>https://whel-primo.hosted.exlibrisgroup.com/permalink/f/mqg008/TN_cdi_crossref_primary_10_1017_S1755048313000400</w:t>
        </w:r>
      </w:hyperlink>
    </w:p>
  </w:footnote>
  <w:footnote w:id="2">
    <w:p w14:paraId="071C2245" w14:textId="1AD70FE8" w:rsidR="008F308A" w:rsidRPr="001B3692" w:rsidRDefault="008F308A" w:rsidP="008F308A">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Hossain, I., "Arab Spring." In The Oxford Encyclopedia of Islam and Politics. Oxford Islamic Studies Online. 22-Sep-2020. </w:t>
      </w:r>
      <w:hyperlink r:id="rId2" w:history="1">
        <w:r w:rsidRPr="001B3692">
          <w:rPr>
            <w:rStyle w:val="Hyperlink"/>
            <w:rFonts w:cstheme="minorHAnsi"/>
            <w:color w:val="auto"/>
            <w:sz w:val="18"/>
            <w:szCs w:val="18"/>
          </w:rPr>
          <w:t>http://www.oxfordislamicstudies.com/article/opr/t342/e0100</w:t>
        </w:r>
      </w:hyperlink>
    </w:p>
  </w:footnote>
  <w:footnote w:id="3">
    <w:p w14:paraId="472A048B" w14:textId="603BEA53" w:rsidR="00C66522" w:rsidRPr="001B3692" w:rsidRDefault="00C66522" w:rsidP="00C66522">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Aknur, </w:t>
      </w:r>
      <w:r w:rsidR="001B3692">
        <w:rPr>
          <w:rFonts w:cstheme="minorHAnsi"/>
          <w:sz w:val="18"/>
          <w:szCs w:val="18"/>
        </w:rPr>
        <w:t>M.,</w:t>
      </w:r>
      <w:r w:rsidRPr="001B3692">
        <w:rPr>
          <w:rFonts w:cstheme="minorHAnsi"/>
          <w:sz w:val="18"/>
          <w:szCs w:val="18"/>
        </w:rPr>
        <w:t xml:space="preserve"> "The Muslim Brotherhood in Politics in Egypt:</w:t>
      </w:r>
      <w:r w:rsidR="00660184" w:rsidRPr="001B3692">
        <w:rPr>
          <w:rFonts w:cstheme="minorHAnsi"/>
          <w:sz w:val="18"/>
          <w:szCs w:val="18"/>
        </w:rPr>
        <w:t xml:space="preserve"> </w:t>
      </w:r>
      <w:r w:rsidRPr="001B3692">
        <w:rPr>
          <w:rFonts w:cstheme="minorHAnsi"/>
          <w:sz w:val="18"/>
          <w:szCs w:val="18"/>
        </w:rPr>
        <w:t>From Moderation to Authoritarianism?" Uluslararası Hukuk Ve Politika, no. 33 (2013): 1-25, p.4, last accessed 21</w:t>
      </w:r>
      <w:r w:rsidRPr="001B3692">
        <w:rPr>
          <w:rFonts w:cstheme="minorHAnsi"/>
          <w:sz w:val="18"/>
          <w:szCs w:val="18"/>
          <w:vertAlign w:val="superscript"/>
        </w:rPr>
        <w:t>st</w:t>
      </w:r>
      <w:r w:rsidRPr="001B3692">
        <w:rPr>
          <w:rFonts w:cstheme="minorHAnsi"/>
          <w:sz w:val="18"/>
          <w:szCs w:val="18"/>
        </w:rPr>
        <w:t xml:space="preserve"> September 2020, </w:t>
      </w:r>
      <w:hyperlink r:id="rId3" w:history="1">
        <w:r w:rsidRPr="001B3692">
          <w:rPr>
            <w:rStyle w:val="Hyperlink"/>
            <w:rFonts w:cstheme="minorHAnsi"/>
            <w:color w:val="auto"/>
            <w:sz w:val="18"/>
            <w:szCs w:val="18"/>
          </w:rPr>
          <w:t>https://whel-primo.hosted.exlibrisgroup.com/permalink/f/mqg008/TN_cdi_ceeol_journals_70358</w:t>
        </w:r>
      </w:hyperlink>
    </w:p>
  </w:footnote>
  <w:footnote w:id="4">
    <w:p w14:paraId="62830969" w14:textId="31AF42E4" w:rsidR="00C66522" w:rsidRPr="001B3692" w:rsidRDefault="00C66522" w:rsidP="00C66522">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w:t>
      </w:r>
      <w:r w:rsidR="00975B8E" w:rsidRPr="001B3692">
        <w:rPr>
          <w:rFonts w:cstheme="minorHAnsi"/>
          <w:sz w:val="18"/>
          <w:szCs w:val="18"/>
        </w:rPr>
        <w:t>Eickelman, D.F., and Piscatori, J., ‘Muslim Politics’, Princeton University Press, England, 1996, p.67</w:t>
      </w:r>
    </w:p>
  </w:footnote>
  <w:footnote w:id="5">
    <w:p w14:paraId="271E4AD6" w14:textId="4365C123" w:rsidR="004B2B1C" w:rsidRPr="001B3692" w:rsidRDefault="004B2B1C">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w:t>
      </w:r>
      <w:r w:rsidR="00975B8E" w:rsidRPr="001B3692">
        <w:rPr>
          <w:rFonts w:cstheme="minorHAnsi"/>
          <w:sz w:val="18"/>
          <w:szCs w:val="18"/>
        </w:rPr>
        <w:t>ibid, p.67</w:t>
      </w:r>
    </w:p>
  </w:footnote>
  <w:footnote w:id="6">
    <w:p w14:paraId="3A9486EA" w14:textId="5EBE2877" w:rsidR="00414D00" w:rsidRPr="001B3692" w:rsidRDefault="00414D00" w:rsidP="00414D00">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w:t>
      </w:r>
      <w:r w:rsidR="00B43A33" w:rsidRPr="001B3692">
        <w:rPr>
          <w:rFonts w:cstheme="minorHAnsi"/>
          <w:sz w:val="18"/>
          <w:szCs w:val="18"/>
        </w:rPr>
        <w:t xml:space="preserve">Aknur, </w:t>
      </w:r>
      <w:r w:rsidR="00B43A33">
        <w:rPr>
          <w:rFonts w:cstheme="minorHAnsi"/>
          <w:sz w:val="18"/>
          <w:szCs w:val="18"/>
        </w:rPr>
        <w:t>M., p.4</w:t>
      </w:r>
    </w:p>
  </w:footnote>
  <w:footnote w:id="7">
    <w:p w14:paraId="73064C48" w14:textId="4BFB0339" w:rsidR="009D1A69" w:rsidRPr="006B7603" w:rsidRDefault="00414D00" w:rsidP="00B43A33">
      <w:pPr>
        <w:pStyle w:val="FootnoteText"/>
        <w:rPr>
          <w:rFonts w:cstheme="minorHAnsi"/>
          <w:sz w:val="18"/>
          <w:szCs w:val="18"/>
        </w:rPr>
      </w:pPr>
      <w:r w:rsidRPr="001B3692">
        <w:rPr>
          <w:rStyle w:val="FootnoteReference"/>
          <w:rFonts w:cstheme="minorHAnsi"/>
          <w:sz w:val="18"/>
          <w:szCs w:val="18"/>
        </w:rPr>
        <w:footnoteRef/>
      </w:r>
      <w:r w:rsidRPr="001B3692">
        <w:rPr>
          <w:rFonts w:cstheme="minorHAnsi"/>
          <w:sz w:val="18"/>
          <w:szCs w:val="18"/>
        </w:rPr>
        <w:t xml:space="preserve"> </w:t>
      </w:r>
      <w:r w:rsidR="00B43A33">
        <w:rPr>
          <w:rFonts w:cstheme="minorHAnsi"/>
          <w:sz w:val="18"/>
          <w:szCs w:val="18"/>
        </w:rPr>
        <w:t>ibid, p.4</w:t>
      </w:r>
    </w:p>
  </w:footnote>
  <w:footnote w:id="8">
    <w:p w14:paraId="36658680" w14:textId="1723AEB3" w:rsidR="009D1A69" w:rsidRPr="006B7603" w:rsidRDefault="00414D00" w:rsidP="00414D00">
      <w:pPr>
        <w:pStyle w:val="FootnoteText"/>
        <w:rPr>
          <w:rFonts w:cstheme="minorHAnsi"/>
          <w:sz w:val="18"/>
          <w:szCs w:val="18"/>
        </w:rPr>
      </w:pPr>
      <w:r w:rsidRPr="006B7603">
        <w:rPr>
          <w:rStyle w:val="FootnoteReference"/>
          <w:rFonts w:cstheme="minorHAnsi"/>
          <w:sz w:val="18"/>
          <w:szCs w:val="18"/>
        </w:rPr>
        <w:footnoteRef/>
      </w:r>
      <w:r w:rsidRPr="006B7603">
        <w:rPr>
          <w:rFonts w:cstheme="minorHAnsi"/>
          <w:sz w:val="18"/>
          <w:szCs w:val="18"/>
        </w:rPr>
        <w:t xml:space="preserve"> </w:t>
      </w:r>
      <w:r w:rsidR="008513AD" w:rsidRPr="001B3692">
        <w:rPr>
          <w:rFonts w:cstheme="minorHAnsi"/>
          <w:sz w:val="18"/>
          <w:szCs w:val="18"/>
        </w:rPr>
        <w:t xml:space="preserve">Aknur, </w:t>
      </w:r>
      <w:r w:rsidR="008513AD">
        <w:rPr>
          <w:rFonts w:cstheme="minorHAnsi"/>
          <w:sz w:val="18"/>
          <w:szCs w:val="18"/>
        </w:rPr>
        <w:t>M., p.</w:t>
      </w:r>
      <w:r w:rsidR="003833E0" w:rsidRPr="006B7603">
        <w:rPr>
          <w:rFonts w:cstheme="minorHAnsi"/>
          <w:sz w:val="18"/>
          <w:szCs w:val="18"/>
        </w:rPr>
        <w:t>11</w:t>
      </w:r>
    </w:p>
  </w:footnote>
  <w:footnote w:id="9">
    <w:p w14:paraId="59BC42D9" w14:textId="658559AD" w:rsidR="009D1A69" w:rsidRPr="006B7603" w:rsidRDefault="00414D00" w:rsidP="00414D00">
      <w:pPr>
        <w:pStyle w:val="FootnoteText"/>
        <w:rPr>
          <w:rFonts w:cstheme="minorHAnsi"/>
          <w:sz w:val="18"/>
          <w:szCs w:val="18"/>
        </w:rPr>
      </w:pPr>
      <w:r w:rsidRPr="006B7603">
        <w:rPr>
          <w:rStyle w:val="FootnoteReference"/>
          <w:rFonts w:cstheme="minorHAnsi"/>
          <w:sz w:val="18"/>
          <w:szCs w:val="18"/>
        </w:rPr>
        <w:footnoteRef/>
      </w:r>
      <w:r w:rsidRPr="006B7603">
        <w:rPr>
          <w:rFonts w:cstheme="minorHAnsi"/>
          <w:sz w:val="18"/>
          <w:szCs w:val="18"/>
        </w:rPr>
        <w:t xml:space="preserve"> </w:t>
      </w:r>
      <w:r w:rsidR="005A1B81">
        <w:rPr>
          <w:rFonts w:cstheme="minorHAnsi"/>
          <w:sz w:val="18"/>
          <w:szCs w:val="18"/>
        </w:rPr>
        <w:t>i</w:t>
      </w:r>
      <w:r w:rsidR="003833E0" w:rsidRPr="006B7603">
        <w:rPr>
          <w:rFonts w:cstheme="minorHAnsi"/>
          <w:sz w:val="18"/>
          <w:szCs w:val="18"/>
        </w:rPr>
        <w:t>bid, p.14</w:t>
      </w:r>
    </w:p>
  </w:footnote>
  <w:footnote w:id="10">
    <w:p w14:paraId="65C3944B" w14:textId="47CE3A8F" w:rsidR="009D1A69" w:rsidRPr="006B7603" w:rsidRDefault="00414D00" w:rsidP="00414D00">
      <w:pPr>
        <w:pStyle w:val="FootnoteText"/>
        <w:rPr>
          <w:rFonts w:cstheme="minorHAnsi"/>
          <w:sz w:val="18"/>
          <w:szCs w:val="18"/>
        </w:rPr>
      </w:pPr>
      <w:r w:rsidRPr="006B7603">
        <w:rPr>
          <w:rStyle w:val="FootnoteReference"/>
          <w:rFonts w:cstheme="minorHAnsi"/>
          <w:sz w:val="18"/>
          <w:szCs w:val="18"/>
        </w:rPr>
        <w:footnoteRef/>
      </w:r>
      <w:r w:rsidRPr="006B7603">
        <w:rPr>
          <w:rFonts w:cstheme="minorHAnsi"/>
          <w:sz w:val="18"/>
          <w:szCs w:val="18"/>
        </w:rPr>
        <w:t xml:space="preserve"> </w:t>
      </w:r>
      <w:r w:rsidR="005A1B81">
        <w:rPr>
          <w:rFonts w:cstheme="minorHAnsi"/>
          <w:sz w:val="18"/>
          <w:szCs w:val="18"/>
        </w:rPr>
        <w:t>i</w:t>
      </w:r>
      <w:r w:rsidR="003833E0" w:rsidRPr="006B7603">
        <w:rPr>
          <w:rFonts w:cstheme="minorHAnsi"/>
          <w:sz w:val="18"/>
          <w:szCs w:val="18"/>
        </w:rPr>
        <w:t>bid, p.14</w:t>
      </w:r>
    </w:p>
  </w:footnote>
  <w:footnote w:id="11">
    <w:p w14:paraId="3F805079" w14:textId="4DA94B54" w:rsidR="009D1A69" w:rsidRPr="006B7603" w:rsidRDefault="00414D00" w:rsidP="00414D00">
      <w:pPr>
        <w:pStyle w:val="FootnoteText"/>
        <w:rPr>
          <w:rFonts w:cstheme="minorHAnsi"/>
          <w:sz w:val="18"/>
          <w:szCs w:val="18"/>
        </w:rPr>
      </w:pPr>
      <w:r w:rsidRPr="006B7603">
        <w:rPr>
          <w:rStyle w:val="FootnoteReference"/>
          <w:rFonts w:cstheme="minorHAnsi"/>
          <w:sz w:val="18"/>
          <w:szCs w:val="18"/>
        </w:rPr>
        <w:footnoteRef/>
      </w:r>
      <w:r w:rsidRPr="006B7603">
        <w:rPr>
          <w:rFonts w:cstheme="minorHAnsi"/>
          <w:sz w:val="18"/>
          <w:szCs w:val="18"/>
        </w:rPr>
        <w:t xml:space="preserve"> </w:t>
      </w:r>
      <w:r w:rsidR="003833E0" w:rsidRPr="006B7603">
        <w:rPr>
          <w:rFonts w:cstheme="minorHAnsi"/>
          <w:sz w:val="18"/>
          <w:szCs w:val="18"/>
        </w:rPr>
        <w:t>Eickelman, D.F., and Piscatori, J., ‘Muslim Politics’, Princeton University Press, England, 1996, p.38</w:t>
      </w:r>
    </w:p>
  </w:footnote>
  <w:footnote w:id="12">
    <w:p w14:paraId="10EBFB13" w14:textId="0FF431E6" w:rsidR="00CB768F" w:rsidRPr="00CD1D8E" w:rsidRDefault="001229A4">
      <w:pPr>
        <w:pStyle w:val="FootnoteText"/>
        <w:rPr>
          <w:rFonts w:cstheme="minorHAnsi"/>
          <w:color w:val="000000" w:themeColor="text1"/>
          <w:sz w:val="18"/>
          <w:szCs w:val="18"/>
          <w:shd w:val="clear" w:color="auto" w:fill="FFFFFF"/>
        </w:rPr>
      </w:pPr>
      <w:r w:rsidRPr="006B7603">
        <w:rPr>
          <w:rStyle w:val="FootnoteReference"/>
          <w:rFonts w:cstheme="minorHAnsi"/>
          <w:sz w:val="18"/>
          <w:szCs w:val="18"/>
        </w:rPr>
        <w:footnoteRef/>
      </w:r>
      <w:r w:rsidRPr="006B7603">
        <w:rPr>
          <w:rFonts w:cstheme="minorHAnsi"/>
          <w:sz w:val="18"/>
          <w:szCs w:val="18"/>
        </w:rPr>
        <w:t xml:space="preserve"> </w:t>
      </w:r>
      <w:r w:rsidRPr="006B7603">
        <w:rPr>
          <w:rFonts w:cstheme="minorHAnsi"/>
          <w:color w:val="000000" w:themeColor="text1"/>
          <w:sz w:val="18"/>
          <w:szCs w:val="18"/>
          <w:shd w:val="clear" w:color="auto" w:fill="FFFFFF"/>
        </w:rPr>
        <w:t>S</w:t>
      </w:r>
      <w:r w:rsidR="003833E0" w:rsidRPr="006B7603">
        <w:rPr>
          <w:rFonts w:cstheme="minorHAnsi"/>
          <w:color w:val="000000" w:themeColor="text1"/>
          <w:sz w:val="18"/>
          <w:szCs w:val="18"/>
          <w:shd w:val="clear" w:color="auto" w:fill="FFFFFF"/>
        </w:rPr>
        <w:t>cott</w:t>
      </w:r>
      <w:r w:rsidRPr="006B7603">
        <w:rPr>
          <w:rFonts w:cstheme="minorHAnsi"/>
          <w:color w:val="000000" w:themeColor="text1"/>
          <w:sz w:val="18"/>
          <w:szCs w:val="18"/>
          <w:shd w:val="clear" w:color="auto" w:fill="FFFFFF"/>
        </w:rPr>
        <w:t>, p. 54</w:t>
      </w:r>
    </w:p>
  </w:footnote>
  <w:footnote w:id="13">
    <w:p w14:paraId="310067E8" w14:textId="5FADE208" w:rsidR="001A0D7D" w:rsidRPr="008513AD" w:rsidRDefault="001A0D7D" w:rsidP="008513AD">
      <w:pPr>
        <w:spacing w:line="240" w:lineRule="auto"/>
        <w:jc w:val="both"/>
        <w:rPr>
          <w:sz w:val="18"/>
          <w:szCs w:val="18"/>
        </w:rPr>
      </w:pPr>
      <w:r w:rsidRPr="006B7603">
        <w:rPr>
          <w:rStyle w:val="FootnoteReference"/>
          <w:rFonts w:cstheme="minorHAnsi"/>
          <w:sz w:val="18"/>
          <w:szCs w:val="18"/>
        </w:rPr>
        <w:footnoteRef/>
      </w:r>
      <w:r w:rsidRPr="006B7603">
        <w:rPr>
          <w:rFonts w:cstheme="minorHAnsi"/>
          <w:sz w:val="18"/>
          <w:szCs w:val="18"/>
        </w:rPr>
        <w:t xml:space="preserve"> Brown, N.J. and Hamzawy, A., ‘The Draft Party Platform of the Egyptian Muslim Brotherhood: Foray Into Political Integration or Retreat Into Old Positions?’ </w:t>
      </w:r>
      <w:r w:rsidR="00077701" w:rsidRPr="006B7603">
        <w:rPr>
          <w:rFonts w:cstheme="minorHAnsi"/>
          <w:i/>
          <w:iCs/>
          <w:sz w:val="18"/>
          <w:szCs w:val="18"/>
        </w:rPr>
        <w:t>Carnegie Papers</w:t>
      </w:r>
      <w:r w:rsidR="00077701" w:rsidRPr="006B7603">
        <w:rPr>
          <w:rFonts w:cstheme="minorHAnsi"/>
          <w:sz w:val="18"/>
          <w:szCs w:val="18"/>
        </w:rPr>
        <w:t xml:space="preserve">, </w:t>
      </w:r>
      <w:r w:rsidRPr="006B7603">
        <w:rPr>
          <w:rFonts w:cstheme="minorHAnsi"/>
          <w:sz w:val="18"/>
          <w:szCs w:val="18"/>
        </w:rPr>
        <w:t>2008,</w:t>
      </w:r>
      <w:r w:rsidR="002960D3" w:rsidRPr="006B7603">
        <w:rPr>
          <w:rFonts w:cstheme="minorHAnsi"/>
          <w:sz w:val="18"/>
          <w:szCs w:val="18"/>
        </w:rPr>
        <w:t xml:space="preserve"> pp 1-32., pp 2-3,</w:t>
      </w:r>
      <w:r w:rsidRPr="006B7603">
        <w:rPr>
          <w:rFonts w:cstheme="minorHAnsi"/>
          <w:sz w:val="18"/>
          <w:szCs w:val="18"/>
        </w:rPr>
        <w:t xml:space="preserve"> Carnegie Endowment for International</w:t>
      </w:r>
      <w:r w:rsidRPr="002960D3">
        <w:rPr>
          <w:sz w:val="18"/>
          <w:szCs w:val="18"/>
        </w:rPr>
        <w:t xml:space="preserve"> Peace, last accessed 23</w:t>
      </w:r>
      <w:r w:rsidRPr="002960D3">
        <w:rPr>
          <w:sz w:val="18"/>
          <w:szCs w:val="18"/>
          <w:vertAlign w:val="superscript"/>
        </w:rPr>
        <w:t>rd</w:t>
      </w:r>
      <w:r w:rsidRPr="002960D3">
        <w:rPr>
          <w:sz w:val="18"/>
          <w:szCs w:val="18"/>
        </w:rPr>
        <w:t xml:space="preserve"> September 2020 </w:t>
      </w:r>
      <w:hyperlink r:id="rId4" w:history="1">
        <w:r w:rsidR="008513AD" w:rsidRPr="00971F8D">
          <w:rPr>
            <w:rStyle w:val="Hyperlink"/>
            <w:sz w:val="18"/>
            <w:szCs w:val="18"/>
          </w:rPr>
          <w:t>https://carnegieendowment.org/2008/01/14/draft-party-platform-of-egyptian-muslim-brotherhood-foray-into-political-integration-or-retreat-into-old-positions-pub-19835</w:t>
        </w:r>
      </w:hyperlink>
    </w:p>
  </w:footnote>
  <w:footnote w:id="14">
    <w:p w14:paraId="738E317E" w14:textId="3216A226" w:rsidR="002F768C" w:rsidRDefault="002F768C">
      <w:pPr>
        <w:pStyle w:val="FootnoteText"/>
        <w:rPr>
          <w:rStyle w:val="Hyperlink"/>
        </w:rPr>
      </w:pPr>
      <w:r>
        <w:rPr>
          <w:rStyle w:val="FootnoteReference"/>
        </w:rPr>
        <w:footnoteRef/>
      </w:r>
      <w:r>
        <w:t xml:space="preserve"> </w:t>
      </w:r>
      <w:r w:rsidR="00B81A17" w:rsidRPr="00077701">
        <w:rPr>
          <w:sz w:val="18"/>
          <w:szCs w:val="18"/>
        </w:rPr>
        <w:t>Brown</w:t>
      </w:r>
      <w:r w:rsidR="000A2E3B">
        <w:rPr>
          <w:sz w:val="18"/>
          <w:szCs w:val="18"/>
        </w:rPr>
        <w:t xml:space="preserve"> </w:t>
      </w:r>
      <w:r w:rsidR="00B81A17" w:rsidRPr="00077701">
        <w:rPr>
          <w:sz w:val="18"/>
          <w:szCs w:val="18"/>
        </w:rPr>
        <w:t>and Hamzawy</w:t>
      </w:r>
      <w:r w:rsidR="000A2E3B">
        <w:rPr>
          <w:sz w:val="18"/>
          <w:szCs w:val="18"/>
        </w:rPr>
        <w:t>,</w:t>
      </w:r>
      <w:r w:rsidR="00B81A17" w:rsidRPr="00077701">
        <w:rPr>
          <w:sz w:val="18"/>
          <w:szCs w:val="18"/>
        </w:rPr>
        <w:t xml:space="preserve"> </w:t>
      </w:r>
      <w:r w:rsidR="006F43D8" w:rsidRPr="00077701">
        <w:rPr>
          <w:sz w:val="18"/>
          <w:szCs w:val="18"/>
        </w:rPr>
        <w:t>p.1</w:t>
      </w:r>
      <w:r w:rsidR="00B81A17" w:rsidRPr="00077701">
        <w:rPr>
          <w:sz w:val="18"/>
          <w:szCs w:val="18"/>
        </w:rPr>
        <w:t xml:space="preserve"> </w:t>
      </w:r>
    </w:p>
    <w:p w14:paraId="5C1B9432" w14:textId="77777777" w:rsidR="00434520" w:rsidRDefault="00434520">
      <w:pPr>
        <w:pStyle w:val="FootnoteText"/>
      </w:pPr>
    </w:p>
  </w:footnote>
  <w:footnote w:id="15">
    <w:p w14:paraId="066352DE" w14:textId="64FC1A56" w:rsidR="00512E5F" w:rsidRDefault="00512E5F" w:rsidP="00512E5F">
      <w:pPr>
        <w:pStyle w:val="FootnoteText"/>
        <w:rPr>
          <w:rStyle w:val="Hyperlink"/>
        </w:rPr>
      </w:pPr>
      <w:r>
        <w:rPr>
          <w:rStyle w:val="FootnoteReference"/>
        </w:rPr>
        <w:footnoteRef/>
      </w:r>
      <w:r w:rsidR="00FC06F9">
        <w:rPr>
          <w:sz w:val="18"/>
          <w:szCs w:val="18"/>
        </w:rPr>
        <w:t xml:space="preserve"> </w:t>
      </w:r>
      <w:r w:rsidR="000A2E3B" w:rsidRPr="00077701">
        <w:rPr>
          <w:sz w:val="18"/>
          <w:szCs w:val="18"/>
        </w:rPr>
        <w:t>Brown</w:t>
      </w:r>
      <w:r w:rsidR="000A2E3B">
        <w:rPr>
          <w:sz w:val="18"/>
          <w:szCs w:val="18"/>
        </w:rPr>
        <w:t xml:space="preserve"> </w:t>
      </w:r>
      <w:r w:rsidR="000A2E3B" w:rsidRPr="00077701">
        <w:rPr>
          <w:sz w:val="18"/>
          <w:szCs w:val="18"/>
        </w:rPr>
        <w:t>and Hamzawy</w:t>
      </w:r>
      <w:r w:rsidR="00FC06F9">
        <w:rPr>
          <w:sz w:val="18"/>
          <w:szCs w:val="18"/>
        </w:rPr>
        <w:t>, p.4</w:t>
      </w:r>
    </w:p>
    <w:p w14:paraId="17530BCD" w14:textId="2B6EB996" w:rsidR="00512E5F" w:rsidRDefault="00512E5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1909BD" w14:textId="20B1FD91" w:rsidR="00AA2E99" w:rsidRDefault="00AA2E99">
    <w:pPr>
      <w:pStyle w:val="Header"/>
    </w:pPr>
    <w:r>
      <w:t>Graham Lowe 1</w:t>
    </w:r>
    <w:r w:rsidR="00B519CF">
      <w:t>80</w:t>
    </w:r>
    <w:r>
      <w:t>7689</w:t>
    </w:r>
    <w:r>
      <w:ptab w:relativeTo="margin" w:alignment="center" w:leader="none"/>
    </w:r>
    <w:r>
      <w:t>TRDL7066</w:t>
    </w:r>
    <w:r w:rsidR="00544361">
      <w:t xml:space="preserve"> Assignment 3</w:t>
    </w:r>
    <w:r>
      <w:ptab w:relativeTo="margin" w:alignment="right" w:leader="none"/>
    </w:r>
    <w:r w:rsidR="00405BFB">
      <w:t>28</w:t>
    </w:r>
    <w:r w:rsidRPr="00AA2E99">
      <w:rPr>
        <w:vertAlign w:val="superscript"/>
      </w:rPr>
      <w:t>th</w:t>
    </w:r>
    <w:r>
      <w:t xml:space="preserve"> September 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81"/>
    <w:rsid w:val="00012851"/>
    <w:rsid w:val="00015E22"/>
    <w:rsid w:val="000178E4"/>
    <w:rsid w:val="00030D9D"/>
    <w:rsid w:val="000330C6"/>
    <w:rsid w:val="00035597"/>
    <w:rsid w:val="00054586"/>
    <w:rsid w:val="00056046"/>
    <w:rsid w:val="00061A9A"/>
    <w:rsid w:val="00066BA9"/>
    <w:rsid w:val="00075823"/>
    <w:rsid w:val="00077210"/>
    <w:rsid w:val="00077701"/>
    <w:rsid w:val="00093DBA"/>
    <w:rsid w:val="000A2E3B"/>
    <w:rsid w:val="000C64C9"/>
    <w:rsid w:val="000D2AAD"/>
    <w:rsid w:val="000E38BC"/>
    <w:rsid w:val="000E6083"/>
    <w:rsid w:val="00104A9B"/>
    <w:rsid w:val="00113A2F"/>
    <w:rsid w:val="0011689C"/>
    <w:rsid w:val="001229A4"/>
    <w:rsid w:val="00124BED"/>
    <w:rsid w:val="00127F0E"/>
    <w:rsid w:val="00134316"/>
    <w:rsid w:val="0013601E"/>
    <w:rsid w:val="001369B0"/>
    <w:rsid w:val="00154F50"/>
    <w:rsid w:val="00165FE3"/>
    <w:rsid w:val="00180245"/>
    <w:rsid w:val="00181ECD"/>
    <w:rsid w:val="00187BAA"/>
    <w:rsid w:val="001919B2"/>
    <w:rsid w:val="001A0D7D"/>
    <w:rsid w:val="001A19F5"/>
    <w:rsid w:val="001A77B9"/>
    <w:rsid w:val="001B3692"/>
    <w:rsid w:val="001C3153"/>
    <w:rsid w:val="001C675F"/>
    <w:rsid w:val="001F4B81"/>
    <w:rsid w:val="0020109A"/>
    <w:rsid w:val="00204BA9"/>
    <w:rsid w:val="00214CCF"/>
    <w:rsid w:val="00241AC9"/>
    <w:rsid w:val="00251CC8"/>
    <w:rsid w:val="00255B5E"/>
    <w:rsid w:val="002721AB"/>
    <w:rsid w:val="00273B40"/>
    <w:rsid w:val="002813E2"/>
    <w:rsid w:val="00283894"/>
    <w:rsid w:val="0028730A"/>
    <w:rsid w:val="002960D3"/>
    <w:rsid w:val="00297666"/>
    <w:rsid w:val="002F768C"/>
    <w:rsid w:val="002F7A9B"/>
    <w:rsid w:val="0030689F"/>
    <w:rsid w:val="0032019F"/>
    <w:rsid w:val="00323E2E"/>
    <w:rsid w:val="00367133"/>
    <w:rsid w:val="00372607"/>
    <w:rsid w:val="00373E92"/>
    <w:rsid w:val="003833E0"/>
    <w:rsid w:val="0039107F"/>
    <w:rsid w:val="003B1D08"/>
    <w:rsid w:val="003C5DED"/>
    <w:rsid w:val="003C7590"/>
    <w:rsid w:val="003D5672"/>
    <w:rsid w:val="003E5890"/>
    <w:rsid w:val="003E793E"/>
    <w:rsid w:val="00405BFB"/>
    <w:rsid w:val="0041456A"/>
    <w:rsid w:val="00414D00"/>
    <w:rsid w:val="004318DB"/>
    <w:rsid w:val="00434520"/>
    <w:rsid w:val="0043614B"/>
    <w:rsid w:val="0044302A"/>
    <w:rsid w:val="004876B0"/>
    <w:rsid w:val="004B2B1C"/>
    <w:rsid w:val="004D5094"/>
    <w:rsid w:val="004D60C2"/>
    <w:rsid w:val="004D668D"/>
    <w:rsid w:val="004E24FC"/>
    <w:rsid w:val="004F11D3"/>
    <w:rsid w:val="004F1C19"/>
    <w:rsid w:val="0050328C"/>
    <w:rsid w:val="005042CE"/>
    <w:rsid w:val="00505BE7"/>
    <w:rsid w:val="00511502"/>
    <w:rsid w:val="00512E5F"/>
    <w:rsid w:val="0052214A"/>
    <w:rsid w:val="005343FE"/>
    <w:rsid w:val="00541FFE"/>
    <w:rsid w:val="00543562"/>
    <w:rsid w:val="00544361"/>
    <w:rsid w:val="00551868"/>
    <w:rsid w:val="005A1B81"/>
    <w:rsid w:val="005A4D0E"/>
    <w:rsid w:val="005A657E"/>
    <w:rsid w:val="005A690B"/>
    <w:rsid w:val="005B4332"/>
    <w:rsid w:val="005B6115"/>
    <w:rsid w:val="005C268B"/>
    <w:rsid w:val="005D7702"/>
    <w:rsid w:val="005F184D"/>
    <w:rsid w:val="00614170"/>
    <w:rsid w:val="006155BD"/>
    <w:rsid w:val="00627C9B"/>
    <w:rsid w:val="00630D68"/>
    <w:rsid w:val="006401FB"/>
    <w:rsid w:val="00645577"/>
    <w:rsid w:val="0064652B"/>
    <w:rsid w:val="00660184"/>
    <w:rsid w:val="00660E94"/>
    <w:rsid w:val="00683DEB"/>
    <w:rsid w:val="006922D1"/>
    <w:rsid w:val="00692C6E"/>
    <w:rsid w:val="006B7603"/>
    <w:rsid w:val="006C7C51"/>
    <w:rsid w:val="006D7FB1"/>
    <w:rsid w:val="006E1753"/>
    <w:rsid w:val="006F43D8"/>
    <w:rsid w:val="00730E09"/>
    <w:rsid w:val="00736CD6"/>
    <w:rsid w:val="00781D7A"/>
    <w:rsid w:val="007A1F65"/>
    <w:rsid w:val="007B413B"/>
    <w:rsid w:val="007F563B"/>
    <w:rsid w:val="007F5ED4"/>
    <w:rsid w:val="008024C6"/>
    <w:rsid w:val="008068AD"/>
    <w:rsid w:val="00817824"/>
    <w:rsid w:val="00826181"/>
    <w:rsid w:val="0083181D"/>
    <w:rsid w:val="00835CF9"/>
    <w:rsid w:val="008513AD"/>
    <w:rsid w:val="00851C90"/>
    <w:rsid w:val="0085370B"/>
    <w:rsid w:val="00870DAB"/>
    <w:rsid w:val="00875BF4"/>
    <w:rsid w:val="00893927"/>
    <w:rsid w:val="0089712C"/>
    <w:rsid w:val="008A6B36"/>
    <w:rsid w:val="008B7885"/>
    <w:rsid w:val="008C38E6"/>
    <w:rsid w:val="008E338F"/>
    <w:rsid w:val="008E3DC4"/>
    <w:rsid w:val="008F308A"/>
    <w:rsid w:val="008F65D6"/>
    <w:rsid w:val="00901FF6"/>
    <w:rsid w:val="00912C2E"/>
    <w:rsid w:val="00924F5C"/>
    <w:rsid w:val="0094094A"/>
    <w:rsid w:val="00953BFD"/>
    <w:rsid w:val="00975B8E"/>
    <w:rsid w:val="00994501"/>
    <w:rsid w:val="009A52FA"/>
    <w:rsid w:val="009B23A7"/>
    <w:rsid w:val="009C2391"/>
    <w:rsid w:val="009C6DFF"/>
    <w:rsid w:val="009D1A69"/>
    <w:rsid w:val="009E1EB7"/>
    <w:rsid w:val="00A0470B"/>
    <w:rsid w:val="00A07AAC"/>
    <w:rsid w:val="00A13F5C"/>
    <w:rsid w:val="00A31E05"/>
    <w:rsid w:val="00A33B72"/>
    <w:rsid w:val="00A47674"/>
    <w:rsid w:val="00A55791"/>
    <w:rsid w:val="00A61351"/>
    <w:rsid w:val="00A6153A"/>
    <w:rsid w:val="00A74C78"/>
    <w:rsid w:val="00A809EA"/>
    <w:rsid w:val="00A9684C"/>
    <w:rsid w:val="00AA2E99"/>
    <w:rsid w:val="00AC27FE"/>
    <w:rsid w:val="00AC3F0C"/>
    <w:rsid w:val="00AE0E36"/>
    <w:rsid w:val="00AF3EB8"/>
    <w:rsid w:val="00AF724E"/>
    <w:rsid w:val="00B001C2"/>
    <w:rsid w:val="00B029F7"/>
    <w:rsid w:val="00B032DD"/>
    <w:rsid w:val="00B071F5"/>
    <w:rsid w:val="00B10BEC"/>
    <w:rsid w:val="00B43A33"/>
    <w:rsid w:val="00B45FED"/>
    <w:rsid w:val="00B519CF"/>
    <w:rsid w:val="00B679C5"/>
    <w:rsid w:val="00B70864"/>
    <w:rsid w:val="00B74CE9"/>
    <w:rsid w:val="00B76D0B"/>
    <w:rsid w:val="00B81A17"/>
    <w:rsid w:val="00B9450F"/>
    <w:rsid w:val="00BA16F9"/>
    <w:rsid w:val="00BA7B77"/>
    <w:rsid w:val="00BD681D"/>
    <w:rsid w:val="00BF1F9E"/>
    <w:rsid w:val="00BF7340"/>
    <w:rsid w:val="00C02C04"/>
    <w:rsid w:val="00C22E71"/>
    <w:rsid w:val="00C26462"/>
    <w:rsid w:val="00C30641"/>
    <w:rsid w:val="00C40EA6"/>
    <w:rsid w:val="00C57BAE"/>
    <w:rsid w:val="00C61678"/>
    <w:rsid w:val="00C64327"/>
    <w:rsid w:val="00C65899"/>
    <w:rsid w:val="00C66522"/>
    <w:rsid w:val="00C77272"/>
    <w:rsid w:val="00C86D28"/>
    <w:rsid w:val="00C923A7"/>
    <w:rsid w:val="00CA1284"/>
    <w:rsid w:val="00CA4AC3"/>
    <w:rsid w:val="00CA76A0"/>
    <w:rsid w:val="00CB768F"/>
    <w:rsid w:val="00CC7876"/>
    <w:rsid w:val="00CD1D8E"/>
    <w:rsid w:val="00CF6E1B"/>
    <w:rsid w:val="00D03C32"/>
    <w:rsid w:val="00D10982"/>
    <w:rsid w:val="00D1116E"/>
    <w:rsid w:val="00D341DE"/>
    <w:rsid w:val="00D3781D"/>
    <w:rsid w:val="00D509AA"/>
    <w:rsid w:val="00D55EC8"/>
    <w:rsid w:val="00D9680D"/>
    <w:rsid w:val="00DA0ABC"/>
    <w:rsid w:val="00DC050B"/>
    <w:rsid w:val="00DC4736"/>
    <w:rsid w:val="00DC6C00"/>
    <w:rsid w:val="00DC777F"/>
    <w:rsid w:val="00DF4C6A"/>
    <w:rsid w:val="00E12FA4"/>
    <w:rsid w:val="00E135B5"/>
    <w:rsid w:val="00E1737D"/>
    <w:rsid w:val="00E33C9A"/>
    <w:rsid w:val="00E44760"/>
    <w:rsid w:val="00E45B30"/>
    <w:rsid w:val="00E4614E"/>
    <w:rsid w:val="00E47C64"/>
    <w:rsid w:val="00E55E66"/>
    <w:rsid w:val="00E56976"/>
    <w:rsid w:val="00E83C9A"/>
    <w:rsid w:val="00EA2D89"/>
    <w:rsid w:val="00EB51A8"/>
    <w:rsid w:val="00EC192E"/>
    <w:rsid w:val="00EC368C"/>
    <w:rsid w:val="00ED2F4C"/>
    <w:rsid w:val="00ED5F63"/>
    <w:rsid w:val="00ED70E2"/>
    <w:rsid w:val="00EE54DB"/>
    <w:rsid w:val="00EF76E2"/>
    <w:rsid w:val="00F01C24"/>
    <w:rsid w:val="00F2221D"/>
    <w:rsid w:val="00F22E57"/>
    <w:rsid w:val="00F2305C"/>
    <w:rsid w:val="00F34AFE"/>
    <w:rsid w:val="00F51745"/>
    <w:rsid w:val="00F63331"/>
    <w:rsid w:val="00F84B33"/>
    <w:rsid w:val="00F93803"/>
    <w:rsid w:val="00FA7DA2"/>
    <w:rsid w:val="00FC06F9"/>
    <w:rsid w:val="00FC0ED4"/>
    <w:rsid w:val="00FC4155"/>
    <w:rsid w:val="00FE2F11"/>
    <w:rsid w:val="00FE3F89"/>
    <w:rsid w:val="00FE6B79"/>
    <w:rsid w:val="00FE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A3E62"/>
  <w15:chartTrackingRefBased/>
  <w15:docId w15:val="{1957E718-6BBB-4039-B73A-949B5CF1A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1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D5672"/>
    <w:pPr>
      <w:spacing w:after="0" w:line="240" w:lineRule="auto"/>
    </w:pPr>
    <w:rPr>
      <w:sz w:val="20"/>
      <w:szCs w:val="20"/>
    </w:rPr>
  </w:style>
  <w:style w:type="character" w:customStyle="1" w:styleId="FootnoteTextChar">
    <w:name w:val="Footnote Text Char"/>
    <w:basedOn w:val="DefaultParagraphFont"/>
    <w:link w:val="FootnoteText"/>
    <w:uiPriority w:val="99"/>
    <w:rsid w:val="003D5672"/>
    <w:rPr>
      <w:sz w:val="20"/>
      <w:szCs w:val="20"/>
    </w:rPr>
  </w:style>
  <w:style w:type="character" w:styleId="FootnoteReference">
    <w:name w:val="footnote reference"/>
    <w:basedOn w:val="DefaultParagraphFont"/>
    <w:uiPriority w:val="99"/>
    <w:semiHidden/>
    <w:unhideWhenUsed/>
    <w:rsid w:val="003D5672"/>
    <w:rPr>
      <w:vertAlign w:val="superscript"/>
    </w:rPr>
  </w:style>
  <w:style w:type="character" w:styleId="Hyperlink">
    <w:name w:val="Hyperlink"/>
    <w:basedOn w:val="DefaultParagraphFont"/>
    <w:uiPriority w:val="99"/>
    <w:unhideWhenUsed/>
    <w:rsid w:val="003D5672"/>
    <w:rPr>
      <w:color w:val="0563C1" w:themeColor="hyperlink"/>
      <w:u w:val="single"/>
    </w:rPr>
  </w:style>
  <w:style w:type="character" w:styleId="UnresolvedMention">
    <w:name w:val="Unresolved Mention"/>
    <w:basedOn w:val="DefaultParagraphFont"/>
    <w:uiPriority w:val="99"/>
    <w:semiHidden/>
    <w:unhideWhenUsed/>
    <w:rsid w:val="003D5672"/>
    <w:rPr>
      <w:color w:val="605E5C"/>
      <w:shd w:val="clear" w:color="auto" w:fill="E1DFDD"/>
    </w:rPr>
  </w:style>
  <w:style w:type="character" w:styleId="FollowedHyperlink">
    <w:name w:val="FollowedHyperlink"/>
    <w:basedOn w:val="DefaultParagraphFont"/>
    <w:uiPriority w:val="99"/>
    <w:semiHidden/>
    <w:unhideWhenUsed/>
    <w:rsid w:val="007F5ED4"/>
    <w:rPr>
      <w:color w:val="954F72" w:themeColor="followedHyperlink"/>
      <w:u w:val="single"/>
    </w:rPr>
  </w:style>
  <w:style w:type="paragraph" w:styleId="Header">
    <w:name w:val="header"/>
    <w:basedOn w:val="Normal"/>
    <w:link w:val="HeaderChar"/>
    <w:uiPriority w:val="99"/>
    <w:unhideWhenUsed/>
    <w:rsid w:val="00AA2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E99"/>
  </w:style>
  <w:style w:type="paragraph" w:styleId="Footer">
    <w:name w:val="footer"/>
    <w:basedOn w:val="Normal"/>
    <w:link w:val="FooterChar"/>
    <w:uiPriority w:val="99"/>
    <w:unhideWhenUsed/>
    <w:rsid w:val="00AA2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negieendowment.org/2008/01/14/draft-party-platform-of-egyptian-muslim-brotherhood-foray-into-political-integration-or-retreat-into-old-positions-pub-1983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hel-primo.hosted.exlibrisgroup.com/permalink/f/mqg008/TN_cdi_ceeol_journals_7035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hel-primo.hosted.exlibrisgroup.com/permalink/f/mqg008/TN_cdi_crossref_primary_10_1017_S1755048313000400" TargetMode="External"/><Relationship Id="rId4" Type="http://schemas.openxmlformats.org/officeDocument/2006/relationships/webSettings" Target="webSettings.xml"/><Relationship Id="rId9" Type="http://schemas.openxmlformats.org/officeDocument/2006/relationships/hyperlink" Target="http://www.oxfordislamicstudies.com/article/opr/t342/e0100"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hel-primo.hosted.exlibrisgroup.com/permalink/f/mqg008/TN_cdi_ceeol_journals_70358" TargetMode="External"/><Relationship Id="rId2" Type="http://schemas.openxmlformats.org/officeDocument/2006/relationships/hyperlink" Target="http://www.oxfordislamicstudies.com/article/opr/t342/e0100" TargetMode="External"/><Relationship Id="rId1" Type="http://schemas.openxmlformats.org/officeDocument/2006/relationships/hyperlink" Target="https://whel-primo.hosted.exlibrisgroup.com/permalink/f/mqg008/TN_cdi_crossref_primary_10_1017_S1755048313000400" TargetMode="External"/><Relationship Id="rId4" Type="http://schemas.openxmlformats.org/officeDocument/2006/relationships/hyperlink" Target="https://carnegieendowment.org/2008/01/14/draft-party-platform-of-egyptian-muslim-brotherhood-foray-into-political-integration-or-retreat-into-old-positions-pub-19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EE0EA-B13B-47AE-8ADF-186F47FCC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1059</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3</cp:revision>
  <dcterms:created xsi:type="dcterms:W3CDTF">2020-09-28T09:39:00Z</dcterms:created>
  <dcterms:modified xsi:type="dcterms:W3CDTF">2020-09-28T09:54:00Z</dcterms:modified>
</cp:coreProperties>
</file>