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77153993"/>
        <w:docPartObj>
          <w:docPartGallery w:val="Cover Pages"/>
          <w:docPartUnique/>
        </w:docPartObj>
      </w:sdtPr>
      <w:sdtEndPr>
        <w:rPr>
          <w:color w:val="auto"/>
        </w:rPr>
      </w:sdtEndPr>
      <w:sdtContent>
        <w:p w14:paraId="31C49149" w14:textId="72B8AE1A" w:rsidR="00EB4C75" w:rsidRDefault="00EB4C75">
          <w:pPr>
            <w:pStyle w:val="NoSpacing"/>
            <w:spacing w:before="1540" w:after="240"/>
            <w:jc w:val="center"/>
            <w:rPr>
              <w:color w:val="4472C4" w:themeColor="accent1"/>
            </w:rPr>
          </w:pPr>
          <w:r>
            <w:rPr>
              <w:noProof/>
              <w:color w:val="4472C4" w:themeColor="accent1"/>
            </w:rPr>
            <w:drawing>
              <wp:inline distT="0" distB="0" distL="0" distR="0" wp14:anchorId="658CA90F" wp14:editId="603E8F5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CDEA30633F745AAA04A906EB55B3F1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0668D2" w14:textId="2E5BD8A2" w:rsidR="00EB4C75" w:rsidRDefault="00E6183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THE </w:t>
              </w:r>
              <w:r w:rsidR="00810809">
                <w:rPr>
                  <w:rFonts w:asciiTheme="majorHAnsi" w:eastAsiaTheme="majorEastAsia" w:hAnsiTheme="majorHAnsi" w:cstheme="majorBidi"/>
                  <w:caps/>
                  <w:color w:val="4472C4" w:themeColor="accent1"/>
                  <w:sz w:val="72"/>
                  <w:szCs w:val="72"/>
                </w:rPr>
                <w:t xml:space="preserve">global </w:t>
              </w:r>
              <w:r w:rsidR="00EB4C75">
                <w:rPr>
                  <w:rFonts w:asciiTheme="majorHAnsi" w:eastAsiaTheme="majorEastAsia" w:hAnsiTheme="majorHAnsi" w:cstheme="majorBidi"/>
                  <w:caps/>
                  <w:color w:val="4472C4" w:themeColor="accent1"/>
                  <w:sz w:val="72"/>
                  <w:szCs w:val="72"/>
                </w:rPr>
                <w:t>BUSINESS</w:t>
              </w:r>
              <w:r w:rsidR="002164CB">
                <w:rPr>
                  <w:rFonts w:asciiTheme="majorHAnsi" w:eastAsiaTheme="majorEastAsia" w:hAnsiTheme="majorHAnsi" w:cstheme="majorBidi"/>
                  <w:caps/>
                  <w:color w:val="4472C4" w:themeColor="accent1"/>
                  <w:sz w:val="72"/>
                  <w:szCs w:val="72"/>
                </w:rPr>
                <w:t xml:space="preserve"> </w:t>
              </w:r>
              <w:r w:rsidR="00810809">
                <w:rPr>
                  <w:rFonts w:asciiTheme="majorHAnsi" w:eastAsiaTheme="majorEastAsia" w:hAnsiTheme="majorHAnsi" w:cstheme="majorBidi"/>
                  <w:caps/>
                  <w:color w:val="4472C4" w:themeColor="accent1"/>
                  <w:sz w:val="72"/>
                  <w:szCs w:val="72"/>
                </w:rPr>
                <w:t>environment</w:t>
              </w:r>
            </w:p>
          </w:sdtContent>
        </w:sdt>
        <w:sdt>
          <w:sdtPr>
            <w:rPr>
              <w:color w:val="4472C4" w:themeColor="accent1"/>
              <w:sz w:val="28"/>
              <w:szCs w:val="28"/>
            </w:rPr>
            <w:alias w:val="Subtitle"/>
            <w:tag w:val=""/>
            <w:id w:val="328029620"/>
            <w:placeholder>
              <w:docPart w:val="807FEB3C26B6410F8F7A077D38C52A02"/>
            </w:placeholder>
            <w:dataBinding w:prefixMappings="xmlns:ns0='http://purl.org/dc/elements/1.1/' xmlns:ns1='http://schemas.openxmlformats.org/package/2006/metadata/core-properties' " w:xpath="/ns1:coreProperties[1]/ns0:subject[1]" w:storeItemID="{6C3C8BC8-F283-45AE-878A-BAB7291924A1}"/>
            <w:text/>
          </w:sdtPr>
          <w:sdtContent>
            <w:p w14:paraId="59F02F2F" w14:textId="1A86383A" w:rsidR="00EB4C75" w:rsidRDefault="00414712">
              <w:pPr>
                <w:pStyle w:val="NoSpacing"/>
                <w:jc w:val="center"/>
                <w:rPr>
                  <w:color w:val="4472C4" w:themeColor="accent1"/>
                  <w:sz w:val="28"/>
                  <w:szCs w:val="28"/>
                </w:rPr>
              </w:pPr>
              <w:r>
                <w:rPr>
                  <w:color w:val="4472C4" w:themeColor="accent1"/>
                  <w:sz w:val="28"/>
                  <w:szCs w:val="28"/>
                </w:rPr>
                <w:t xml:space="preserve">MODULE </w:t>
              </w:r>
              <w:r w:rsidR="0013664D">
                <w:rPr>
                  <w:color w:val="4472C4" w:themeColor="accent1"/>
                  <w:sz w:val="28"/>
                  <w:szCs w:val="28"/>
                </w:rPr>
                <w:t>CODE</w:t>
              </w:r>
              <w:r>
                <w:rPr>
                  <w:color w:val="4472C4" w:themeColor="accent1"/>
                  <w:sz w:val="28"/>
                  <w:szCs w:val="28"/>
                </w:rPr>
                <w:t xml:space="preserve">: </w:t>
              </w:r>
              <w:r w:rsidR="00810809">
                <w:rPr>
                  <w:color w:val="4472C4" w:themeColor="accent1"/>
                  <w:sz w:val="28"/>
                  <w:szCs w:val="28"/>
                </w:rPr>
                <w:t>LCBB</w:t>
              </w:r>
              <w:r w:rsidR="003512A1">
                <w:rPr>
                  <w:color w:val="4472C4" w:themeColor="accent1"/>
                  <w:sz w:val="28"/>
                  <w:szCs w:val="28"/>
                </w:rPr>
                <w:t>4</w:t>
              </w:r>
              <w:r w:rsidR="007F7906">
                <w:rPr>
                  <w:color w:val="4472C4" w:themeColor="accent1"/>
                  <w:sz w:val="28"/>
                  <w:szCs w:val="28"/>
                </w:rPr>
                <w:t>0</w:t>
              </w:r>
              <w:r w:rsidR="003512A1">
                <w:rPr>
                  <w:color w:val="4472C4" w:themeColor="accent1"/>
                  <w:sz w:val="28"/>
                  <w:szCs w:val="28"/>
                </w:rPr>
                <w:t>05</w:t>
              </w:r>
            </w:p>
          </w:sdtContent>
        </w:sdt>
        <w:p w14:paraId="6E4EF151" w14:textId="10992DB7" w:rsidR="00EB4C75" w:rsidRDefault="00EB4C75">
          <w:pPr>
            <w:pStyle w:val="NoSpacing"/>
            <w:spacing w:before="480"/>
            <w:jc w:val="center"/>
            <w:rPr>
              <w:color w:val="4472C4" w:themeColor="accent1"/>
            </w:rPr>
          </w:pPr>
          <w:r>
            <w:rPr>
              <w:noProof/>
              <w:color w:val="4472C4" w:themeColor="accent1"/>
            </w:rPr>
            <w:drawing>
              <wp:inline distT="0" distB="0" distL="0" distR="0" wp14:anchorId="0904F148" wp14:editId="0159890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5DC2EE" w14:textId="57899234" w:rsidR="00EB4C75" w:rsidRDefault="007A1044">
          <w:pPr>
            <w:rPr>
              <w:rFonts w:asciiTheme="majorHAnsi" w:eastAsiaTheme="majorEastAsia" w:hAnsiTheme="majorHAnsi" w:cstheme="majorBidi"/>
              <w:color w:val="2F5496" w:themeColor="accent1" w:themeShade="BF"/>
              <w:sz w:val="32"/>
              <w:szCs w:val="32"/>
            </w:rPr>
          </w:pPr>
          <w:r>
            <w:rPr>
              <w:noProof/>
            </w:rPr>
            <w:drawing>
              <wp:inline distT="0" distB="0" distL="0" distR="0" wp14:anchorId="53BABE77" wp14:editId="62E02751">
                <wp:extent cx="5920740" cy="2293620"/>
                <wp:effectExtent l="0" t="0" r="381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20740" cy="2293620"/>
                        </a:xfrm>
                        <a:prstGeom prst="rect">
                          <a:avLst/>
                        </a:prstGeom>
                      </pic:spPr>
                    </pic:pic>
                  </a:graphicData>
                </a:graphic>
              </wp:inline>
            </w:drawing>
          </w:r>
          <w:r w:rsidR="003652FB">
            <w:rPr>
              <w:noProof/>
              <w:color w:val="4472C4" w:themeColor="accent1"/>
            </w:rPr>
            <mc:AlternateContent>
              <mc:Choice Requires="wps">
                <w:drawing>
                  <wp:anchor distT="0" distB="0" distL="114300" distR="114300" simplePos="0" relativeHeight="251659264" behindDoc="0" locked="0" layoutInCell="1" allowOverlap="1" wp14:anchorId="5B0F1111" wp14:editId="1FD075AF">
                    <wp:simplePos x="0" y="0"/>
                    <wp:positionH relativeFrom="margin">
                      <wp:align>right</wp:align>
                    </wp:positionH>
                    <wp:positionV relativeFrom="page">
                      <wp:posOffset>8999220</wp:posOffset>
                    </wp:positionV>
                    <wp:extent cx="6553200" cy="681355"/>
                    <wp:effectExtent l="0" t="0" r="2540" b="4445"/>
                    <wp:wrapNone/>
                    <wp:docPr id="142" name="Text Box 142"/>
                    <wp:cNvGraphicFramePr/>
                    <a:graphic xmlns:a="http://schemas.openxmlformats.org/drawingml/2006/main">
                      <a:graphicData uri="http://schemas.microsoft.com/office/word/2010/wordprocessingShape">
                        <wps:wsp>
                          <wps:cNvSpPr txBox="1"/>
                          <wps:spPr>
                            <a:xfrm>
                              <a:off x="0" y="0"/>
                              <a:ext cx="6553200" cy="6813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CBA5C8" w14:textId="70E3F670" w:rsidR="00EB4C75" w:rsidRDefault="00F620F0">
                                    <w:pPr>
                                      <w:pStyle w:val="NoSpacing"/>
                                      <w:spacing w:after="40"/>
                                      <w:jc w:val="center"/>
                                      <w:rPr>
                                        <w:caps/>
                                        <w:color w:val="4472C4" w:themeColor="accent1"/>
                                        <w:sz w:val="28"/>
                                        <w:szCs w:val="28"/>
                                      </w:rPr>
                                    </w:pPr>
                                    <w:r>
                                      <w:rPr>
                                        <w:caps/>
                                        <w:color w:val="4472C4" w:themeColor="accent1"/>
                                        <w:sz w:val="28"/>
                                        <w:szCs w:val="28"/>
                                      </w:rPr>
                                      <w:t xml:space="preserve">STUDENT id: </w:t>
                                    </w:r>
                                    <w:r w:rsidR="00C04ECB">
                                      <w:rPr>
                                        <w:caps/>
                                        <w:color w:val="4472C4" w:themeColor="accent1"/>
                                        <w:sz w:val="28"/>
                                        <w:szCs w:val="28"/>
                                      </w:rPr>
                                      <w:t>22</w:t>
                                    </w:r>
                                    <w:r w:rsidR="00AA2998">
                                      <w:rPr>
                                        <w:caps/>
                                        <w:color w:val="4472C4" w:themeColor="accent1"/>
                                        <w:sz w:val="28"/>
                                        <w:szCs w:val="28"/>
                                      </w:rPr>
                                      <w:t>18625</w:t>
                                    </w:r>
                                  </w:p>
                                </w:sdtContent>
                              </w:sdt>
                              <w:p w14:paraId="67A3D3D4" w14:textId="0F8A67B0" w:rsidR="00EB4C7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14712">
                                      <w:rPr>
                                        <w:caps/>
                                        <w:color w:val="4472C4" w:themeColor="accent1"/>
                                      </w:rPr>
                                      <w:t xml:space="preserve">STUDENT NAME: </w:t>
                                    </w:r>
                                    <w:r w:rsidR="00AA2998">
                                      <w:rPr>
                                        <w:caps/>
                                        <w:color w:val="4472C4" w:themeColor="accent1"/>
                                      </w:rPr>
                                      <w:t>SZABOLCS ISASZEGI-TOTH</w:t>
                                    </w:r>
                                  </w:sdtContent>
                                </w:sdt>
                              </w:p>
                              <w:p w14:paraId="1302549E" w14:textId="0B8DFF29" w:rsidR="00EB4C7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D0B6C">
                                      <w:rPr>
                                        <w:color w:val="4472C4" w:themeColor="accent1"/>
                                      </w:rPr>
                                      <w:t>TUTOR:</w:t>
                                    </w:r>
                                    <w:r w:rsidR="0031377C">
                                      <w:rPr>
                                        <w:color w:val="4472C4" w:themeColor="accent1"/>
                                      </w:rPr>
                                      <w:t xml:space="preserve"> </w:t>
                                    </w:r>
                                    <w:r w:rsidR="000E69B6">
                                      <w:rPr>
                                        <w:color w:val="4472C4" w:themeColor="accent1"/>
                                      </w:rPr>
                                      <w:t xml:space="preserve">DR. </w:t>
                                    </w:r>
                                    <w:r w:rsidR="0055250D">
                                      <w:rPr>
                                        <w:color w:val="4472C4" w:themeColor="accent1"/>
                                      </w:rPr>
                                      <w:t>NADEEM MIRZA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B0F1111" id="_x0000_t202" coordsize="21600,21600" o:spt="202" path="m,l,21600r21600,l21600,xe">
                    <v:stroke joinstyle="miter"/>
                    <v:path gradientshapeok="t" o:connecttype="rect"/>
                  </v:shapetype>
                  <v:shape id="Text Box 142" o:spid="_x0000_s1026" type="#_x0000_t202" style="position:absolute;margin-left:464.8pt;margin-top:708.6pt;width:516pt;height:53.6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8CBA5C8" w14:textId="70E3F670" w:rsidR="00EB4C75" w:rsidRDefault="00F620F0">
                              <w:pPr>
                                <w:pStyle w:val="NoSpacing"/>
                                <w:spacing w:after="40"/>
                                <w:jc w:val="center"/>
                                <w:rPr>
                                  <w:caps/>
                                  <w:color w:val="4472C4" w:themeColor="accent1"/>
                                  <w:sz w:val="28"/>
                                  <w:szCs w:val="28"/>
                                </w:rPr>
                              </w:pPr>
                              <w:r>
                                <w:rPr>
                                  <w:caps/>
                                  <w:color w:val="4472C4" w:themeColor="accent1"/>
                                  <w:sz w:val="28"/>
                                  <w:szCs w:val="28"/>
                                </w:rPr>
                                <w:t xml:space="preserve">STUDENT id: </w:t>
                              </w:r>
                              <w:r w:rsidR="00C04ECB">
                                <w:rPr>
                                  <w:caps/>
                                  <w:color w:val="4472C4" w:themeColor="accent1"/>
                                  <w:sz w:val="28"/>
                                  <w:szCs w:val="28"/>
                                </w:rPr>
                                <w:t>22</w:t>
                              </w:r>
                              <w:r w:rsidR="00AA2998">
                                <w:rPr>
                                  <w:caps/>
                                  <w:color w:val="4472C4" w:themeColor="accent1"/>
                                  <w:sz w:val="28"/>
                                  <w:szCs w:val="28"/>
                                </w:rPr>
                                <w:t>18625</w:t>
                              </w:r>
                            </w:p>
                          </w:sdtContent>
                        </w:sdt>
                        <w:p w14:paraId="67A3D3D4" w14:textId="0F8A67B0" w:rsidR="00EB4C7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14712">
                                <w:rPr>
                                  <w:caps/>
                                  <w:color w:val="4472C4" w:themeColor="accent1"/>
                                </w:rPr>
                                <w:t xml:space="preserve">STUDENT NAME: </w:t>
                              </w:r>
                              <w:r w:rsidR="00AA2998">
                                <w:rPr>
                                  <w:caps/>
                                  <w:color w:val="4472C4" w:themeColor="accent1"/>
                                </w:rPr>
                                <w:t>SZABOLCS ISASZEGI-TOTH</w:t>
                              </w:r>
                            </w:sdtContent>
                          </w:sdt>
                        </w:p>
                        <w:p w14:paraId="1302549E" w14:textId="0B8DFF29" w:rsidR="00EB4C7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D0B6C">
                                <w:rPr>
                                  <w:color w:val="4472C4" w:themeColor="accent1"/>
                                </w:rPr>
                                <w:t>TUTOR:</w:t>
                              </w:r>
                              <w:r w:rsidR="0031377C">
                                <w:rPr>
                                  <w:color w:val="4472C4" w:themeColor="accent1"/>
                                </w:rPr>
                                <w:t xml:space="preserve"> </w:t>
                              </w:r>
                              <w:r w:rsidR="000E69B6">
                                <w:rPr>
                                  <w:color w:val="4472C4" w:themeColor="accent1"/>
                                </w:rPr>
                                <w:t xml:space="preserve">DR. </w:t>
                              </w:r>
                              <w:r w:rsidR="0055250D">
                                <w:rPr>
                                  <w:color w:val="4472C4" w:themeColor="accent1"/>
                                </w:rPr>
                                <w:t>NADEEM MIRZA</w:t>
                              </w:r>
                            </w:sdtContent>
                          </w:sdt>
                        </w:p>
                      </w:txbxContent>
                    </v:textbox>
                    <w10:wrap anchorx="margin" anchory="page"/>
                  </v:shape>
                </w:pict>
              </mc:Fallback>
            </mc:AlternateContent>
          </w:r>
          <w:r w:rsidR="00EB4C75">
            <w:br w:type="page"/>
          </w:r>
        </w:p>
      </w:sdtContent>
    </w:sdt>
    <w:sdt>
      <w:sdtPr>
        <w:rPr>
          <w:rFonts w:asciiTheme="minorHAnsi" w:eastAsiaTheme="minorHAnsi" w:hAnsiTheme="minorHAnsi" w:cstheme="minorBidi"/>
          <w:color w:val="auto"/>
          <w:sz w:val="22"/>
          <w:szCs w:val="22"/>
          <w:lang w:val="en-GB"/>
        </w:rPr>
        <w:id w:val="-104891117"/>
        <w:docPartObj>
          <w:docPartGallery w:val="Table of Contents"/>
          <w:docPartUnique/>
        </w:docPartObj>
      </w:sdtPr>
      <w:sdtEndPr>
        <w:rPr>
          <w:b/>
          <w:bCs/>
          <w:noProof/>
        </w:rPr>
      </w:sdtEndPr>
      <w:sdtContent>
        <w:p w14:paraId="764BD847" w14:textId="677C65E4" w:rsidR="00EB4C75" w:rsidRDefault="00EB4C75">
          <w:pPr>
            <w:pStyle w:val="TOCHeading"/>
          </w:pPr>
          <w:r>
            <w:t>Contents</w:t>
          </w:r>
        </w:p>
        <w:p w14:paraId="711A1F4B" w14:textId="39C614A0" w:rsidR="00EB4C75" w:rsidRDefault="00EB4C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476764" w:history="1">
            <w:r w:rsidRPr="00386AF9">
              <w:rPr>
                <w:rStyle w:val="Hyperlink"/>
                <w:noProof/>
              </w:rPr>
              <w:t>Introduction</w:t>
            </w:r>
            <w:r>
              <w:rPr>
                <w:noProof/>
                <w:webHidden/>
              </w:rPr>
              <w:tab/>
            </w:r>
            <w:r>
              <w:rPr>
                <w:noProof/>
                <w:webHidden/>
              </w:rPr>
              <w:fldChar w:fldCharType="begin"/>
            </w:r>
            <w:r>
              <w:rPr>
                <w:noProof/>
                <w:webHidden/>
              </w:rPr>
              <w:instrText xml:space="preserve"> PAGEREF _Toc120476764 \h </w:instrText>
            </w:r>
            <w:r>
              <w:rPr>
                <w:noProof/>
                <w:webHidden/>
              </w:rPr>
            </w:r>
            <w:r>
              <w:rPr>
                <w:noProof/>
                <w:webHidden/>
              </w:rPr>
              <w:fldChar w:fldCharType="separate"/>
            </w:r>
            <w:r>
              <w:rPr>
                <w:noProof/>
                <w:webHidden/>
              </w:rPr>
              <w:t>2</w:t>
            </w:r>
            <w:r>
              <w:rPr>
                <w:noProof/>
                <w:webHidden/>
              </w:rPr>
              <w:fldChar w:fldCharType="end"/>
            </w:r>
          </w:hyperlink>
        </w:p>
        <w:p w14:paraId="122F725D" w14:textId="54E64002" w:rsidR="00EB4C75" w:rsidRDefault="00000000">
          <w:pPr>
            <w:pStyle w:val="TOC1"/>
            <w:tabs>
              <w:tab w:val="right" w:leader="dot" w:pos="9016"/>
            </w:tabs>
            <w:rPr>
              <w:rFonts w:eastAsiaTheme="minorEastAsia"/>
              <w:noProof/>
              <w:lang w:eastAsia="en-GB"/>
            </w:rPr>
          </w:pPr>
          <w:hyperlink w:anchor="_Toc120476765" w:history="1">
            <w:r w:rsidR="00EB4C75" w:rsidRPr="00386AF9">
              <w:rPr>
                <w:rStyle w:val="Hyperlink"/>
                <w:noProof/>
              </w:rPr>
              <w:t>Key Pharmaceutical and the British pharma sector</w:t>
            </w:r>
            <w:r w:rsidR="00EB4C75">
              <w:rPr>
                <w:noProof/>
                <w:webHidden/>
              </w:rPr>
              <w:tab/>
            </w:r>
            <w:r w:rsidR="00EB4C75">
              <w:rPr>
                <w:noProof/>
                <w:webHidden/>
              </w:rPr>
              <w:fldChar w:fldCharType="begin"/>
            </w:r>
            <w:r w:rsidR="00EB4C75">
              <w:rPr>
                <w:noProof/>
                <w:webHidden/>
              </w:rPr>
              <w:instrText xml:space="preserve"> PAGEREF _Toc120476765 \h </w:instrText>
            </w:r>
            <w:r w:rsidR="00EB4C75">
              <w:rPr>
                <w:noProof/>
                <w:webHidden/>
              </w:rPr>
            </w:r>
            <w:r w:rsidR="00EB4C75">
              <w:rPr>
                <w:noProof/>
                <w:webHidden/>
              </w:rPr>
              <w:fldChar w:fldCharType="separate"/>
            </w:r>
            <w:r w:rsidR="00EB4C75">
              <w:rPr>
                <w:noProof/>
                <w:webHidden/>
              </w:rPr>
              <w:t>2</w:t>
            </w:r>
            <w:r w:rsidR="00EB4C75">
              <w:rPr>
                <w:noProof/>
                <w:webHidden/>
              </w:rPr>
              <w:fldChar w:fldCharType="end"/>
            </w:r>
          </w:hyperlink>
        </w:p>
        <w:p w14:paraId="414325D6" w14:textId="6F045989" w:rsidR="00EB4C75" w:rsidRDefault="00000000">
          <w:pPr>
            <w:pStyle w:val="TOC2"/>
            <w:tabs>
              <w:tab w:val="right" w:leader="dot" w:pos="9016"/>
            </w:tabs>
            <w:rPr>
              <w:rFonts w:eastAsiaTheme="minorEastAsia"/>
              <w:noProof/>
              <w:lang w:eastAsia="en-GB"/>
            </w:rPr>
          </w:pPr>
          <w:hyperlink w:anchor="_Toc120476766" w:history="1">
            <w:r w:rsidR="00EB4C75" w:rsidRPr="00386AF9">
              <w:rPr>
                <w:rStyle w:val="Hyperlink"/>
                <w:noProof/>
              </w:rPr>
              <w:t>Poland as a developing country</w:t>
            </w:r>
            <w:r w:rsidR="00EB4C75">
              <w:rPr>
                <w:noProof/>
                <w:webHidden/>
              </w:rPr>
              <w:tab/>
            </w:r>
            <w:r w:rsidR="00EB4C75">
              <w:rPr>
                <w:noProof/>
                <w:webHidden/>
              </w:rPr>
              <w:fldChar w:fldCharType="begin"/>
            </w:r>
            <w:r w:rsidR="00EB4C75">
              <w:rPr>
                <w:noProof/>
                <w:webHidden/>
              </w:rPr>
              <w:instrText xml:space="preserve"> PAGEREF _Toc120476766 \h </w:instrText>
            </w:r>
            <w:r w:rsidR="00EB4C75">
              <w:rPr>
                <w:noProof/>
                <w:webHidden/>
              </w:rPr>
            </w:r>
            <w:r w:rsidR="00EB4C75">
              <w:rPr>
                <w:noProof/>
                <w:webHidden/>
              </w:rPr>
              <w:fldChar w:fldCharType="separate"/>
            </w:r>
            <w:r w:rsidR="00EB4C75">
              <w:rPr>
                <w:noProof/>
                <w:webHidden/>
              </w:rPr>
              <w:t>2</w:t>
            </w:r>
            <w:r w:rsidR="00EB4C75">
              <w:rPr>
                <w:noProof/>
                <w:webHidden/>
              </w:rPr>
              <w:fldChar w:fldCharType="end"/>
            </w:r>
          </w:hyperlink>
        </w:p>
        <w:p w14:paraId="480F6A98" w14:textId="12041366" w:rsidR="00EB4C75" w:rsidRDefault="00000000">
          <w:pPr>
            <w:pStyle w:val="TOC2"/>
            <w:tabs>
              <w:tab w:val="right" w:leader="dot" w:pos="9016"/>
            </w:tabs>
            <w:rPr>
              <w:rFonts w:eastAsiaTheme="minorEastAsia"/>
              <w:noProof/>
              <w:lang w:eastAsia="en-GB"/>
            </w:rPr>
          </w:pPr>
          <w:hyperlink w:anchor="_Toc120476767" w:history="1">
            <w:r w:rsidR="00EB4C75" w:rsidRPr="00386AF9">
              <w:rPr>
                <w:rStyle w:val="Hyperlink"/>
                <w:noProof/>
              </w:rPr>
              <w:t>Polish pharmaceutical industry with well-educated talent pool</w:t>
            </w:r>
            <w:r w:rsidR="00EB4C75">
              <w:rPr>
                <w:noProof/>
                <w:webHidden/>
              </w:rPr>
              <w:tab/>
            </w:r>
            <w:r w:rsidR="00EB4C75">
              <w:rPr>
                <w:noProof/>
                <w:webHidden/>
              </w:rPr>
              <w:fldChar w:fldCharType="begin"/>
            </w:r>
            <w:r w:rsidR="00EB4C75">
              <w:rPr>
                <w:noProof/>
                <w:webHidden/>
              </w:rPr>
              <w:instrText xml:space="preserve"> PAGEREF _Toc120476767 \h </w:instrText>
            </w:r>
            <w:r w:rsidR="00EB4C75">
              <w:rPr>
                <w:noProof/>
                <w:webHidden/>
              </w:rPr>
            </w:r>
            <w:r w:rsidR="00EB4C75">
              <w:rPr>
                <w:noProof/>
                <w:webHidden/>
              </w:rPr>
              <w:fldChar w:fldCharType="separate"/>
            </w:r>
            <w:r w:rsidR="00EB4C75">
              <w:rPr>
                <w:noProof/>
                <w:webHidden/>
              </w:rPr>
              <w:t>3</w:t>
            </w:r>
            <w:r w:rsidR="00EB4C75">
              <w:rPr>
                <w:noProof/>
                <w:webHidden/>
              </w:rPr>
              <w:fldChar w:fldCharType="end"/>
            </w:r>
          </w:hyperlink>
        </w:p>
        <w:p w14:paraId="1279199F" w14:textId="016577B3" w:rsidR="00EB4C75" w:rsidRDefault="00000000">
          <w:pPr>
            <w:pStyle w:val="TOC1"/>
            <w:tabs>
              <w:tab w:val="right" w:leader="dot" w:pos="9016"/>
            </w:tabs>
            <w:rPr>
              <w:rFonts w:eastAsiaTheme="minorEastAsia"/>
              <w:noProof/>
              <w:lang w:eastAsia="en-GB"/>
            </w:rPr>
          </w:pPr>
          <w:hyperlink w:anchor="_Toc120476768" w:history="1">
            <w:r w:rsidR="00EB4C75" w:rsidRPr="00386AF9">
              <w:rPr>
                <w:rStyle w:val="Hyperlink"/>
                <w:noProof/>
              </w:rPr>
              <w:t>SWOT analysis</w:t>
            </w:r>
            <w:r w:rsidR="00EB4C75">
              <w:rPr>
                <w:noProof/>
                <w:webHidden/>
              </w:rPr>
              <w:tab/>
            </w:r>
            <w:r w:rsidR="00EB4C75">
              <w:rPr>
                <w:noProof/>
                <w:webHidden/>
              </w:rPr>
              <w:fldChar w:fldCharType="begin"/>
            </w:r>
            <w:r w:rsidR="00EB4C75">
              <w:rPr>
                <w:noProof/>
                <w:webHidden/>
              </w:rPr>
              <w:instrText xml:space="preserve"> PAGEREF _Toc120476768 \h </w:instrText>
            </w:r>
            <w:r w:rsidR="00EB4C75">
              <w:rPr>
                <w:noProof/>
                <w:webHidden/>
              </w:rPr>
            </w:r>
            <w:r w:rsidR="00EB4C75">
              <w:rPr>
                <w:noProof/>
                <w:webHidden/>
              </w:rPr>
              <w:fldChar w:fldCharType="separate"/>
            </w:r>
            <w:r w:rsidR="00EB4C75">
              <w:rPr>
                <w:noProof/>
                <w:webHidden/>
              </w:rPr>
              <w:t>3</w:t>
            </w:r>
            <w:r w:rsidR="00EB4C75">
              <w:rPr>
                <w:noProof/>
                <w:webHidden/>
              </w:rPr>
              <w:fldChar w:fldCharType="end"/>
            </w:r>
          </w:hyperlink>
        </w:p>
        <w:p w14:paraId="4AD8986A" w14:textId="7327D1A7" w:rsidR="00EB4C75" w:rsidRDefault="00000000">
          <w:pPr>
            <w:pStyle w:val="TOC2"/>
            <w:tabs>
              <w:tab w:val="right" w:leader="dot" w:pos="9016"/>
            </w:tabs>
            <w:rPr>
              <w:rFonts w:eastAsiaTheme="minorEastAsia"/>
              <w:noProof/>
              <w:lang w:eastAsia="en-GB"/>
            </w:rPr>
          </w:pPr>
          <w:hyperlink w:anchor="_Toc120476769" w:history="1">
            <w:r w:rsidR="00EB4C75" w:rsidRPr="00386AF9">
              <w:rPr>
                <w:rStyle w:val="Hyperlink"/>
                <w:noProof/>
              </w:rPr>
              <w:t>Strengths</w:t>
            </w:r>
            <w:r w:rsidR="00EB4C75">
              <w:rPr>
                <w:noProof/>
                <w:webHidden/>
              </w:rPr>
              <w:tab/>
            </w:r>
            <w:r w:rsidR="00EB4C75">
              <w:rPr>
                <w:noProof/>
                <w:webHidden/>
              </w:rPr>
              <w:fldChar w:fldCharType="begin"/>
            </w:r>
            <w:r w:rsidR="00EB4C75">
              <w:rPr>
                <w:noProof/>
                <w:webHidden/>
              </w:rPr>
              <w:instrText xml:space="preserve"> PAGEREF _Toc120476769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725C086D" w14:textId="2222E878" w:rsidR="00EB4C75" w:rsidRDefault="00000000">
          <w:pPr>
            <w:pStyle w:val="TOC2"/>
            <w:tabs>
              <w:tab w:val="right" w:leader="dot" w:pos="9016"/>
            </w:tabs>
            <w:rPr>
              <w:rFonts w:eastAsiaTheme="minorEastAsia"/>
              <w:noProof/>
              <w:lang w:eastAsia="en-GB"/>
            </w:rPr>
          </w:pPr>
          <w:hyperlink w:anchor="_Toc120476770" w:history="1">
            <w:r w:rsidR="00EB4C75" w:rsidRPr="00386AF9">
              <w:rPr>
                <w:rStyle w:val="Hyperlink"/>
                <w:noProof/>
              </w:rPr>
              <w:t>Weaknesses</w:t>
            </w:r>
            <w:r w:rsidR="00EB4C75">
              <w:rPr>
                <w:noProof/>
                <w:webHidden/>
              </w:rPr>
              <w:tab/>
            </w:r>
            <w:r w:rsidR="00EB4C75">
              <w:rPr>
                <w:noProof/>
                <w:webHidden/>
              </w:rPr>
              <w:fldChar w:fldCharType="begin"/>
            </w:r>
            <w:r w:rsidR="00EB4C75">
              <w:rPr>
                <w:noProof/>
                <w:webHidden/>
              </w:rPr>
              <w:instrText xml:space="preserve"> PAGEREF _Toc120476770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4FBC2958" w14:textId="293E0BD4" w:rsidR="00EB4C75" w:rsidRDefault="00000000">
          <w:pPr>
            <w:pStyle w:val="TOC2"/>
            <w:tabs>
              <w:tab w:val="right" w:leader="dot" w:pos="9016"/>
            </w:tabs>
            <w:rPr>
              <w:rFonts w:eastAsiaTheme="minorEastAsia"/>
              <w:noProof/>
              <w:lang w:eastAsia="en-GB"/>
            </w:rPr>
          </w:pPr>
          <w:hyperlink w:anchor="_Toc120476771" w:history="1">
            <w:r w:rsidR="00EB4C75" w:rsidRPr="00386AF9">
              <w:rPr>
                <w:rStyle w:val="Hyperlink"/>
                <w:noProof/>
              </w:rPr>
              <w:t>Opportunities</w:t>
            </w:r>
            <w:r w:rsidR="00EB4C75">
              <w:rPr>
                <w:noProof/>
                <w:webHidden/>
              </w:rPr>
              <w:tab/>
            </w:r>
            <w:r w:rsidR="00EB4C75">
              <w:rPr>
                <w:noProof/>
                <w:webHidden/>
              </w:rPr>
              <w:fldChar w:fldCharType="begin"/>
            </w:r>
            <w:r w:rsidR="00EB4C75">
              <w:rPr>
                <w:noProof/>
                <w:webHidden/>
              </w:rPr>
              <w:instrText xml:space="preserve"> PAGEREF _Toc120476771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008AF69B" w14:textId="269896D3" w:rsidR="00EB4C75" w:rsidRDefault="00000000">
          <w:pPr>
            <w:pStyle w:val="TOC2"/>
            <w:tabs>
              <w:tab w:val="right" w:leader="dot" w:pos="9016"/>
            </w:tabs>
            <w:rPr>
              <w:rFonts w:eastAsiaTheme="minorEastAsia"/>
              <w:noProof/>
              <w:lang w:eastAsia="en-GB"/>
            </w:rPr>
          </w:pPr>
          <w:hyperlink w:anchor="_Toc120476772" w:history="1">
            <w:r w:rsidR="00EB4C75" w:rsidRPr="00386AF9">
              <w:rPr>
                <w:rStyle w:val="Hyperlink"/>
                <w:noProof/>
              </w:rPr>
              <w:t>Threats</w:t>
            </w:r>
            <w:r w:rsidR="00EB4C75">
              <w:rPr>
                <w:noProof/>
                <w:webHidden/>
              </w:rPr>
              <w:tab/>
            </w:r>
            <w:r w:rsidR="00EB4C75">
              <w:rPr>
                <w:noProof/>
                <w:webHidden/>
              </w:rPr>
              <w:fldChar w:fldCharType="begin"/>
            </w:r>
            <w:r w:rsidR="00EB4C75">
              <w:rPr>
                <w:noProof/>
                <w:webHidden/>
              </w:rPr>
              <w:instrText xml:space="preserve"> PAGEREF _Toc120476772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6E233F6B" w14:textId="3A5D049B" w:rsidR="00EB4C75" w:rsidRDefault="00000000">
          <w:pPr>
            <w:pStyle w:val="TOC1"/>
            <w:tabs>
              <w:tab w:val="right" w:leader="dot" w:pos="9016"/>
            </w:tabs>
            <w:rPr>
              <w:rFonts w:eastAsiaTheme="minorEastAsia"/>
              <w:noProof/>
              <w:lang w:eastAsia="en-GB"/>
            </w:rPr>
          </w:pPr>
          <w:hyperlink w:anchor="_Toc120476773" w:history="1">
            <w:r w:rsidR="00EB4C75" w:rsidRPr="00386AF9">
              <w:rPr>
                <w:rStyle w:val="Hyperlink"/>
                <w:noProof/>
              </w:rPr>
              <w:t>PESTEL analysis</w:t>
            </w:r>
            <w:r w:rsidR="00EB4C75">
              <w:rPr>
                <w:noProof/>
                <w:webHidden/>
              </w:rPr>
              <w:tab/>
            </w:r>
            <w:r w:rsidR="00EB4C75">
              <w:rPr>
                <w:noProof/>
                <w:webHidden/>
              </w:rPr>
              <w:fldChar w:fldCharType="begin"/>
            </w:r>
            <w:r w:rsidR="00EB4C75">
              <w:rPr>
                <w:noProof/>
                <w:webHidden/>
              </w:rPr>
              <w:instrText xml:space="preserve"> PAGEREF _Toc120476773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5944E508" w14:textId="54DEB19C" w:rsidR="00EB4C75" w:rsidRDefault="00000000">
          <w:pPr>
            <w:pStyle w:val="TOC2"/>
            <w:tabs>
              <w:tab w:val="right" w:leader="dot" w:pos="9016"/>
            </w:tabs>
            <w:rPr>
              <w:rFonts w:eastAsiaTheme="minorEastAsia"/>
              <w:noProof/>
              <w:lang w:eastAsia="en-GB"/>
            </w:rPr>
          </w:pPr>
          <w:hyperlink w:anchor="_Toc120476774" w:history="1">
            <w:r w:rsidR="00EB4C75" w:rsidRPr="00386AF9">
              <w:rPr>
                <w:rStyle w:val="Hyperlink"/>
                <w:noProof/>
              </w:rPr>
              <w:t>Political</w:t>
            </w:r>
            <w:r w:rsidR="00EB4C75">
              <w:rPr>
                <w:noProof/>
                <w:webHidden/>
              </w:rPr>
              <w:tab/>
            </w:r>
            <w:r w:rsidR="00EB4C75">
              <w:rPr>
                <w:noProof/>
                <w:webHidden/>
              </w:rPr>
              <w:fldChar w:fldCharType="begin"/>
            </w:r>
            <w:r w:rsidR="00EB4C75">
              <w:rPr>
                <w:noProof/>
                <w:webHidden/>
              </w:rPr>
              <w:instrText xml:space="preserve"> PAGEREF _Toc120476774 \h </w:instrText>
            </w:r>
            <w:r w:rsidR="00EB4C75">
              <w:rPr>
                <w:noProof/>
                <w:webHidden/>
              </w:rPr>
            </w:r>
            <w:r w:rsidR="00EB4C75">
              <w:rPr>
                <w:noProof/>
                <w:webHidden/>
              </w:rPr>
              <w:fldChar w:fldCharType="separate"/>
            </w:r>
            <w:r w:rsidR="00EB4C75">
              <w:rPr>
                <w:noProof/>
                <w:webHidden/>
              </w:rPr>
              <w:t>4</w:t>
            </w:r>
            <w:r w:rsidR="00EB4C75">
              <w:rPr>
                <w:noProof/>
                <w:webHidden/>
              </w:rPr>
              <w:fldChar w:fldCharType="end"/>
            </w:r>
          </w:hyperlink>
        </w:p>
        <w:p w14:paraId="43133E58" w14:textId="4F95114C" w:rsidR="00EB4C75" w:rsidRDefault="00000000">
          <w:pPr>
            <w:pStyle w:val="TOC2"/>
            <w:tabs>
              <w:tab w:val="right" w:leader="dot" w:pos="9016"/>
            </w:tabs>
            <w:rPr>
              <w:rFonts w:eastAsiaTheme="minorEastAsia"/>
              <w:noProof/>
              <w:lang w:eastAsia="en-GB"/>
            </w:rPr>
          </w:pPr>
          <w:hyperlink w:anchor="_Toc120476775" w:history="1">
            <w:r w:rsidR="00EB4C75" w:rsidRPr="00386AF9">
              <w:rPr>
                <w:rStyle w:val="Hyperlink"/>
                <w:noProof/>
              </w:rPr>
              <w:t>Economical</w:t>
            </w:r>
            <w:r w:rsidR="00EB4C75">
              <w:rPr>
                <w:noProof/>
                <w:webHidden/>
              </w:rPr>
              <w:tab/>
            </w:r>
            <w:r w:rsidR="00EB4C75">
              <w:rPr>
                <w:noProof/>
                <w:webHidden/>
              </w:rPr>
              <w:fldChar w:fldCharType="begin"/>
            </w:r>
            <w:r w:rsidR="00EB4C75">
              <w:rPr>
                <w:noProof/>
                <w:webHidden/>
              </w:rPr>
              <w:instrText xml:space="preserve"> PAGEREF _Toc120476775 \h </w:instrText>
            </w:r>
            <w:r w:rsidR="00EB4C75">
              <w:rPr>
                <w:noProof/>
                <w:webHidden/>
              </w:rPr>
            </w:r>
            <w:r w:rsidR="00EB4C75">
              <w:rPr>
                <w:noProof/>
                <w:webHidden/>
              </w:rPr>
              <w:fldChar w:fldCharType="separate"/>
            </w:r>
            <w:r w:rsidR="00EB4C75">
              <w:rPr>
                <w:noProof/>
                <w:webHidden/>
              </w:rPr>
              <w:t>5</w:t>
            </w:r>
            <w:r w:rsidR="00EB4C75">
              <w:rPr>
                <w:noProof/>
                <w:webHidden/>
              </w:rPr>
              <w:fldChar w:fldCharType="end"/>
            </w:r>
          </w:hyperlink>
        </w:p>
        <w:p w14:paraId="544B9906" w14:textId="287D4246" w:rsidR="00EB4C75" w:rsidRDefault="00000000">
          <w:pPr>
            <w:pStyle w:val="TOC2"/>
            <w:tabs>
              <w:tab w:val="right" w:leader="dot" w:pos="9016"/>
            </w:tabs>
            <w:rPr>
              <w:rFonts w:eastAsiaTheme="minorEastAsia"/>
              <w:noProof/>
              <w:lang w:eastAsia="en-GB"/>
            </w:rPr>
          </w:pPr>
          <w:hyperlink w:anchor="_Toc120476776" w:history="1">
            <w:r w:rsidR="00EB4C75" w:rsidRPr="00386AF9">
              <w:rPr>
                <w:rStyle w:val="Hyperlink"/>
                <w:noProof/>
              </w:rPr>
              <w:t>Social</w:t>
            </w:r>
            <w:r w:rsidR="00EB4C75">
              <w:rPr>
                <w:noProof/>
                <w:webHidden/>
              </w:rPr>
              <w:tab/>
            </w:r>
            <w:r w:rsidR="00EB4C75">
              <w:rPr>
                <w:noProof/>
                <w:webHidden/>
              </w:rPr>
              <w:fldChar w:fldCharType="begin"/>
            </w:r>
            <w:r w:rsidR="00EB4C75">
              <w:rPr>
                <w:noProof/>
                <w:webHidden/>
              </w:rPr>
              <w:instrText xml:space="preserve"> PAGEREF _Toc120476776 \h </w:instrText>
            </w:r>
            <w:r w:rsidR="00EB4C75">
              <w:rPr>
                <w:noProof/>
                <w:webHidden/>
              </w:rPr>
            </w:r>
            <w:r w:rsidR="00EB4C75">
              <w:rPr>
                <w:noProof/>
                <w:webHidden/>
              </w:rPr>
              <w:fldChar w:fldCharType="separate"/>
            </w:r>
            <w:r w:rsidR="00EB4C75">
              <w:rPr>
                <w:noProof/>
                <w:webHidden/>
              </w:rPr>
              <w:t>5</w:t>
            </w:r>
            <w:r w:rsidR="00EB4C75">
              <w:rPr>
                <w:noProof/>
                <w:webHidden/>
              </w:rPr>
              <w:fldChar w:fldCharType="end"/>
            </w:r>
          </w:hyperlink>
        </w:p>
        <w:p w14:paraId="733A59F6" w14:textId="1B4AFA78" w:rsidR="00EB4C75" w:rsidRDefault="00000000">
          <w:pPr>
            <w:pStyle w:val="TOC2"/>
            <w:tabs>
              <w:tab w:val="right" w:leader="dot" w:pos="9016"/>
            </w:tabs>
            <w:rPr>
              <w:rFonts w:eastAsiaTheme="minorEastAsia"/>
              <w:noProof/>
              <w:lang w:eastAsia="en-GB"/>
            </w:rPr>
          </w:pPr>
          <w:hyperlink w:anchor="_Toc120476777" w:history="1">
            <w:r w:rsidR="00EB4C75" w:rsidRPr="00386AF9">
              <w:rPr>
                <w:rStyle w:val="Hyperlink"/>
                <w:noProof/>
              </w:rPr>
              <w:t>Technological</w:t>
            </w:r>
            <w:r w:rsidR="00EB4C75">
              <w:rPr>
                <w:noProof/>
                <w:webHidden/>
              </w:rPr>
              <w:tab/>
            </w:r>
            <w:r w:rsidR="00EB4C75">
              <w:rPr>
                <w:noProof/>
                <w:webHidden/>
              </w:rPr>
              <w:fldChar w:fldCharType="begin"/>
            </w:r>
            <w:r w:rsidR="00EB4C75">
              <w:rPr>
                <w:noProof/>
                <w:webHidden/>
              </w:rPr>
              <w:instrText xml:space="preserve"> PAGEREF _Toc120476777 \h </w:instrText>
            </w:r>
            <w:r w:rsidR="00EB4C75">
              <w:rPr>
                <w:noProof/>
                <w:webHidden/>
              </w:rPr>
            </w:r>
            <w:r w:rsidR="00EB4C75">
              <w:rPr>
                <w:noProof/>
                <w:webHidden/>
              </w:rPr>
              <w:fldChar w:fldCharType="separate"/>
            </w:r>
            <w:r w:rsidR="00EB4C75">
              <w:rPr>
                <w:noProof/>
                <w:webHidden/>
              </w:rPr>
              <w:t>5</w:t>
            </w:r>
            <w:r w:rsidR="00EB4C75">
              <w:rPr>
                <w:noProof/>
                <w:webHidden/>
              </w:rPr>
              <w:fldChar w:fldCharType="end"/>
            </w:r>
          </w:hyperlink>
        </w:p>
        <w:p w14:paraId="209A29F4" w14:textId="0F7D0414" w:rsidR="00EB4C75" w:rsidRDefault="00000000">
          <w:pPr>
            <w:pStyle w:val="TOC2"/>
            <w:tabs>
              <w:tab w:val="right" w:leader="dot" w:pos="9016"/>
            </w:tabs>
            <w:rPr>
              <w:rFonts w:eastAsiaTheme="minorEastAsia"/>
              <w:noProof/>
              <w:lang w:eastAsia="en-GB"/>
            </w:rPr>
          </w:pPr>
          <w:hyperlink w:anchor="_Toc120476778" w:history="1">
            <w:r w:rsidR="00EB4C75" w:rsidRPr="00386AF9">
              <w:rPr>
                <w:rStyle w:val="Hyperlink"/>
                <w:noProof/>
              </w:rPr>
              <w:t>Environmental</w:t>
            </w:r>
            <w:r w:rsidR="00EB4C75">
              <w:rPr>
                <w:noProof/>
                <w:webHidden/>
              </w:rPr>
              <w:tab/>
            </w:r>
            <w:r w:rsidR="00EB4C75">
              <w:rPr>
                <w:noProof/>
                <w:webHidden/>
              </w:rPr>
              <w:fldChar w:fldCharType="begin"/>
            </w:r>
            <w:r w:rsidR="00EB4C75">
              <w:rPr>
                <w:noProof/>
                <w:webHidden/>
              </w:rPr>
              <w:instrText xml:space="preserve"> PAGEREF _Toc120476778 \h </w:instrText>
            </w:r>
            <w:r w:rsidR="00EB4C75">
              <w:rPr>
                <w:noProof/>
                <w:webHidden/>
              </w:rPr>
            </w:r>
            <w:r w:rsidR="00EB4C75">
              <w:rPr>
                <w:noProof/>
                <w:webHidden/>
              </w:rPr>
              <w:fldChar w:fldCharType="separate"/>
            </w:r>
            <w:r w:rsidR="00EB4C75">
              <w:rPr>
                <w:noProof/>
                <w:webHidden/>
              </w:rPr>
              <w:t>5</w:t>
            </w:r>
            <w:r w:rsidR="00EB4C75">
              <w:rPr>
                <w:noProof/>
                <w:webHidden/>
              </w:rPr>
              <w:fldChar w:fldCharType="end"/>
            </w:r>
          </w:hyperlink>
        </w:p>
        <w:p w14:paraId="55484B95" w14:textId="6A868753" w:rsidR="00EB4C75" w:rsidRDefault="00000000">
          <w:pPr>
            <w:pStyle w:val="TOC2"/>
            <w:tabs>
              <w:tab w:val="right" w:leader="dot" w:pos="9016"/>
            </w:tabs>
            <w:rPr>
              <w:rFonts w:eastAsiaTheme="minorEastAsia"/>
              <w:noProof/>
              <w:lang w:eastAsia="en-GB"/>
            </w:rPr>
          </w:pPr>
          <w:hyperlink w:anchor="_Toc120476779" w:history="1">
            <w:r w:rsidR="00EB4C75" w:rsidRPr="00386AF9">
              <w:rPr>
                <w:rStyle w:val="Hyperlink"/>
                <w:noProof/>
              </w:rPr>
              <w:t>Legal</w:t>
            </w:r>
            <w:r w:rsidR="00EB4C75">
              <w:rPr>
                <w:noProof/>
                <w:webHidden/>
              </w:rPr>
              <w:tab/>
            </w:r>
            <w:r w:rsidR="00EB4C75">
              <w:rPr>
                <w:noProof/>
                <w:webHidden/>
              </w:rPr>
              <w:fldChar w:fldCharType="begin"/>
            </w:r>
            <w:r w:rsidR="00EB4C75">
              <w:rPr>
                <w:noProof/>
                <w:webHidden/>
              </w:rPr>
              <w:instrText xml:space="preserve"> PAGEREF _Toc120476779 \h </w:instrText>
            </w:r>
            <w:r w:rsidR="00EB4C75">
              <w:rPr>
                <w:noProof/>
                <w:webHidden/>
              </w:rPr>
            </w:r>
            <w:r w:rsidR="00EB4C75">
              <w:rPr>
                <w:noProof/>
                <w:webHidden/>
              </w:rPr>
              <w:fldChar w:fldCharType="separate"/>
            </w:r>
            <w:r w:rsidR="00EB4C75">
              <w:rPr>
                <w:noProof/>
                <w:webHidden/>
              </w:rPr>
              <w:t>5</w:t>
            </w:r>
            <w:r w:rsidR="00EB4C75">
              <w:rPr>
                <w:noProof/>
                <w:webHidden/>
              </w:rPr>
              <w:fldChar w:fldCharType="end"/>
            </w:r>
          </w:hyperlink>
        </w:p>
        <w:p w14:paraId="51887A14" w14:textId="1CDF5797" w:rsidR="00EB4C75" w:rsidRDefault="00000000">
          <w:pPr>
            <w:pStyle w:val="TOC1"/>
            <w:tabs>
              <w:tab w:val="right" w:leader="dot" w:pos="9016"/>
            </w:tabs>
            <w:rPr>
              <w:rFonts w:eastAsiaTheme="minorEastAsia"/>
              <w:noProof/>
              <w:lang w:eastAsia="en-GB"/>
            </w:rPr>
          </w:pPr>
          <w:hyperlink w:anchor="_Toc120476780" w:history="1">
            <w:r w:rsidR="00EB4C75" w:rsidRPr="00386AF9">
              <w:rPr>
                <w:rStyle w:val="Hyperlink"/>
                <w:noProof/>
              </w:rPr>
              <w:t>Porter five force</w:t>
            </w:r>
            <w:r w:rsidR="00EB4C75">
              <w:rPr>
                <w:noProof/>
                <w:webHidden/>
              </w:rPr>
              <w:tab/>
            </w:r>
            <w:r w:rsidR="00EB4C75">
              <w:rPr>
                <w:noProof/>
                <w:webHidden/>
              </w:rPr>
              <w:fldChar w:fldCharType="begin"/>
            </w:r>
            <w:r w:rsidR="00EB4C75">
              <w:rPr>
                <w:noProof/>
                <w:webHidden/>
              </w:rPr>
              <w:instrText xml:space="preserve"> PAGEREF _Toc120476780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7BC04121" w14:textId="5DB8C8FC" w:rsidR="00EB4C75" w:rsidRDefault="00000000">
          <w:pPr>
            <w:pStyle w:val="TOC2"/>
            <w:tabs>
              <w:tab w:val="right" w:leader="dot" w:pos="9016"/>
            </w:tabs>
            <w:rPr>
              <w:rFonts w:eastAsiaTheme="minorEastAsia"/>
              <w:noProof/>
              <w:lang w:eastAsia="en-GB"/>
            </w:rPr>
          </w:pPr>
          <w:hyperlink w:anchor="_Toc120476781" w:history="1">
            <w:r w:rsidR="00EB4C75" w:rsidRPr="00386AF9">
              <w:rPr>
                <w:rStyle w:val="Hyperlink"/>
                <w:noProof/>
              </w:rPr>
              <w:t>Threat of New Entrants</w:t>
            </w:r>
            <w:r w:rsidR="00EB4C75">
              <w:rPr>
                <w:noProof/>
                <w:webHidden/>
              </w:rPr>
              <w:tab/>
            </w:r>
            <w:r w:rsidR="00EB4C75">
              <w:rPr>
                <w:noProof/>
                <w:webHidden/>
              </w:rPr>
              <w:fldChar w:fldCharType="begin"/>
            </w:r>
            <w:r w:rsidR="00EB4C75">
              <w:rPr>
                <w:noProof/>
                <w:webHidden/>
              </w:rPr>
              <w:instrText xml:space="preserve"> PAGEREF _Toc120476781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198F9676" w14:textId="0F16805B" w:rsidR="00EB4C75" w:rsidRDefault="00000000">
          <w:pPr>
            <w:pStyle w:val="TOC2"/>
            <w:tabs>
              <w:tab w:val="right" w:leader="dot" w:pos="9016"/>
            </w:tabs>
            <w:rPr>
              <w:rFonts w:eastAsiaTheme="minorEastAsia"/>
              <w:noProof/>
              <w:lang w:eastAsia="en-GB"/>
            </w:rPr>
          </w:pPr>
          <w:hyperlink w:anchor="_Toc120476782" w:history="1">
            <w:r w:rsidR="00EB4C75" w:rsidRPr="00386AF9">
              <w:rPr>
                <w:rStyle w:val="Hyperlink"/>
                <w:noProof/>
              </w:rPr>
              <w:t>Power of Suppliers</w:t>
            </w:r>
            <w:r w:rsidR="00EB4C75">
              <w:rPr>
                <w:noProof/>
                <w:webHidden/>
              </w:rPr>
              <w:tab/>
            </w:r>
            <w:r w:rsidR="00EB4C75">
              <w:rPr>
                <w:noProof/>
                <w:webHidden/>
              </w:rPr>
              <w:fldChar w:fldCharType="begin"/>
            </w:r>
            <w:r w:rsidR="00EB4C75">
              <w:rPr>
                <w:noProof/>
                <w:webHidden/>
              </w:rPr>
              <w:instrText xml:space="preserve"> PAGEREF _Toc120476782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348BEFEE" w14:textId="7E3DB73A" w:rsidR="00EB4C75" w:rsidRDefault="00000000">
          <w:pPr>
            <w:pStyle w:val="TOC2"/>
            <w:tabs>
              <w:tab w:val="right" w:leader="dot" w:pos="9016"/>
            </w:tabs>
            <w:rPr>
              <w:rFonts w:eastAsiaTheme="minorEastAsia"/>
              <w:noProof/>
              <w:lang w:eastAsia="en-GB"/>
            </w:rPr>
          </w:pPr>
          <w:hyperlink w:anchor="_Toc120476783" w:history="1">
            <w:r w:rsidR="00EB4C75" w:rsidRPr="00386AF9">
              <w:rPr>
                <w:rStyle w:val="Hyperlink"/>
                <w:noProof/>
              </w:rPr>
              <w:t>Power of Buyers</w:t>
            </w:r>
            <w:r w:rsidR="00EB4C75">
              <w:rPr>
                <w:noProof/>
                <w:webHidden/>
              </w:rPr>
              <w:tab/>
            </w:r>
            <w:r w:rsidR="00EB4C75">
              <w:rPr>
                <w:noProof/>
                <w:webHidden/>
              </w:rPr>
              <w:fldChar w:fldCharType="begin"/>
            </w:r>
            <w:r w:rsidR="00EB4C75">
              <w:rPr>
                <w:noProof/>
                <w:webHidden/>
              </w:rPr>
              <w:instrText xml:space="preserve"> PAGEREF _Toc120476783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778046BD" w14:textId="0193A2DE" w:rsidR="00EB4C75" w:rsidRDefault="00000000">
          <w:pPr>
            <w:pStyle w:val="TOC2"/>
            <w:tabs>
              <w:tab w:val="right" w:leader="dot" w:pos="9016"/>
            </w:tabs>
            <w:rPr>
              <w:rFonts w:eastAsiaTheme="minorEastAsia"/>
              <w:noProof/>
              <w:lang w:eastAsia="en-GB"/>
            </w:rPr>
          </w:pPr>
          <w:hyperlink w:anchor="_Toc120476784" w:history="1">
            <w:r w:rsidR="00EB4C75" w:rsidRPr="00386AF9">
              <w:rPr>
                <w:rStyle w:val="Hyperlink"/>
                <w:noProof/>
              </w:rPr>
              <w:t>Availability of Substitutes</w:t>
            </w:r>
            <w:r w:rsidR="00EB4C75">
              <w:rPr>
                <w:noProof/>
                <w:webHidden/>
              </w:rPr>
              <w:tab/>
            </w:r>
            <w:r w:rsidR="00EB4C75">
              <w:rPr>
                <w:noProof/>
                <w:webHidden/>
              </w:rPr>
              <w:fldChar w:fldCharType="begin"/>
            </w:r>
            <w:r w:rsidR="00EB4C75">
              <w:rPr>
                <w:noProof/>
                <w:webHidden/>
              </w:rPr>
              <w:instrText xml:space="preserve"> PAGEREF _Toc120476784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0F26B33B" w14:textId="7E1768F9" w:rsidR="00EB4C75" w:rsidRDefault="00000000">
          <w:pPr>
            <w:pStyle w:val="TOC2"/>
            <w:tabs>
              <w:tab w:val="right" w:leader="dot" w:pos="9016"/>
            </w:tabs>
            <w:rPr>
              <w:rFonts w:eastAsiaTheme="minorEastAsia"/>
              <w:noProof/>
              <w:lang w:eastAsia="en-GB"/>
            </w:rPr>
          </w:pPr>
          <w:hyperlink w:anchor="_Toc120476785" w:history="1">
            <w:r w:rsidR="00EB4C75" w:rsidRPr="00386AF9">
              <w:rPr>
                <w:rStyle w:val="Hyperlink"/>
                <w:noProof/>
              </w:rPr>
              <w:t>Competitive Rivalry</w:t>
            </w:r>
            <w:r w:rsidR="00EB4C75">
              <w:rPr>
                <w:noProof/>
                <w:webHidden/>
              </w:rPr>
              <w:tab/>
            </w:r>
            <w:r w:rsidR="00EB4C75">
              <w:rPr>
                <w:noProof/>
                <w:webHidden/>
              </w:rPr>
              <w:fldChar w:fldCharType="begin"/>
            </w:r>
            <w:r w:rsidR="00EB4C75">
              <w:rPr>
                <w:noProof/>
                <w:webHidden/>
              </w:rPr>
              <w:instrText xml:space="preserve"> PAGEREF _Toc120476785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5AB68791" w14:textId="07A1DF2C" w:rsidR="00EB4C75" w:rsidRDefault="00000000">
          <w:pPr>
            <w:pStyle w:val="TOC1"/>
            <w:tabs>
              <w:tab w:val="right" w:leader="dot" w:pos="9016"/>
            </w:tabs>
            <w:rPr>
              <w:rFonts w:eastAsiaTheme="minorEastAsia"/>
              <w:noProof/>
              <w:lang w:eastAsia="en-GB"/>
            </w:rPr>
          </w:pPr>
          <w:hyperlink w:anchor="_Toc120476786" w:history="1">
            <w:r w:rsidR="00EB4C75" w:rsidRPr="00386AF9">
              <w:rPr>
                <w:rStyle w:val="Hyperlink"/>
                <w:noProof/>
              </w:rPr>
              <w:t>Conclusion and recommendation</w:t>
            </w:r>
            <w:r w:rsidR="00EB4C75">
              <w:rPr>
                <w:noProof/>
                <w:webHidden/>
              </w:rPr>
              <w:tab/>
            </w:r>
            <w:r w:rsidR="00EB4C75">
              <w:rPr>
                <w:noProof/>
                <w:webHidden/>
              </w:rPr>
              <w:fldChar w:fldCharType="begin"/>
            </w:r>
            <w:r w:rsidR="00EB4C75">
              <w:rPr>
                <w:noProof/>
                <w:webHidden/>
              </w:rPr>
              <w:instrText xml:space="preserve"> PAGEREF _Toc120476786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277BBB2A" w14:textId="6EDBDCCD" w:rsidR="00EB4C75" w:rsidRDefault="00000000">
          <w:pPr>
            <w:pStyle w:val="TOC1"/>
            <w:tabs>
              <w:tab w:val="right" w:leader="dot" w:pos="9016"/>
            </w:tabs>
            <w:rPr>
              <w:rFonts w:eastAsiaTheme="minorEastAsia"/>
              <w:noProof/>
              <w:lang w:eastAsia="en-GB"/>
            </w:rPr>
          </w:pPr>
          <w:hyperlink w:anchor="_Toc120476787" w:history="1">
            <w:r w:rsidR="00EB4C75" w:rsidRPr="00386AF9">
              <w:rPr>
                <w:rStyle w:val="Hyperlink"/>
                <w:noProof/>
              </w:rPr>
              <w:t>References</w:t>
            </w:r>
            <w:r w:rsidR="00EB4C75">
              <w:rPr>
                <w:noProof/>
                <w:webHidden/>
              </w:rPr>
              <w:tab/>
            </w:r>
            <w:r w:rsidR="00EB4C75">
              <w:rPr>
                <w:noProof/>
                <w:webHidden/>
              </w:rPr>
              <w:fldChar w:fldCharType="begin"/>
            </w:r>
            <w:r w:rsidR="00EB4C75">
              <w:rPr>
                <w:noProof/>
                <w:webHidden/>
              </w:rPr>
              <w:instrText xml:space="preserve"> PAGEREF _Toc120476787 \h </w:instrText>
            </w:r>
            <w:r w:rsidR="00EB4C75">
              <w:rPr>
                <w:noProof/>
                <w:webHidden/>
              </w:rPr>
            </w:r>
            <w:r w:rsidR="00EB4C75">
              <w:rPr>
                <w:noProof/>
                <w:webHidden/>
              </w:rPr>
              <w:fldChar w:fldCharType="separate"/>
            </w:r>
            <w:r w:rsidR="00EB4C75">
              <w:rPr>
                <w:noProof/>
                <w:webHidden/>
              </w:rPr>
              <w:t>6</w:t>
            </w:r>
            <w:r w:rsidR="00EB4C75">
              <w:rPr>
                <w:noProof/>
                <w:webHidden/>
              </w:rPr>
              <w:fldChar w:fldCharType="end"/>
            </w:r>
          </w:hyperlink>
        </w:p>
        <w:p w14:paraId="56B50CB5" w14:textId="03B28DD3" w:rsidR="00EB4C75" w:rsidRDefault="00EB4C75">
          <w:r>
            <w:rPr>
              <w:b/>
              <w:bCs/>
              <w:noProof/>
            </w:rPr>
            <w:fldChar w:fldCharType="end"/>
          </w:r>
        </w:p>
      </w:sdtContent>
    </w:sdt>
    <w:p w14:paraId="130096F8" w14:textId="77777777" w:rsidR="00C246C9" w:rsidRDefault="00C246C9" w:rsidP="00C246C9">
      <w:pPr>
        <w:pStyle w:val="Heading1"/>
      </w:pPr>
    </w:p>
    <w:p w14:paraId="2972487E" w14:textId="77777777" w:rsidR="00C246C9" w:rsidRDefault="00C246C9">
      <w:pPr>
        <w:rPr>
          <w:rFonts w:asciiTheme="majorHAnsi" w:eastAsiaTheme="majorEastAsia" w:hAnsiTheme="majorHAnsi" w:cstheme="majorBidi"/>
          <w:color w:val="2F5496" w:themeColor="accent1" w:themeShade="BF"/>
          <w:sz w:val="32"/>
          <w:szCs w:val="32"/>
        </w:rPr>
      </w:pPr>
      <w:r>
        <w:br w:type="page"/>
      </w:r>
    </w:p>
    <w:p w14:paraId="5E9E3867" w14:textId="4AB6F79F" w:rsidR="00C246C9" w:rsidRPr="00C246C9" w:rsidRDefault="00C246C9" w:rsidP="00C246C9">
      <w:pPr>
        <w:pStyle w:val="Heading1"/>
      </w:pPr>
      <w:bookmarkStart w:id="0" w:name="_Toc120476639"/>
      <w:bookmarkStart w:id="1" w:name="_Toc120476764"/>
      <w:r>
        <w:lastRenderedPageBreak/>
        <w:t>Int</w:t>
      </w:r>
      <w:r w:rsidRPr="00C246C9">
        <w:t>roduction</w:t>
      </w:r>
      <w:bookmarkEnd w:id="0"/>
      <w:bookmarkEnd w:id="1"/>
      <w:r w:rsidRPr="00C246C9">
        <w:t xml:space="preserve"> </w:t>
      </w:r>
    </w:p>
    <w:p w14:paraId="76E6C299" w14:textId="00F9026D" w:rsidR="00C246C9" w:rsidRDefault="00C246C9" w:rsidP="00C246C9">
      <w:r>
        <w:t xml:space="preserve">This report’s aim is to discuss how a company will benefit from relocating its production facilities to Poland. Answering the questions of what </w:t>
      </w:r>
      <w:r w:rsidR="00EB4C75">
        <w:t>the treats are</w:t>
      </w:r>
      <w:r>
        <w:t xml:space="preserve"> and what will have to be faced in order to make profits is going to be debated. The United Kingdom left the European Union single market in 2021; this fact had a big impact on all the UK-based companies. Moreover, in this study, all the political and economic reasons why it might be worth moving a UK-established business to a less developed EU country will be highlighted. Additionally, this research will examine the pharmaceutical industry in the United Kingdom and in EU member Poland as well. According to </w:t>
      </w:r>
      <w:bookmarkStart w:id="2" w:name="_Hlk120521980"/>
      <w:r>
        <w:t>Research and Market Store (2022</w:t>
      </w:r>
      <w:bookmarkEnd w:id="2"/>
      <w:r>
        <w:t>), depression and other stress-related disorders will rise among young generations worldwide</w:t>
      </w:r>
      <w:r w:rsidR="006271CA">
        <w:t xml:space="preserve"> (Appendix </w:t>
      </w:r>
      <w:r w:rsidR="006716E8">
        <w:t>1)</w:t>
      </w:r>
      <w:r>
        <w:t xml:space="preserve">. This is a huge opportunity for the pharmaceutical industry in the UK to grow and find a market for trade. By using PESTEL and SWOT analyses, the company’s strategy regarding relocation will be introduced. </w:t>
      </w:r>
    </w:p>
    <w:p w14:paraId="0DC4591A" w14:textId="77777777" w:rsidR="00C246C9" w:rsidRPr="00C246C9" w:rsidRDefault="00C246C9" w:rsidP="00C246C9">
      <w:pPr>
        <w:pStyle w:val="Heading1"/>
      </w:pPr>
      <w:bookmarkStart w:id="3" w:name="_Toc120476640"/>
      <w:bookmarkStart w:id="4" w:name="_Toc120476765"/>
      <w:r w:rsidRPr="00C246C9">
        <w:t>Key Pharmaceutical and the British pharma sector</w:t>
      </w:r>
      <w:bookmarkEnd w:id="3"/>
      <w:bookmarkEnd w:id="4"/>
      <w:r w:rsidRPr="00C246C9">
        <w:t xml:space="preserve"> </w:t>
      </w:r>
    </w:p>
    <w:p w14:paraId="409AF51D" w14:textId="77777777" w:rsidR="00C246C9" w:rsidRDefault="00C246C9" w:rsidP="00C246C9">
      <w:r>
        <w:t xml:space="preserve">Twenty years after a successful operation, Key Pharmaceuticals has developed, registered, and launched twenty-two generic medicines in the United Kingdom. These products are used in hospitals, medical centres, and pharmacies across the country. The company provides complete assistance across the product life cycle to the customers who need it. Key Pharmaceutical is part of the Lexon Group, which has large-scale wholesaling and retail operations within the United Kingdom, which gives them a unique quality edge in serving the UK trade. Lexon is one of the major unconventional wholesalers to independent pharmacies in Great Britain, with distribution depots in the West Midlands city of Redditch, Dublin, Durham, Leeds, and East Kilbride </w:t>
      </w:r>
      <w:bookmarkStart w:id="5" w:name="_Hlk120522042"/>
      <w:r>
        <w:t xml:space="preserve">(Lexon Group, 2022). </w:t>
      </w:r>
      <w:bookmarkEnd w:id="5"/>
    </w:p>
    <w:p w14:paraId="13BA3BFE" w14:textId="77777777" w:rsidR="00C246C9" w:rsidRDefault="00C246C9" w:rsidP="00C246C9">
      <w:r>
        <w:t xml:space="preserve">The company's goal is to open a new regional depot and production facility in Poland. The main reason for the new production is the Brexit changes. The United Kingdom is not part of the European Union single market anymore, which means the EU market is not available for the pharma industry for future trading. Great Britain became a third country because it left the EU on January 31, 2020. The United Kingdom moreover left the European Medicines Agency on January 1, 2021, and the Medicines and Healthcare Products Regulatory Agency (MHRA) merged with the UK’s sovereign regulator. </w:t>
      </w:r>
    </w:p>
    <w:p w14:paraId="6A9C4CAC" w14:textId="3D385C48" w:rsidR="00C246C9" w:rsidRDefault="00C246C9" w:rsidP="00C246C9">
      <w:r>
        <w:t>Based on the statistics, the pharma industry is the third largest sector in the UK, contributing more than £13 billion to the British economy per year (Association of the British Pharmaceutical Industry, 2022). The export is significant for UK firms; the figures are 45 million packets of medicine to the EU every year. One of the biggest problems is marketing licences. This is required by regulation to place a medical product on the market. The potential risk is that UK medicines may not be authoritative for EU trading because MHRA licences are not acceptable in the European Union after Brexit</w:t>
      </w:r>
      <w:r w:rsidR="00EF08AB">
        <w:t>.</w:t>
      </w:r>
      <w:r>
        <w:t xml:space="preserve"> </w:t>
      </w:r>
    </w:p>
    <w:p w14:paraId="781625AD" w14:textId="04B05D14" w:rsidR="00EB4C75" w:rsidRPr="00EB4C75" w:rsidRDefault="00C246C9" w:rsidP="00EB4C75">
      <w:pPr>
        <w:pStyle w:val="Heading2"/>
      </w:pPr>
      <w:bookmarkStart w:id="6" w:name="_Toc120476641"/>
      <w:bookmarkStart w:id="7" w:name="_Toc120476766"/>
      <w:r>
        <w:t>Poland as a developing country</w:t>
      </w:r>
      <w:bookmarkEnd w:id="6"/>
      <w:bookmarkEnd w:id="7"/>
      <w:r>
        <w:t xml:space="preserve"> </w:t>
      </w:r>
    </w:p>
    <w:p w14:paraId="361BB270" w14:textId="38DADDD2" w:rsidR="00C246C9" w:rsidRDefault="00C246C9" w:rsidP="00C246C9">
      <w:r>
        <w:t xml:space="preserve">The EU-UK relationship is still open, and it is questionable how trading will be normalised between them; therefore, Lexon Group will move the pharmaceutical production to Poland. The eastern European country joined the EU in 2004. Poland is one of the major ten countries with the largest population in the European Union, with approximately 37.8 million citizens (Statista.com, 2022). That means Poland has a large internal market of consumers and easy access to the EU market. As well as the other states of Eastern Europe, all this creates an approved environment, which thousands of businesses have taken advantage of to invest in the country. Poland is a principal in the CEER region in terms of the number of greenfield investments and ranks third in Europe. According to PAIH’s database, the value of investing in the country in 2019 was estimated at over USD 21 </w:t>
      </w:r>
      <w:r>
        <w:lastRenderedPageBreak/>
        <w:t>billion. Additionally, because of the stable economy and flexibility in responding to the crisis, the COVID-19 pandemic did not turn back the positive investment trends in Poland. The results of the FSI investigation specify that 165 new investors arrived in Poland in the first four months of 2020, which is 15% more than in the same period in the previous duration. Based on Ernst &amp; Young Global Limited's suggestion, the investment success rate is much better in Poland compared with Europe's average data. Poland predicts an 80 percent investment success rate, while the EU median is only 65 percent. As stated by Dreher-Molnar (2022), Central European countries are experiencing an effective and vital economic development supported by EU funds and foreign investors from different industries. The strong domestic market has a huge impact on the economy's growth. The EU member state has one of the largest railway markets in Central and Eastern Europe, developed to a large extent with EU funds. Regardless of the country's two decades of membership in the union, its infrastructure investment needs are still expansive.</w:t>
      </w:r>
    </w:p>
    <w:p w14:paraId="24933F89" w14:textId="3B5E1912" w:rsidR="00914D6F" w:rsidRDefault="00914D6F" w:rsidP="00C246C9">
      <w:r w:rsidRPr="00914D6F">
        <w:t xml:space="preserve">These economic reasons all support opening a new production operation in the Polish city of Gdansk. According to the </w:t>
      </w:r>
      <w:bookmarkStart w:id="8" w:name="_Hlk120522365"/>
      <w:r w:rsidRPr="00914D6F">
        <w:t>I</w:t>
      </w:r>
      <w:r w:rsidR="005F2E2A">
        <w:t>n</w:t>
      </w:r>
      <w:r w:rsidRPr="00914D6F">
        <w:t>vestDGA</w:t>
      </w:r>
      <w:bookmarkEnd w:id="8"/>
      <w:r w:rsidRPr="00914D6F">
        <w:t xml:space="preserve"> agency, the </w:t>
      </w:r>
      <w:r w:rsidR="00662E60">
        <w:t xml:space="preserve">port </w:t>
      </w:r>
      <w:r w:rsidRPr="00914D6F">
        <w:t xml:space="preserve">city is populated by almost half a million people, the unemployment rate is around 3 percent, and 15 higher schools are available in Gdansk. Three universities, and more importantly, medical and technological institutions of higher education, are </w:t>
      </w:r>
      <w:r w:rsidR="00662E60" w:rsidRPr="00914D6F">
        <w:t>offered</w:t>
      </w:r>
      <w:r w:rsidRPr="00914D6F">
        <w:t xml:space="preserve"> to study.</w:t>
      </w:r>
    </w:p>
    <w:p w14:paraId="5F994E8C" w14:textId="77777777" w:rsidR="00C246C9" w:rsidRDefault="00C246C9" w:rsidP="00C246C9">
      <w:pPr>
        <w:pStyle w:val="Heading2"/>
      </w:pPr>
      <w:bookmarkStart w:id="9" w:name="_Toc120476642"/>
      <w:bookmarkStart w:id="10" w:name="_Toc120476767"/>
      <w:r>
        <w:t>Polish pharmaceutical industry with well-educated talent pool</w:t>
      </w:r>
      <w:bookmarkEnd w:id="9"/>
      <w:bookmarkEnd w:id="10"/>
      <w:r>
        <w:t xml:space="preserve"> </w:t>
      </w:r>
    </w:p>
    <w:p w14:paraId="099CD0F4" w14:textId="2EC71B29" w:rsidR="00C246C9" w:rsidRDefault="00C246C9" w:rsidP="00C246C9">
      <w:r>
        <w:t xml:space="preserve">According to research, more than 75 percent of businesses in the life sciences sector plan to recruit new workers. These figures show a massive interest in the growth of the pharmaceutical industry. The pharma industry generates 1 percent of GDP in Polish economy, creating nearly 100 thousand jobs. In 2019, The exports of the pharma and biotechnology sectors grew by 11 percent compared to the previous year, and the increase was twice fastest then the total Poland exports. The pharmaceutical sector is predominant in product modernization, including the manufacturing of computers, electronics, and optical commodity. The largest pharmaceutical businesses proceed with investments in creating new, big teams in Poland. The need for specialists in the areas of quality control and systems of validation is continuing to be expanded. According to the Polish Investment and Trade Agency (2022), annually over 300,000 well-educated graduates arrive on the employee market, and moreover, 25 thousand of them are quantified in the health sector. In Poland, over 40 higher education institutions focus on skills relevant for the biopharma industry. </w:t>
      </w:r>
      <w:r w:rsidR="00201218" w:rsidRPr="00201218">
        <w:t xml:space="preserve">Poland </w:t>
      </w:r>
      <w:r w:rsidR="00201218">
        <w:t>as a</w:t>
      </w:r>
      <w:r w:rsidR="00201218" w:rsidRPr="00201218">
        <w:t xml:space="preserve"> favoured study destination </w:t>
      </w:r>
      <w:r w:rsidR="00201218">
        <w:t xml:space="preserve">give a chance to </w:t>
      </w:r>
      <w:r w:rsidR="00201218" w:rsidRPr="00201218">
        <w:t>89</w:t>
      </w:r>
      <w:r w:rsidR="00201218">
        <w:t xml:space="preserve"> thousand of</w:t>
      </w:r>
      <w:r w:rsidR="00201218" w:rsidRPr="00201218">
        <w:t xml:space="preserve"> international students </w:t>
      </w:r>
      <w:r w:rsidR="009722A0">
        <w:t xml:space="preserve">to study </w:t>
      </w:r>
      <w:r w:rsidR="00201218" w:rsidRPr="00201218">
        <w:t xml:space="preserve">at more than 500 </w:t>
      </w:r>
      <w:r w:rsidR="009722A0" w:rsidRPr="00201218">
        <w:t>campuses</w:t>
      </w:r>
      <w:r w:rsidR="00201218" w:rsidRPr="00201218">
        <w:t>. 8</w:t>
      </w:r>
      <w:r w:rsidR="009722A0">
        <w:t xml:space="preserve"> thousand of</w:t>
      </w:r>
      <w:r w:rsidR="00201218" w:rsidRPr="00201218">
        <w:t xml:space="preserve"> </w:t>
      </w:r>
      <w:r w:rsidR="009722A0" w:rsidRPr="00201218">
        <w:t>undergraduates</w:t>
      </w:r>
      <w:r w:rsidR="00201218" w:rsidRPr="00201218">
        <w:t xml:space="preserve"> </w:t>
      </w:r>
      <w:r w:rsidR="009722A0" w:rsidRPr="00201218">
        <w:t>engage in</w:t>
      </w:r>
      <w:r w:rsidR="00201218" w:rsidRPr="00201218">
        <w:t xml:space="preserve"> medical </w:t>
      </w:r>
      <w:r w:rsidR="009722A0" w:rsidRPr="00201218">
        <w:t>institutes</w:t>
      </w:r>
      <w:r w:rsidR="009722A0">
        <w:t xml:space="preserve"> (</w:t>
      </w:r>
      <w:r w:rsidR="00201218" w:rsidRPr="00201218">
        <w:t>Statista.com 2022</w:t>
      </w:r>
      <w:r w:rsidR="009722A0">
        <w:t>)</w:t>
      </w:r>
      <w:r w:rsidR="00201218" w:rsidRPr="00201218">
        <w:t>.</w:t>
      </w:r>
    </w:p>
    <w:p w14:paraId="6008E054" w14:textId="1268DBCE" w:rsidR="00C246C9" w:rsidRDefault="00C246C9" w:rsidP="00C246C9">
      <w:pPr>
        <w:pStyle w:val="Heading1"/>
      </w:pPr>
      <w:bookmarkStart w:id="11" w:name="_Toc120476643"/>
      <w:bookmarkStart w:id="12" w:name="_Toc120476768"/>
      <w:r>
        <w:t>SWOT analysis</w:t>
      </w:r>
      <w:bookmarkEnd w:id="11"/>
      <w:bookmarkEnd w:id="12"/>
      <w:r>
        <w:t xml:space="preserve"> </w:t>
      </w:r>
    </w:p>
    <w:p w14:paraId="5BC52D73" w14:textId="155A5B71" w:rsidR="00EB7B03" w:rsidRPr="00EB7B03" w:rsidRDefault="00EB7B03" w:rsidP="00EB7B03">
      <w:r w:rsidRPr="00EB7B03">
        <w:t>Swot analysis will help identify the strengths, opportunities, weaknesses, and threats. The analysis is important for strategic planning and management techniques used by businesses. According to Helms and Nixon (2010), as a methodology for strategic placement, SWOT continued to be used in effectively published enterprise case studies for business student analysis.</w:t>
      </w:r>
    </w:p>
    <w:p w14:paraId="5094AA9B" w14:textId="42500B9E" w:rsidR="00C246C9" w:rsidRDefault="00C246C9" w:rsidP="00C246C9">
      <w:pPr>
        <w:pStyle w:val="Heading2"/>
      </w:pPr>
      <w:bookmarkStart w:id="13" w:name="_Toc120476644"/>
      <w:bookmarkStart w:id="14" w:name="_Toc120476769"/>
      <w:r>
        <w:t>Strengths</w:t>
      </w:r>
      <w:bookmarkEnd w:id="13"/>
      <w:bookmarkEnd w:id="14"/>
      <w:r>
        <w:t xml:space="preserve"> </w:t>
      </w:r>
    </w:p>
    <w:p w14:paraId="7261E13C" w14:textId="47182926" w:rsidR="00C246C9" w:rsidRDefault="001E638D" w:rsidP="00C246C9">
      <w:r w:rsidRPr="001E638D">
        <w:t xml:space="preserve">Asia, North America, and Europe are Key Pharmaceutical Limited's key markets, and the business has a strong presence in these territories. The group's goods are sold in over 100 states around the world, according to the business data (Lexon Group, 2022). The strong market positioning is helping to control the marketplace and the competitors as well. Poland's most important asset is its talented workforce. The availability of well-educated people in the pharmaceutical industry may present a </w:t>
      </w:r>
      <w:r w:rsidRPr="001E638D">
        <w:lastRenderedPageBreak/>
        <w:t>challenge to businesses today; however, the Polish education system provides an adequate number of new capable people to the sector.</w:t>
      </w:r>
    </w:p>
    <w:p w14:paraId="300AAE56" w14:textId="77777777" w:rsidR="00C246C9" w:rsidRDefault="00C246C9" w:rsidP="00C246C9">
      <w:pPr>
        <w:pStyle w:val="Heading2"/>
      </w:pPr>
      <w:bookmarkStart w:id="15" w:name="_Toc120476645"/>
      <w:bookmarkStart w:id="16" w:name="_Toc120476770"/>
      <w:r>
        <w:t>Weaknesses</w:t>
      </w:r>
      <w:bookmarkEnd w:id="15"/>
      <w:bookmarkEnd w:id="16"/>
      <w:r>
        <w:t xml:space="preserve"> </w:t>
      </w:r>
    </w:p>
    <w:p w14:paraId="24CEF6AE" w14:textId="2A783B84" w:rsidR="00C246C9" w:rsidRDefault="001E638D" w:rsidP="00C246C9">
      <w:r w:rsidRPr="001E638D">
        <w:t>More than 35 billion euros have been halted by Brussels. COVID-19 recovery grants and loans for the state, which the European Union official says are necessary because Poland destabilises democratic standards, Right-wing government regulations could be one of the weaknesses of the country; moreover, the political viewpoint can sometimes be ideological.</w:t>
      </w:r>
    </w:p>
    <w:p w14:paraId="32DA3818" w14:textId="77777777" w:rsidR="00C246C9" w:rsidRDefault="00C246C9" w:rsidP="00C246C9">
      <w:pPr>
        <w:pStyle w:val="Heading2"/>
      </w:pPr>
      <w:bookmarkStart w:id="17" w:name="_Toc120476646"/>
      <w:bookmarkStart w:id="18" w:name="_Toc120476771"/>
      <w:r>
        <w:t>Opportunities</w:t>
      </w:r>
      <w:bookmarkEnd w:id="17"/>
      <w:bookmarkEnd w:id="18"/>
      <w:r>
        <w:t xml:space="preserve"> </w:t>
      </w:r>
    </w:p>
    <w:p w14:paraId="57BB2F25" w14:textId="0BA37F26" w:rsidR="001E638D" w:rsidRDefault="001E638D" w:rsidP="001E638D">
      <w:r>
        <w:t>Poland is part of the Schengen area, which means no borders between the Schengen countries. This is an excellent opportunity for interstate trade—less paperwork and no taxes. Poland has excess funds for the Horizon Europe programme as an EU member state. The plan involves collaboration and improves the impact of research and innovation in developing, supporting, and implementing EU policies while tracking global challenges. It supports the creation and better dissemination of excellent knowledge and technologies. This is a good opportunity for the pharma businesses that want to develop standards and create new goods.</w:t>
      </w:r>
    </w:p>
    <w:p w14:paraId="145E978F" w14:textId="430C7C07" w:rsidR="00C246C9" w:rsidRDefault="001E638D" w:rsidP="001E638D">
      <w:r>
        <w:t>The current war in Ukraine has boosted investments in Poland that will improve the economy. Moreover, millions of Ukrainian refugees are coming to Poland, and most of the people will be employed. In this situation, the companies have the resources to increase their staff. Gdansk is one of the most positive and significant investments in a port city. According to TVP Word (2022), investing to increase the port capacity by 50% is significant for the whole region. Gdansk will use 864 million euros in financing to upgrade two terminals and build another, according to the European Bank for Reconstruction and Development. The port is going to be the only deep-water terminal in the Baltic Sea territory that will be able to accept ultra-large container vessels that move customer goods and equipment between Europe and Asia. Innovation in railway infrastructure projects is another significant investment, and around 7–10 billion euros will be available from EU funds.</w:t>
      </w:r>
    </w:p>
    <w:p w14:paraId="0BE8F6F5" w14:textId="77777777" w:rsidR="00C246C9" w:rsidRDefault="00C246C9" w:rsidP="00C246C9">
      <w:pPr>
        <w:pStyle w:val="Heading2"/>
      </w:pPr>
      <w:bookmarkStart w:id="19" w:name="_Toc120476647"/>
      <w:bookmarkStart w:id="20" w:name="_Toc120476772"/>
      <w:r>
        <w:t>Threats</w:t>
      </w:r>
      <w:bookmarkEnd w:id="19"/>
      <w:bookmarkEnd w:id="20"/>
      <w:r>
        <w:t xml:space="preserve"> </w:t>
      </w:r>
    </w:p>
    <w:p w14:paraId="583DFEBE" w14:textId="2B7DC948" w:rsidR="001E638D" w:rsidRDefault="001E638D" w:rsidP="001E638D">
      <w:r>
        <w:t>The Ukraine-Russia conflict is the country's biggest challenge now. It is extraordinarily important not to be involved in the conflict between two states. The continuing war could have a negative effect on the Polish economy, and likewise, the increased number of refugees could pose a threat to budgets and health care.</w:t>
      </w:r>
    </w:p>
    <w:p w14:paraId="7CCE02C8" w14:textId="6C860B55" w:rsidR="00993024" w:rsidRDefault="001E638D" w:rsidP="001E638D">
      <w:r>
        <w:t>Another threat to the Polish economy's oil and gas diversity. The country has long been following a strategy of diversifying its energy supply and distancing itself from Russia as a provider of gas and oil. Nowadays, according to the Polish government, it has numerous opportunities to replace the missing gas supplies from Russia. The biggest problem is that not only Poland needs to replace the Russian gas and oil, but the whole European Union must provide alternative suppliers because of the sanctions on Russian energy sector.</w:t>
      </w:r>
    </w:p>
    <w:p w14:paraId="6BEAC9A7" w14:textId="77777777" w:rsidR="00993024" w:rsidRDefault="00993024" w:rsidP="00C246C9"/>
    <w:p w14:paraId="20685E15" w14:textId="77777777" w:rsidR="0080656B" w:rsidRDefault="0080656B" w:rsidP="00C246C9">
      <w:pPr>
        <w:pStyle w:val="Heading1"/>
      </w:pPr>
      <w:bookmarkStart w:id="21" w:name="_Toc120476648"/>
      <w:bookmarkStart w:id="22" w:name="_Toc120476773"/>
    </w:p>
    <w:p w14:paraId="2F5CD4C0" w14:textId="2769C99D" w:rsidR="00C246C9" w:rsidRDefault="00C246C9" w:rsidP="00C246C9">
      <w:pPr>
        <w:pStyle w:val="Heading1"/>
      </w:pPr>
      <w:r>
        <w:t>PESTEL analysis</w:t>
      </w:r>
      <w:bookmarkEnd w:id="21"/>
      <w:bookmarkEnd w:id="22"/>
      <w:r>
        <w:t xml:space="preserve"> </w:t>
      </w:r>
    </w:p>
    <w:p w14:paraId="7DFA35F5" w14:textId="286DA3E4" w:rsidR="00C246C9" w:rsidRDefault="00C246C9" w:rsidP="0080656B">
      <w:pPr>
        <w:pStyle w:val="Heading2"/>
      </w:pPr>
      <w:bookmarkStart w:id="23" w:name="_Toc120476649"/>
      <w:bookmarkStart w:id="24" w:name="_Toc120476774"/>
      <w:r>
        <w:t>Political</w:t>
      </w:r>
      <w:bookmarkEnd w:id="23"/>
      <w:bookmarkEnd w:id="24"/>
    </w:p>
    <w:p w14:paraId="6CDF5D3A" w14:textId="15BCEB0F" w:rsidR="00B3118F" w:rsidRDefault="00B3118F" w:rsidP="00B3118F">
      <w:r>
        <w:t>Phenomenal expenditure on healthcare by the government by supporting healthcare programs. According to the first news, Polish healthcare will reach 7 percent of GDP at a minimum in 2027.</w:t>
      </w:r>
    </w:p>
    <w:p w14:paraId="19C31425" w14:textId="50087088" w:rsidR="00B3118F" w:rsidRDefault="00B3118F" w:rsidP="00B3118F">
      <w:r>
        <w:t>Poland's Political Stability Index is 0.51, putting it on par with the United Kingdom and ahead of France (0,37) (TheGlobalEconomy.com). More significantly, Poland’s well-expanded economy and qualified food auto-sufficiency decrease its vulnerability to external shock waves, in part because it depends on the EU as an export marketplace. Disagreements with Brussels are pushing the two sides further apart, and Poland’s ruling nationalists declared a provocative claim for World War II compensation from the Germans, saying damage created by the Nazi regime is worth about USD 1.3 trillion (Bloomberg, 2022).</w:t>
      </w:r>
    </w:p>
    <w:p w14:paraId="02F4F5BD" w14:textId="77777777" w:rsidR="00C246C9" w:rsidRDefault="00C246C9" w:rsidP="00C246C9">
      <w:pPr>
        <w:pStyle w:val="Heading2"/>
      </w:pPr>
      <w:bookmarkStart w:id="25" w:name="_Toc120476650"/>
      <w:bookmarkStart w:id="26" w:name="_Toc120476775"/>
      <w:r>
        <w:t>Economical</w:t>
      </w:r>
      <w:bookmarkEnd w:id="25"/>
      <w:bookmarkEnd w:id="26"/>
    </w:p>
    <w:p w14:paraId="66F5C03C" w14:textId="7BC9B9FA" w:rsidR="001E3D74" w:rsidRDefault="001E3D74" w:rsidP="00C246C9">
      <w:r w:rsidRPr="001E3D74">
        <w:t>The six EU nations that applied to be part of the Warsaw Pact (Hungary, Poland, Bulgaria, the Czech Republic, Slovakia, and Romania) have significantly grown in their economic structure and production. The Eastern bloc's admission to the union has accelerated infrastructure development, reducing the gap between them and the developed parts of Europe year after year. The country has quickly become a favourite among Central and Eastern European countries aimed at attracting external investors. In 2019, Poland was the nation profiting from the second highest FDI inflow.</w:t>
      </w:r>
    </w:p>
    <w:p w14:paraId="122DE81B" w14:textId="77777777" w:rsidR="00C246C9" w:rsidRDefault="00C246C9" w:rsidP="00C246C9">
      <w:pPr>
        <w:pStyle w:val="Heading2"/>
      </w:pPr>
      <w:bookmarkStart w:id="27" w:name="_Toc120476651"/>
      <w:bookmarkStart w:id="28" w:name="_Toc120476776"/>
      <w:r>
        <w:t>Social</w:t>
      </w:r>
      <w:bookmarkEnd w:id="27"/>
      <w:bookmarkEnd w:id="28"/>
      <w:r>
        <w:t xml:space="preserve"> </w:t>
      </w:r>
    </w:p>
    <w:p w14:paraId="4ABFB977" w14:textId="4BD223DB" w:rsidR="00C246C9" w:rsidRDefault="000E5C90" w:rsidP="00C246C9">
      <w:r w:rsidRPr="000E5C90">
        <w:t xml:space="preserve">Many developed and emerging economies have a high average population age, which will benefit the pharmaceutical industry because an older population means the government will spend more on healthcare. Europe, China, and the United States have an average resident age of 36 to 39 years, but the average age of the population is expected to rise, reaching 50 in 2045 </w:t>
      </w:r>
      <w:bookmarkStart w:id="29" w:name="_Hlk120522750"/>
      <w:r w:rsidRPr="000E5C90">
        <w:t>(Statista.com, 2022). </w:t>
      </w:r>
      <w:bookmarkEnd w:id="29"/>
    </w:p>
    <w:p w14:paraId="383AD7C8" w14:textId="77777777" w:rsidR="00C246C9" w:rsidRDefault="00C246C9" w:rsidP="00C246C9">
      <w:pPr>
        <w:pStyle w:val="Heading2"/>
      </w:pPr>
      <w:bookmarkStart w:id="30" w:name="_Toc120476652"/>
      <w:bookmarkStart w:id="31" w:name="_Toc120476777"/>
      <w:r>
        <w:t>Technological</w:t>
      </w:r>
      <w:bookmarkEnd w:id="30"/>
      <w:bookmarkEnd w:id="31"/>
    </w:p>
    <w:p w14:paraId="689DC031" w14:textId="273CDB1B" w:rsidR="000C23E3" w:rsidRDefault="000C23E3" w:rsidP="00C246C9">
      <w:r w:rsidRPr="000C23E3">
        <w:t xml:space="preserve">Poland's current economic growth, fortune in software development, and interest from venture capital companies strengthen its position as a capable European tech hub, and residents are optimistic about the future. The Polish IT industry accounts for 8% of GDP, employs over 430 thousand people, and is the largest economy in Central Europe, accounting for 30% of total GDP and 25% of the population </w:t>
      </w:r>
      <w:bookmarkStart w:id="32" w:name="_Hlk120522788"/>
      <w:r w:rsidRPr="000C23E3">
        <w:t>(Polish Investment and Trade Agency, 2016)</w:t>
      </w:r>
      <w:bookmarkEnd w:id="32"/>
      <w:r w:rsidRPr="000C23E3">
        <w:t>. Cultivating the next generation of tech geniuses with an apparently never-stopping flow of contractors coming into the trade</w:t>
      </w:r>
      <w:r>
        <w:t>.</w:t>
      </w:r>
    </w:p>
    <w:p w14:paraId="3661C6E1" w14:textId="77777777" w:rsidR="00C246C9" w:rsidRDefault="00C246C9" w:rsidP="00C246C9">
      <w:pPr>
        <w:pStyle w:val="Heading2"/>
      </w:pPr>
      <w:bookmarkStart w:id="33" w:name="_Toc120476653"/>
      <w:bookmarkStart w:id="34" w:name="_Toc120476778"/>
      <w:r>
        <w:t>Environmental</w:t>
      </w:r>
      <w:bookmarkEnd w:id="33"/>
      <w:bookmarkEnd w:id="34"/>
    </w:p>
    <w:p w14:paraId="60177503" w14:textId="24240D87" w:rsidR="00C246C9" w:rsidRDefault="001F5A15" w:rsidP="007D6637">
      <w:r>
        <w:t>Based on</w:t>
      </w:r>
      <w:r w:rsidR="00D73062" w:rsidRPr="00D73062">
        <w:t xml:space="preserve"> </w:t>
      </w:r>
      <w:r w:rsidRPr="00D73062">
        <w:t>statistics</w:t>
      </w:r>
      <w:r w:rsidR="00D73062" w:rsidRPr="00D73062">
        <w:t xml:space="preserve"> issued by Ipsos, 46 percent of Polish people thought that air pollution was one of the top three environmental issues challenging their state, the most of any category. By contrast, only four percent of respondents believe soil erosion to be a top-three environmental issue. The second environmental problem is dealing with waste. When asked what they thought would be an effective strategy for reducing plastic waste, 46 percent said that government capital spending to improve recycling would be a good idea (Statista.com, 2022). </w:t>
      </w:r>
    </w:p>
    <w:p w14:paraId="5043E4E6" w14:textId="77777777" w:rsidR="00C246C9" w:rsidRDefault="00C246C9" w:rsidP="00C246C9">
      <w:pPr>
        <w:pStyle w:val="Heading2"/>
      </w:pPr>
      <w:bookmarkStart w:id="35" w:name="_Toc120476654"/>
      <w:bookmarkStart w:id="36" w:name="_Toc120476779"/>
      <w:r>
        <w:lastRenderedPageBreak/>
        <w:t>Legal</w:t>
      </w:r>
      <w:bookmarkEnd w:id="35"/>
      <w:bookmarkEnd w:id="36"/>
    </w:p>
    <w:p w14:paraId="2E525BFE" w14:textId="25E78FE2" w:rsidR="00C246C9" w:rsidRDefault="003D510F" w:rsidP="00C246C9">
      <w:r w:rsidRPr="003D510F">
        <w:t xml:space="preserve">The Slavic country is part of the EU; therefore, the law merges with the European Medicines Agency (EMA). Poland’s health ministry legalised fees for putting medicinal goods on the market; these fees varied depending on the type of application for marketing </w:t>
      </w:r>
      <w:bookmarkStart w:id="37" w:name="_Hlk120522860"/>
      <w:r w:rsidRPr="003D510F">
        <w:t>(Polish Journal of Laws, 2015).</w:t>
      </w:r>
    </w:p>
    <w:p w14:paraId="1ABBC2AA" w14:textId="14EA019C" w:rsidR="00EB4C75" w:rsidRPr="00EB4C75" w:rsidRDefault="00C246C9" w:rsidP="0080656B">
      <w:pPr>
        <w:pStyle w:val="Heading1"/>
      </w:pPr>
      <w:bookmarkStart w:id="38" w:name="_Toc120476655"/>
      <w:bookmarkStart w:id="39" w:name="_Toc120476780"/>
      <w:bookmarkEnd w:id="37"/>
      <w:r>
        <w:t>Porter five force</w:t>
      </w:r>
      <w:bookmarkEnd w:id="38"/>
      <w:bookmarkEnd w:id="39"/>
    </w:p>
    <w:p w14:paraId="58422CE6" w14:textId="77777777" w:rsidR="00C246C9" w:rsidRDefault="00C246C9" w:rsidP="00C246C9">
      <w:pPr>
        <w:pStyle w:val="Heading2"/>
      </w:pPr>
      <w:bookmarkStart w:id="40" w:name="_Toc120476656"/>
      <w:bookmarkStart w:id="41" w:name="_Toc120476781"/>
      <w:r>
        <w:t>Threat of New Entrants</w:t>
      </w:r>
      <w:bookmarkEnd w:id="40"/>
      <w:bookmarkEnd w:id="41"/>
    </w:p>
    <w:p w14:paraId="7DC16392" w14:textId="00721D75" w:rsidR="00C246C9" w:rsidRDefault="00987213" w:rsidP="00C246C9">
      <w:r w:rsidRPr="00987213">
        <w:t>A massive payoff offered in the pharmaceutical sector could lead to a continuous flow of new companies being formed. A team of scientists with a strong idea or newly established patents can find venture capital funds willing to provide millions of euros in</w:t>
      </w:r>
      <w:r w:rsidR="008141A2">
        <w:t xml:space="preserve"> the</w:t>
      </w:r>
      <w:r w:rsidRPr="00987213">
        <w:t xml:space="preserve"> start-up financing.</w:t>
      </w:r>
    </w:p>
    <w:p w14:paraId="7F15C714" w14:textId="77777777" w:rsidR="00C246C9" w:rsidRDefault="00C246C9" w:rsidP="00C246C9">
      <w:pPr>
        <w:pStyle w:val="Heading2"/>
      </w:pPr>
      <w:bookmarkStart w:id="42" w:name="_Toc120476657"/>
      <w:bookmarkStart w:id="43" w:name="_Toc120476782"/>
      <w:r>
        <w:t>Power of Suppliers</w:t>
      </w:r>
      <w:bookmarkEnd w:id="42"/>
      <w:bookmarkEnd w:id="43"/>
    </w:p>
    <w:p w14:paraId="018351F7" w14:textId="79E70A67" w:rsidR="00C246C9" w:rsidRDefault="00417EDD" w:rsidP="00C246C9">
      <w:r w:rsidRPr="00417EDD">
        <w:t>Suppliers are having an extremely small impact in the pharma sector. The raw materials for producing drugs are commodity products in the industry, which are available from several suppliers. Much of the equipment used in manufacturing and research is available from a variety of manufacturers. Providers generally offer numerous products to the manufacturer, which controls pricing on rare materials and unique equipment.</w:t>
      </w:r>
    </w:p>
    <w:p w14:paraId="25EC2269" w14:textId="77777777" w:rsidR="00C246C9" w:rsidRDefault="00C246C9" w:rsidP="00C246C9">
      <w:pPr>
        <w:pStyle w:val="Heading2"/>
      </w:pPr>
      <w:bookmarkStart w:id="44" w:name="_Toc120476658"/>
      <w:bookmarkStart w:id="45" w:name="_Toc120476783"/>
      <w:r>
        <w:t>Power of Buyers</w:t>
      </w:r>
      <w:bookmarkEnd w:id="44"/>
      <w:bookmarkEnd w:id="45"/>
    </w:p>
    <w:p w14:paraId="6EF0DA07" w14:textId="5E160D05" w:rsidR="00C246C9" w:rsidRDefault="00400359" w:rsidP="00C246C9">
      <w:r w:rsidRPr="00400359">
        <w:t xml:space="preserve">Purchasers' bargaining power is relatively </w:t>
      </w:r>
      <w:r w:rsidR="003A5A83" w:rsidRPr="00400359">
        <w:t>low because</w:t>
      </w:r>
      <w:r w:rsidRPr="00400359">
        <w:t xml:space="preserve"> consumers of branded medicine have no negotiating control over prices. Even though there is a generic influx of branded medicine, branded medicine companies do not bend over for a price discount. The individual that pays for the drugs, the insurance company, only has a say in how much it will pay to the distributor of the drugs, meaning it has little power with the drug producers. The guarantor has the authority to refuse payment for medications that it believes are overpriced. </w:t>
      </w:r>
    </w:p>
    <w:p w14:paraId="28E9399D" w14:textId="77777777" w:rsidR="00C246C9" w:rsidRDefault="00C246C9" w:rsidP="00C246C9">
      <w:pPr>
        <w:pStyle w:val="Heading2"/>
      </w:pPr>
      <w:bookmarkStart w:id="46" w:name="_Toc120476659"/>
      <w:bookmarkStart w:id="47" w:name="_Toc120476784"/>
      <w:r>
        <w:t>Availability of Substitutes</w:t>
      </w:r>
      <w:bookmarkEnd w:id="46"/>
      <w:bookmarkEnd w:id="47"/>
    </w:p>
    <w:p w14:paraId="16541008" w14:textId="7BE98C69" w:rsidR="00C246C9" w:rsidRDefault="00FC53D8" w:rsidP="00C246C9">
      <w:r w:rsidRPr="00FC53D8">
        <w:t>The progress of a new medication that treats a general disease could be worth billions of euros per year. Nevertheless, the 30th prescription to treat a common condition could take time to recoup the R&amp;D expenses. Once a medicine loses its patent, generic drug manufacturers start selling copycat versions at significantly reduced prices. A medication that earned USD 100 million a year in revenue could become one that earns only USD 1 million a year in income overnight. Furthermore, there is a general global issue with fake drugs. A sample of these imitations duplicates a real pill formulation and advertises it at a lower price, which reduces business earnings.</w:t>
      </w:r>
    </w:p>
    <w:p w14:paraId="31F7CE23" w14:textId="77777777" w:rsidR="00C246C9" w:rsidRDefault="00C246C9" w:rsidP="00C246C9">
      <w:pPr>
        <w:pStyle w:val="Heading2"/>
      </w:pPr>
      <w:bookmarkStart w:id="48" w:name="_Toc120476660"/>
      <w:bookmarkStart w:id="49" w:name="_Toc120476785"/>
      <w:r>
        <w:t>Competitive Rivalry</w:t>
      </w:r>
      <w:bookmarkEnd w:id="48"/>
      <w:bookmarkEnd w:id="49"/>
    </w:p>
    <w:p w14:paraId="0AABD648" w14:textId="4A8981AA" w:rsidR="00C246C9" w:rsidRDefault="00EA1549" w:rsidP="00C246C9">
      <w:r w:rsidRPr="00EA1549">
        <w:t>Any brand-new medication has its public data examined for the risk of producing a similar drug to market as a replacement. The pharma sector displays a pattern of firms combining and larger firms purchasing smaller companies that have innovative drugs.</w:t>
      </w:r>
    </w:p>
    <w:p w14:paraId="649F6D9A" w14:textId="24EE0F44" w:rsidR="002F29F1" w:rsidRDefault="00C246C9" w:rsidP="00D851EE">
      <w:pPr>
        <w:pStyle w:val="Heading1"/>
      </w:pPr>
      <w:bookmarkStart w:id="50" w:name="_Toc120476661"/>
      <w:bookmarkStart w:id="51" w:name="_Toc120476786"/>
      <w:r>
        <w:t>Conclusion and recommendation</w:t>
      </w:r>
      <w:bookmarkEnd w:id="50"/>
      <w:bookmarkEnd w:id="51"/>
    </w:p>
    <w:p w14:paraId="5994BEEF" w14:textId="10B5CE08" w:rsidR="002F29F1" w:rsidRDefault="005C6060" w:rsidP="002F29F1">
      <w:r w:rsidRPr="005C6060">
        <w:t>After Brexit negotiations, it is important for UK companies to be part of and have access to the EU market. Relocating the pharma production to Gdansk could be beneficial for the Key Pharmaceutical Corporation. Analysing all the positive and negative aspects of moving to EU states, this study finds a massive income possibility with this decision. Highly recommended to UK companies planning to relocate in order to use EU funds for future production capacity development or the expansion of new drugs. </w:t>
      </w:r>
    </w:p>
    <w:p w14:paraId="15A4A09D" w14:textId="77777777" w:rsidR="00AA54FA" w:rsidRDefault="00B308E1" w:rsidP="00AA54FA">
      <w:pPr>
        <w:pStyle w:val="Heading1"/>
      </w:pPr>
      <w:r>
        <w:lastRenderedPageBreak/>
        <w:t>Appendix 1</w:t>
      </w:r>
    </w:p>
    <w:p w14:paraId="645FF19E" w14:textId="133F5767" w:rsidR="00B308E1" w:rsidRDefault="00AA54FA" w:rsidP="00AA54FA">
      <w:pPr>
        <w:pStyle w:val="Heading2"/>
      </w:pPr>
      <w:r>
        <w:t>Global Antidepressant Drugs Market</w:t>
      </w:r>
    </w:p>
    <w:p w14:paraId="2F84CB6C" w14:textId="0ED05DE9" w:rsidR="004D22BD" w:rsidRDefault="004D22BD" w:rsidP="002F29F1">
      <w:r>
        <w:rPr>
          <w:noProof/>
        </w:rPr>
        <w:drawing>
          <wp:inline distT="0" distB="0" distL="0" distR="0" wp14:anchorId="6AAF6625" wp14:editId="21CA8844">
            <wp:extent cx="5731510" cy="3820795"/>
            <wp:effectExtent l="0" t="0" r="2540" b="825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66D64D5" w14:textId="77777777" w:rsidR="00C605F5" w:rsidRDefault="00C605F5" w:rsidP="002F29F1"/>
    <w:p w14:paraId="6CA4301D" w14:textId="77777777" w:rsidR="00C605F5" w:rsidRPr="002F29F1" w:rsidRDefault="00C605F5" w:rsidP="002F29F1"/>
    <w:p w14:paraId="774110E3" w14:textId="7815C9D5" w:rsidR="00C246C9" w:rsidRDefault="00C246C9" w:rsidP="00C605F5">
      <w:pPr>
        <w:pStyle w:val="Heading1"/>
        <w:jc w:val="center"/>
      </w:pPr>
      <w:bookmarkStart w:id="52" w:name="_Toc120476662"/>
      <w:bookmarkStart w:id="53" w:name="_Toc120476787"/>
      <w:r>
        <w:t>References</w:t>
      </w:r>
      <w:bookmarkEnd w:id="52"/>
      <w:bookmarkEnd w:id="53"/>
    </w:p>
    <w:p w14:paraId="38177CDE" w14:textId="77777777" w:rsidR="00C605F5" w:rsidRDefault="00C605F5" w:rsidP="00C605F5"/>
    <w:p w14:paraId="365F8575" w14:textId="77777777" w:rsidR="00C605F5" w:rsidRPr="00C605F5" w:rsidRDefault="00C605F5" w:rsidP="00C605F5"/>
    <w:p w14:paraId="111FCF20" w14:textId="29711851" w:rsidR="00F01579" w:rsidRDefault="00F01579" w:rsidP="00C246C9">
      <w:r w:rsidRPr="00F01579">
        <w:t xml:space="preserve">Dziergwa, M. (2022) Poland is the emerging tech hub of Europe, European Business Magazine. Available at: </w:t>
      </w:r>
      <w:hyperlink r:id="rId12" w:history="1">
        <w:r w:rsidR="007E51C8" w:rsidRPr="007C2C32">
          <w:rPr>
            <w:rStyle w:val="Hyperlink"/>
          </w:rPr>
          <w:t>https://europeanbusinessmagazine.com/business/poland-is-the-emerging-tech-hub-of-europe/</w:t>
        </w:r>
      </w:hyperlink>
      <w:r w:rsidR="007E51C8">
        <w:t xml:space="preserve"> </w:t>
      </w:r>
      <w:r w:rsidRPr="00F01579">
        <w:t>(Accessed: 20 November 2022).</w:t>
      </w:r>
    </w:p>
    <w:p w14:paraId="7129CAC2" w14:textId="743CC3A4" w:rsidR="000F5872" w:rsidRDefault="000F5872" w:rsidP="00C246C9">
      <w:r w:rsidRPr="000F5872">
        <w:t xml:space="preserve">Eglitis, A. (2022) </w:t>
      </w:r>
      <w:r w:rsidRPr="00E33500">
        <w:rPr>
          <w:i/>
          <w:iCs/>
        </w:rPr>
        <w:t>Supply chain latest: Poland's Gdansk Port plans major expansion</w:t>
      </w:r>
      <w:r w:rsidRPr="000F5872">
        <w:t xml:space="preserve">, Bloomberg.com. Bloomberg. Available at: </w:t>
      </w:r>
      <w:hyperlink r:id="rId13" w:history="1">
        <w:r w:rsidR="00E33500" w:rsidRPr="003C2D56">
          <w:rPr>
            <w:rStyle w:val="Hyperlink"/>
          </w:rPr>
          <w:t>https://www.bloomberg.com/news/newsletters/2022-10-13/supply-chain-latest-poland-s-gdansk-port-plans-major-expansion</w:t>
        </w:r>
      </w:hyperlink>
      <w:r w:rsidR="00E33500">
        <w:t xml:space="preserve"> </w:t>
      </w:r>
      <w:r w:rsidRPr="000F5872">
        <w:t xml:space="preserve">(Accessed: </w:t>
      </w:r>
      <w:r w:rsidR="009A3870" w:rsidRPr="000F5872">
        <w:t xml:space="preserve">28 </w:t>
      </w:r>
      <w:r w:rsidRPr="000F5872">
        <w:t>October 2022).</w:t>
      </w:r>
    </w:p>
    <w:p w14:paraId="1E895AB2" w14:textId="29A49FB6" w:rsidR="0028483F" w:rsidRDefault="0028483F" w:rsidP="00C246C9">
      <w:r w:rsidRPr="00F01579">
        <w:t xml:space="preserve">Generic Drugs, Distinct Company (2019) Key Pharmaceuticals. Available at: </w:t>
      </w:r>
      <w:hyperlink r:id="rId14" w:history="1">
        <w:r w:rsidR="007E51C8" w:rsidRPr="007C2C32">
          <w:rPr>
            <w:rStyle w:val="Hyperlink"/>
          </w:rPr>
          <w:t>https://keypharma.co.uk/about/</w:t>
        </w:r>
      </w:hyperlink>
      <w:r w:rsidR="007E51C8">
        <w:t xml:space="preserve"> </w:t>
      </w:r>
      <w:r w:rsidRPr="00F01579">
        <w:t>(Accessed: 28 October 2022).</w:t>
      </w:r>
    </w:p>
    <w:p w14:paraId="07A870A1" w14:textId="77777777" w:rsidR="007E51C8" w:rsidRDefault="007E51C8" w:rsidP="007E51C8">
      <w:r w:rsidRPr="00A013D7">
        <w:t>Heusler, J</w:t>
      </w:r>
      <w:r>
        <w:t>.</w:t>
      </w:r>
      <w:r w:rsidRPr="00A013D7">
        <w:t xml:space="preserve"> (</w:t>
      </w:r>
      <w:r>
        <w:t>2020</w:t>
      </w:r>
      <w:r w:rsidRPr="00A013D7">
        <w:t xml:space="preserve">) </w:t>
      </w:r>
      <w:r w:rsidRPr="00A013D7">
        <w:rPr>
          <w:i/>
          <w:iCs/>
        </w:rPr>
        <w:t>Advances in pharma business management and research,</w:t>
      </w:r>
      <w:r w:rsidRPr="00A013D7">
        <w:t xml:space="preserve"> CORE. Available at: </w:t>
      </w:r>
      <w:hyperlink r:id="rId15" w:history="1">
        <w:r w:rsidRPr="003C2D56">
          <w:rPr>
            <w:rStyle w:val="Hyperlink"/>
          </w:rPr>
          <w:t>https://core.ac.uk/display/334583436</w:t>
        </w:r>
      </w:hyperlink>
      <w:r>
        <w:t xml:space="preserve"> </w:t>
      </w:r>
      <w:r w:rsidRPr="00A013D7">
        <w:t>(Accessed: 2</w:t>
      </w:r>
      <w:r>
        <w:t xml:space="preserve"> </w:t>
      </w:r>
      <w:r w:rsidRPr="00A013D7">
        <w:t>November 2022).</w:t>
      </w:r>
    </w:p>
    <w:p w14:paraId="1DDB4D19" w14:textId="77777777" w:rsidR="00B5185D" w:rsidRDefault="00B5185D" w:rsidP="00B5185D">
      <w:r w:rsidRPr="005F2E2A">
        <w:rPr>
          <w:i/>
          <w:iCs/>
        </w:rPr>
        <w:t>Home Page - Gdansk Economic Development Agency</w:t>
      </w:r>
      <w:r w:rsidRPr="005F2E2A">
        <w:t xml:space="preserve"> (2022) InvestGDA. Available at: </w:t>
      </w:r>
      <w:hyperlink r:id="rId16" w:history="1">
        <w:r w:rsidRPr="007C2C32">
          <w:rPr>
            <w:rStyle w:val="Hyperlink"/>
          </w:rPr>
          <w:t>https://investgda.pl/en/</w:t>
        </w:r>
      </w:hyperlink>
      <w:r>
        <w:t xml:space="preserve"> </w:t>
      </w:r>
      <w:r w:rsidRPr="005F2E2A">
        <w:t>(Accessed: 22</w:t>
      </w:r>
      <w:r>
        <w:t xml:space="preserve"> </w:t>
      </w:r>
      <w:r w:rsidRPr="005F2E2A">
        <w:t>November 2022).</w:t>
      </w:r>
    </w:p>
    <w:p w14:paraId="4AC43094" w14:textId="015DB0DF" w:rsidR="003E7397" w:rsidRDefault="003E7397" w:rsidP="00C246C9">
      <w:r w:rsidRPr="00FA2DDD">
        <w:lastRenderedPageBreak/>
        <w:t xml:space="preserve">Letter, T.P. (2021) </w:t>
      </w:r>
      <w:r w:rsidRPr="00446F74">
        <w:rPr>
          <w:i/>
          <w:iCs/>
        </w:rPr>
        <w:t>The transition to Brexit: What's next for the UK's pharmaceutical industry?</w:t>
      </w:r>
      <w:r w:rsidRPr="00FA2DDD">
        <w:t xml:space="preserve">, TPL. Available at: </w:t>
      </w:r>
      <w:hyperlink r:id="rId17" w:history="1">
        <w:r w:rsidRPr="003C2D56">
          <w:rPr>
            <w:rStyle w:val="Hyperlink"/>
          </w:rPr>
          <w:t>https://www.thepharmaletter.com/article/the-transition-to-brexit-what-s-next-for-the-uk-s-pharmaceutical-industry</w:t>
        </w:r>
      </w:hyperlink>
      <w:r>
        <w:t xml:space="preserve"> </w:t>
      </w:r>
      <w:r w:rsidRPr="00FA2DDD">
        <w:t>(Accessed: 20</w:t>
      </w:r>
      <w:r>
        <w:t xml:space="preserve"> </w:t>
      </w:r>
      <w:r w:rsidRPr="00FA2DDD">
        <w:t>October 2022).</w:t>
      </w:r>
    </w:p>
    <w:p w14:paraId="068C3989" w14:textId="47E54159" w:rsidR="003E7397" w:rsidRDefault="00E92698" w:rsidP="00C246C9">
      <w:r w:rsidRPr="00C27E23">
        <w:t>ltd, R.and M. (</w:t>
      </w:r>
      <w:r>
        <w:t>2022</w:t>
      </w:r>
      <w:r w:rsidRPr="00C27E23">
        <w:t xml:space="preserve">) </w:t>
      </w:r>
      <w:r w:rsidRPr="00446F74">
        <w:rPr>
          <w:i/>
          <w:iCs/>
        </w:rPr>
        <w:t>Antidepressant drugs market by product, Depressive Disorder: Global Opportunity Analysis and Industry Forecast</w:t>
      </w:r>
      <w:r w:rsidRPr="00C27E23">
        <w:t xml:space="preserve">, 2021-2030, Research and Markets - Market Research Reports - Welcome. Available at: </w:t>
      </w:r>
      <w:hyperlink r:id="rId18" w:history="1">
        <w:r w:rsidRPr="003C2D56">
          <w:rPr>
            <w:rStyle w:val="Hyperlink"/>
          </w:rPr>
          <w:t>https://www.researchandmarkets.com/reports/5578209/antidepressant-drugs-market-by-product?utm_source=GNOM&amp;amp;utm_medium=PressRelease&amp;amp;utm_code=w44qv9&amp;amp;utm_campaign=1714717%2B-%2BGlobal%2BAntidepressant%2BDrugs%2BMarket%2BReport%2Bto%2B2030%2B-%2BOpportunity%2BAnalysis%2Band%2BIndustry%2BForecasts&amp;amp;utm_exec=jamu273prd</w:t>
        </w:r>
      </w:hyperlink>
      <w:r>
        <w:t xml:space="preserve"> </w:t>
      </w:r>
      <w:r w:rsidRPr="00C27E23">
        <w:t>(Accessed: 20</w:t>
      </w:r>
      <w:r>
        <w:t xml:space="preserve"> </w:t>
      </w:r>
      <w:r w:rsidRPr="00C27E23">
        <w:t>September 2022).</w:t>
      </w:r>
    </w:p>
    <w:p w14:paraId="1301796F" w14:textId="77777777" w:rsidR="0031761A" w:rsidRDefault="0031761A" w:rsidP="0031761A">
      <w:r w:rsidRPr="00AE49EE">
        <w:t>Milligan, E. (2022</w:t>
      </w:r>
      <w:r w:rsidRPr="00446F74">
        <w:rPr>
          <w:i/>
          <w:iCs/>
        </w:rPr>
        <w:t>) UK plugs EU Science Gap with £484 million research funding</w:t>
      </w:r>
      <w:r w:rsidRPr="00AE49EE">
        <w:t xml:space="preserve">, Bloomberg.com. Bloomberg. Available at: </w:t>
      </w:r>
      <w:hyperlink r:id="rId19" w:history="1">
        <w:r w:rsidRPr="003C2D56">
          <w:rPr>
            <w:rStyle w:val="Hyperlink"/>
          </w:rPr>
          <w:t>https://www.bloomberg.com/news/articles/2022-11-21/uk-plugs-eu-science-gap-with-484-million-research-funding?leadSource=uverify+wall</w:t>
        </w:r>
      </w:hyperlink>
      <w:r>
        <w:t xml:space="preserve"> </w:t>
      </w:r>
      <w:r w:rsidRPr="00AE49EE">
        <w:t>(Accessed: 25 November 2022).</w:t>
      </w:r>
    </w:p>
    <w:p w14:paraId="7687DE2E" w14:textId="20855C19" w:rsidR="00C605F5" w:rsidRDefault="00C605F5" w:rsidP="0031761A">
      <w:r w:rsidRPr="00C605F5">
        <w:t xml:space="preserve">Molnar-Dreher, K. (2022) “Polish Railways – an Infrastructure With Huge Potential.” S-GE, </w:t>
      </w:r>
      <w:hyperlink r:id="rId20" w:history="1">
        <w:r w:rsidRPr="007C2C32">
          <w:rPr>
            <w:rStyle w:val="Hyperlink"/>
          </w:rPr>
          <w:t>www.s-ge.com/en/article/news/2022-e-infra-poland-c5-railway-innovation-modernization</w:t>
        </w:r>
      </w:hyperlink>
      <w:r>
        <w:t xml:space="preserve"> </w:t>
      </w:r>
      <w:r w:rsidRPr="00C605F5">
        <w:t>(Accessed: 20 November 2022).</w:t>
      </w:r>
    </w:p>
    <w:p w14:paraId="14EE5456" w14:textId="68DF6FC5" w:rsidR="0031761A" w:rsidRDefault="0031761A" w:rsidP="00C246C9">
      <w:r w:rsidRPr="0010065B">
        <w:t xml:space="preserve">Moskwa, W. (2022) </w:t>
      </w:r>
      <w:r w:rsidRPr="0010065B">
        <w:rPr>
          <w:i/>
          <w:iCs/>
        </w:rPr>
        <w:t>Poland seeks Nazi wartime damages over $1.3 trillion in losses</w:t>
      </w:r>
      <w:r w:rsidRPr="0010065B">
        <w:t xml:space="preserve">, Bloomberg.com. Bloomberg. Available at: </w:t>
      </w:r>
      <w:hyperlink r:id="rId21" w:history="1">
        <w:r w:rsidRPr="007C2C32">
          <w:rPr>
            <w:rStyle w:val="Hyperlink"/>
          </w:rPr>
          <w:t>https://www.bloomberg.com/news/articles/2022-09-01/poland-seeks-nazi-wartime-damages-over-1-3-trillion-in-losses?leadSource=uverify+wall</w:t>
        </w:r>
      </w:hyperlink>
      <w:r>
        <w:t xml:space="preserve"> </w:t>
      </w:r>
      <w:r w:rsidRPr="0010065B">
        <w:t>(Accessed: 25 November 2022).</w:t>
      </w:r>
    </w:p>
    <w:p w14:paraId="24FAF770" w14:textId="3EA3A422" w:rsidR="00BD69A1" w:rsidRDefault="00A50DEB" w:rsidP="00C246C9">
      <w:r w:rsidRPr="00A50DEB">
        <w:t>Mundell, I. (</w:t>
      </w:r>
      <w:r>
        <w:t>2022</w:t>
      </w:r>
      <w:r w:rsidRPr="00A50DEB">
        <w:t xml:space="preserve">) </w:t>
      </w:r>
      <w:r w:rsidRPr="00A50DEB">
        <w:rPr>
          <w:i/>
          <w:iCs/>
        </w:rPr>
        <w:t>The ecosystem: Polish Biotechs seek solid foundations for future growth</w:t>
      </w:r>
      <w:r w:rsidRPr="00A50DEB">
        <w:t xml:space="preserve">, Science. Available at: </w:t>
      </w:r>
      <w:hyperlink r:id="rId22" w:history="1">
        <w:r w:rsidR="009F1854" w:rsidRPr="003C2D56">
          <w:rPr>
            <w:rStyle w:val="Hyperlink"/>
          </w:rPr>
          <w:t>https://sciencebusiness.net/widening/news/ecosystem-polish-biotechs-seek-solid-foundations-future-growth</w:t>
        </w:r>
      </w:hyperlink>
      <w:r w:rsidR="009F1854">
        <w:t xml:space="preserve"> </w:t>
      </w:r>
      <w:r w:rsidRPr="00A50DEB">
        <w:t xml:space="preserve">(Accessed: </w:t>
      </w:r>
      <w:r w:rsidR="009A3870" w:rsidRPr="00A50DEB">
        <w:t>3</w:t>
      </w:r>
      <w:r w:rsidR="009A3870">
        <w:t xml:space="preserve"> </w:t>
      </w:r>
      <w:r w:rsidRPr="00A50DEB">
        <w:t>November 2022).</w:t>
      </w:r>
    </w:p>
    <w:p w14:paraId="1C82D926" w14:textId="16F63BB0" w:rsidR="00913815" w:rsidRDefault="00913815" w:rsidP="00C246C9">
      <w:r w:rsidRPr="00913815">
        <w:t>The Pharmaceutical Intellectual Property and Competition Law Review: Poland (</w:t>
      </w:r>
      <w:r>
        <w:t>2022</w:t>
      </w:r>
      <w:r w:rsidRPr="00913815">
        <w:t xml:space="preserve">) </w:t>
      </w:r>
      <w:r w:rsidRPr="00913815">
        <w:rPr>
          <w:i/>
          <w:iCs/>
        </w:rPr>
        <w:t>The Pharmaceutical Intellectual Property and Competition Law Review - The Law Reviews</w:t>
      </w:r>
      <w:r w:rsidRPr="00913815">
        <w:t xml:space="preserve">. Available at: </w:t>
      </w:r>
      <w:hyperlink r:id="rId23" w:history="1">
        <w:r w:rsidRPr="007C2C32">
          <w:rPr>
            <w:rStyle w:val="Hyperlink"/>
          </w:rPr>
          <w:t>https://thelawreviews.co.uk/title/the-pharmaceutical-intellectual-property-and-competition-law-review/poland</w:t>
        </w:r>
      </w:hyperlink>
      <w:r>
        <w:t xml:space="preserve"> </w:t>
      </w:r>
      <w:r w:rsidRPr="00913815">
        <w:t xml:space="preserve">(Accessed: </w:t>
      </w:r>
      <w:r w:rsidR="008E00B2" w:rsidRPr="00913815">
        <w:t>9</w:t>
      </w:r>
      <w:r w:rsidR="008E00B2">
        <w:t xml:space="preserve"> </w:t>
      </w:r>
      <w:r w:rsidRPr="00913815">
        <w:t>November</w:t>
      </w:r>
      <w:r w:rsidR="008E00B2">
        <w:t xml:space="preserve"> </w:t>
      </w:r>
      <w:r w:rsidRPr="00913815">
        <w:t>2022).</w:t>
      </w:r>
    </w:p>
    <w:p w14:paraId="71B95E23" w14:textId="7C361BA8" w:rsidR="00D912F9" w:rsidRDefault="00D912F9" w:rsidP="00C246C9">
      <w:r w:rsidRPr="006D546D">
        <w:rPr>
          <w:i/>
          <w:iCs/>
        </w:rPr>
        <w:t>Political stability by country, around the world</w:t>
      </w:r>
      <w:r w:rsidRPr="006D546D">
        <w:t xml:space="preserve"> (</w:t>
      </w:r>
      <w:r>
        <w:t>2022</w:t>
      </w:r>
      <w:r w:rsidRPr="006D546D">
        <w:t xml:space="preserve">) TheGlobalEconomy.com. Available at: </w:t>
      </w:r>
      <w:hyperlink r:id="rId24" w:history="1">
        <w:r w:rsidRPr="007C2C32">
          <w:rPr>
            <w:rStyle w:val="Hyperlink"/>
          </w:rPr>
          <w:t>https://www.theglobaleconomy.com/rankings/wb_political_stability/</w:t>
        </w:r>
      </w:hyperlink>
      <w:r>
        <w:t xml:space="preserve"> </w:t>
      </w:r>
      <w:r w:rsidRPr="006D546D">
        <w:t>(Accessed: 20 October 2022).</w:t>
      </w:r>
    </w:p>
    <w:p w14:paraId="2EFDA922" w14:textId="42EBB612" w:rsidR="006270CD" w:rsidRDefault="006270CD" w:rsidP="00C246C9">
      <w:r w:rsidRPr="006270CD">
        <w:t xml:space="preserve">Polska Agencja Inwestycji i Handlu S.A. (no date) </w:t>
      </w:r>
      <w:r w:rsidRPr="006270CD">
        <w:rPr>
          <w:i/>
          <w:iCs/>
        </w:rPr>
        <w:t>Pharmaceuticals</w:t>
      </w:r>
      <w:r w:rsidRPr="006270CD">
        <w:t xml:space="preserve">, www.paih.gov.pl. Available at: </w:t>
      </w:r>
      <w:hyperlink r:id="rId25" w:history="1">
        <w:r w:rsidRPr="007C2C32">
          <w:rPr>
            <w:rStyle w:val="Hyperlink"/>
          </w:rPr>
          <w:t>https://www.paih.gov.pl/sectors/pharmaceutical</w:t>
        </w:r>
      </w:hyperlink>
      <w:r>
        <w:t xml:space="preserve"> </w:t>
      </w:r>
      <w:r w:rsidRPr="006270CD">
        <w:t xml:space="preserve">(Accessed: 11 </w:t>
      </w:r>
      <w:r w:rsidR="008E00B2" w:rsidRPr="006270CD">
        <w:t>November</w:t>
      </w:r>
      <w:r w:rsidR="008E00B2" w:rsidRPr="006270CD">
        <w:t xml:space="preserve"> </w:t>
      </w:r>
      <w:r w:rsidRPr="006270CD">
        <w:t>2022).</w:t>
      </w:r>
    </w:p>
    <w:p w14:paraId="1D76C841" w14:textId="09E350C7" w:rsidR="0010065B" w:rsidRDefault="004E2EFB" w:rsidP="00C246C9">
      <w:r w:rsidRPr="004E2EFB">
        <w:t>S.A, T.P. (</w:t>
      </w:r>
      <w:r>
        <w:t>2021</w:t>
      </w:r>
      <w:r w:rsidRPr="004E2EFB">
        <w:t xml:space="preserve">) </w:t>
      </w:r>
      <w:r w:rsidRPr="004E2EFB">
        <w:rPr>
          <w:i/>
          <w:iCs/>
        </w:rPr>
        <w:t>New Terminal to boost capacity of port in Gdańsk by 50 percent</w:t>
      </w:r>
      <w:r w:rsidRPr="004E2EFB">
        <w:t xml:space="preserve">, TVP World. Available at: </w:t>
      </w:r>
      <w:hyperlink r:id="rId26" w:history="1">
        <w:r w:rsidRPr="007C2C32">
          <w:rPr>
            <w:rStyle w:val="Hyperlink"/>
          </w:rPr>
          <w:t>https://tvpworld.com/55058330/new-terminal-to-boost-capacity-of-port-in-gdansk-by-50-percent</w:t>
        </w:r>
      </w:hyperlink>
      <w:r>
        <w:t xml:space="preserve"> </w:t>
      </w:r>
      <w:r w:rsidRPr="004E2EFB">
        <w:t>(Accessed: 23</w:t>
      </w:r>
      <w:r w:rsidR="00A52ADB">
        <w:t xml:space="preserve"> </w:t>
      </w:r>
      <w:r w:rsidR="00A52ADB" w:rsidRPr="004E2EFB">
        <w:t>Novembe</w:t>
      </w:r>
      <w:r w:rsidR="00A52ADB">
        <w:t xml:space="preserve">r </w:t>
      </w:r>
      <w:r w:rsidRPr="004E2EFB">
        <w:t>2022).</w:t>
      </w:r>
    </w:p>
    <w:p w14:paraId="1B10AB2A" w14:textId="77777777" w:rsidR="00AA1E29" w:rsidRDefault="00AA1E29" w:rsidP="00AA1E29">
      <w:r>
        <w:t xml:space="preserve">STATISTA.COM, </w:t>
      </w:r>
      <w:r w:rsidRPr="00D5496F">
        <w:rPr>
          <w:i/>
          <w:iCs/>
        </w:rPr>
        <w:t>Poland: Gross Domestic Product (GDP) at Current Prices From 1987 to 2027.</w:t>
      </w:r>
      <w:r w:rsidRPr="00AA405A">
        <w:t xml:space="preserve"> Statista.com, </w:t>
      </w:r>
      <w:hyperlink r:id="rId27" w:history="1">
        <w:r w:rsidRPr="007C2C32">
          <w:rPr>
            <w:rStyle w:val="Hyperlink"/>
          </w:rPr>
          <w:t>www.statista.com/statistics/263588/gross-domestic-product-gdp-in-poland</w:t>
        </w:r>
      </w:hyperlink>
      <w:r>
        <w:t xml:space="preserve"> (</w:t>
      </w:r>
      <w:r w:rsidRPr="00AA405A">
        <w:t>Accessed</w:t>
      </w:r>
      <w:r>
        <w:t>:</w:t>
      </w:r>
      <w:r w:rsidRPr="00AA405A">
        <w:t xml:space="preserve"> 28 Nov</w:t>
      </w:r>
      <w:r>
        <w:t>ember</w:t>
      </w:r>
      <w:r w:rsidRPr="00AA405A">
        <w:t xml:space="preserve"> 2022</w:t>
      </w:r>
      <w:r>
        <w:t>)</w:t>
      </w:r>
      <w:r w:rsidRPr="00AA405A">
        <w:t>.</w:t>
      </w:r>
    </w:p>
    <w:p w14:paraId="7882186E" w14:textId="77777777" w:rsidR="00AA1E29" w:rsidRDefault="00AA1E29" w:rsidP="00AA1E29">
      <w:r>
        <w:lastRenderedPageBreak/>
        <w:t xml:space="preserve">STATISTA.COM, </w:t>
      </w:r>
      <w:r w:rsidRPr="008E280B">
        <w:rPr>
          <w:i/>
          <w:iCs/>
        </w:rPr>
        <w:t>Poland: Most Important Environmental Issues 2020 | Statista</w:t>
      </w:r>
      <w:r w:rsidRPr="008E280B">
        <w:t xml:space="preserve">. Statista, </w:t>
      </w:r>
      <w:hyperlink r:id="rId28" w:history="1">
        <w:r w:rsidRPr="007C2C32">
          <w:rPr>
            <w:rStyle w:val="Hyperlink"/>
          </w:rPr>
          <w:t>www.statista.com/statistics/867485/poland-most-important-environmental-issues</w:t>
        </w:r>
      </w:hyperlink>
      <w:r>
        <w:t xml:space="preserve"> (</w:t>
      </w:r>
      <w:r w:rsidRPr="008E280B">
        <w:t>Accessed</w:t>
      </w:r>
      <w:r>
        <w:t>:</w:t>
      </w:r>
      <w:r w:rsidRPr="008E280B">
        <w:t xml:space="preserve"> 11 Nov</w:t>
      </w:r>
      <w:r>
        <w:t>ember</w:t>
      </w:r>
      <w:r w:rsidRPr="008E280B">
        <w:t xml:space="preserve"> 2022</w:t>
      </w:r>
      <w:r>
        <w:t>)</w:t>
      </w:r>
      <w:r w:rsidRPr="008E280B">
        <w:t>.</w:t>
      </w:r>
    </w:p>
    <w:p w14:paraId="76E2A907" w14:textId="413C30A1" w:rsidR="001F3A84" w:rsidRDefault="00AA1E29" w:rsidP="00C246C9">
      <w:r>
        <w:t>STATISTA.COM</w:t>
      </w:r>
      <w:r w:rsidRPr="003A05F8">
        <w:rPr>
          <w:i/>
          <w:iCs/>
        </w:rPr>
        <w:t>, Poland - Total Population 2017-2027 | Statista</w:t>
      </w:r>
      <w:r w:rsidRPr="003A05F8">
        <w:t xml:space="preserve">.” Statista, </w:t>
      </w:r>
      <w:hyperlink r:id="rId29" w:history="1">
        <w:r w:rsidRPr="007C2C32">
          <w:rPr>
            <w:rStyle w:val="Hyperlink"/>
          </w:rPr>
          <w:t>www.statista.com/statistics/263750/total-population-of-poland</w:t>
        </w:r>
      </w:hyperlink>
      <w:r>
        <w:t xml:space="preserve"> (</w:t>
      </w:r>
      <w:r w:rsidRPr="003A05F8">
        <w:t>Accessed</w:t>
      </w:r>
      <w:r>
        <w:t>:</w:t>
      </w:r>
      <w:r w:rsidRPr="003A05F8">
        <w:t xml:space="preserve"> 20 No</w:t>
      </w:r>
      <w:r>
        <w:t xml:space="preserve">vember </w:t>
      </w:r>
      <w:r w:rsidRPr="003A05F8">
        <w:t>2022</w:t>
      </w:r>
      <w:r>
        <w:t>)</w:t>
      </w:r>
      <w:r w:rsidRPr="003A05F8">
        <w:t>.</w:t>
      </w:r>
    </w:p>
    <w:p w14:paraId="5CF12355" w14:textId="024AFFF4" w:rsidR="00AA1E29" w:rsidRDefault="006F1189">
      <w:r w:rsidRPr="00641441">
        <w:rPr>
          <w:i/>
          <w:iCs/>
        </w:rPr>
        <w:t>Totally commited to independent pharmacy</w:t>
      </w:r>
      <w:r w:rsidRPr="006F1189">
        <w:t xml:space="preserve"> (no date) </w:t>
      </w:r>
      <w:r w:rsidR="00641441">
        <w:t xml:space="preserve">Lexon UK </w:t>
      </w:r>
      <w:r w:rsidRPr="006F1189">
        <w:t xml:space="preserve">Home. Available at: </w:t>
      </w:r>
      <w:hyperlink r:id="rId30" w:history="1">
        <w:r w:rsidR="003B005E" w:rsidRPr="007C2C32">
          <w:rPr>
            <w:rStyle w:val="Hyperlink"/>
          </w:rPr>
          <w:t>https://www.lexonuk.com/</w:t>
        </w:r>
      </w:hyperlink>
      <w:r w:rsidR="003B005E">
        <w:t xml:space="preserve"> </w:t>
      </w:r>
      <w:r w:rsidRPr="006F1189">
        <w:t xml:space="preserve">(Accessed: </w:t>
      </w:r>
      <w:r w:rsidR="00A52ADB">
        <w:t xml:space="preserve">2 </w:t>
      </w:r>
      <w:r w:rsidRPr="006F1189">
        <w:t>October 2022).</w:t>
      </w:r>
    </w:p>
    <w:sectPr w:rsidR="00AA1E29" w:rsidSect="00EB4C75">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9120C" w14:textId="77777777" w:rsidR="00D66786" w:rsidRDefault="00D66786" w:rsidP="00EB4C75">
      <w:pPr>
        <w:spacing w:after="0" w:line="240" w:lineRule="auto"/>
      </w:pPr>
      <w:r>
        <w:separator/>
      </w:r>
    </w:p>
  </w:endnote>
  <w:endnote w:type="continuationSeparator" w:id="0">
    <w:p w14:paraId="42DD234C" w14:textId="77777777" w:rsidR="00D66786" w:rsidRDefault="00D66786" w:rsidP="00EB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350160"/>
      <w:docPartObj>
        <w:docPartGallery w:val="Page Numbers (Bottom of Page)"/>
        <w:docPartUnique/>
      </w:docPartObj>
    </w:sdtPr>
    <w:sdtEndPr>
      <w:rPr>
        <w:noProof/>
      </w:rPr>
    </w:sdtEndPr>
    <w:sdtContent>
      <w:p w14:paraId="4BB80F53" w14:textId="3EBA8C52" w:rsidR="00EB4C75" w:rsidRDefault="00EB4C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351AA4" w14:textId="77777777" w:rsidR="00EB4C75" w:rsidRDefault="00EB4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F4AB1" w14:textId="77777777" w:rsidR="00D66786" w:rsidRDefault="00D66786" w:rsidP="00EB4C75">
      <w:pPr>
        <w:spacing w:after="0" w:line="240" w:lineRule="auto"/>
      </w:pPr>
      <w:r>
        <w:separator/>
      </w:r>
    </w:p>
  </w:footnote>
  <w:footnote w:type="continuationSeparator" w:id="0">
    <w:p w14:paraId="3BC6D377" w14:textId="77777777" w:rsidR="00D66786" w:rsidRDefault="00D66786" w:rsidP="00EB4C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C9"/>
    <w:rsid w:val="000139F1"/>
    <w:rsid w:val="000452D0"/>
    <w:rsid w:val="000A77F2"/>
    <w:rsid w:val="000C23E3"/>
    <w:rsid w:val="000C4086"/>
    <w:rsid w:val="000D3D32"/>
    <w:rsid w:val="000E5C90"/>
    <w:rsid w:val="000E69B6"/>
    <w:rsid w:val="000E7B39"/>
    <w:rsid w:val="000F5872"/>
    <w:rsid w:val="0010065B"/>
    <w:rsid w:val="00112794"/>
    <w:rsid w:val="0013664D"/>
    <w:rsid w:val="001732A0"/>
    <w:rsid w:val="001A5C16"/>
    <w:rsid w:val="001E3D74"/>
    <w:rsid w:val="001E638D"/>
    <w:rsid w:val="001F3A84"/>
    <w:rsid w:val="001F5A15"/>
    <w:rsid w:val="00201218"/>
    <w:rsid w:val="00210D6A"/>
    <w:rsid w:val="002164CB"/>
    <w:rsid w:val="00216580"/>
    <w:rsid w:val="00261DD6"/>
    <w:rsid w:val="0028483F"/>
    <w:rsid w:val="002962B2"/>
    <w:rsid w:val="002B7C81"/>
    <w:rsid w:val="002C4505"/>
    <w:rsid w:val="002F29F1"/>
    <w:rsid w:val="002F3FBD"/>
    <w:rsid w:val="0031377C"/>
    <w:rsid w:val="0031761A"/>
    <w:rsid w:val="003512A1"/>
    <w:rsid w:val="003652FB"/>
    <w:rsid w:val="0038458D"/>
    <w:rsid w:val="003A05F8"/>
    <w:rsid w:val="003A0BAF"/>
    <w:rsid w:val="003A4093"/>
    <w:rsid w:val="003A5A83"/>
    <w:rsid w:val="003B005E"/>
    <w:rsid w:val="003B4558"/>
    <w:rsid w:val="003D510F"/>
    <w:rsid w:val="003E7397"/>
    <w:rsid w:val="00400359"/>
    <w:rsid w:val="00410097"/>
    <w:rsid w:val="004135C1"/>
    <w:rsid w:val="00413AA8"/>
    <w:rsid w:val="00414712"/>
    <w:rsid w:val="00417EDD"/>
    <w:rsid w:val="00424185"/>
    <w:rsid w:val="00445F9A"/>
    <w:rsid w:val="00446F74"/>
    <w:rsid w:val="0045047B"/>
    <w:rsid w:val="004549F9"/>
    <w:rsid w:val="00467F4F"/>
    <w:rsid w:val="0049120E"/>
    <w:rsid w:val="004D22BD"/>
    <w:rsid w:val="004E2EFB"/>
    <w:rsid w:val="005366A4"/>
    <w:rsid w:val="0054332F"/>
    <w:rsid w:val="00543600"/>
    <w:rsid w:val="00547732"/>
    <w:rsid w:val="0055250D"/>
    <w:rsid w:val="005616F6"/>
    <w:rsid w:val="00582F9A"/>
    <w:rsid w:val="0059123B"/>
    <w:rsid w:val="005A5D97"/>
    <w:rsid w:val="005B46E2"/>
    <w:rsid w:val="005C47FE"/>
    <w:rsid w:val="005C6060"/>
    <w:rsid w:val="005D159E"/>
    <w:rsid w:val="005F2E2A"/>
    <w:rsid w:val="006201F2"/>
    <w:rsid w:val="006270CD"/>
    <w:rsid w:val="006271CA"/>
    <w:rsid w:val="00641441"/>
    <w:rsid w:val="00662E60"/>
    <w:rsid w:val="0066310C"/>
    <w:rsid w:val="006716E8"/>
    <w:rsid w:val="006772F7"/>
    <w:rsid w:val="006B07D5"/>
    <w:rsid w:val="006D546D"/>
    <w:rsid w:val="006E4340"/>
    <w:rsid w:val="006F1189"/>
    <w:rsid w:val="0073364F"/>
    <w:rsid w:val="00737FA1"/>
    <w:rsid w:val="00750942"/>
    <w:rsid w:val="00781F77"/>
    <w:rsid w:val="00782969"/>
    <w:rsid w:val="007A1044"/>
    <w:rsid w:val="007C6DDC"/>
    <w:rsid w:val="007D6637"/>
    <w:rsid w:val="007E51C8"/>
    <w:rsid w:val="007F7906"/>
    <w:rsid w:val="00803732"/>
    <w:rsid w:val="0080656B"/>
    <w:rsid w:val="00806AA9"/>
    <w:rsid w:val="00810809"/>
    <w:rsid w:val="0081161D"/>
    <w:rsid w:val="008141A2"/>
    <w:rsid w:val="0082657E"/>
    <w:rsid w:val="008267B1"/>
    <w:rsid w:val="0084216D"/>
    <w:rsid w:val="00852438"/>
    <w:rsid w:val="00853CFE"/>
    <w:rsid w:val="00855250"/>
    <w:rsid w:val="00874971"/>
    <w:rsid w:val="008E00B2"/>
    <w:rsid w:val="008E280B"/>
    <w:rsid w:val="008E3555"/>
    <w:rsid w:val="008F6295"/>
    <w:rsid w:val="00913815"/>
    <w:rsid w:val="00914D6F"/>
    <w:rsid w:val="00915DBB"/>
    <w:rsid w:val="009219A7"/>
    <w:rsid w:val="00932AEA"/>
    <w:rsid w:val="009722A0"/>
    <w:rsid w:val="00985C04"/>
    <w:rsid w:val="00987213"/>
    <w:rsid w:val="00993024"/>
    <w:rsid w:val="009A3870"/>
    <w:rsid w:val="009B10A0"/>
    <w:rsid w:val="009B3606"/>
    <w:rsid w:val="009C572D"/>
    <w:rsid w:val="009C7311"/>
    <w:rsid w:val="009E0446"/>
    <w:rsid w:val="009E07F7"/>
    <w:rsid w:val="009E2E69"/>
    <w:rsid w:val="009F1854"/>
    <w:rsid w:val="009F78A6"/>
    <w:rsid w:val="00A013D7"/>
    <w:rsid w:val="00A41C56"/>
    <w:rsid w:val="00A50DEB"/>
    <w:rsid w:val="00A52ADB"/>
    <w:rsid w:val="00A748B6"/>
    <w:rsid w:val="00A85568"/>
    <w:rsid w:val="00A8775A"/>
    <w:rsid w:val="00A92F59"/>
    <w:rsid w:val="00A968A9"/>
    <w:rsid w:val="00AA1E29"/>
    <w:rsid w:val="00AA2998"/>
    <w:rsid w:val="00AA405A"/>
    <w:rsid w:val="00AA54FA"/>
    <w:rsid w:val="00AC061F"/>
    <w:rsid w:val="00AE49EE"/>
    <w:rsid w:val="00AF1D09"/>
    <w:rsid w:val="00B10CB0"/>
    <w:rsid w:val="00B308E1"/>
    <w:rsid w:val="00B3118F"/>
    <w:rsid w:val="00B4589C"/>
    <w:rsid w:val="00B47EE8"/>
    <w:rsid w:val="00B5185D"/>
    <w:rsid w:val="00B55CF1"/>
    <w:rsid w:val="00B921B8"/>
    <w:rsid w:val="00BD69A1"/>
    <w:rsid w:val="00BE6042"/>
    <w:rsid w:val="00C04ECB"/>
    <w:rsid w:val="00C246C9"/>
    <w:rsid w:val="00C27C97"/>
    <w:rsid w:val="00C27E23"/>
    <w:rsid w:val="00C30DA5"/>
    <w:rsid w:val="00C50ADF"/>
    <w:rsid w:val="00C605F5"/>
    <w:rsid w:val="00CB09D2"/>
    <w:rsid w:val="00CC6EF2"/>
    <w:rsid w:val="00CD0B6C"/>
    <w:rsid w:val="00CD2072"/>
    <w:rsid w:val="00CD31C2"/>
    <w:rsid w:val="00D06D40"/>
    <w:rsid w:val="00D219E2"/>
    <w:rsid w:val="00D31D01"/>
    <w:rsid w:val="00D44616"/>
    <w:rsid w:val="00D52B41"/>
    <w:rsid w:val="00D5496F"/>
    <w:rsid w:val="00D65BDF"/>
    <w:rsid w:val="00D66786"/>
    <w:rsid w:val="00D73062"/>
    <w:rsid w:val="00D75C0C"/>
    <w:rsid w:val="00D851EE"/>
    <w:rsid w:val="00D85488"/>
    <w:rsid w:val="00D912F9"/>
    <w:rsid w:val="00DA1BF3"/>
    <w:rsid w:val="00DA4FB5"/>
    <w:rsid w:val="00DE00D7"/>
    <w:rsid w:val="00DE44F4"/>
    <w:rsid w:val="00E2123F"/>
    <w:rsid w:val="00E33500"/>
    <w:rsid w:val="00E44980"/>
    <w:rsid w:val="00E53E20"/>
    <w:rsid w:val="00E54A6B"/>
    <w:rsid w:val="00E61837"/>
    <w:rsid w:val="00E92698"/>
    <w:rsid w:val="00EA1549"/>
    <w:rsid w:val="00EB4C75"/>
    <w:rsid w:val="00EB7B03"/>
    <w:rsid w:val="00EC4EC6"/>
    <w:rsid w:val="00EC561B"/>
    <w:rsid w:val="00EC681E"/>
    <w:rsid w:val="00EE2FD5"/>
    <w:rsid w:val="00EF08AB"/>
    <w:rsid w:val="00F01579"/>
    <w:rsid w:val="00F0179F"/>
    <w:rsid w:val="00F268A9"/>
    <w:rsid w:val="00F620F0"/>
    <w:rsid w:val="00F849B8"/>
    <w:rsid w:val="00FA13C6"/>
    <w:rsid w:val="00FA2DDD"/>
    <w:rsid w:val="00FC53D8"/>
    <w:rsid w:val="00FE3F38"/>
    <w:rsid w:val="00FF08EE"/>
    <w:rsid w:val="00FF1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F3EC7"/>
  <w15:chartTrackingRefBased/>
  <w15:docId w15:val="{3A67ED32-451D-4184-98F9-5054850C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6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6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46C9"/>
    <w:pPr>
      <w:outlineLvl w:val="9"/>
    </w:pPr>
    <w:rPr>
      <w:lang w:val="en-US"/>
    </w:rPr>
  </w:style>
  <w:style w:type="character" w:customStyle="1" w:styleId="Heading2Char">
    <w:name w:val="Heading 2 Char"/>
    <w:basedOn w:val="DefaultParagraphFont"/>
    <w:link w:val="Heading2"/>
    <w:uiPriority w:val="9"/>
    <w:rsid w:val="00C246C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246C9"/>
    <w:pPr>
      <w:spacing w:after="100"/>
    </w:pPr>
  </w:style>
  <w:style w:type="paragraph" w:styleId="TOC2">
    <w:name w:val="toc 2"/>
    <w:basedOn w:val="Normal"/>
    <w:next w:val="Normal"/>
    <w:autoRedefine/>
    <w:uiPriority w:val="39"/>
    <w:unhideWhenUsed/>
    <w:rsid w:val="00C246C9"/>
    <w:pPr>
      <w:spacing w:after="100"/>
      <w:ind w:left="220"/>
    </w:pPr>
  </w:style>
  <w:style w:type="character" w:styleId="Hyperlink">
    <w:name w:val="Hyperlink"/>
    <w:basedOn w:val="DefaultParagraphFont"/>
    <w:uiPriority w:val="99"/>
    <w:unhideWhenUsed/>
    <w:rsid w:val="00C246C9"/>
    <w:rPr>
      <w:color w:val="0563C1" w:themeColor="hyperlink"/>
      <w:u w:val="single"/>
    </w:rPr>
  </w:style>
  <w:style w:type="paragraph" w:styleId="Header">
    <w:name w:val="header"/>
    <w:basedOn w:val="Normal"/>
    <w:link w:val="HeaderChar"/>
    <w:uiPriority w:val="99"/>
    <w:unhideWhenUsed/>
    <w:rsid w:val="00EB4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C75"/>
  </w:style>
  <w:style w:type="paragraph" w:styleId="Footer">
    <w:name w:val="footer"/>
    <w:basedOn w:val="Normal"/>
    <w:link w:val="FooterChar"/>
    <w:uiPriority w:val="99"/>
    <w:unhideWhenUsed/>
    <w:rsid w:val="00EB4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C75"/>
  </w:style>
  <w:style w:type="paragraph" w:styleId="NoSpacing">
    <w:name w:val="No Spacing"/>
    <w:link w:val="NoSpacingChar"/>
    <w:uiPriority w:val="1"/>
    <w:qFormat/>
    <w:rsid w:val="00EB4C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4C75"/>
    <w:rPr>
      <w:rFonts w:eastAsiaTheme="minorEastAsia"/>
      <w:lang w:val="en-US"/>
    </w:rPr>
  </w:style>
  <w:style w:type="character" w:styleId="UnresolvedMention">
    <w:name w:val="Unresolved Mention"/>
    <w:basedOn w:val="DefaultParagraphFont"/>
    <w:uiPriority w:val="99"/>
    <w:semiHidden/>
    <w:unhideWhenUsed/>
    <w:rsid w:val="00E33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oomberg.com/news/newsletters/2022-10-13/supply-chain-latest-poland-s-gdansk-port-plans-major-expansion" TargetMode="External"/><Relationship Id="rId18" Type="http://schemas.openxmlformats.org/officeDocument/2006/relationships/hyperlink" Target="https://www.researchandmarkets.com/reports/5578209/antidepressant-drugs-market-by-product?utm_source=GNOM&amp;amp;utm_medium=PressRelease&amp;amp;utm_code=w44qv9&amp;amp;utm_campaign=1714717%2B-%2BGlobal%2BAntidepressant%2BDrugs%2BMarket%2BReport%2Bto%2B2030%2B-%2BOpportunity%2BAnalysis%2Band%2BIndustry%2BForecasts&amp;amp;utm_exec=jamu273prd" TargetMode="External"/><Relationship Id="rId26" Type="http://schemas.openxmlformats.org/officeDocument/2006/relationships/hyperlink" Target="https://tvpworld.com/55058330/new-terminal-to-boost-capacity-of-port-in-gdansk-by-50-percent" TargetMode="External"/><Relationship Id="rId3" Type="http://schemas.openxmlformats.org/officeDocument/2006/relationships/styles" Target="styles.xml"/><Relationship Id="rId21" Type="http://schemas.openxmlformats.org/officeDocument/2006/relationships/hyperlink" Target="https://www.bloomberg.com/news/articles/2022-09-01/poland-seeks-nazi-wartime-damages-over-1-3-trillion-in-losses?leadSource=uverify+wal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opeanbusinessmagazine.com/business/poland-is-the-emerging-tech-hub-of-europe/" TargetMode="External"/><Relationship Id="rId17" Type="http://schemas.openxmlformats.org/officeDocument/2006/relationships/hyperlink" Target="https://www.thepharmaletter.com/article/the-transition-to-brexit-what-s-next-for-the-uk-s-pharmaceutical-industry" TargetMode="External"/><Relationship Id="rId25" Type="http://schemas.openxmlformats.org/officeDocument/2006/relationships/hyperlink" Target="https://www.paih.gov.pl/sectors/pharmaceutical"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investgda.pl/en/" TargetMode="External"/><Relationship Id="rId20" Type="http://schemas.openxmlformats.org/officeDocument/2006/relationships/hyperlink" Target="http://www.s-ge.com/en/article/news/2022-e-infra-poland-c5-railway-innovation-modernization" TargetMode="External"/><Relationship Id="rId29" Type="http://schemas.openxmlformats.org/officeDocument/2006/relationships/hyperlink" Target="http://www.statista.com/statistics/263750/total-population-of-po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globaleconomy.com/rankings/wb_political_stabilit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re.ac.uk/display/334583436" TargetMode="External"/><Relationship Id="rId23" Type="http://schemas.openxmlformats.org/officeDocument/2006/relationships/hyperlink" Target="https://thelawreviews.co.uk/title/the-pharmaceutical-intellectual-property-and-competition-law-review/poland" TargetMode="External"/><Relationship Id="rId28" Type="http://schemas.openxmlformats.org/officeDocument/2006/relationships/hyperlink" Target="http://www.statista.com/statistics/867485/poland-most-important-environmental-issues" TargetMode="External"/><Relationship Id="rId10" Type="http://schemas.openxmlformats.org/officeDocument/2006/relationships/image" Target="media/image3.png"/><Relationship Id="rId19" Type="http://schemas.openxmlformats.org/officeDocument/2006/relationships/hyperlink" Target="https://www.bloomberg.com/news/articles/2022-11-21/uk-plugs-eu-science-gap-with-484-million-research-funding?leadSource=uverify+wal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keypharma.co.uk/about/" TargetMode="External"/><Relationship Id="rId22" Type="http://schemas.openxmlformats.org/officeDocument/2006/relationships/hyperlink" Target="https://sciencebusiness.net/widening/news/ecosystem-polish-biotechs-seek-solid-foundations-future-growth" TargetMode="External"/><Relationship Id="rId27" Type="http://schemas.openxmlformats.org/officeDocument/2006/relationships/hyperlink" Target="http://www.statista.com/statistics/263588/gross-domestic-product-gdp-in-poland" TargetMode="External"/><Relationship Id="rId30" Type="http://schemas.openxmlformats.org/officeDocument/2006/relationships/hyperlink" Target="https://www.lexonuk.com/"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DEA30633F745AAA04A906EB55B3F14"/>
        <w:category>
          <w:name w:val="General"/>
          <w:gallery w:val="placeholder"/>
        </w:category>
        <w:types>
          <w:type w:val="bbPlcHdr"/>
        </w:types>
        <w:behaviors>
          <w:behavior w:val="content"/>
        </w:behaviors>
        <w:guid w:val="{A80E909F-AD15-4E5A-806D-A5D812EE6F63}"/>
      </w:docPartPr>
      <w:docPartBody>
        <w:p w:rsidR="004C6869" w:rsidRDefault="001B2B67" w:rsidP="001B2B67">
          <w:pPr>
            <w:pStyle w:val="9CDEA30633F745AAA04A906EB55B3F14"/>
          </w:pPr>
          <w:r>
            <w:rPr>
              <w:rFonts w:asciiTheme="majorHAnsi" w:eastAsiaTheme="majorEastAsia" w:hAnsiTheme="majorHAnsi" w:cstheme="majorBidi"/>
              <w:caps/>
              <w:color w:val="4472C4" w:themeColor="accent1"/>
              <w:sz w:val="80"/>
              <w:szCs w:val="80"/>
            </w:rPr>
            <w:t>[Document title]</w:t>
          </w:r>
        </w:p>
      </w:docPartBody>
    </w:docPart>
    <w:docPart>
      <w:docPartPr>
        <w:name w:val="807FEB3C26B6410F8F7A077D38C52A02"/>
        <w:category>
          <w:name w:val="General"/>
          <w:gallery w:val="placeholder"/>
        </w:category>
        <w:types>
          <w:type w:val="bbPlcHdr"/>
        </w:types>
        <w:behaviors>
          <w:behavior w:val="content"/>
        </w:behaviors>
        <w:guid w:val="{931A4582-BEEA-4FC2-9003-3872EE926493}"/>
      </w:docPartPr>
      <w:docPartBody>
        <w:p w:rsidR="004C6869" w:rsidRDefault="001B2B67" w:rsidP="001B2B67">
          <w:pPr>
            <w:pStyle w:val="807FEB3C26B6410F8F7A077D38C52A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67"/>
    <w:rsid w:val="000B4651"/>
    <w:rsid w:val="001B2B67"/>
    <w:rsid w:val="004C6869"/>
    <w:rsid w:val="00596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DEA30633F745AAA04A906EB55B3F14">
    <w:name w:val="9CDEA30633F745AAA04A906EB55B3F14"/>
    <w:rsid w:val="001B2B67"/>
  </w:style>
  <w:style w:type="paragraph" w:customStyle="1" w:styleId="807FEB3C26B6410F8F7A077D38C52A02">
    <w:name w:val="807FEB3C26B6410F8F7A077D38C52A02"/>
    <w:rsid w:val="001B2B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2218625</PublishDate>
  <Abstract/>
  <CompanyAddress>TUTOR: DR. NADEEM MIRZA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073324-D06D-4322-A1E2-7EB7838A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10</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STUDENT NAME: SZABOLCS ISASZEGI-TOTH</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MODULE CODE: LCBB4005</dc:subject>
  <dc:creator>Adrien Csernai</dc:creator>
  <cp:keywords/>
  <dc:description/>
  <cp:lastModifiedBy>Adrien Csernai</cp:lastModifiedBy>
  <cp:revision>201</cp:revision>
  <dcterms:created xsi:type="dcterms:W3CDTF">2022-11-27T21:14:00Z</dcterms:created>
  <dcterms:modified xsi:type="dcterms:W3CDTF">2022-11-28T13:18:00Z</dcterms:modified>
</cp:coreProperties>
</file>