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Lie detection and polygraph test; uses, development, techniques and validity</w:t>
      </w:r>
    </w:p>
    <w:p w:rsidR="00000000" w:rsidDel="00000000" w:rsidP="00000000" w:rsidRDefault="00000000" w:rsidRPr="00000000" w14:paraId="00000002">
      <w:pPr>
        <w:jc w:val="center"/>
        <w:rPr>
          <w:sz w:val="24"/>
          <w:szCs w:val="24"/>
          <w:u w:val="single"/>
        </w:rPr>
      </w:pPr>
      <w:r w:rsidDel="00000000" w:rsidR="00000000" w:rsidRPr="00000000">
        <w:rPr>
          <w:rtl w:val="0"/>
        </w:rPr>
      </w:r>
    </w:p>
    <w:p w:rsidR="00000000" w:rsidDel="00000000" w:rsidP="00000000" w:rsidRDefault="00000000" w:rsidRPr="00000000" w14:paraId="00000003">
      <w:pPr>
        <w:spacing w:line="240" w:lineRule="auto"/>
        <w:ind w:left="720" w:hanging="720"/>
        <w:rPr/>
      </w:pPr>
      <w:r w:rsidDel="00000000" w:rsidR="00000000" w:rsidRPr="00000000">
        <w:rPr>
          <w:rtl w:val="0"/>
        </w:rPr>
        <w:t xml:space="preserve">The infographic discussed here presents a timeline of the development of the polygraph and the </w:t>
      </w:r>
    </w:p>
    <w:p w:rsidR="00000000" w:rsidDel="00000000" w:rsidP="00000000" w:rsidRDefault="00000000" w:rsidRPr="00000000" w14:paraId="00000004">
      <w:pPr>
        <w:spacing w:line="240" w:lineRule="auto"/>
        <w:ind w:left="0" w:firstLine="0"/>
        <w:rPr/>
      </w:pPr>
      <w:r w:rsidDel="00000000" w:rsidR="00000000" w:rsidRPr="00000000">
        <w:rPr>
          <w:rtl w:val="0"/>
        </w:rPr>
        <w:t xml:space="preserve">questioning techniques used. The timeline begins in 1914 when Vittorio Bennussi published a paper recording his findings on the correlation between changes in respiration and lying</w:t>
      </w:r>
      <w:r w:rsidDel="00000000" w:rsidR="00000000" w:rsidRPr="00000000">
        <w:rPr>
          <w:vertAlign w:val="superscript"/>
        </w:rPr>
        <w:footnoteReference w:customMarkFollows="0" w:id="0"/>
      </w:r>
      <w:r w:rsidDel="00000000" w:rsidR="00000000" w:rsidRPr="00000000">
        <w:rPr>
          <w:rtl w:val="0"/>
        </w:rPr>
        <w:t xml:space="preserve">. He found that there was an increase in the rate of a person’s respiration rate when telling lies. Then slightly later in 1915 William M.Marston invents the discontinuous systolic blood pressure test for lie detection</w:t>
      </w:r>
      <w:r w:rsidDel="00000000" w:rsidR="00000000" w:rsidRPr="00000000">
        <w:rPr>
          <w:vertAlign w:val="superscript"/>
        </w:rPr>
        <w:footnoteReference w:customMarkFollows="0" w:id="1"/>
      </w:r>
      <w:r w:rsidDel="00000000" w:rsidR="00000000" w:rsidRPr="00000000">
        <w:rPr>
          <w:rtl w:val="0"/>
        </w:rPr>
        <w:t xml:space="preserve">. Systolic blood pressure refers to the larger number that appears on a sphygmomanometer (machine that measures blood pressure). This number represents the pressure in the blood vessels during a contraction of the heart muscle</w:t>
      </w:r>
      <w:r w:rsidDel="00000000" w:rsidR="00000000" w:rsidRPr="00000000">
        <w:rPr>
          <w:vertAlign w:val="superscript"/>
        </w:rPr>
        <w:footnoteReference w:customMarkFollows="0" w:id="2"/>
      </w:r>
      <w:r w:rsidDel="00000000" w:rsidR="00000000" w:rsidRPr="00000000">
        <w:rPr>
          <w:rtl w:val="0"/>
        </w:rPr>
        <w:t xml:space="preserve">. According to Marston’s findings a person’s systolic blood pressure would rise if they were being untruthful. However, it was in 1895 when Cesare Lombroso, an infamous criminologist first began experimenting with using blood pressure to find out if someone was telling the truth</w:t>
      </w:r>
      <w:r w:rsidDel="00000000" w:rsidR="00000000" w:rsidRPr="00000000">
        <w:rPr>
          <w:vertAlign w:val="superscript"/>
        </w:rPr>
        <w:footnoteReference w:customMarkFollows="0" w:id="3"/>
      </w:r>
      <w:r w:rsidDel="00000000" w:rsidR="00000000" w:rsidRPr="00000000">
        <w:rPr>
          <w:rtl w:val="0"/>
        </w:rPr>
        <w:t xml:space="preserve">. He designed a contraption that could detect how much blood flows into their hands</w:t>
      </w:r>
      <w:r w:rsidDel="00000000" w:rsidR="00000000" w:rsidRPr="00000000">
        <w:rPr>
          <w:vertAlign w:val="superscript"/>
        </w:rPr>
        <w:footnoteReference w:customMarkFollows="0" w:id="4"/>
      </w:r>
      <w:r w:rsidDel="00000000" w:rsidR="00000000" w:rsidRPr="00000000">
        <w:rPr>
          <w:rtl w:val="0"/>
        </w:rPr>
        <w:t xml:space="preserve">. So, although the timeline on the infographic starts in 1914 the real beginning for the development of the modern lie detector known as the polygraph test was in 1895.</w:t>
      </w:r>
    </w:p>
    <w:p w:rsidR="00000000" w:rsidDel="00000000" w:rsidP="00000000" w:rsidRDefault="00000000" w:rsidRPr="00000000" w14:paraId="00000005">
      <w:pPr>
        <w:spacing w:line="240" w:lineRule="auto"/>
        <w:ind w:left="0" w:firstLine="0"/>
        <w:rPr/>
      </w:pPr>
      <w:r w:rsidDel="00000000" w:rsidR="00000000" w:rsidRPr="00000000">
        <w:rPr>
          <w:rtl w:val="0"/>
        </w:rPr>
      </w:r>
    </w:p>
    <w:p w:rsidR="00000000" w:rsidDel="00000000" w:rsidP="00000000" w:rsidRDefault="00000000" w:rsidRPr="00000000" w14:paraId="00000006">
      <w:pPr>
        <w:spacing w:line="240" w:lineRule="auto"/>
        <w:ind w:left="0" w:firstLine="0"/>
        <w:rPr/>
      </w:pPr>
      <w:r w:rsidDel="00000000" w:rsidR="00000000" w:rsidRPr="00000000">
        <w:rPr>
          <w:rtl w:val="0"/>
        </w:rPr>
        <w:t xml:space="preserve">John A.Larson built on the work of Marston, Benussi and Lombroso by inventing a machine that simultaneously measured heart rate, rate of respiration and blood pressure in 1921</w:t>
      </w:r>
      <w:r w:rsidDel="00000000" w:rsidR="00000000" w:rsidRPr="00000000">
        <w:rPr>
          <w:vertAlign w:val="superscript"/>
        </w:rPr>
        <w:footnoteReference w:customMarkFollows="0" w:id="5"/>
      </w:r>
      <w:r w:rsidDel="00000000" w:rsidR="00000000" w:rsidRPr="00000000">
        <w:rPr>
          <w:rtl w:val="0"/>
        </w:rPr>
        <w:t xml:space="preserve">. It was shortly after this in 1923 when the polygraph was dismissed for use as criminal evidence in court. Marston tried to have the results of a polygraph permitted in court in the case of the United States v Frye</w:t>
      </w:r>
      <w:r w:rsidDel="00000000" w:rsidR="00000000" w:rsidRPr="00000000">
        <w:rPr>
          <w:vertAlign w:val="superscript"/>
        </w:rPr>
        <w:footnoteReference w:customMarkFollows="0" w:id="6"/>
      </w:r>
      <w:r w:rsidDel="00000000" w:rsidR="00000000" w:rsidRPr="00000000">
        <w:rPr>
          <w:rtl w:val="0"/>
        </w:rPr>
        <w:t xml:space="preserve">. His findings were not allowed to be used as evidence because the court ruled them to be unreliable, stating that the polygraph was not sufficiently established</w:t>
      </w:r>
      <w:r w:rsidDel="00000000" w:rsidR="00000000" w:rsidRPr="00000000">
        <w:rPr>
          <w:vertAlign w:val="superscript"/>
        </w:rPr>
        <w:footnoteReference w:customMarkFollows="0" w:id="7"/>
      </w:r>
      <w:r w:rsidDel="00000000" w:rsidR="00000000" w:rsidRPr="00000000">
        <w:rPr>
          <w:rtl w:val="0"/>
        </w:rPr>
        <w:t xml:space="preserve">. In other words, it had not yet been widely accepted in the scientific community as a valid test. </w:t>
      </w:r>
    </w:p>
    <w:p w:rsidR="00000000" w:rsidDel="00000000" w:rsidP="00000000" w:rsidRDefault="00000000" w:rsidRPr="00000000" w14:paraId="00000007">
      <w:pPr>
        <w:spacing w:line="240" w:lineRule="auto"/>
        <w:ind w:left="0" w:firstLine="0"/>
        <w:rPr/>
      </w:pPr>
      <w:r w:rsidDel="00000000" w:rsidR="00000000" w:rsidRPr="00000000">
        <w:rPr>
          <w:rtl w:val="0"/>
        </w:rPr>
      </w:r>
    </w:p>
    <w:p w:rsidR="00000000" w:rsidDel="00000000" w:rsidP="00000000" w:rsidRDefault="00000000" w:rsidRPr="00000000" w14:paraId="00000008">
      <w:pPr>
        <w:spacing w:line="240" w:lineRule="auto"/>
        <w:ind w:left="0" w:firstLine="0"/>
        <w:rPr/>
      </w:pPr>
      <w:r w:rsidDel="00000000" w:rsidR="00000000" w:rsidRPr="00000000">
        <w:rPr>
          <w:rtl w:val="0"/>
        </w:rPr>
        <w:t xml:space="preserve">In 1930 Leodarde Keeler devised a new type of questioning to use with the polygraph known as the relevant/irrelevant technique or RIT</w:t>
      </w:r>
      <w:r w:rsidDel="00000000" w:rsidR="00000000" w:rsidRPr="00000000">
        <w:rPr>
          <w:vertAlign w:val="superscript"/>
        </w:rPr>
        <w:footnoteReference w:customMarkFollows="0" w:id="8"/>
      </w:r>
      <w:r w:rsidDel="00000000" w:rsidR="00000000" w:rsidRPr="00000000">
        <w:rPr>
          <w:rtl w:val="0"/>
        </w:rPr>
        <w:t xml:space="preserve">. This requires the examiner to ask some questions that are irrelevant to the lie or crime and a target question which is relevant to the lie or crime. For example, if Lilly, a 33 year old professional bullfighter was suspected of stealing the village award for best scarecrow in the county the examiner would ask some questions that are irrelevant to the crime:</w:t>
      </w:r>
    </w:p>
    <w:p w:rsidR="00000000" w:rsidDel="00000000" w:rsidP="00000000" w:rsidRDefault="00000000" w:rsidRPr="00000000" w14:paraId="00000009">
      <w:pPr>
        <w:spacing w:line="240" w:lineRule="auto"/>
        <w:ind w:left="720" w:firstLine="0"/>
        <w:rPr/>
      </w:pPr>
      <w:r w:rsidDel="00000000" w:rsidR="00000000" w:rsidRPr="00000000">
        <w:rPr>
          <w:rtl w:val="0"/>
        </w:rPr>
      </w:r>
    </w:p>
    <w:p w:rsidR="00000000" w:rsidDel="00000000" w:rsidP="00000000" w:rsidRDefault="00000000" w:rsidRPr="00000000" w14:paraId="0000000A">
      <w:pPr>
        <w:numPr>
          <w:ilvl w:val="0"/>
          <w:numId w:val="1"/>
        </w:numPr>
        <w:spacing w:line="240" w:lineRule="auto"/>
        <w:ind w:left="720" w:hanging="360"/>
        <w:rPr>
          <w:u w:val="none"/>
        </w:rPr>
      </w:pPr>
      <w:r w:rsidDel="00000000" w:rsidR="00000000" w:rsidRPr="00000000">
        <w:rPr>
          <w:rtl w:val="0"/>
        </w:rPr>
        <w:t xml:space="preserve">Is your name Lilly?</w:t>
      </w:r>
    </w:p>
    <w:p w:rsidR="00000000" w:rsidDel="00000000" w:rsidP="00000000" w:rsidRDefault="00000000" w:rsidRPr="00000000" w14:paraId="0000000B">
      <w:pPr>
        <w:numPr>
          <w:ilvl w:val="0"/>
          <w:numId w:val="1"/>
        </w:numPr>
        <w:spacing w:line="240" w:lineRule="auto"/>
        <w:ind w:left="720" w:hanging="360"/>
        <w:rPr>
          <w:u w:val="none"/>
        </w:rPr>
      </w:pPr>
      <w:r w:rsidDel="00000000" w:rsidR="00000000" w:rsidRPr="00000000">
        <w:rPr>
          <w:rtl w:val="0"/>
        </w:rPr>
        <w:t xml:space="preserve">Are you a professional Bullfighter?</w:t>
      </w:r>
    </w:p>
    <w:p w:rsidR="00000000" w:rsidDel="00000000" w:rsidP="00000000" w:rsidRDefault="00000000" w:rsidRPr="00000000" w14:paraId="0000000C">
      <w:pPr>
        <w:spacing w:line="240" w:lineRule="auto"/>
        <w:ind w:left="0" w:firstLine="0"/>
        <w:rPr/>
      </w:pPr>
      <w:r w:rsidDel="00000000" w:rsidR="00000000" w:rsidRPr="00000000">
        <w:rPr>
          <w:rtl w:val="0"/>
        </w:rPr>
      </w:r>
    </w:p>
    <w:p w:rsidR="00000000" w:rsidDel="00000000" w:rsidP="00000000" w:rsidRDefault="00000000" w:rsidRPr="00000000" w14:paraId="0000000D">
      <w:pPr>
        <w:spacing w:line="240" w:lineRule="auto"/>
        <w:ind w:left="0" w:firstLine="0"/>
        <w:rPr/>
      </w:pPr>
      <w:r w:rsidDel="00000000" w:rsidR="00000000" w:rsidRPr="00000000">
        <w:rPr>
          <w:rtl w:val="0"/>
        </w:rPr>
        <w:t xml:space="preserve">Then they would ask a question that is relevant to the heinous crime:</w:t>
      </w:r>
    </w:p>
    <w:p w:rsidR="00000000" w:rsidDel="00000000" w:rsidP="00000000" w:rsidRDefault="00000000" w:rsidRPr="00000000" w14:paraId="0000000E">
      <w:pPr>
        <w:spacing w:line="240" w:lineRule="auto"/>
        <w:ind w:left="0" w:firstLine="0"/>
        <w:rPr/>
      </w:pPr>
      <w:r w:rsidDel="00000000" w:rsidR="00000000" w:rsidRPr="00000000">
        <w:rPr>
          <w:rtl w:val="0"/>
        </w:rPr>
      </w:r>
    </w:p>
    <w:p w:rsidR="00000000" w:rsidDel="00000000" w:rsidP="00000000" w:rsidRDefault="00000000" w:rsidRPr="00000000" w14:paraId="0000000F">
      <w:pPr>
        <w:numPr>
          <w:ilvl w:val="0"/>
          <w:numId w:val="2"/>
        </w:numPr>
        <w:spacing w:line="240" w:lineRule="auto"/>
        <w:ind w:left="720" w:hanging="360"/>
        <w:rPr>
          <w:u w:val="none"/>
        </w:rPr>
      </w:pPr>
      <w:r w:rsidDel="00000000" w:rsidR="00000000" w:rsidRPr="00000000">
        <w:rPr>
          <w:rtl w:val="0"/>
        </w:rPr>
        <w:t xml:space="preserve">Did you steal the award for best scarecrow in the county?</w:t>
      </w:r>
    </w:p>
    <w:p w:rsidR="00000000" w:rsidDel="00000000" w:rsidP="00000000" w:rsidRDefault="00000000" w:rsidRPr="00000000" w14:paraId="00000010">
      <w:pPr>
        <w:spacing w:line="240" w:lineRule="auto"/>
        <w:ind w:left="0" w:firstLine="0"/>
        <w:rPr/>
      </w:pPr>
      <w:r w:rsidDel="00000000" w:rsidR="00000000" w:rsidRPr="00000000">
        <w:rPr>
          <w:rtl w:val="0"/>
        </w:rPr>
        <w:t xml:space="preserve">The first irrelevant questions establish a baseline for the examiner to work with, that way any change in respiration, heart rate and or blood pressure can be measured in relation to the baseline. To put it differently, if Lilly is guilty of stealing the award her response to the relevant question should be marked differently then when she answered the irrelevant ones, and if she is innocent they would be the same.</w:t>
      </w:r>
    </w:p>
    <w:p w:rsidR="00000000" w:rsidDel="00000000" w:rsidP="00000000" w:rsidRDefault="00000000" w:rsidRPr="00000000" w14:paraId="00000011">
      <w:pPr>
        <w:spacing w:line="240" w:lineRule="auto"/>
        <w:ind w:left="0" w:firstLine="0"/>
        <w:rPr/>
      </w:pPr>
      <w:r w:rsidDel="00000000" w:rsidR="00000000" w:rsidRPr="00000000">
        <w:rPr>
          <w:rtl w:val="0"/>
        </w:rPr>
      </w:r>
    </w:p>
    <w:p w:rsidR="00000000" w:rsidDel="00000000" w:rsidP="00000000" w:rsidRDefault="00000000" w:rsidRPr="00000000" w14:paraId="00000012">
      <w:pPr>
        <w:spacing w:line="240" w:lineRule="auto"/>
        <w:ind w:left="0" w:firstLine="0"/>
        <w:rPr/>
      </w:pPr>
      <w:r w:rsidDel="00000000" w:rsidR="00000000" w:rsidRPr="00000000">
        <w:rPr>
          <w:rtl w:val="0"/>
        </w:rPr>
        <w:t xml:space="preserve">Keller was also responsible for making the polygraph machine portable and for designing the GSR or galvanic skin response in 1938. The GSR is the change in sweat gland activity that reflects emotional arousal</w:t>
      </w:r>
      <w:r w:rsidDel="00000000" w:rsidR="00000000" w:rsidRPr="00000000">
        <w:rPr>
          <w:vertAlign w:val="superscript"/>
        </w:rPr>
        <w:footnoteReference w:customMarkFollows="0" w:id="9"/>
      </w:r>
      <w:r w:rsidDel="00000000" w:rsidR="00000000" w:rsidRPr="00000000">
        <w:rPr>
          <w:rtl w:val="0"/>
        </w:rPr>
        <w:t xml:space="preserve">. So that when a guilty person responds to a relevant question their emotional arousal increases and can be recorded. It should be noted here that, as shown on the timeline, by the 1970’s the GSR was widely considered to be the most reliable element of the polygraph test. When there are significant peaks in response to stimulus it is called event related skin conductance response (ER-SCR)</w:t>
      </w:r>
      <w:r w:rsidDel="00000000" w:rsidR="00000000" w:rsidRPr="00000000">
        <w:rPr>
          <w:vertAlign w:val="superscript"/>
        </w:rPr>
        <w:footnoteReference w:customMarkFollows="0" w:id="10"/>
      </w:r>
      <w:r w:rsidDel="00000000" w:rsidR="00000000" w:rsidRPr="00000000">
        <w:rPr>
          <w:rtl w:val="0"/>
        </w:rPr>
        <w:t xml:space="preserve">. </w:t>
      </w:r>
    </w:p>
    <w:p w:rsidR="00000000" w:rsidDel="00000000" w:rsidP="00000000" w:rsidRDefault="00000000" w:rsidRPr="00000000" w14:paraId="00000013">
      <w:pPr>
        <w:spacing w:line="240" w:lineRule="auto"/>
        <w:ind w:left="0" w:firstLine="0"/>
        <w:rPr/>
      </w:pPr>
      <w:r w:rsidDel="00000000" w:rsidR="00000000" w:rsidRPr="00000000">
        <w:rPr>
          <w:rtl w:val="0"/>
        </w:rPr>
      </w:r>
    </w:p>
    <w:p w:rsidR="00000000" w:rsidDel="00000000" w:rsidP="00000000" w:rsidRDefault="00000000" w:rsidRPr="00000000" w14:paraId="00000014">
      <w:pPr>
        <w:spacing w:line="240" w:lineRule="auto"/>
        <w:ind w:left="0" w:firstLine="0"/>
        <w:rPr/>
      </w:pPr>
      <w:r w:rsidDel="00000000" w:rsidR="00000000" w:rsidRPr="00000000">
        <w:rPr>
          <w:rtl w:val="0"/>
        </w:rPr>
        <w:t xml:space="preserve">Then, in 1947 John E.Reid modified Keller's RIT form of questions into his own brand known as the control question test (CQT). The CQT is similar to the RIT in that it has two types of questions, a relevant question and the control questions. The CQT is more widely used than the RIT as it is considered more reliable. The control questions are not irrelevant like they are in RIT, instead they are indirectly related to the misdemeanor. For example, our friend the bullfighter Lilly might be asked some control questions such as: </w:t>
      </w:r>
    </w:p>
    <w:p w:rsidR="00000000" w:rsidDel="00000000" w:rsidP="00000000" w:rsidRDefault="00000000" w:rsidRPr="00000000" w14:paraId="00000015">
      <w:pPr>
        <w:spacing w:line="240" w:lineRule="auto"/>
        <w:rPr/>
      </w:pPr>
      <w:r w:rsidDel="00000000" w:rsidR="00000000" w:rsidRPr="00000000">
        <w:rPr>
          <w:rtl w:val="0"/>
        </w:rPr>
      </w:r>
    </w:p>
    <w:p w:rsidR="00000000" w:rsidDel="00000000" w:rsidP="00000000" w:rsidRDefault="00000000" w:rsidRPr="00000000" w14:paraId="00000016">
      <w:pPr>
        <w:numPr>
          <w:ilvl w:val="0"/>
          <w:numId w:val="4"/>
        </w:numPr>
        <w:spacing w:line="240" w:lineRule="auto"/>
        <w:ind w:left="720" w:hanging="360"/>
        <w:rPr>
          <w:u w:val="none"/>
        </w:rPr>
      </w:pPr>
      <w:r w:rsidDel="00000000" w:rsidR="00000000" w:rsidRPr="00000000">
        <w:rPr>
          <w:rtl w:val="0"/>
        </w:rPr>
        <w:t xml:space="preserve">Have you ever stolen anything?</w:t>
      </w:r>
    </w:p>
    <w:p w:rsidR="00000000" w:rsidDel="00000000" w:rsidP="00000000" w:rsidRDefault="00000000" w:rsidRPr="00000000" w14:paraId="00000017">
      <w:pPr>
        <w:numPr>
          <w:ilvl w:val="0"/>
          <w:numId w:val="4"/>
        </w:numPr>
        <w:spacing w:line="240" w:lineRule="auto"/>
        <w:ind w:left="720" w:hanging="360"/>
        <w:rPr>
          <w:u w:val="none"/>
        </w:rPr>
      </w:pPr>
      <w:r w:rsidDel="00000000" w:rsidR="00000000" w:rsidRPr="00000000">
        <w:rPr>
          <w:rtl w:val="0"/>
        </w:rPr>
        <w:t xml:space="preserve">Have you ever stolen anything from a village council? </w:t>
      </w:r>
    </w:p>
    <w:p w:rsidR="00000000" w:rsidDel="00000000" w:rsidP="00000000" w:rsidRDefault="00000000" w:rsidRPr="00000000" w14:paraId="00000018">
      <w:pPr>
        <w:numPr>
          <w:ilvl w:val="0"/>
          <w:numId w:val="4"/>
        </w:numPr>
        <w:spacing w:line="240" w:lineRule="auto"/>
        <w:ind w:left="720" w:hanging="360"/>
        <w:rPr>
          <w:u w:val="none"/>
        </w:rPr>
      </w:pPr>
      <w:r w:rsidDel="00000000" w:rsidR="00000000" w:rsidRPr="00000000">
        <w:rPr>
          <w:rtl w:val="0"/>
        </w:rPr>
        <w:t xml:space="preserve">Have you ever stolen a trophy or award from anyone?</w:t>
      </w:r>
    </w:p>
    <w:p w:rsidR="00000000" w:rsidDel="00000000" w:rsidP="00000000" w:rsidRDefault="00000000" w:rsidRPr="00000000" w14:paraId="00000019">
      <w:pPr>
        <w:spacing w:line="240" w:lineRule="auto"/>
        <w:ind w:left="0" w:firstLine="0"/>
        <w:rPr/>
      </w:pPr>
      <w:r w:rsidDel="00000000" w:rsidR="00000000" w:rsidRPr="00000000">
        <w:rPr>
          <w:rtl w:val="0"/>
        </w:rPr>
      </w:r>
    </w:p>
    <w:p w:rsidR="00000000" w:rsidDel="00000000" w:rsidP="00000000" w:rsidRDefault="00000000" w:rsidRPr="00000000" w14:paraId="0000001A">
      <w:pPr>
        <w:spacing w:line="240" w:lineRule="auto"/>
        <w:ind w:left="0" w:firstLine="0"/>
        <w:rPr/>
      </w:pPr>
      <w:r w:rsidDel="00000000" w:rsidR="00000000" w:rsidRPr="00000000">
        <w:rPr>
          <w:rtl w:val="0"/>
        </w:rPr>
        <w:t xml:space="preserve">The CQT is sneakier and more complex than the RIT. How the person responds to the control questions is compared to the relevant question. Studies showed that both a guilty or innocent party would lie about having stolen anything at all ever. Most of us have stolen something in our lifetimes, be it a sweet from the pick and mix or your sister's last yoghurt from the fridge but when put in a polygraph situation they will be inclined to lie anyway believing that admitting it would make them seem guilty</w:t>
      </w:r>
      <w:r w:rsidDel="00000000" w:rsidR="00000000" w:rsidRPr="00000000">
        <w:rPr>
          <w:vertAlign w:val="superscript"/>
        </w:rPr>
        <w:footnoteReference w:customMarkFollows="0" w:id="11"/>
      </w:r>
      <w:r w:rsidDel="00000000" w:rsidR="00000000" w:rsidRPr="00000000">
        <w:rPr>
          <w:rtl w:val="0"/>
        </w:rPr>
        <w:t xml:space="preserve">. However, an innocent person will react more strongly to the control questions than the actual question about whether they committed the relevant crime because they are being truthful in regards to the relevant question and dishonest about the control questions. On the other hand, a guilty person will have a stronger reaction to the relevant question than the control ones because the relevant question is more pressing. </w:t>
      </w:r>
    </w:p>
    <w:p w:rsidR="00000000" w:rsidDel="00000000" w:rsidP="00000000" w:rsidRDefault="00000000" w:rsidRPr="00000000" w14:paraId="0000001B">
      <w:pPr>
        <w:spacing w:line="240" w:lineRule="auto"/>
        <w:ind w:left="0" w:firstLine="0"/>
        <w:rPr/>
      </w:pPr>
      <w:r w:rsidDel="00000000" w:rsidR="00000000" w:rsidRPr="00000000">
        <w:rPr>
          <w:rtl w:val="0"/>
        </w:rPr>
      </w:r>
    </w:p>
    <w:p w:rsidR="00000000" w:rsidDel="00000000" w:rsidP="00000000" w:rsidRDefault="00000000" w:rsidRPr="00000000" w14:paraId="0000001C">
      <w:pPr>
        <w:spacing w:line="240" w:lineRule="auto"/>
        <w:ind w:left="0" w:firstLine="0"/>
        <w:rPr/>
      </w:pPr>
      <w:r w:rsidDel="00000000" w:rsidR="00000000" w:rsidRPr="00000000">
        <w:rPr>
          <w:rtl w:val="0"/>
        </w:rPr>
        <w:t xml:space="preserve">By 1963 there was growing interest in something called the guilty knowledge test (GKT). It was this method of questioning that was utilized during an in class polygraph demonstration. The class had to come up with the questions to ask and one of the three suspects was told “the guilty knowledge”. In the example scenario someone had written a ransom note, the colour of the ink in the pen used to write the ransom note was the guilty knowledge. The target question, i.e. the colour of the ink on the ransom note was green. The suspects were told at the beginning of the test to answer every question with the word ‘no’. Some of the questions asked were: </w:t>
      </w:r>
    </w:p>
    <w:p w:rsidR="00000000" w:rsidDel="00000000" w:rsidP="00000000" w:rsidRDefault="00000000" w:rsidRPr="00000000" w14:paraId="0000001D">
      <w:pPr>
        <w:spacing w:line="240" w:lineRule="auto"/>
        <w:ind w:left="720" w:firstLine="0"/>
        <w:rPr/>
      </w:pPr>
      <w:r w:rsidDel="00000000" w:rsidR="00000000" w:rsidRPr="00000000">
        <w:rPr>
          <w:rtl w:val="0"/>
        </w:rPr>
      </w:r>
    </w:p>
    <w:p w:rsidR="00000000" w:rsidDel="00000000" w:rsidP="00000000" w:rsidRDefault="00000000" w:rsidRPr="00000000" w14:paraId="0000001E">
      <w:pPr>
        <w:numPr>
          <w:ilvl w:val="0"/>
          <w:numId w:val="3"/>
        </w:numPr>
        <w:spacing w:line="240" w:lineRule="auto"/>
        <w:ind w:left="720" w:hanging="360"/>
        <w:rPr>
          <w:u w:val="none"/>
        </w:rPr>
      </w:pPr>
      <w:r w:rsidDel="00000000" w:rsidR="00000000" w:rsidRPr="00000000">
        <w:rPr>
          <w:rtl w:val="0"/>
        </w:rPr>
        <w:t xml:space="preserve">Was the ransom note written in the colour black?</w:t>
      </w:r>
    </w:p>
    <w:p w:rsidR="00000000" w:rsidDel="00000000" w:rsidP="00000000" w:rsidRDefault="00000000" w:rsidRPr="00000000" w14:paraId="0000001F">
      <w:pPr>
        <w:numPr>
          <w:ilvl w:val="0"/>
          <w:numId w:val="3"/>
        </w:numPr>
        <w:spacing w:line="240" w:lineRule="auto"/>
        <w:ind w:left="720" w:hanging="360"/>
        <w:rPr>
          <w:u w:val="none"/>
        </w:rPr>
      </w:pPr>
      <w:r w:rsidDel="00000000" w:rsidR="00000000" w:rsidRPr="00000000">
        <w:rPr>
          <w:rtl w:val="0"/>
        </w:rPr>
        <w:t xml:space="preserve">Was the ransom note written in the colour yellow?</w:t>
      </w:r>
    </w:p>
    <w:p w:rsidR="00000000" w:rsidDel="00000000" w:rsidP="00000000" w:rsidRDefault="00000000" w:rsidRPr="00000000" w14:paraId="00000020">
      <w:pPr>
        <w:numPr>
          <w:ilvl w:val="0"/>
          <w:numId w:val="3"/>
        </w:numPr>
        <w:spacing w:line="240" w:lineRule="auto"/>
        <w:ind w:left="720" w:hanging="360"/>
        <w:rPr>
          <w:u w:val="none"/>
        </w:rPr>
      </w:pPr>
      <w:r w:rsidDel="00000000" w:rsidR="00000000" w:rsidRPr="00000000">
        <w:rPr>
          <w:rtl w:val="0"/>
        </w:rPr>
        <w:t xml:space="preserve">Was the ransom note written in the colour green?</w:t>
      </w:r>
    </w:p>
    <w:p w:rsidR="00000000" w:rsidDel="00000000" w:rsidP="00000000" w:rsidRDefault="00000000" w:rsidRPr="00000000" w14:paraId="00000021">
      <w:pPr>
        <w:numPr>
          <w:ilvl w:val="0"/>
          <w:numId w:val="3"/>
        </w:numPr>
        <w:spacing w:line="240" w:lineRule="auto"/>
        <w:ind w:left="720" w:hanging="360"/>
        <w:rPr>
          <w:u w:val="none"/>
        </w:rPr>
      </w:pPr>
      <w:r w:rsidDel="00000000" w:rsidR="00000000" w:rsidRPr="00000000">
        <w:rPr>
          <w:rtl w:val="0"/>
        </w:rPr>
        <w:t xml:space="preserve">Was the ransom note written in the colour red?</w:t>
      </w:r>
    </w:p>
    <w:p w:rsidR="00000000" w:rsidDel="00000000" w:rsidP="00000000" w:rsidRDefault="00000000" w:rsidRPr="00000000" w14:paraId="00000022">
      <w:pPr>
        <w:spacing w:line="240" w:lineRule="auto"/>
        <w:ind w:left="720" w:firstLine="0"/>
        <w:rPr/>
      </w:pPr>
      <w:r w:rsidDel="00000000" w:rsidR="00000000" w:rsidRPr="00000000">
        <w:rPr>
          <w:rtl w:val="0"/>
        </w:rPr>
      </w:r>
    </w:p>
    <w:p w:rsidR="00000000" w:rsidDel="00000000" w:rsidP="00000000" w:rsidRDefault="00000000" w:rsidRPr="00000000" w14:paraId="00000023">
      <w:pPr>
        <w:spacing w:line="240" w:lineRule="auto"/>
        <w:ind w:left="0" w:firstLine="0"/>
        <w:rPr/>
      </w:pPr>
      <w:r w:rsidDel="00000000" w:rsidR="00000000" w:rsidRPr="00000000">
        <w:rPr>
          <w:rtl w:val="0"/>
        </w:rPr>
        <w:t xml:space="preserve">The idea behind this method of questioning is that the guilty suspect would have a stronger response to the correct answer, i.e. was the ransom note written in green? Whereas, the innocent suspects should have the same response to each of the questions. This technique is less about truth and deceit and more about the changes in response to the questions. A similar example can be found in ‘Polygraph Examiner Awareness of Crime-Relevant</w:t>
      </w:r>
    </w:p>
    <w:p w:rsidR="00000000" w:rsidDel="00000000" w:rsidP="00000000" w:rsidRDefault="00000000" w:rsidRPr="00000000" w14:paraId="00000024">
      <w:pPr>
        <w:spacing w:line="240" w:lineRule="auto"/>
        <w:ind w:left="0" w:firstLine="0"/>
        <w:rPr/>
      </w:pPr>
      <w:r w:rsidDel="00000000" w:rsidR="00000000" w:rsidRPr="00000000">
        <w:rPr>
          <w:rtl w:val="0"/>
        </w:rPr>
        <w:t xml:space="preserve">Information and the Guilty Knowledge Test by Eitan Eleed in Law and Human Behavior, Vol. 21, No. 1, 1997</w:t>
      </w:r>
      <w:r w:rsidDel="00000000" w:rsidR="00000000" w:rsidRPr="00000000">
        <w:rPr>
          <w:vertAlign w:val="superscript"/>
        </w:rPr>
        <w:footnoteReference w:customMarkFollows="0" w:id="12"/>
      </w:r>
      <w:r w:rsidDel="00000000" w:rsidR="00000000" w:rsidRPr="00000000">
        <w:rPr>
          <w:rtl w:val="0"/>
        </w:rPr>
        <w:t xml:space="preserve">. The issue with the GKT is that it is limited to cases where investigators are aware of information that only a guilty person would know</w:t>
      </w:r>
      <w:r w:rsidDel="00000000" w:rsidR="00000000" w:rsidRPr="00000000">
        <w:rPr>
          <w:vertAlign w:val="superscript"/>
        </w:rPr>
        <w:footnoteReference w:customMarkFollows="0" w:id="13"/>
      </w:r>
      <w:r w:rsidDel="00000000" w:rsidR="00000000" w:rsidRPr="00000000">
        <w:rPr>
          <w:rtl w:val="0"/>
        </w:rPr>
        <w:t xml:space="preserve">.</w:t>
      </w:r>
    </w:p>
    <w:p w:rsidR="00000000" w:rsidDel="00000000" w:rsidP="00000000" w:rsidRDefault="00000000" w:rsidRPr="00000000" w14:paraId="00000025">
      <w:pPr>
        <w:spacing w:line="240" w:lineRule="auto"/>
        <w:ind w:left="0" w:firstLine="0"/>
        <w:rPr/>
      </w:pPr>
      <w:r w:rsidDel="00000000" w:rsidR="00000000" w:rsidRPr="00000000">
        <w:rPr>
          <w:rtl w:val="0"/>
        </w:rPr>
      </w:r>
    </w:p>
    <w:p w:rsidR="00000000" w:rsidDel="00000000" w:rsidP="00000000" w:rsidRDefault="00000000" w:rsidRPr="00000000" w14:paraId="00000026">
      <w:pPr>
        <w:spacing w:line="240" w:lineRule="auto"/>
        <w:ind w:left="0" w:firstLine="0"/>
        <w:rPr/>
      </w:pPr>
      <w:r w:rsidDel="00000000" w:rsidR="00000000" w:rsidRPr="00000000">
        <w:rPr>
          <w:rtl w:val="0"/>
        </w:rPr>
        <w:t xml:space="preserve">The reason that the polygraph is not admissible in a court of law is because it is not accurate enough. The extent of this inaccuracy is debatable. As represented on the infographic the validity of the polygraph ranges from 90 percent to as low as 50 percent depending on who you are asking</w:t>
      </w:r>
      <w:r w:rsidDel="00000000" w:rsidR="00000000" w:rsidRPr="00000000">
        <w:rPr>
          <w:vertAlign w:val="superscript"/>
        </w:rPr>
        <w:footnoteReference w:customMarkFollows="0" w:id="14"/>
      </w:r>
      <w:r w:rsidDel="00000000" w:rsidR="00000000" w:rsidRPr="00000000">
        <w:rPr>
          <w:rtl w:val="0"/>
        </w:rPr>
        <w:t xml:space="preserve">. The American Polygraph Association outs the accuracy at a high rate of 90 percent. Although 90 percent is not foolproof it is nothing to be sniffed at. The infamous critic  David Lykken on the other hand suggests that the polygraph is only correct 65 percent of the time</w:t>
      </w:r>
      <w:r w:rsidDel="00000000" w:rsidR="00000000" w:rsidRPr="00000000">
        <w:rPr>
          <w:vertAlign w:val="superscript"/>
        </w:rPr>
        <w:footnoteReference w:customMarkFollows="0" w:id="15"/>
      </w:r>
      <w:r w:rsidDel="00000000" w:rsidR="00000000" w:rsidRPr="00000000">
        <w:rPr>
          <w:rtl w:val="0"/>
        </w:rPr>
        <w:t xml:space="preserve">. Nigel Barber writes that the polygraph test is somewhat decent at finding liars but absolutely useless at telling if an innocent person is truthful</w:t>
      </w:r>
      <w:r w:rsidDel="00000000" w:rsidR="00000000" w:rsidRPr="00000000">
        <w:rPr>
          <w:vertAlign w:val="superscript"/>
        </w:rPr>
        <w:footnoteReference w:customMarkFollows="0" w:id="16"/>
      </w:r>
      <w:r w:rsidDel="00000000" w:rsidR="00000000" w:rsidRPr="00000000">
        <w:rPr>
          <w:rtl w:val="0"/>
        </w:rPr>
        <w:t xml:space="preserve">. Lykken outs the rate of false positives at 50:50, in other words the polygraph machine suggests that innocent people are being dishonest half of the time</w:t>
      </w:r>
      <w:r w:rsidDel="00000000" w:rsidR="00000000" w:rsidRPr="00000000">
        <w:rPr>
          <w:vertAlign w:val="superscript"/>
        </w:rPr>
        <w:footnoteReference w:customMarkFollows="0" w:id="17"/>
      </w:r>
      <w:r w:rsidDel="00000000" w:rsidR="00000000" w:rsidRPr="00000000">
        <w:rPr>
          <w:rtl w:val="0"/>
        </w:rPr>
        <w:t xml:space="preserve">. This is no better than chance and most likely the main reason why polygraphs should remain out of the courts. </w:t>
      </w:r>
    </w:p>
    <w:p w:rsidR="00000000" w:rsidDel="00000000" w:rsidP="00000000" w:rsidRDefault="00000000" w:rsidRPr="00000000" w14:paraId="00000027">
      <w:pPr>
        <w:spacing w:line="240" w:lineRule="auto"/>
        <w:ind w:left="0" w:firstLine="0"/>
        <w:rPr/>
      </w:pPr>
      <w:r w:rsidDel="00000000" w:rsidR="00000000" w:rsidRPr="00000000">
        <w:rPr>
          <w:rtl w:val="0"/>
        </w:rPr>
      </w:r>
    </w:p>
    <w:p w:rsidR="00000000" w:rsidDel="00000000" w:rsidP="00000000" w:rsidRDefault="00000000" w:rsidRPr="00000000" w14:paraId="00000028">
      <w:pPr>
        <w:spacing w:line="240" w:lineRule="auto"/>
        <w:ind w:left="720" w:hanging="720"/>
        <w:rPr/>
      </w:pPr>
      <w:r w:rsidDel="00000000" w:rsidR="00000000" w:rsidRPr="00000000">
        <w:rPr>
          <w:rtl w:val="0"/>
        </w:rPr>
      </w:r>
    </w:p>
    <w:p w:rsidR="00000000" w:rsidDel="00000000" w:rsidP="00000000" w:rsidRDefault="00000000" w:rsidRPr="00000000" w14:paraId="00000029">
      <w:pPr>
        <w:spacing w:line="240" w:lineRule="auto"/>
        <w:ind w:left="720" w:hanging="720"/>
        <w:rPr/>
      </w:pPr>
      <w:r w:rsidDel="00000000" w:rsidR="00000000" w:rsidRPr="00000000">
        <w:rPr>
          <w:rtl w:val="0"/>
        </w:rPr>
      </w:r>
    </w:p>
    <w:p w:rsidR="00000000" w:rsidDel="00000000" w:rsidP="00000000" w:rsidRDefault="00000000" w:rsidRPr="00000000" w14:paraId="0000002A">
      <w:pPr>
        <w:spacing w:line="240" w:lineRule="auto"/>
        <w:ind w:left="720" w:hanging="720"/>
        <w:rPr/>
      </w:pPr>
      <w:r w:rsidDel="00000000" w:rsidR="00000000" w:rsidRPr="00000000">
        <w:rPr>
          <w:rtl w:val="0"/>
        </w:rPr>
      </w:r>
    </w:p>
    <w:p w:rsidR="00000000" w:rsidDel="00000000" w:rsidP="00000000" w:rsidRDefault="00000000" w:rsidRPr="00000000" w14:paraId="0000002B">
      <w:pPr>
        <w:spacing w:line="240" w:lineRule="auto"/>
        <w:ind w:left="720" w:hanging="720"/>
        <w:rPr/>
      </w:pPr>
      <w:r w:rsidDel="00000000" w:rsidR="00000000" w:rsidRPr="00000000">
        <w:rPr>
          <w:rtl w:val="0"/>
        </w:rPr>
      </w:r>
    </w:p>
    <w:p w:rsidR="00000000" w:rsidDel="00000000" w:rsidP="00000000" w:rsidRDefault="00000000" w:rsidRPr="00000000" w14:paraId="0000002C">
      <w:pPr>
        <w:spacing w:line="240" w:lineRule="auto"/>
        <w:ind w:left="720" w:hanging="720"/>
        <w:rPr/>
      </w:pPr>
      <w:r w:rsidDel="00000000" w:rsidR="00000000" w:rsidRPr="00000000">
        <w:rPr>
          <w:rtl w:val="0"/>
        </w:rPr>
      </w:r>
    </w:p>
    <w:p w:rsidR="00000000" w:rsidDel="00000000" w:rsidP="00000000" w:rsidRDefault="00000000" w:rsidRPr="00000000" w14:paraId="0000002D">
      <w:pPr>
        <w:spacing w:line="240" w:lineRule="auto"/>
        <w:ind w:left="720" w:hanging="720"/>
        <w:rPr/>
      </w:pPr>
      <w:r w:rsidDel="00000000" w:rsidR="00000000" w:rsidRPr="00000000">
        <w:rPr>
          <w:rtl w:val="0"/>
        </w:rPr>
      </w:r>
    </w:p>
    <w:p w:rsidR="00000000" w:rsidDel="00000000" w:rsidP="00000000" w:rsidRDefault="00000000" w:rsidRPr="00000000" w14:paraId="0000002E">
      <w:pPr>
        <w:spacing w:line="240" w:lineRule="auto"/>
        <w:ind w:left="720" w:hanging="720"/>
        <w:rPr/>
      </w:pPr>
      <w:r w:rsidDel="00000000" w:rsidR="00000000" w:rsidRPr="00000000">
        <w:rPr>
          <w:rtl w:val="0"/>
        </w:rPr>
      </w:r>
    </w:p>
    <w:p w:rsidR="00000000" w:rsidDel="00000000" w:rsidP="00000000" w:rsidRDefault="00000000" w:rsidRPr="00000000" w14:paraId="0000002F">
      <w:pPr>
        <w:spacing w:line="240" w:lineRule="auto"/>
        <w:ind w:left="720" w:hanging="720"/>
        <w:rPr/>
      </w:pPr>
      <w:r w:rsidDel="00000000" w:rsidR="00000000" w:rsidRPr="00000000">
        <w:rPr>
          <w:rtl w:val="0"/>
        </w:rPr>
      </w:r>
    </w:p>
    <w:p w:rsidR="00000000" w:rsidDel="00000000" w:rsidP="00000000" w:rsidRDefault="00000000" w:rsidRPr="00000000" w14:paraId="00000030">
      <w:pPr>
        <w:spacing w:line="240" w:lineRule="auto"/>
        <w:ind w:left="720" w:hanging="720"/>
        <w:rPr/>
      </w:pPr>
      <w:r w:rsidDel="00000000" w:rsidR="00000000" w:rsidRPr="00000000">
        <w:rPr>
          <w:rtl w:val="0"/>
        </w:rPr>
      </w:r>
    </w:p>
    <w:p w:rsidR="00000000" w:rsidDel="00000000" w:rsidP="00000000" w:rsidRDefault="00000000" w:rsidRPr="00000000" w14:paraId="00000031">
      <w:pPr>
        <w:spacing w:line="240" w:lineRule="auto"/>
        <w:ind w:left="720" w:hanging="720"/>
        <w:rPr/>
      </w:pPr>
      <w:r w:rsidDel="00000000" w:rsidR="00000000" w:rsidRPr="00000000">
        <w:rPr>
          <w:rtl w:val="0"/>
        </w:rPr>
      </w:r>
    </w:p>
    <w:p w:rsidR="00000000" w:rsidDel="00000000" w:rsidP="00000000" w:rsidRDefault="00000000" w:rsidRPr="00000000" w14:paraId="00000032">
      <w:pPr>
        <w:spacing w:line="240" w:lineRule="auto"/>
        <w:ind w:left="720" w:hanging="720"/>
        <w:rPr/>
      </w:pPr>
      <w:r w:rsidDel="00000000" w:rsidR="00000000" w:rsidRPr="00000000">
        <w:rPr>
          <w:rtl w:val="0"/>
        </w:rPr>
      </w:r>
    </w:p>
    <w:p w:rsidR="00000000" w:rsidDel="00000000" w:rsidP="00000000" w:rsidRDefault="00000000" w:rsidRPr="00000000" w14:paraId="00000033">
      <w:pPr>
        <w:spacing w:line="240" w:lineRule="auto"/>
        <w:ind w:left="720" w:hanging="720"/>
        <w:rPr/>
      </w:pPr>
      <w:r w:rsidDel="00000000" w:rsidR="00000000" w:rsidRPr="00000000">
        <w:rPr>
          <w:rtl w:val="0"/>
        </w:rPr>
      </w:r>
    </w:p>
    <w:p w:rsidR="00000000" w:rsidDel="00000000" w:rsidP="00000000" w:rsidRDefault="00000000" w:rsidRPr="00000000" w14:paraId="00000034">
      <w:pPr>
        <w:spacing w:line="240" w:lineRule="auto"/>
        <w:ind w:left="720" w:hanging="720"/>
        <w:rPr/>
      </w:pPr>
      <w:r w:rsidDel="00000000" w:rsidR="00000000" w:rsidRPr="00000000">
        <w:rPr>
          <w:rtl w:val="0"/>
        </w:rPr>
      </w:r>
    </w:p>
    <w:p w:rsidR="00000000" w:rsidDel="00000000" w:rsidP="00000000" w:rsidRDefault="00000000" w:rsidRPr="00000000" w14:paraId="00000035">
      <w:pPr>
        <w:spacing w:line="240" w:lineRule="auto"/>
        <w:ind w:left="720" w:hanging="720"/>
        <w:rPr/>
      </w:pPr>
      <w:r w:rsidDel="00000000" w:rsidR="00000000" w:rsidRPr="00000000">
        <w:rPr>
          <w:rtl w:val="0"/>
        </w:rPr>
      </w:r>
    </w:p>
    <w:p w:rsidR="00000000" w:rsidDel="00000000" w:rsidP="00000000" w:rsidRDefault="00000000" w:rsidRPr="00000000" w14:paraId="00000036">
      <w:pPr>
        <w:spacing w:line="240" w:lineRule="auto"/>
        <w:ind w:left="720" w:hanging="720"/>
        <w:rPr/>
      </w:pPr>
      <w:r w:rsidDel="00000000" w:rsidR="00000000" w:rsidRPr="00000000">
        <w:rPr>
          <w:rtl w:val="0"/>
        </w:rPr>
      </w:r>
    </w:p>
    <w:p w:rsidR="00000000" w:rsidDel="00000000" w:rsidP="00000000" w:rsidRDefault="00000000" w:rsidRPr="00000000" w14:paraId="00000037">
      <w:pPr>
        <w:spacing w:line="240" w:lineRule="auto"/>
        <w:ind w:left="720" w:hanging="720"/>
        <w:rPr/>
      </w:pPr>
      <w:r w:rsidDel="00000000" w:rsidR="00000000" w:rsidRPr="00000000">
        <w:rPr>
          <w:rtl w:val="0"/>
        </w:rPr>
      </w:r>
    </w:p>
    <w:p w:rsidR="00000000" w:rsidDel="00000000" w:rsidP="00000000" w:rsidRDefault="00000000" w:rsidRPr="00000000" w14:paraId="00000038">
      <w:pPr>
        <w:spacing w:line="240" w:lineRule="auto"/>
        <w:ind w:left="720" w:hanging="720"/>
        <w:rPr/>
      </w:pPr>
      <w:r w:rsidDel="00000000" w:rsidR="00000000" w:rsidRPr="00000000">
        <w:rPr>
          <w:rtl w:val="0"/>
        </w:rPr>
      </w:r>
    </w:p>
    <w:p w:rsidR="00000000" w:rsidDel="00000000" w:rsidP="00000000" w:rsidRDefault="00000000" w:rsidRPr="00000000" w14:paraId="00000039">
      <w:pPr>
        <w:spacing w:line="240" w:lineRule="auto"/>
        <w:ind w:left="720" w:hanging="720"/>
        <w:rPr>
          <w:sz w:val="24"/>
          <w:szCs w:val="24"/>
          <w:u w:val="single"/>
        </w:rPr>
      </w:pPr>
      <w:r w:rsidDel="00000000" w:rsidR="00000000" w:rsidRPr="00000000">
        <w:rPr>
          <w:rtl w:val="0"/>
        </w:rPr>
      </w:r>
    </w:p>
    <w:p w:rsidR="00000000" w:rsidDel="00000000" w:rsidP="00000000" w:rsidRDefault="00000000" w:rsidRPr="00000000" w14:paraId="0000003A">
      <w:pPr>
        <w:spacing w:line="240" w:lineRule="auto"/>
        <w:ind w:left="0" w:firstLine="0"/>
        <w:rPr/>
      </w:pPr>
      <w:r w:rsidDel="00000000" w:rsidR="00000000" w:rsidRPr="00000000">
        <w:rPr>
          <w:sz w:val="24"/>
          <w:szCs w:val="24"/>
          <w:u w:val="single"/>
          <w:rtl w:val="0"/>
        </w:rPr>
        <w:t xml:space="preserve">Bibliography</w:t>
      </w:r>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7">
        <w:r w:rsidDel="00000000" w:rsidR="00000000" w:rsidRPr="00000000">
          <w:rPr>
            <w:vertAlign w:val="baseline"/>
            <w:rtl w:val="0"/>
          </w:rPr>
          <w:t xml:space="preserve">American Psychological Association, ‘The Truth About Lie Detectors (Aka Polygraph Tests)’, </w:t>
        </w:r>
      </w:hyperlink>
      <w:hyperlink r:id="rId8">
        <w:r w:rsidDel="00000000" w:rsidR="00000000" w:rsidRPr="00000000">
          <w:rPr>
            <w:i w:val="1"/>
            <w:vertAlign w:val="baseline"/>
            <w:rtl w:val="0"/>
          </w:rPr>
          <w:t xml:space="preserve">Https://Www.Apa.Org</w:t>
        </w:r>
      </w:hyperlink>
      <w:hyperlink r:id="rId9">
        <w:r w:rsidDel="00000000" w:rsidR="00000000" w:rsidRPr="00000000">
          <w:rPr>
            <w:vertAlign w:val="baseline"/>
            <w:rtl w:val="0"/>
          </w:rPr>
          <w:t xml:space="preserve">, 2005 &lt;https://www.apa.org/research/action/polygraph&gt; [accessed 12 June 2021]</w:t>
        </w:r>
      </w:hyperlink>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0">
        <w:r w:rsidDel="00000000" w:rsidR="00000000" w:rsidRPr="00000000">
          <w:rPr>
            <w:vertAlign w:val="baseline"/>
            <w:rtl w:val="0"/>
          </w:rPr>
          <w:t xml:space="preserve">Barber, Nigel, ‘Do Lie Detectors Work? | Psychology Today’, </w:t>
        </w:r>
      </w:hyperlink>
      <w:hyperlink r:id="rId11">
        <w:r w:rsidDel="00000000" w:rsidR="00000000" w:rsidRPr="00000000">
          <w:rPr>
            <w:i w:val="1"/>
            <w:vertAlign w:val="baseline"/>
            <w:rtl w:val="0"/>
          </w:rPr>
          <w:t xml:space="preserve">Psychology Today</w:t>
        </w:r>
      </w:hyperlink>
      <w:hyperlink r:id="rId12">
        <w:r w:rsidDel="00000000" w:rsidR="00000000" w:rsidRPr="00000000">
          <w:rPr>
            <w:vertAlign w:val="baseline"/>
            <w:rtl w:val="0"/>
          </w:rPr>
          <w:t xml:space="preserve">, 7 March 2013 &lt;https://www.psychologytoday.com/us/blog/the-human-beast/201303/do-lie-detectors-work&gt; [accessed 12 June 2021]</w:t>
        </w:r>
      </w:hyperlink>
      <w:r w:rsidDel="00000000" w:rsidR="00000000" w:rsidRPr="00000000">
        <w:rPr>
          <w:rtl w:val="0"/>
        </w:rPr>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3">
        <w:r w:rsidDel="00000000" w:rsidR="00000000" w:rsidRPr="00000000">
          <w:rPr>
            <w:vertAlign w:val="baseline"/>
            <w:rtl w:val="0"/>
          </w:rPr>
          <w:t xml:space="preserve">Elaad, Eitan, ‘Polygraph Examiner Awareness of Crime-Relevant Information and the Guilty Knowledge Test.’, </w:t>
        </w:r>
      </w:hyperlink>
      <w:hyperlink r:id="rId14">
        <w:r w:rsidDel="00000000" w:rsidR="00000000" w:rsidRPr="00000000">
          <w:rPr>
            <w:i w:val="1"/>
            <w:vertAlign w:val="baseline"/>
            <w:rtl w:val="0"/>
          </w:rPr>
          <w:t xml:space="preserve">Law and Human Behavior</w:t>
        </w:r>
      </w:hyperlink>
      <w:hyperlink r:id="rId15">
        <w:r w:rsidDel="00000000" w:rsidR="00000000" w:rsidRPr="00000000">
          <w:rPr>
            <w:vertAlign w:val="baseline"/>
            <w:rtl w:val="0"/>
          </w:rPr>
          <w:t xml:space="preserve">, 21.1 (1997), 107–20 &lt;https://doi.org/10.1023/A:1024822211587&gt;</w:t>
        </w:r>
      </w:hyperlink>
      <w:r w:rsidDel="00000000" w:rsidR="00000000" w:rsidRPr="00000000">
        <w:rPr>
          <w:rtl w:val="0"/>
        </w:rPr>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6">
        <w:r w:rsidDel="00000000" w:rsidR="00000000" w:rsidRPr="00000000">
          <w:rPr>
            <w:vertAlign w:val="baseline"/>
            <w:rtl w:val="0"/>
          </w:rPr>
          <w:t xml:space="preserve">Farnsworth, Bryn, ‘What Is GSR (Galvanic Skin Response) and How Does It Work? - NMSBA’, </w:t>
        </w:r>
      </w:hyperlink>
      <w:hyperlink r:id="rId17">
        <w:r w:rsidDel="00000000" w:rsidR="00000000" w:rsidRPr="00000000">
          <w:rPr>
            <w:i w:val="1"/>
            <w:vertAlign w:val="baseline"/>
            <w:rtl w:val="0"/>
          </w:rPr>
          <w:t xml:space="preserve">Buying-Neuromarketing/Neuromarketing-Techniques/What-Is-Gsr-Galvanic-Skin-Response-and-How-Does-It-Work</w:t>
        </w:r>
      </w:hyperlink>
      <w:hyperlink r:id="rId18">
        <w:r w:rsidDel="00000000" w:rsidR="00000000" w:rsidRPr="00000000">
          <w:rPr>
            <w:vertAlign w:val="baseline"/>
            <w:rtl w:val="0"/>
          </w:rPr>
          <w:t xml:space="preserve">, 2018 &lt;https://www.nmsba.com/&gt; [accessed 12 June 2021]</w:t>
        </w:r>
      </w:hyperlink>
      <w:r w:rsidDel="00000000" w:rsidR="00000000" w:rsidRPr="00000000">
        <w:rPr>
          <w:rtl w:val="0"/>
        </w:rPr>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9">
        <w:r w:rsidDel="00000000" w:rsidR="00000000" w:rsidRPr="00000000">
          <w:rPr>
            <w:vertAlign w:val="baseline"/>
            <w:rtl w:val="0"/>
          </w:rPr>
          <w:t xml:space="preserve">‘High Blood Pressure (Hypertension)’, </w:t>
        </w:r>
      </w:hyperlink>
      <w:hyperlink r:id="rId20">
        <w:r w:rsidDel="00000000" w:rsidR="00000000" w:rsidRPr="00000000">
          <w:rPr>
            <w:i w:val="1"/>
            <w:vertAlign w:val="baseline"/>
            <w:rtl w:val="0"/>
          </w:rPr>
          <w:t xml:space="preserve">Nhs.Uk</w:t>
        </w:r>
      </w:hyperlink>
      <w:hyperlink r:id="rId21">
        <w:r w:rsidDel="00000000" w:rsidR="00000000" w:rsidRPr="00000000">
          <w:rPr>
            <w:vertAlign w:val="baseline"/>
            <w:rtl w:val="0"/>
          </w:rPr>
          <w:t xml:space="preserve">, 2017 &lt;https://www.nhs.uk/conditions/high-blood-pressure-hypertension/&gt; [accessed 12 June 2021]</w:t>
        </w:r>
      </w:hyperlink>
      <w:r w:rsidDel="00000000" w:rsidR="00000000" w:rsidRPr="00000000">
        <w:rPr>
          <w:rtl w:val="0"/>
        </w:rPr>
      </w:r>
    </w:p>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2">
        <w:r w:rsidDel="00000000" w:rsidR="00000000" w:rsidRPr="00000000">
          <w:rPr>
            <w:vertAlign w:val="baseline"/>
            <w:rtl w:val="0"/>
          </w:rPr>
          <w:t xml:space="preserve">Keeler, Leonarde, ‘A Method for Detecting Deception’, </w:t>
        </w:r>
      </w:hyperlink>
      <w:hyperlink r:id="rId23">
        <w:r w:rsidDel="00000000" w:rsidR="00000000" w:rsidRPr="00000000">
          <w:rPr>
            <w:i w:val="1"/>
            <w:vertAlign w:val="baseline"/>
            <w:rtl w:val="0"/>
          </w:rPr>
          <w:t xml:space="preserve">American Journal of Police Science</w:t>
        </w:r>
      </w:hyperlink>
      <w:hyperlink r:id="rId24">
        <w:r w:rsidDel="00000000" w:rsidR="00000000" w:rsidRPr="00000000">
          <w:rPr>
            <w:vertAlign w:val="baseline"/>
            <w:rtl w:val="0"/>
          </w:rPr>
          <w:t xml:space="preserve">, 1 (1930), 38</w:t>
        </w:r>
      </w:hyperlink>
      <w:r w:rsidDel="00000000" w:rsidR="00000000" w:rsidRPr="00000000">
        <w:rPr>
          <w:rtl w:val="0"/>
        </w:rPr>
      </w:r>
    </w:p>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5">
        <w:r w:rsidDel="00000000" w:rsidR="00000000" w:rsidRPr="00000000">
          <w:rPr>
            <w:vertAlign w:val="baseline"/>
            <w:rtl w:val="0"/>
          </w:rPr>
          <w:t xml:space="preserve">Lykken, David T., ‘Polygraphic Interrogation’, </w:t>
        </w:r>
      </w:hyperlink>
      <w:hyperlink r:id="rId26">
        <w:r w:rsidDel="00000000" w:rsidR="00000000" w:rsidRPr="00000000">
          <w:rPr>
            <w:i w:val="1"/>
            <w:vertAlign w:val="baseline"/>
            <w:rtl w:val="0"/>
          </w:rPr>
          <w:t xml:space="preserve">Nature</w:t>
        </w:r>
      </w:hyperlink>
      <w:hyperlink r:id="rId27">
        <w:r w:rsidDel="00000000" w:rsidR="00000000" w:rsidRPr="00000000">
          <w:rPr>
            <w:vertAlign w:val="baseline"/>
            <w:rtl w:val="0"/>
          </w:rPr>
          <w:t xml:space="preserve">, 307.5953 (1984), 681–84 &lt;https://doi.org/10.1038/307681a0&gt;</w:t>
        </w:r>
      </w:hyperlink>
      <w:r w:rsidDel="00000000" w:rsidR="00000000" w:rsidRPr="00000000">
        <w:rPr>
          <w:rtl w:val="0"/>
        </w:rPr>
      </w:r>
    </w:p>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8">
        <w:r w:rsidDel="00000000" w:rsidR="00000000" w:rsidRPr="00000000">
          <w:rPr>
            <w:vertAlign w:val="baseline"/>
            <w:rtl w:val="0"/>
          </w:rPr>
          <w:t xml:space="preserve">Synnott, John, David Dietzel, and Maria Ioannou, ‘A Review of the Polygraph: History, Methodology and Current Status’, </w:t>
        </w:r>
      </w:hyperlink>
      <w:hyperlink r:id="rId29">
        <w:r w:rsidDel="00000000" w:rsidR="00000000" w:rsidRPr="00000000">
          <w:rPr>
            <w:i w:val="1"/>
            <w:vertAlign w:val="baseline"/>
            <w:rtl w:val="0"/>
          </w:rPr>
          <w:t xml:space="preserve">Crime Psychology Review</w:t>
        </w:r>
      </w:hyperlink>
      <w:hyperlink r:id="rId30">
        <w:r w:rsidDel="00000000" w:rsidR="00000000" w:rsidRPr="00000000">
          <w:rPr>
            <w:vertAlign w:val="baseline"/>
            <w:rtl w:val="0"/>
          </w:rPr>
          <w:t xml:space="preserve">, 1.1 (2015), 59–83 &lt;https://doi.org/10.1080/23744006.2015.1060080&gt;</w:t>
        </w:r>
      </w:hyperlink>
      <w:r w:rsidDel="00000000" w:rsidR="00000000" w:rsidRPr="00000000">
        <w:rPr>
          <w:rtl w:val="0"/>
        </w:rPr>
      </w:r>
    </w:p>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31">
        <w:r w:rsidDel="00000000" w:rsidR="00000000" w:rsidRPr="00000000">
          <w:rPr>
            <w:vertAlign w:val="baseline"/>
            <w:rtl w:val="0"/>
          </w:rPr>
          <w:t xml:space="preserve">Toscano, Matthew J, ‘Polygraph Examiners: History, Modem Status, and Admissibility in Court’, 26</w:t>
        </w:r>
      </w:hyperlink>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vertAlign w:val="baseline"/>
            <w:rtl w:val="0"/>
          </w:rPr>
          <w:t xml:space="preserve">John Synnott, David Dietzel, and Maria Ioannou, ‘A Review of the Polygraph: History, Methodology and Current Status’, </w:t>
        </w:r>
      </w:hyperlink>
      <w:hyperlink r:id="rId2">
        <w:r w:rsidDel="00000000" w:rsidR="00000000" w:rsidRPr="00000000">
          <w:rPr>
            <w:i w:val="1"/>
            <w:sz w:val="20"/>
            <w:szCs w:val="20"/>
            <w:vertAlign w:val="baseline"/>
            <w:rtl w:val="0"/>
          </w:rPr>
          <w:t xml:space="preserve">Crime Psychology Review</w:t>
        </w:r>
      </w:hyperlink>
      <w:hyperlink r:id="rId3">
        <w:r w:rsidDel="00000000" w:rsidR="00000000" w:rsidRPr="00000000">
          <w:rPr>
            <w:sz w:val="20"/>
            <w:szCs w:val="20"/>
            <w:vertAlign w:val="baseline"/>
            <w:rtl w:val="0"/>
          </w:rPr>
          <w:t xml:space="preserve">, 1.1 (2015), 59–83 &lt;https://doi.org/10.1080/23744006.2015.1060080&gt;.</w:t>
        </w:r>
      </w:hyperlink>
      <w:r w:rsidDel="00000000" w:rsidR="00000000" w:rsidRPr="00000000">
        <w:rPr>
          <w:rtl w:val="0"/>
        </w:rPr>
      </w:r>
    </w:p>
  </w:footnote>
  <w:footnote w:id="2">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vertAlign w:val="baseline"/>
            <w:rtl w:val="0"/>
          </w:rPr>
          <w:t xml:space="preserve">‘High Blood Pressure (Hypertension)’, </w:t>
        </w:r>
      </w:hyperlink>
      <w:hyperlink r:id="rId5">
        <w:r w:rsidDel="00000000" w:rsidR="00000000" w:rsidRPr="00000000">
          <w:rPr>
            <w:i w:val="1"/>
            <w:sz w:val="20"/>
            <w:szCs w:val="20"/>
            <w:vertAlign w:val="baseline"/>
            <w:rtl w:val="0"/>
          </w:rPr>
          <w:t xml:space="preserve">Nhs.Uk</w:t>
        </w:r>
      </w:hyperlink>
      <w:hyperlink r:id="rId6">
        <w:r w:rsidDel="00000000" w:rsidR="00000000" w:rsidRPr="00000000">
          <w:rPr>
            <w:sz w:val="20"/>
            <w:szCs w:val="20"/>
            <w:vertAlign w:val="baseline"/>
            <w:rtl w:val="0"/>
          </w:rPr>
          <w:t xml:space="preserve">, 2017 &lt;https://www.nhs.uk/conditions/high-blood-pressure-hypertension/&gt; [accessed 12 June 2021].</w:t>
        </w:r>
      </w:hyperlink>
      <w:r w:rsidDel="00000000" w:rsidR="00000000" w:rsidRPr="00000000">
        <w:rPr>
          <w:rtl w:val="0"/>
        </w:rPr>
      </w:r>
    </w:p>
  </w:footnote>
  <w:footnote w:id="1">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sz w:val="20"/>
            <w:szCs w:val="20"/>
            <w:vertAlign w:val="baseline"/>
            <w:rtl w:val="0"/>
          </w:rPr>
          <w:t xml:space="preserve">Synnott, Dietzel, and Ioannou.</w:t>
        </w:r>
      </w:hyperlink>
      <w:r w:rsidDel="00000000" w:rsidR="00000000" w:rsidRPr="00000000">
        <w:rPr>
          <w:rtl w:val="0"/>
        </w:rPr>
      </w:r>
    </w:p>
  </w:footnote>
  <w:footnote w:id="3">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8">
        <w:r w:rsidDel="00000000" w:rsidR="00000000" w:rsidRPr="00000000">
          <w:rPr>
            <w:sz w:val="20"/>
            <w:szCs w:val="20"/>
            <w:vertAlign w:val="baseline"/>
            <w:rtl w:val="0"/>
          </w:rPr>
          <w:t xml:space="preserve">Matthew J Toscano, ‘Polygraph Examiners: History, Modem Status, and Admissibility in Court’, 26.</w:t>
        </w:r>
      </w:hyperlink>
      <w:r w:rsidDel="00000000" w:rsidR="00000000" w:rsidRPr="00000000">
        <w:rPr>
          <w:rtl w:val="0"/>
        </w:rPr>
      </w:r>
    </w:p>
  </w:footnote>
  <w:footnote w:id="4">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
        <w:r w:rsidDel="00000000" w:rsidR="00000000" w:rsidRPr="00000000">
          <w:rPr>
            <w:sz w:val="20"/>
            <w:szCs w:val="20"/>
            <w:vertAlign w:val="baseline"/>
            <w:rtl w:val="0"/>
          </w:rPr>
          <w:t xml:space="preserve">Toscano.</w:t>
        </w:r>
      </w:hyperlink>
      <w:r w:rsidDel="00000000" w:rsidR="00000000" w:rsidRPr="00000000">
        <w:rPr>
          <w:rtl w:val="0"/>
        </w:rPr>
      </w:r>
    </w:p>
  </w:footnote>
  <w:footnote w:id="5">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
        <w:r w:rsidDel="00000000" w:rsidR="00000000" w:rsidRPr="00000000">
          <w:rPr>
            <w:sz w:val="20"/>
            <w:szCs w:val="20"/>
            <w:vertAlign w:val="baseline"/>
            <w:rtl w:val="0"/>
          </w:rPr>
          <w:t xml:space="preserve">Synnott, Dietzel, and Ioannou.</w:t>
        </w:r>
      </w:hyperlink>
      <w:r w:rsidDel="00000000" w:rsidR="00000000" w:rsidRPr="00000000">
        <w:rPr>
          <w:rtl w:val="0"/>
        </w:rPr>
      </w:r>
    </w:p>
  </w:footnote>
  <w:footnote w:id="6">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
        <w:r w:rsidDel="00000000" w:rsidR="00000000" w:rsidRPr="00000000">
          <w:rPr>
            <w:sz w:val="20"/>
            <w:szCs w:val="20"/>
            <w:vertAlign w:val="baseline"/>
            <w:rtl w:val="0"/>
          </w:rPr>
          <w:t xml:space="preserve">Synnott, Dietzel, and Ioannou.</w:t>
        </w:r>
      </w:hyperlink>
      <w:r w:rsidDel="00000000" w:rsidR="00000000" w:rsidRPr="00000000">
        <w:rPr>
          <w:rtl w:val="0"/>
        </w:rPr>
      </w:r>
    </w:p>
  </w:footnote>
  <w:footnote w:id="7">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2">
        <w:r w:rsidDel="00000000" w:rsidR="00000000" w:rsidRPr="00000000">
          <w:rPr>
            <w:sz w:val="20"/>
            <w:szCs w:val="20"/>
            <w:vertAlign w:val="baseline"/>
            <w:rtl w:val="0"/>
          </w:rPr>
          <w:t xml:space="preserve">Synnott, Dietzel, and Ioannou.</w:t>
        </w:r>
      </w:hyperlink>
      <w:r w:rsidDel="00000000" w:rsidR="00000000" w:rsidRPr="00000000">
        <w:rPr>
          <w:rtl w:val="0"/>
        </w:rPr>
      </w:r>
    </w:p>
  </w:footnote>
  <w:footnote w:id="8">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3">
        <w:r w:rsidDel="00000000" w:rsidR="00000000" w:rsidRPr="00000000">
          <w:rPr>
            <w:sz w:val="20"/>
            <w:szCs w:val="20"/>
            <w:vertAlign w:val="baseline"/>
            <w:rtl w:val="0"/>
          </w:rPr>
          <w:t xml:space="preserve">Leonarde Keeler, ‘A Method for Detecting Deception’, </w:t>
        </w:r>
      </w:hyperlink>
      <w:hyperlink r:id="rId14">
        <w:r w:rsidDel="00000000" w:rsidR="00000000" w:rsidRPr="00000000">
          <w:rPr>
            <w:i w:val="1"/>
            <w:sz w:val="20"/>
            <w:szCs w:val="20"/>
            <w:vertAlign w:val="baseline"/>
            <w:rtl w:val="0"/>
          </w:rPr>
          <w:t xml:space="preserve">American Journal of Police Science</w:t>
        </w:r>
      </w:hyperlink>
      <w:hyperlink r:id="rId15">
        <w:r w:rsidDel="00000000" w:rsidR="00000000" w:rsidRPr="00000000">
          <w:rPr>
            <w:sz w:val="20"/>
            <w:szCs w:val="20"/>
            <w:vertAlign w:val="baseline"/>
            <w:rtl w:val="0"/>
          </w:rPr>
          <w:t xml:space="preserve">, 1 (1930), 38.</w:t>
        </w:r>
      </w:hyperlink>
      <w:r w:rsidDel="00000000" w:rsidR="00000000" w:rsidRPr="00000000">
        <w:rPr>
          <w:rtl w:val="0"/>
        </w:rPr>
      </w:r>
    </w:p>
  </w:footnote>
  <w:footnote w:id="9">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6">
        <w:r w:rsidDel="00000000" w:rsidR="00000000" w:rsidRPr="00000000">
          <w:rPr>
            <w:sz w:val="20"/>
            <w:szCs w:val="20"/>
            <w:vertAlign w:val="baseline"/>
            <w:rtl w:val="0"/>
          </w:rPr>
          <w:t xml:space="preserve">Toscano.</w:t>
        </w:r>
      </w:hyperlink>
      <w:r w:rsidDel="00000000" w:rsidR="00000000" w:rsidRPr="00000000">
        <w:rPr>
          <w:rtl w:val="0"/>
        </w:rPr>
      </w:r>
    </w:p>
  </w:footnote>
  <w:footnote w:id="10">
    <w:p w:rsidR="00000000" w:rsidDel="00000000" w:rsidP="00000000" w:rsidRDefault="00000000" w:rsidRPr="00000000" w14:paraId="00000058">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7">
        <w:r w:rsidDel="00000000" w:rsidR="00000000" w:rsidRPr="00000000">
          <w:rPr>
            <w:sz w:val="20"/>
            <w:szCs w:val="20"/>
            <w:vertAlign w:val="baseline"/>
            <w:rtl w:val="0"/>
          </w:rPr>
          <w:t xml:space="preserve">Bryn Farnsworth, ‘What Is GSR (Galvanic Skin Response) and How Does It Work? - NMSBA’, </w:t>
        </w:r>
      </w:hyperlink>
      <w:hyperlink r:id="rId18">
        <w:r w:rsidDel="00000000" w:rsidR="00000000" w:rsidRPr="00000000">
          <w:rPr>
            <w:i w:val="1"/>
            <w:sz w:val="20"/>
            <w:szCs w:val="20"/>
            <w:vertAlign w:val="baseline"/>
            <w:rtl w:val="0"/>
          </w:rPr>
          <w:t xml:space="preserve">Buying-Neuromarketing/Neuromarketing-Techniques/What-Is-Gsr-Galvanic-Skin-Response-and-How-Does-It-Work</w:t>
        </w:r>
      </w:hyperlink>
      <w:hyperlink r:id="rId19">
        <w:r w:rsidDel="00000000" w:rsidR="00000000" w:rsidRPr="00000000">
          <w:rPr>
            <w:sz w:val="20"/>
            <w:szCs w:val="20"/>
            <w:vertAlign w:val="baseline"/>
            <w:rtl w:val="0"/>
          </w:rPr>
          <w:t xml:space="preserve">, 2018 &lt;https://www.nmsba.com/&gt; [accessed 12 June 2021].</w:t>
        </w:r>
      </w:hyperlink>
      <w:r w:rsidDel="00000000" w:rsidR="00000000" w:rsidRPr="00000000">
        <w:rPr>
          <w:rtl w:val="0"/>
        </w:rPr>
      </w:r>
    </w:p>
  </w:footnote>
  <w:footnote w:id="11">
    <w:p w:rsidR="00000000" w:rsidDel="00000000" w:rsidP="00000000" w:rsidRDefault="00000000" w:rsidRPr="00000000" w14:paraId="00000059">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0">
        <w:r w:rsidDel="00000000" w:rsidR="00000000" w:rsidRPr="00000000">
          <w:rPr>
            <w:sz w:val="20"/>
            <w:szCs w:val="20"/>
            <w:vertAlign w:val="baseline"/>
            <w:rtl w:val="0"/>
          </w:rPr>
          <w:t xml:space="preserve">Toscano.</w:t>
        </w:r>
      </w:hyperlink>
      <w:r w:rsidDel="00000000" w:rsidR="00000000" w:rsidRPr="00000000">
        <w:rPr>
          <w:rtl w:val="0"/>
        </w:rPr>
      </w:r>
    </w:p>
  </w:footnote>
  <w:footnote w:id="13">
    <w:p w:rsidR="00000000" w:rsidDel="00000000" w:rsidP="00000000" w:rsidRDefault="00000000" w:rsidRPr="00000000" w14:paraId="0000005A">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1">
        <w:r w:rsidDel="00000000" w:rsidR="00000000" w:rsidRPr="00000000">
          <w:rPr>
            <w:sz w:val="20"/>
            <w:szCs w:val="20"/>
            <w:vertAlign w:val="baseline"/>
            <w:rtl w:val="0"/>
          </w:rPr>
          <w:t xml:space="preserve">American Psychological Association, ‘The Truth About Lie Detectors (Aka Polygraph Tests)’, </w:t>
        </w:r>
      </w:hyperlink>
      <w:hyperlink r:id="rId22">
        <w:r w:rsidDel="00000000" w:rsidR="00000000" w:rsidRPr="00000000">
          <w:rPr>
            <w:i w:val="1"/>
            <w:sz w:val="20"/>
            <w:szCs w:val="20"/>
            <w:vertAlign w:val="baseline"/>
            <w:rtl w:val="0"/>
          </w:rPr>
          <w:t xml:space="preserve">Https://Www.Apa.Org</w:t>
        </w:r>
      </w:hyperlink>
      <w:hyperlink r:id="rId23">
        <w:r w:rsidDel="00000000" w:rsidR="00000000" w:rsidRPr="00000000">
          <w:rPr>
            <w:sz w:val="20"/>
            <w:szCs w:val="20"/>
            <w:vertAlign w:val="baseline"/>
            <w:rtl w:val="0"/>
          </w:rPr>
          <w:t xml:space="preserve">, 2005 &lt;https://www.apa.org/research/action/polygraph&gt; [accessed 12 June 2021].</w:t>
        </w:r>
      </w:hyperlink>
      <w:r w:rsidDel="00000000" w:rsidR="00000000" w:rsidRPr="00000000">
        <w:rPr>
          <w:rtl w:val="0"/>
        </w:rPr>
      </w:r>
    </w:p>
  </w:footnote>
  <w:footnote w:id="14">
    <w:p w:rsidR="00000000" w:rsidDel="00000000" w:rsidP="00000000" w:rsidRDefault="00000000" w:rsidRPr="00000000" w14:paraId="0000005B">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4">
        <w:r w:rsidDel="00000000" w:rsidR="00000000" w:rsidRPr="00000000">
          <w:rPr>
            <w:sz w:val="20"/>
            <w:szCs w:val="20"/>
            <w:vertAlign w:val="baseline"/>
            <w:rtl w:val="0"/>
          </w:rPr>
          <w:t xml:space="preserve">Nigel Barber, ‘Do Lie Detectors Work? | Psychology Today’, </w:t>
        </w:r>
      </w:hyperlink>
      <w:hyperlink r:id="rId25">
        <w:r w:rsidDel="00000000" w:rsidR="00000000" w:rsidRPr="00000000">
          <w:rPr>
            <w:i w:val="1"/>
            <w:sz w:val="20"/>
            <w:szCs w:val="20"/>
            <w:vertAlign w:val="baseline"/>
            <w:rtl w:val="0"/>
          </w:rPr>
          <w:t xml:space="preserve">Psychology Today</w:t>
        </w:r>
      </w:hyperlink>
      <w:hyperlink r:id="rId26">
        <w:r w:rsidDel="00000000" w:rsidR="00000000" w:rsidRPr="00000000">
          <w:rPr>
            <w:sz w:val="20"/>
            <w:szCs w:val="20"/>
            <w:vertAlign w:val="baseline"/>
            <w:rtl w:val="0"/>
          </w:rPr>
          <w:t xml:space="preserve">, 7 March 2013 &lt;https://www.psychologytoday.com/us/blog/the-human-beast/201303/do-lie-detectors-work&gt; [accessed 12 June 2021].</w:t>
        </w:r>
      </w:hyperlink>
      <w:r w:rsidDel="00000000" w:rsidR="00000000" w:rsidRPr="00000000">
        <w:rPr>
          <w:rtl w:val="0"/>
        </w:rPr>
      </w:r>
    </w:p>
  </w:footnote>
  <w:footnote w:id="15">
    <w:p w:rsidR="00000000" w:rsidDel="00000000" w:rsidP="00000000" w:rsidRDefault="00000000" w:rsidRPr="00000000" w14:paraId="0000005C">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7">
        <w:r w:rsidDel="00000000" w:rsidR="00000000" w:rsidRPr="00000000">
          <w:rPr>
            <w:sz w:val="20"/>
            <w:szCs w:val="20"/>
            <w:vertAlign w:val="baseline"/>
            <w:rtl w:val="0"/>
          </w:rPr>
          <w:t xml:space="preserve">David T. Lykken, ‘Polygraphic Interrogation’, </w:t>
        </w:r>
      </w:hyperlink>
      <w:hyperlink r:id="rId28">
        <w:r w:rsidDel="00000000" w:rsidR="00000000" w:rsidRPr="00000000">
          <w:rPr>
            <w:i w:val="1"/>
            <w:sz w:val="20"/>
            <w:szCs w:val="20"/>
            <w:vertAlign w:val="baseline"/>
            <w:rtl w:val="0"/>
          </w:rPr>
          <w:t xml:space="preserve">Nature</w:t>
        </w:r>
      </w:hyperlink>
      <w:hyperlink r:id="rId29">
        <w:r w:rsidDel="00000000" w:rsidR="00000000" w:rsidRPr="00000000">
          <w:rPr>
            <w:sz w:val="20"/>
            <w:szCs w:val="20"/>
            <w:vertAlign w:val="baseline"/>
            <w:rtl w:val="0"/>
          </w:rPr>
          <w:t xml:space="preserve">, 307.5953 (1984), 681–84 &lt;https://doi.org/10.1038/307681a0&gt;.</w:t>
        </w:r>
      </w:hyperlink>
      <w:r w:rsidDel="00000000" w:rsidR="00000000" w:rsidRPr="00000000">
        <w:rPr>
          <w:rtl w:val="0"/>
        </w:rPr>
      </w:r>
    </w:p>
  </w:footnote>
  <w:footnote w:id="16">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0">
        <w:r w:rsidDel="00000000" w:rsidR="00000000" w:rsidRPr="00000000">
          <w:rPr>
            <w:sz w:val="20"/>
            <w:szCs w:val="20"/>
            <w:vertAlign w:val="baseline"/>
            <w:rtl w:val="0"/>
          </w:rPr>
          <w:t xml:space="preserve">Barber.</w:t>
        </w:r>
      </w:hyperlink>
      <w:r w:rsidDel="00000000" w:rsidR="00000000" w:rsidRPr="00000000">
        <w:rPr>
          <w:rtl w:val="0"/>
        </w:rPr>
      </w:r>
    </w:p>
  </w:footnote>
  <w:footnote w:id="17">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1">
        <w:r w:rsidDel="00000000" w:rsidR="00000000" w:rsidRPr="00000000">
          <w:rPr>
            <w:sz w:val="20"/>
            <w:szCs w:val="20"/>
            <w:vertAlign w:val="baseline"/>
            <w:rtl w:val="0"/>
          </w:rPr>
          <w:t xml:space="preserve">David T. Lykken, ‘Polygraphic Interrogation’, </w:t>
        </w:r>
      </w:hyperlink>
      <w:hyperlink r:id="rId32">
        <w:r w:rsidDel="00000000" w:rsidR="00000000" w:rsidRPr="00000000">
          <w:rPr>
            <w:i w:val="1"/>
            <w:sz w:val="20"/>
            <w:szCs w:val="20"/>
            <w:vertAlign w:val="baseline"/>
            <w:rtl w:val="0"/>
          </w:rPr>
          <w:t xml:space="preserve">Nature</w:t>
        </w:r>
      </w:hyperlink>
      <w:hyperlink r:id="rId33">
        <w:r w:rsidDel="00000000" w:rsidR="00000000" w:rsidRPr="00000000">
          <w:rPr>
            <w:sz w:val="20"/>
            <w:szCs w:val="20"/>
            <w:vertAlign w:val="baseline"/>
            <w:rtl w:val="0"/>
          </w:rPr>
          <w:t xml:space="preserve">, 307.5953 (1984), 681–84 </w:t>
        </w:r>
      </w:hyperlink>
      <w:r w:rsidDel="00000000" w:rsidR="00000000" w:rsidRPr="00000000">
        <w:rPr>
          <w:rtl w:val="0"/>
        </w:rPr>
      </w:r>
    </w:p>
  </w:footnote>
  <w:footnote w:id="12">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4">
        <w:r w:rsidDel="00000000" w:rsidR="00000000" w:rsidRPr="00000000">
          <w:rPr>
            <w:sz w:val="20"/>
            <w:szCs w:val="20"/>
            <w:vertAlign w:val="baseline"/>
            <w:rtl w:val="0"/>
          </w:rPr>
          <w:t xml:space="preserve">Eitan Elaad, ‘Polygraph Examiner Awareness of Crime-Relevant Information and the Guilty Knowledge Test.’, </w:t>
        </w:r>
      </w:hyperlink>
      <w:hyperlink r:id="rId35">
        <w:r w:rsidDel="00000000" w:rsidR="00000000" w:rsidRPr="00000000">
          <w:rPr>
            <w:i w:val="1"/>
            <w:sz w:val="20"/>
            <w:szCs w:val="20"/>
            <w:vertAlign w:val="baseline"/>
            <w:rtl w:val="0"/>
          </w:rPr>
          <w:t xml:space="preserve">Law and Human Behavior</w:t>
        </w:r>
      </w:hyperlink>
      <w:hyperlink r:id="rId36">
        <w:r w:rsidDel="00000000" w:rsidR="00000000" w:rsidRPr="00000000">
          <w:rPr>
            <w:sz w:val="20"/>
            <w:szCs w:val="20"/>
            <w:vertAlign w:val="baseline"/>
            <w:rtl w:val="0"/>
          </w:rPr>
          <w:t xml:space="preserve">, 21.1 (1997), 107–20 &lt;https://doi.org/10.1023/A:1024822211587&gt;.</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zotero.org/google-docs/?KPXQ9U" TargetMode="External"/><Relationship Id="rId22" Type="http://schemas.openxmlformats.org/officeDocument/2006/relationships/hyperlink" Target="https://www.zotero.org/google-docs/?KPXQ9U" TargetMode="External"/><Relationship Id="rId21" Type="http://schemas.openxmlformats.org/officeDocument/2006/relationships/hyperlink" Target="https://www.zotero.org/google-docs/?KPXQ9U" TargetMode="External"/><Relationship Id="rId24" Type="http://schemas.openxmlformats.org/officeDocument/2006/relationships/hyperlink" Target="https://www.zotero.org/google-docs/?KPXQ9U" TargetMode="External"/><Relationship Id="rId23" Type="http://schemas.openxmlformats.org/officeDocument/2006/relationships/hyperlink" Target="https://www.zotero.org/google-docs/?KPXQ9U"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zotero.org/google-docs/?KPXQ9U" TargetMode="External"/><Relationship Id="rId26" Type="http://schemas.openxmlformats.org/officeDocument/2006/relationships/hyperlink" Target="https://www.zotero.org/google-docs/?KPXQ9U" TargetMode="External"/><Relationship Id="rId25" Type="http://schemas.openxmlformats.org/officeDocument/2006/relationships/hyperlink" Target="https://www.zotero.org/google-docs/?KPXQ9U" TargetMode="External"/><Relationship Id="rId28" Type="http://schemas.openxmlformats.org/officeDocument/2006/relationships/hyperlink" Target="https://www.zotero.org/google-docs/?KPXQ9U" TargetMode="External"/><Relationship Id="rId27" Type="http://schemas.openxmlformats.org/officeDocument/2006/relationships/hyperlink" Target="https://www.zotero.org/google-docs/?KPXQ9U" TargetMode="External"/><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hyperlink" Target="https://www.zotero.org/google-docs/?KPXQ9U" TargetMode="External"/><Relationship Id="rId7" Type="http://schemas.openxmlformats.org/officeDocument/2006/relationships/hyperlink" Target="https://www.zotero.org/google-docs/?KPXQ9U" TargetMode="External"/><Relationship Id="rId8" Type="http://schemas.openxmlformats.org/officeDocument/2006/relationships/hyperlink" Target="https://www.zotero.org/google-docs/?KPXQ9U" TargetMode="External"/><Relationship Id="rId31" Type="http://schemas.openxmlformats.org/officeDocument/2006/relationships/hyperlink" Target="https://www.zotero.org/google-docs/?KPXQ9U" TargetMode="External"/><Relationship Id="rId30" Type="http://schemas.openxmlformats.org/officeDocument/2006/relationships/hyperlink" Target="https://www.zotero.org/google-docs/?KPXQ9U" TargetMode="External"/><Relationship Id="rId11" Type="http://schemas.openxmlformats.org/officeDocument/2006/relationships/hyperlink" Target="https://www.zotero.org/google-docs/?KPXQ9U" TargetMode="External"/><Relationship Id="rId10" Type="http://schemas.openxmlformats.org/officeDocument/2006/relationships/hyperlink" Target="https://www.zotero.org/google-docs/?KPXQ9U" TargetMode="External"/><Relationship Id="rId13" Type="http://schemas.openxmlformats.org/officeDocument/2006/relationships/hyperlink" Target="https://www.zotero.org/google-docs/?KPXQ9U" TargetMode="External"/><Relationship Id="rId12" Type="http://schemas.openxmlformats.org/officeDocument/2006/relationships/hyperlink" Target="https://www.zotero.org/google-docs/?KPXQ9U" TargetMode="External"/><Relationship Id="rId15" Type="http://schemas.openxmlformats.org/officeDocument/2006/relationships/hyperlink" Target="https://www.zotero.org/google-docs/?KPXQ9U" TargetMode="External"/><Relationship Id="rId14" Type="http://schemas.openxmlformats.org/officeDocument/2006/relationships/hyperlink" Target="https://www.zotero.org/google-docs/?KPXQ9U" TargetMode="External"/><Relationship Id="rId17" Type="http://schemas.openxmlformats.org/officeDocument/2006/relationships/hyperlink" Target="https://www.zotero.org/google-docs/?KPXQ9U" TargetMode="External"/><Relationship Id="rId16" Type="http://schemas.openxmlformats.org/officeDocument/2006/relationships/hyperlink" Target="https://www.zotero.org/google-docs/?KPXQ9U" TargetMode="External"/><Relationship Id="rId19" Type="http://schemas.openxmlformats.org/officeDocument/2006/relationships/hyperlink" Target="https://www.zotero.org/google-docs/?KPXQ9U" TargetMode="External"/><Relationship Id="rId18" Type="http://schemas.openxmlformats.org/officeDocument/2006/relationships/hyperlink" Target="https://www.zotero.org/google-docs/?KPXQ9U" TargetMode="External"/></Relationships>
</file>

<file path=word/_rels/footnotes.xml.rels><?xml version="1.0" encoding="UTF-8" standalone="yes"?><Relationships xmlns="http://schemas.openxmlformats.org/package/2006/relationships"><Relationship Id="rId20" Type="http://schemas.openxmlformats.org/officeDocument/2006/relationships/hyperlink" Target="https://www.zotero.org/google-docs/?zoPqOl" TargetMode="External"/><Relationship Id="rId22" Type="http://schemas.openxmlformats.org/officeDocument/2006/relationships/hyperlink" Target="https://www.zotero.org/google-docs/?WQrG9N" TargetMode="External"/><Relationship Id="rId21" Type="http://schemas.openxmlformats.org/officeDocument/2006/relationships/hyperlink" Target="https://www.zotero.org/google-docs/?WQrG9N" TargetMode="External"/><Relationship Id="rId24" Type="http://schemas.openxmlformats.org/officeDocument/2006/relationships/hyperlink" Target="https://www.zotero.org/google-docs/?1HfbMj" TargetMode="External"/><Relationship Id="rId23" Type="http://schemas.openxmlformats.org/officeDocument/2006/relationships/hyperlink" Target="https://www.zotero.org/google-docs/?WQrG9N" TargetMode="External"/><Relationship Id="rId1" Type="http://schemas.openxmlformats.org/officeDocument/2006/relationships/hyperlink" Target="https://www.zotero.org/google-docs/?RQqfen" TargetMode="External"/><Relationship Id="rId2" Type="http://schemas.openxmlformats.org/officeDocument/2006/relationships/hyperlink" Target="https://www.zotero.org/google-docs/?RQqfen" TargetMode="External"/><Relationship Id="rId3" Type="http://schemas.openxmlformats.org/officeDocument/2006/relationships/hyperlink" Target="https://www.zotero.org/google-docs/?RQqfen" TargetMode="External"/><Relationship Id="rId4" Type="http://schemas.openxmlformats.org/officeDocument/2006/relationships/hyperlink" Target="https://www.zotero.org/google-docs/?cbd47R" TargetMode="External"/><Relationship Id="rId9" Type="http://schemas.openxmlformats.org/officeDocument/2006/relationships/hyperlink" Target="https://www.zotero.org/google-docs/?pRGP9H" TargetMode="External"/><Relationship Id="rId26" Type="http://schemas.openxmlformats.org/officeDocument/2006/relationships/hyperlink" Target="https://www.zotero.org/google-docs/?1HfbMj" TargetMode="External"/><Relationship Id="rId25" Type="http://schemas.openxmlformats.org/officeDocument/2006/relationships/hyperlink" Target="https://www.zotero.org/google-docs/?1HfbMj" TargetMode="External"/><Relationship Id="rId28" Type="http://schemas.openxmlformats.org/officeDocument/2006/relationships/hyperlink" Target="https://www.zotero.org/google-docs/?535sd9" TargetMode="External"/><Relationship Id="rId27" Type="http://schemas.openxmlformats.org/officeDocument/2006/relationships/hyperlink" Target="https://www.zotero.org/google-docs/?535sd9" TargetMode="External"/><Relationship Id="rId5" Type="http://schemas.openxmlformats.org/officeDocument/2006/relationships/hyperlink" Target="https://www.zotero.org/google-docs/?cbd47R" TargetMode="External"/><Relationship Id="rId6" Type="http://schemas.openxmlformats.org/officeDocument/2006/relationships/hyperlink" Target="https://www.zotero.org/google-docs/?cbd47R" TargetMode="External"/><Relationship Id="rId29" Type="http://schemas.openxmlformats.org/officeDocument/2006/relationships/hyperlink" Target="https://www.zotero.org/google-docs/?535sd9" TargetMode="External"/><Relationship Id="rId7" Type="http://schemas.openxmlformats.org/officeDocument/2006/relationships/hyperlink" Target="https://www.zotero.org/google-docs/?4nc3ib" TargetMode="External"/><Relationship Id="rId8" Type="http://schemas.openxmlformats.org/officeDocument/2006/relationships/hyperlink" Target="https://www.zotero.org/google-docs/?5EskkU" TargetMode="External"/><Relationship Id="rId31" Type="http://schemas.openxmlformats.org/officeDocument/2006/relationships/hyperlink" Target="https://www.zotero.org/google-docs/?boQnnA" TargetMode="External"/><Relationship Id="rId30" Type="http://schemas.openxmlformats.org/officeDocument/2006/relationships/hyperlink" Target="https://www.zotero.org/google-docs/?Q4cuf9" TargetMode="External"/><Relationship Id="rId11" Type="http://schemas.openxmlformats.org/officeDocument/2006/relationships/hyperlink" Target="https://www.zotero.org/google-docs/?ruJg23" TargetMode="External"/><Relationship Id="rId33" Type="http://schemas.openxmlformats.org/officeDocument/2006/relationships/hyperlink" Target="https://www.zotero.org/google-docs/?boQnnA" TargetMode="External"/><Relationship Id="rId10" Type="http://schemas.openxmlformats.org/officeDocument/2006/relationships/hyperlink" Target="https://www.zotero.org/google-docs/?vxwzV2" TargetMode="External"/><Relationship Id="rId32" Type="http://schemas.openxmlformats.org/officeDocument/2006/relationships/hyperlink" Target="https://www.zotero.org/google-docs/?boQnnA" TargetMode="External"/><Relationship Id="rId13" Type="http://schemas.openxmlformats.org/officeDocument/2006/relationships/hyperlink" Target="https://www.zotero.org/google-docs/?yw6X2b" TargetMode="External"/><Relationship Id="rId35" Type="http://schemas.openxmlformats.org/officeDocument/2006/relationships/hyperlink" Target="https://www.zotero.org/google-docs/?WIV4pm" TargetMode="External"/><Relationship Id="rId12" Type="http://schemas.openxmlformats.org/officeDocument/2006/relationships/hyperlink" Target="https://www.zotero.org/google-docs/?UgtEhH" TargetMode="External"/><Relationship Id="rId34" Type="http://schemas.openxmlformats.org/officeDocument/2006/relationships/hyperlink" Target="https://www.zotero.org/google-docs/?WIV4pm" TargetMode="External"/><Relationship Id="rId15" Type="http://schemas.openxmlformats.org/officeDocument/2006/relationships/hyperlink" Target="https://www.zotero.org/google-docs/?yw6X2b" TargetMode="External"/><Relationship Id="rId14" Type="http://schemas.openxmlformats.org/officeDocument/2006/relationships/hyperlink" Target="https://www.zotero.org/google-docs/?yw6X2b" TargetMode="External"/><Relationship Id="rId36" Type="http://schemas.openxmlformats.org/officeDocument/2006/relationships/hyperlink" Target="https://www.zotero.org/google-docs/?WIV4pm" TargetMode="External"/><Relationship Id="rId17" Type="http://schemas.openxmlformats.org/officeDocument/2006/relationships/hyperlink" Target="https://www.zotero.org/google-docs/?MxNpe4" TargetMode="External"/><Relationship Id="rId16" Type="http://schemas.openxmlformats.org/officeDocument/2006/relationships/hyperlink" Target="https://www.zotero.org/google-docs/?cS9SzH" TargetMode="External"/><Relationship Id="rId19" Type="http://schemas.openxmlformats.org/officeDocument/2006/relationships/hyperlink" Target="https://www.zotero.org/google-docs/?MxNpe4" TargetMode="External"/><Relationship Id="rId18" Type="http://schemas.openxmlformats.org/officeDocument/2006/relationships/hyperlink" Target="https://www.zotero.org/google-docs/?MxNpe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