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A568FA" w:rsidR="007539BE" w:rsidP="007539BE" w:rsidRDefault="007539BE" w14:paraId="32DFA9BB" wp14:textId="77777777">
      <w:pPr>
        <w:jc w:val="center"/>
        <w:rPr>
          <w:rFonts w:ascii="Arial" w:hAnsi="Arial" w:eastAsia="Times New Roman" w:cs="Arial"/>
          <w:b/>
          <w:bCs/>
          <w:sz w:val="32"/>
          <w:szCs w:val="36"/>
        </w:rPr>
      </w:pPr>
      <w:r w:rsidRPr="00A568FA">
        <w:rPr>
          <w:rFonts w:ascii="Arial" w:hAnsi="Arial" w:eastAsia="Times New Roman" w:cs="Arial"/>
          <w:b/>
          <w:bCs/>
          <w:sz w:val="32"/>
          <w:szCs w:val="36"/>
        </w:rPr>
        <w:t>University of Wales Trinity Saint David</w:t>
      </w:r>
    </w:p>
    <w:p xmlns:wp14="http://schemas.microsoft.com/office/word/2010/wordml" w:rsidRPr="00A568FA" w:rsidR="007539BE" w:rsidP="007539BE" w:rsidRDefault="007539BE" w14:paraId="17E6D2D1" wp14:textId="77777777">
      <w:pPr>
        <w:spacing w:line="360" w:lineRule="auto"/>
        <w:jc w:val="center"/>
        <w:rPr>
          <w:rFonts w:ascii="Arial" w:hAnsi="Arial" w:eastAsia="Times New Roman" w:cs="Arial"/>
          <w:b/>
          <w:bCs/>
          <w:sz w:val="32"/>
          <w:szCs w:val="36"/>
        </w:rPr>
      </w:pPr>
      <w:r w:rsidRPr="00A568FA">
        <w:rPr>
          <w:rFonts w:ascii="Arial" w:hAnsi="Arial" w:cs="Arial"/>
          <w:noProof/>
        </w:rPr>
        <w:drawing>
          <wp:anchor xmlns:wp14="http://schemas.microsoft.com/office/word/2010/wordprocessingDrawing" distT="0" distB="0" distL="114300" distR="114300" simplePos="0" relativeHeight="251659264" behindDoc="0" locked="0" layoutInCell="1" allowOverlap="1" wp14:anchorId="2C7FA354" wp14:editId="37A99A3E">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A568FA" w:rsidR="007539BE" w:rsidP="007539BE" w:rsidRDefault="007539BE" w14:paraId="672A6659" wp14:textId="77777777">
      <w:pPr>
        <w:spacing w:line="360" w:lineRule="auto"/>
        <w:jc w:val="center"/>
        <w:rPr>
          <w:rFonts w:ascii="Arial" w:hAnsi="Arial" w:eastAsia="Times New Roman" w:cs="Arial"/>
          <w:b/>
          <w:bCs/>
          <w:sz w:val="28"/>
          <w:szCs w:val="24"/>
        </w:rPr>
      </w:pPr>
    </w:p>
    <w:p xmlns:wp14="http://schemas.microsoft.com/office/word/2010/wordml" w:rsidRPr="00A568FA" w:rsidR="007539BE" w:rsidP="007539BE" w:rsidRDefault="007539BE" w14:paraId="0A37501D" wp14:textId="77777777">
      <w:pPr>
        <w:spacing w:line="360" w:lineRule="auto"/>
        <w:jc w:val="center"/>
        <w:rPr>
          <w:rFonts w:ascii="Arial" w:hAnsi="Arial" w:eastAsia="Times New Roman" w:cs="Arial"/>
          <w:b/>
          <w:bCs/>
          <w:sz w:val="28"/>
          <w:szCs w:val="24"/>
        </w:rPr>
      </w:pPr>
    </w:p>
    <w:p xmlns:wp14="http://schemas.microsoft.com/office/word/2010/wordml" w:rsidRPr="002F0DA2" w:rsidR="002F0DA2" w:rsidP="007539BE" w:rsidRDefault="002F0DA2" w14:paraId="423C3888" wp14:textId="77777777">
      <w:pPr>
        <w:spacing w:line="360" w:lineRule="auto"/>
        <w:jc w:val="center"/>
        <w:rPr>
          <w:b/>
          <w:sz w:val="28"/>
        </w:rPr>
      </w:pPr>
      <w:r w:rsidRPr="002F0DA2">
        <w:rPr>
          <w:b/>
          <w:sz w:val="28"/>
        </w:rPr>
        <w:t>Understanding the importance of Stakeholder Engagement in successful commencement and completion of project</w:t>
      </w:r>
    </w:p>
    <w:p xmlns:wp14="http://schemas.microsoft.com/office/word/2010/wordml" w:rsidRPr="00A568FA" w:rsidR="007539BE" w:rsidP="0E5A6DCC" w:rsidRDefault="007539BE" w14:paraId="2FC22203" wp14:textId="110C541E">
      <w:pPr>
        <w:spacing w:line="360" w:lineRule="auto"/>
        <w:jc w:val="center"/>
        <w:rPr>
          <w:rFonts w:ascii="Arial" w:hAnsi="Arial" w:eastAsia="Times New Roman" w:cs="Arial"/>
          <w:sz w:val="28"/>
          <w:szCs w:val="28"/>
        </w:rPr>
      </w:pPr>
      <w:r w:rsidRPr="0E5A6DCC" w:rsidR="007539BE">
        <w:rPr>
          <w:rFonts w:ascii="Arial" w:hAnsi="Arial" w:eastAsia="Times New Roman" w:cs="Arial"/>
          <w:sz w:val="28"/>
          <w:szCs w:val="28"/>
        </w:rPr>
        <w:t>Name:</w:t>
      </w:r>
      <w:r w:rsidRPr="0E5A6DCC" w:rsidR="002D3C1E">
        <w:rPr>
          <w:rFonts w:ascii="Arial" w:hAnsi="Arial" w:eastAsia="Times New Roman" w:cs="Arial"/>
          <w:sz w:val="28"/>
          <w:szCs w:val="28"/>
        </w:rPr>
        <w:t xml:space="preserve"> </w:t>
      </w:r>
      <w:r w:rsidRPr="0E5A6DCC" w:rsidR="4F20711D">
        <w:rPr>
          <w:rFonts w:ascii="Arial" w:hAnsi="Arial" w:eastAsia="Times New Roman" w:cs="Arial"/>
          <w:sz w:val="28"/>
          <w:szCs w:val="28"/>
        </w:rPr>
        <w:t>Samia Kousar</w:t>
      </w:r>
    </w:p>
    <w:p xmlns:wp14="http://schemas.microsoft.com/office/word/2010/wordml" w:rsidRPr="00A568FA" w:rsidR="007539BE" w:rsidP="0E5A6DCC" w:rsidRDefault="007539BE" w14:paraId="318AA240" wp14:textId="18CA5804">
      <w:pPr>
        <w:spacing w:line="360" w:lineRule="auto"/>
        <w:jc w:val="center"/>
        <w:rPr>
          <w:rFonts w:ascii="Arial" w:hAnsi="Arial" w:eastAsia="Times New Roman" w:cs="Arial"/>
          <w:sz w:val="28"/>
          <w:szCs w:val="28"/>
        </w:rPr>
      </w:pPr>
      <w:r w:rsidRPr="0E5A6DCC" w:rsidR="007539BE">
        <w:rPr>
          <w:rFonts w:ascii="Arial" w:hAnsi="Arial" w:eastAsia="Times New Roman" w:cs="Arial"/>
          <w:sz w:val="28"/>
          <w:szCs w:val="28"/>
        </w:rPr>
        <w:t>ID:</w:t>
      </w:r>
      <w:r w:rsidRPr="0E5A6DCC" w:rsidR="002D3C1E">
        <w:rPr>
          <w:rFonts w:ascii="Arial" w:hAnsi="Arial" w:eastAsia="Times New Roman" w:cs="Arial"/>
          <w:sz w:val="28"/>
          <w:szCs w:val="28"/>
        </w:rPr>
        <w:t xml:space="preserve"> </w:t>
      </w:r>
      <w:r w:rsidRPr="0E5A6DCC" w:rsidR="5F1DE5C5">
        <w:rPr>
          <w:rFonts w:ascii="Arial" w:hAnsi="Arial" w:eastAsia="Times New Roman" w:cs="Arial"/>
          <w:sz w:val="28"/>
          <w:szCs w:val="28"/>
        </w:rPr>
        <w:t>2211601</w:t>
      </w:r>
    </w:p>
    <w:p xmlns:wp14="http://schemas.microsoft.com/office/word/2010/wordml" w:rsidRPr="00A568FA" w:rsidR="007539BE" w:rsidP="007539BE" w:rsidRDefault="007539BE" w14:paraId="4637B2E8" wp14:textId="77777777">
      <w:pPr>
        <w:spacing w:line="360" w:lineRule="auto"/>
        <w:jc w:val="center"/>
        <w:rPr>
          <w:rFonts w:ascii="Arial" w:hAnsi="Arial" w:eastAsia="Times New Roman" w:cs="Arial"/>
          <w:bCs/>
          <w:sz w:val="28"/>
          <w:szCs w:val="36"/>
        </w:rPr>
      </w:pPr>
      <w:r w:rsidRPr="00A568FA">
        <w:rPr>
          <w:rFonts w:ascii="Arial" w:hAnsi="Arial" w:eastAsia="Times New Roman" w:cs="Arial"/>
          <w:bCs/>
          <w:sz w:val="28"/>
          <w:szCs w:val="36"/>
        </w:rPr>
        <w:t>Module:</w:t>
      </w:r>
    </w:p>
    <w:p xmlns:wp14="http://schemas.microsoft.com/office/word/2010/wordml" w:rsidRPr="00A568FA" w:rsidR="007539BE" w:rsidP="0E5A6DCC" w:rsidRDefault="00327B47" w14:paraId="35ACED35" wp14:textId="77777777">
      <w:pPr>
        <w:spacing w:line="360" w:lineRule="auto"/>
        <w:jc w:val="center"/>
        <w:rPr>
          <w:rFonts w:ascii="Calibri" w:hAnsi="Calibri" w:eastAsia="Calibri" w:cs="Calibri"/>
          <w:b w:val="1"/>
          <w:bCs w:val="1"/>
          <w:sz w:val="36"/>
          <w:szCs w:val="36"/>
        </w:rPr>
      </w:pPr>
      <w:r w:rsidRPr="0E5A6DCC" w:rsidR="00327B47">
        <w:rPr>
          <w:rFonts w:ascii="Calibri" w:hAnsi="Calibri" w:eastAsia="Calibri" w:cs="Calibri"/>
          <w:b w:val="1"/>
          <w:bCs w:val="1"/>
          <w:sz w:val="36"/>
          <w:szCs w:val="36"/>
        </w:rPr>
        <w:t>LCLM5001</w:t>
      </w:r>
      <w:r w:rsidRPr="0E5A6DCC" w:rsidR="007539BE">
        <w:rPr>
          <w:rFonts w:ascii="Calibri" w:hAnsi="Calibri" w:eastAsia="Calibri" w:cs="Calibri"/>
          <w:b w:val="1"/>
          <w:bCs w:val="1"/>
          <w:sz w:val="36"/>
          <w:szCs w:val="36"/>
        </w:rPr>
        <w:t xml:space="preserve"> </w:t>
      </w:r>
      <w:r w:rsidRPr="0E5A6DCC" w:rsidR="00327B47">
        <w:rPr>
          <w:rFonts w:ascii="Calibri" w:hAnsi="Calibri" w:eastAsia="Calibri" w:cs="Calibri"/>
          <w:b w:val="1"/>
          <w:bCs w:val="1"/>
          <w:sz w:val="36"/>
          <w:szCs w:val="36"/>
        </w:rPr>
        <w:t>Understanding and Engaging Stakeholders</w:t>
      </w:r>
    </w:p>
    <w:p w:rsidR="0E5A6DCC" w:rsidP="0E5A6DCC" w:rsidRDefault="0E5A6DCC" w14:paraId="0F6BE5C2" w14:textId="4C4A6BEF">
      <w:pPr>
        <w:spacing w:line="360" w:lineRule="auto"/>
        <w:jc w:val="center"/>
        <w:rPr>
          <w:rFonts w:ascii="Arial" w:hAnsi="Arial" w:eastAsia="Times New Roman" w:cs="Arial"/>
          <w:sz w:val="28"/>
          <w:szCs w:val="28"/>
        </w:rPr>
      </w:pPr>
    </w:p>
    <w:p xmlns:wp14="http://schemas.microsoft.com/office/word/2010/wordml" w:rsidRPr="00A568FA" w:rsidR="007539BE" w:rsidP="3B60B426" w:rsidRDefault="007539BE" w14:paraId="43F6C256" wp14:textId="26EE332F">
      <w:pPr>
        <w:spacing w:line="360" w:lineRule="auto"/>
        <w:jc w:val="center"/>
        <w:rPr>
          <w:rFonts w:ascii="Arial" w:hAnsi="Arial" w:eastAsia="Times New Roman" w:cs="Arial"/>
          <w:sz w:val="28"/>
          <w:szCs w:val="28"/>
        </w:rPr>
      </w:pPr>
      <w:r w:rsidRPr="3B60B426" w:rsidR="007539BE">
        <w:rPr>
          <w:rFonts w:ascii="Arial" w:hAnsi="Arial" w:eastAsia="Times New Roman" w:cs="Arial"/>
          <w:sz w:val="28"/>
          <w:szCs w:val="28"/>
        </w:rPr>
        <w:t>Date</w:t>
      </w:r>
      <w:r w:rsidRPr="3B60B426" w:rsidR="007539BE">
        <w:rPr>
          <w:rFonts w:ascii="Arial" w:hAnsi="Arial" w:eastAsia="Times New Roman" w:cs="Arial"/>
          <w:sz w:val="28"/>
          <w:szCs w:val="28"/>
        </w:rPr>
        <w:t>:</w:t>
      </w:r>
      <w:r w:rsidRPr="3B60B426" w:rsidR="62E7BE10">
        <w:rPr>
          <w:rFonts w:ascii="Arial" w:hAnsi="Arial" w:eastAsia="Times New Roman" w:cs="Arial"/>
          <w:sz w:val="28"/>
          <w:szCs w:val="28"/>
        </w:rPr>
        <w:t xml:space="preserve"> </w:t>
      </w:r>
      <w:r w:rsidRPr="3B60B426" w:rsidR="007539BE">
        <w:rPr>
          <w:rFonts w:ascii="Arial" w:hAnsi="Arial" w:eastAsia="Times New Roman" w:cs="Arial"/>
          <w:sz w:val="28"/>
          <w:szCs w:val="28"/>
        </w:rPr>
        <w:t>2</w:t>
      </w:r>
      <w:r w:rsidRPr="3B60B426" w:rsidR="7CE2A6DB">
        <w:rPr>
          <w:rFonts w:ascii="Arial" w:hAnsi="Arial" w:eastAsia="Times New Roman" w:cs="Arial"/>
          <w:sz w:val="28"/>
          <w:szCs w:val="28"/>
        </w:rPr>
        <w:t>1</w:t>
      </w:r>
      <w:r w:rsidRPr="3B60B426" w:rsidR="007539BE">
        <w:rPr>
          <w:rFonts w:ascii="Arial" w:hAnsi="Arial" w:eastAsia="Times New Roman" w:cs="Arial"/>
          <w:sz w:val="28"/>
          <w:szCs w:val="28"/>
        </w:rPr>
        <w:t>November 2025</w:t>
      </w:r>
    </w:p>
    <w:p xmlns:wp14="http://schemas.microsoft.com/office/word/2010/wordml" w:rsidR="00BB67B9" w:rsidP="0E5A6DCC" w:rsidRDefault="00E65ECD" w14:paraId="01A19A75" wp14:textId="600D9FC2">
      <w:pPr>
        <w:spacing w:line="360" w:lineRule="auto"/>
        <w:jc w:val="center"/>
        <w:rPr>
          <w:rFonts w:ascii="Arial" w:hAnsi="Arial" w:eastAsia="Times New Roman" w:cs="Arial"/>
          <w:sz w:val="28"/>
          <w:szCs w:val="28"/>
        </w:rPr>
      </w:pPr>
      <w:r w:rsidRPr="0E5A6DCC" w:rsidR="00E65ECD">
        <w:rPr>
          <w:rFonts w:ascii="Arial" w:hAnsi="Arial" w:eastAsia="Times New Roman" w:cs="Arial"/>
          <w:sz w:val="28"/>
          <w:szCs w:val="28"/>
        </w:rPr>
        <w:t>Word count: 4197</w:t>
      </w:r>
    </w:p>
    <w:p xmlns:wp14="http://schemas.microsoft.com/office/word/2010/wordml" w:rsidR="00BB67B9" w:rsidRDefault="00BB67B9" w14:paraId="5DAB6C7B" wp14:textId="77777777">
      <w:pPr>
        <w:rPr>
          <w:rFonts w:ascii="Arial" w:hAnsi="Arial" w:eastAsia="Times New Roman" w:cs="Arial"/>
          <w:bCs/>
          <w:sz w:val="28"/>
          <w:szCs w:val="36"/>
        </w:rPr>
      </w:pPr>
    </w:p>
    <w:p xmlns:wp14="http://schemas.microsoft.com/office/word/2010/wordml" w:rsidR="00BB67B9" w:rsidP="007539BE" w:rsidRDefault="00BB67B9" w14:paraId="02EB378F" wp14:textId="77777777">
      <w:pPr>
        <w:spacing w:line="360" w:lineRule="auto"/>
        <w:jc w:val="center"/>
        <w:rPr>
          <w:rFonts w:ascii="Arial" w:hAnsi="Arial" w:eastAsia="Times New Roman" w:cs="Arial"/>
          <w:bCs/>
          <w:sz w:val="28"/>
          <w:szCs w:val="36"/>
        </w:rPr>
      </w:pPr>
    </w:p>
    <w:p xmlns:wp14="http://schemas.microsoft.com/office/word/2010/wordml" w:rsidR="00BB67B9" w:rsidRDefault="00BB67B9" w14:paraId="6A05A809" wp14:textId="77777777">
      <w:pPr>
        <w:rPr>
          <w:rFonts w:ascii="Arial" w:hAnsi="Arial" w:eastAsia="Times New Roman" w:cs="Arial"/>
          <w:bCs/>
          <w:sz w:val="28"/>
          <w:szCs w:val="36"/>
        </w:rPr>
      </w:pPr>
      <w:r>
        <w:rPr>
          <w:rFonts w:ascii="Arial" w:hAnsi="Arial" w:eastAsia="Times New Roman" w:cs="Arial"/>
          <w:bCs/>
          <w:sz w:val="28"/>
          <w:szCs w:val="36"/>
        </w:rPr>
        <w:br w:type="page"/>
      </w:r>
    </w:p>
    <w:p xmlns:wp14="http://schemas.microsoft.com/office/word/2010/wordml" w:rsidRPr="00BA4453" w:rsidR="00163856" w:rsidP="007539BE" w:rsidRDefault="00163856" w14:paraId="58A3D6FC" wp14:textId="77777777">
      <w:pPr>
        <w:spacing w:line="360" w:lineRule="auto"/>
        <w:jc w:val="center"/>
        <w:rPr>
          <w:rFonts w:ascii="Arial" w:hAnsi="Arial" w:cs="Arial"/>
          <w:bCs/>
          <w:shd w:val="clear" w:color="auto" w:fill="FFFFFF"/>
        </w:rPr>
      </w:pPr>
      <w:r w:rsidRPr="00BA4453">
        <w:rPr>
          <w:sz w:val="28"/>
        </w:rPr>
        <w:t>Understanding the importance of Stakeholder Engagement in successful commenc</w:t>
      </w:r>
      <w:r w:rsidRPr="00BA4453" w:rsidR="001F1D4D">
        <w:rPr>
          <w:sz w:val="28"/>
        </w:rPr>
        <w:t>ement and completion of project</w:t>
      </w:r>
      <w:r w:rsidR="001F1D4D">
        <w:t xml:space="preserve">- </w:t>
      </w:r>
      <w:proofErr w:type="spellStart"/>
      <w:r w:rsidR="001F1D4D">
        <w:rPr>
          <w:rFonts w:ascii="Arial" w:hAnsi="Arial" w:cs="Arial"/>
          <w:b/>
          <w:bCs/>
          <w:shd w:val="clear" w:color="auto" w:fill="FFFFFF"/>
        </w:rPr>
        <w:t>Medinox</w:t>
      </w:r>
      <w:r w:rsidRPr="00A81790" w:rsidR="001F1D4D">
        <w:rPr>
          <w:rFonts w:ascii="Arial" w:hAnsi="Arial" w:cs="Arial"/>
          <w:b/>
          <w:bCs/>
          <w:shd w:val="clear" w:color="auto" w:fill="FFFFFF"/>
        </w:rPr>
        <w:t>-</w:t>
      </w:r>
      <w:r w:rsidRPr="001F1D4D" w:rsidR="001F1D4D">
        <w:rPr>
          <w:rFonts w:ascii="Arial" w:hAnsi="Arial" w:cs="Arial"/>
          <w:b/>
          <w:bCs/>
          <w:shd w:val="clear" w:color="auto" w:fill="FFFFFF"/>
        </w:rPr>
        <w:t>VitaTrack</w:t>
      </w:r>
      <w:proofErr w:type="spellEnd"/>
      <w:r w:rsidR="00BA4453">
        <w:rPr>
          <w:rFonts w:ascii="Arial" w:hAnsi="Arial" w:cs="Arial"/>
          <w:b/>
          <w:bCs/>
          <w:shd w:val="clear" w:color="auto" w:fill="FFFFFF"/>
        </w:rPr>
        <w:t xml:space="preserve"> </w:t>
      </w:r>
      <w:r w:rsidR="00BA4453">
        <w:rPr>
          <w:rFonts w:ascii="Arial" w:hAnsi="Arial" w:cs="Arial"/>
          <w:bCs/>
          <w:shd w:val="clear" w:color="auto" w:fill="FFFFFF"/>
        </w:rPr>
        <w:t xml:space="preserve">at </w:t>
      </w:r>
      <w:proofErr w:type="spellStart"/>
      <w:r w:rsidR="00BA4453">
        <w:rPr>
          <w:rFonts w:ascii="Arial" w:hAnsi="Arial" w:cs="Arial"/>
          <w:bCs/>
          <w:shd w:val="clear" w:color="auto" w:fill="FFFFFF"/>
        </w:rPr>
        <w:t>Medinox</w:t>
      </w:r>
      <w:proofErr w:type="spellEnd"/>
      <w:r w:rsidR="00BA4453">
        <w:rPr>
          <w:rFonts w:ascii="Arial" w:hAnsi="Arial" w:cs="Arial"/>
          <w:bCs/>
          <w:shd w:val="clear" w:color="auto" w:fill="FFFFFF"/>
        </w:rPr>
        <w:t xml:space="preserve"> UK</w:t>
      </w:r>
    </w:p>
    <w:p xmlns:wp14="http://schemas.microsoft.com/office/word/2010/wordml" w:rsidR="00555896" w:rsidP="007539BE" w:rsidRDefault="00A8620B" w14:paraId="6B14AEA1" wp14:textId="77777777">
      <w:pPr>
        <w:spacing w:line="360" w:lineRule="auto"/>
        <w:jc w:val="center"/>
        <w:rPr>
          <w:rFonts w:ascii="Arial" w:hAnsi="Arial" w:cs="Arial"/>
          <w:b/>
          <w:bCs/>
          <w:shd w:val="clear" w:color="auto" w:fill="FFFFFF"/>
        </w:rPr>
      </w:pPr>
      <w:r>
        <w:rPr>
          <w:noProof/>
        </w:rPr>
        <w:drawing>
          <wp:anchor xmlns:wp14="http://schemas.microsoft.com/office/word/2010/wordprocessingDrawing" distT="0" distB="0" distL="114300" distR="114300" simplePos="0" relativeHeight="251669504" behindDoc="0" locked="0" layoutInCell="1" allowOverlap="1" wp14:anchorId="722CEF49" wp14:editId="40E4A813">
            <wp:simplePos x="0" y="0"/>
            <wp:positionH relativeFrom="column">
              <wp:posOffset>171450</wp:posOffset>
            </wp:positionH>
            <wp:positionV relativeFrom="paragraph">
              <wp:posOffset>22225</wp:posOffset>
            </wp:positionV>
            <wp:extent cx="5619750" cy="4286250"/>
            <wp:effectExtent l="19050" t="0" r="19050" b="1333500"/>
            <wp:wrapNone/>
            <wp:docPr id="3" name="Picture 3" descr="C:\Users\Administrator\Downloads\Gemini_Generated_Image_ykmk7ykmk7ykmk7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Gemini_Generated_Image_ykmk7ykmk7ykmk7y.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0" cy="42862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xmlns:wp14="http://schemas.microsoft.com/office/word/2010/wordml" w:rsidR="00BB67B9" w:rsidP="004230E8" w:rsidRDefault="00BB67B9" w14:paraId="5A39BBE3" wp14:textId="77777777">
      <w:pPr>
        <w:spacing w:line="360" w:lineRule="auto"/>
        <w:jc w:val="center"/>
      </w:pPr>
    </w:p>
    <w:p xmlns:wp14="http://schemas.microsoft.com/office/word/2010/wordml" w:rsidR="00C837A3" w:rsidP="004230E8" w:rsidRDefault="00C837A3" w14:paraId="41C8F396" wp14:textId="77777777">
      <w:pPr>
        <w:spacing w:line="360" w:lineRule="auto"/>
        <w:jc w:val="center"/>
      </w:pPr>
    </w:p>
    <w:p xmlns:wp14="http://schemas.microsoft.com/office/word/2010/wordml" w:rsidR="000E4E11" w:rsidRDefault="00E91E1D" w14:paraId="4343B938" wp14:textId="77777777">
      <w:bookmarkStart w:name="_GoBack" w:id="0"/>
      <w:r>
        <w:rPr>
          <w:noProof/>
        </w:rPr>
        <w:drawing>
          <wp:anchor xmlns:wp14="http://schemas.microsoft.com/office/word/2010/wordprocessingDrawing" distT="0" distB="0" distL="114300" distR="114300" simplePos="0" relativeHeight="251667456" behindDoc="0" locked="0" layoutInCell="1" allowOverlap="1" wp14:anchorId="7A891D8E" wp14:editId="793FB74F">
            <wp:simplePos x="0" y="0"/>
            <wp:positionH relativeFrom="column">
              <wp:posOffset>314960</wp:posOffset>
            </wp:positionH>
            <wp:positionV relativeFrom="paragraph">
              <wp:posOffset>2983865</wp:posOffset>
            </wp:positionV>
            <wp:extent cx="5939790" cy="2333625"/>
            <wp:effectExtent l="19050" t="0" r="22860" b="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39790" cy="23336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bookmarkEnd w:id="0"/>
      <w:r w:rsidR="000E4E11">
        <w:br w:type="page"/>
      </w:r>
    </w:p>
    <w:sdt>
      <w:sdtPr>
        <w:id w:val="446518971"/>
        <w:docPartObj>
          <w:docPartGallery w:val="Table of Contents"/>
          <w:docPartUnique/>
        </w:docPartObj>
        <w:rPr>
          <w:rFonts w:ascii="Calibri" w:hAnsi="Calibri" w:eastAsia="Calibri" w:cs="" w:asciiTheme="minorAscii" w:hAnsiTheme="minorAscii" w:eastAsiaTheme="minorAscii" w:cstheme="minorBidi"/>
          <w:b w:val="0"/>
          <w:bCs w:val="0"/>
          <w:color w:val="auto"/>
          <w:sz w:val="22"/>
          <w:szCs w:val="22"/>
          <w:lang w:eastAsia="en-US"/>
        </w:rPr>
      </w:sdtPr>
      <w:sdtEndPr>
        <w:rPr>
          <w:rFonts w:ascii="Calibri" w:hAnsi="Calibri" w:eastAsia="Calibri" w:cs="" w:asciiTheme="minorAscii" w:hAnsiTheme="minorAscii" w:eastAsiaTheme="minorAscii" w:cstheme="minorBidi"/>
          <w:b w:val="0"/>
          <w:bCs w:val="0"/>
          <w:noProof/>
          <w:color w:val="auto"/>
          <w:sz w:val="22"/>
          <w:szCs w:val="22"/>
          <w:lang w:eastAsia="en-US"/>
        </w:rPr>
      </w:sdtEndPr>
      <w:sdtContent>
        <w:p xmlns:wp14="http://schemas.microsoft.com/office/word/2010/wordml" w:rsidR="00EA7D93" w:rsidRDefault="00EA7D93" w14:paraId="406425CA" wp14:textId="77777777">
          <w:pPr>
            <w:pStyle w:val="TOCHeading"/>
          </w:pPr>
          <w:r>
            <w:t>Contents</w:t>
          </w:r>
        </w:p>
        <w:p xmlns:wp14="http://schemas.microsoft.com/office/word/2010/wordml" w:rsidR="00F56263" w:rsidRDefault="00EA7D93" w14:paraId="10619090" wp14:textId="77777777">
          <w:pPr>
            <w:pStyle w:val="TOC1"/>
            <w:tabs>
              <w:tab w:val="right" w:leader="dot" w:pos="9350"/>
            </w:tabs>
            <w:rPr>
              <w:rFonts w:eastAsiaTheme="minorEastAsia"/>
              <w:noProof/>
            </w:rPr>
          </w:pPr>
          <w:r>
            <w:fldChar w:fldCharType="begin"/>
          </w:r>
          <w:r>
            <w:instrText xml:space="preserve"> TOC \o "1-3" \h \z \u </w:instrText>
          </w:r>
          <w:r>
            <w:fldChar w:fldCharType="separate"/>
          </w:r>
          <w:hyperlink w:history="1" w:anchor="_Toc214072206">
            <w:r w:rsidRPr="007C7FCD" w:rsidR="00F56263">
              <w:rPr>
                <w:rStyle w:val="Hyperlink"/>
                <w:rFonts w:ascii="Arial" w:hAnsi="Arial" w:cs="Arial"/>
                <w:noProof/>
              </w:rPr>
              <w:t>Report</w:t>
            </w:r>
            <w:r w:rsidR="00F56263">
              <w:rPr>
                <w:noProof/>
                <w:webHidden/>
              </w:rPr>
              <w:tab/>
            </w:r>
            <w:r w:rsidR="00F56263">
              <w:rPr>
                <w:noProof/>
                <w:webHidden/>
              </w:rPr>
              <w:fldChar w:fldCharType="begin"/>
            </w:r>
            <w:r w:rsidR="00F56263">
              <w:rPr>
                <w:noProof/>
                <w:webHidden/>
              </w:rPr>
              <w:instrText xml:space="preserve"> PAGEREF _Toc214072206 \h </w:instrText>
            </w:r>
            <w:r w:rsidR="00F56263">
              <w:rPr>
                <w:noProof/>
                <w:webHidden/>
              </w:rPr>
            </w:r>
            <w:r w:rsidR="00F56263">
              <w:rPr>
                <w:noProof/>
                <w:webHidden/>
              </w:rPr>
              <w:fldChar w:fldCharType="separate"/>
            </w:r>
            <w:r w:rsidR="00F56263">
              <w:rPr>
                <w:noProof/>
                <w:webHidden/>
              </w:rPr>
              <w:t>1</w:t>
            </w:r>
            <w:r w:rsidR="00F56263">
              <w:rPr>
                <w:noProof/>
                <w:webHidden/>
              </w:rPr>
              <w:fldChar w:fldCharType="end"/>
            </w:r>
          </w:hyperlink>
        </w:p>
        <w:p xmlns:wp14="http://schemas.microsoft.com/office/word/2010/wordml" w:rsidR="00F56263" w:rsidRDefault="00F56263" w14:paraId="56DF6F8E" wp14:textId="77777777">
          <w:pPr>
            <w:pStyle w:val="TOC1"/>
            <w:tabs>
              <w:tab w:val="right" w:leader="dot" w:pos="9350"/>
            </w:tabs>
            <w:rPr>
              <w:rFonts w:eastAsiaTheme="minorEastAsia"/>
              <w:noProof/>
            </w:rPr>
          </w:pPr>
          <w:hyperlink w:history="1" w:anchor="_Toc214072207">
            <w:r w:rsidRPr="007C7FCD">
              <w:rPr>
                <w:rStyle w:val="Hyperlink"/>
                <w:noProof/>
              </w:rPr>
              <w:t>1.0 Introduction of Medinox UK</w:t>
            </w:r>
            <w:r>
              <w:rPr>
                <w:noProof/>
                <w:webHidden/>
              </w:rPr>
              <w:tab/>
            </w:r>
            <w:r>
              <w:rPr>
                <w:noProof/>
                <w:webHidden/>
              </w:rPr>
              <w:fldChar w:fldCharType="begin"/>
            </w:r>
            <w:r>
              <w:rPr>
                <w:noProof/>
                <w:webHidden/>
              </w:rPr>
              <w:instrText xml:space="preserve"> PAGEREF _Toc214072207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F56263" w:rsidRDefault="00F56263" w14:paraId="0077A5A1" wp14:textId="77777777">
          <w:pPr>
            <w:pStyle w:val="TOC2"/>
            <w:tabs>
              <w:tab w:val="right" w:leader="dot" w:pos="9350"/>
            </w:tabs>
            <w:rPr>
              <w:rFonts w:eastAsiaTheme="minorEastAsia"/>
              <w:noProof/>
            </w:rPr>
          </w:pPr>
          <w:hyperlink w:history="1" w:anchor="_Toc214072208">
            <w:r w:rsidRPr="007C7FCD">
              <w:rPr>
                <w:rStyle w:val="Hyperlink"/>
                <w:noProof/>
              </w:rPr>
              <w:t>1.1 Company Profile: Medinox</w:t>
            </w:r>
            <w:r>
              <w:rPr>
                <w:noProof/>
                <w:webHidden/>
              </w:rPr>
              <w:tab/>
            </w:r>
            <w:r>
              <w:rPr>
                <w:noProof/>
                <w:webHidden/>
              </w:rPr>
              <w:fldChar w:fldCharType="begin"/>
            </w:r>
            <w:r>
              <w:rPr>
                <w:noProof/>
                <w:webHidden/>
              </w:rPr>
              <w:instrText xml:space="preserve"> PAGEREF _Toc214072208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F56263" w:rsidRDefault="00F56263" w14:paraId="270131E5" wp14:textId="77777777">
          <w:pPr>
            <w:pStyle w:val="TOC2"/>
            <w:tabs>
              <w:tab w:val="right" w:leader="dot" w:pos="9350"/>
            </w:tabs>
            <w:rPr>
              <w:rFonts w:eastAsiaTheme="minorEastAsia"/>
              <w:noProof/>
            </w:rPr>
          </w:pPr>
          <w:hyperlink w:history="1" w:anchor="_Toc214072209">
            <w:r w:rsidRPr="007C7FCD">
              <w:rPr>
                <w:rStyle w:val="Hyperlink"/>
                <w:noProof/>
              </w:rPr>
              <w:t>1.2 The Medinox-VitaTrack Project</w:t>
            </w:r>
            <w:r>
              <w:rPr>
                <w:noProof/>
                <w:webHidden/>
              </w:rPr>
              <w:tab/>
            </w:r>
            <w:r>
              <w:rPr>
                <w:noProof/>
                <w:webHidden/>
              </w:rPr>
              <w:fldChar w:fldCharType="begin"/>
            </w:r>
            <w:r>
              <w:rPr>
                <w:noProof/>
                <w:webHidden/>
              </w:rPr>
              <w:instrText xml:space="preserve"> PAGEREF _Toc214072209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F56263" w:rsidRDefault="00F56263" w14:paraId="67319BA5" wp14:textId="77777777">
          <w:pPr>
            <w:pStyle w:val="TOC1"/>
            <w:tabs>
              <w:tab w:val="right" w:leader="dot" w:pos="9350"/>
            </w:tabs>
            <w:rPr>
              <w:rFonts w:eastAsiaTheme="minorEastAsia"/>
              <w:noProof/>
            </w:rPr>
          </w:pPr>
          <w:hyperlink w:history="1" w:anchor="_Toc214072210">
            <w:r w:rsidRPr="007C7FCD">
              <w:rPr>
                <w:rStyle w:val="Hyperlink"/>
                <w:noProof/>
              </w:rPr>
              <w:t>2. An Appraisal of Medinox: A SWOT Analysis</w:t>
            </w:r>
            <w:r>
              <w:rPr>
                <w:noProof/>
                <w:webHidden/>
              </w:rPr>
              <w:tab/>
            </w:r>
            <w:r>
              <w:rPr>
                <w:noProof/>
                <w:webHidden/>
              </w:rPr>
              <w:fldChar w:fldCharType="begin"/>
            </w:r>
            <w:r>
              <w:rPr>
                <w:noProof/>
                <w:webHidden/>
              </w:rPr>
              <w:instrText xml:space="preserve"> PAGEREF _Toc214072210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F56263" w:rsidRDefault="00F56263" w14:paraId="771D29D3" wp14:textId="77777777">
          <w:pPr>
            <w:pStyle w:val="TOC2"/>
            <w:tabs>
              <w:tab w:val="right" w:leader="dot" w:pos="9350"/>
            </w:tabs>
            <w:rPr>
              <w:rFonts w:eastAsiaTheme="minorEastAsia"/>
              <w:noProof/>
            </w:rPr>
          </w:pPr>
          <w:hyperlink w:history="1" w:anchor="_Toc214072211">
            <w:r w:rsidRPr="007C7FCD">
              <w:rPr>
                <w:rStyle w:val="Hyperlink"/>
                <w:noProof/>
              </w:rPr>
              <w:t>2.1 Strengths</w:t>
            </w:r>
            <w:r>
              <w:rPr>
                <w:noProof/>
                <w:webHidden/>
              </w:rPr>
              <w:tab/>
            </w:r>
            <w:r>
              <w:rPr>
                <w:noProof/>
                <w:webHidden/>
              </w:rPr>
              <w:fldChar w:fldCharType="begin"/>
            </w:r>
            <w:r>
              <w:rPr>
                <w:noProof/>
                <w:webHidden/>
              </w:rPr>
              <w:instrText xml:space="preserve"> PAGEREF _Toc214072211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F56263" w:rsidRDefault="00F56263" w14:paraId="705334A1" wp14:textId="77777777">
          <w:pPr>
            <w:pStyle w:val="TOC2"/>
            <w:tabs>
              <w:tab w:val="right" w:leader="dot" w:pos="9350"/>
            </w:tabs>
            <w:rPr>
              <w:rFonts w:eastAsiaTheme="minorEastAsia"/>
              <w:noProof/>
            </w:rPr>
          </w:pPr>
          <w:hyperlink w:history="1" w:anchor="_Toc214072212">
            <w:r w:rsidRPr="007C7FCD">
              <w:rPr>
                <w:rStyle w:val="Hyperlink"/>
                <w:noProof/>
              </w:rPr>
              <w:t>2.2 Weaknesses</w:t>
            </w:r>
            <w:r>
              <w:rPr>
                <w:noProof/>
                <w:webHidden/>
              </w:rPr>
              <w:tab/>
            </w:r>
            <w:r>
              <w:rPr>
                <w:noProof/>
                <w:webHidden/>
              </w:rPr>
              <w:fldChar w:fldCharType="begin"/>
            </w:r>
            <w:r>
              <w:rPr>
                <w:noProof/>
                <w:webHidden/>
              </w:rPr>
              <w:instrText xml:space="preserve"> PAGEREF _Toc214072212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F56263" w:rsidRDefault="00F56263" w14:paraId="5E7976D3" wp14:textId="77777777">
          <w:pPr>
            <w:pStyle w:val="TOC2"/>
            <w:tabs>
              <w:tab w:val="right" w:leader="dot" w:pos="9350"/>
            </w:tabs>
            <w:rPr>
              <w:rFonts w:eastAsiaTheme="minorEastAsia"/>
              <w:noProof/>
            </w:rPr>
          </w:pPr>
          <w:hyperlink w:history="1" w:anchor="_Toc214072213">
            <w:r w:rsidRPr="007C7FCD">
              <w:rPr>
                <w:rStyle w:val="Hyperlink"/>
                <w:noProof/>
              </w:rPr>
              <w:t>2.3 Opportunities</w:t>
            </w:r>
            <w:r>
              <w:rPr>
                <w:noProof/>
                <w:webHidden/>
              </w:rPr>
              <w:tab/>
            </w:r>
            <w:r>
              <w:rPr>
                <w:noProof/>
                <w:webHidden/>
              </w:rPr>
              <w:fldChar w:fldCharType="begin"/>
            </w:r>
            <w:r>
              <w:rPr>
                <w:noProof/>
                <w:webHidden/>
              </w:rPr>
              <w:instrText xml:space="preserve"> PAGEREF _Toc214072213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F56263" w:rsidRDefault="00F56263" w14:paraId="0F37A16B" wp14:textId="77777777">
          <w:pPr>
            <w:pStyle w:val="TOC2"/>
            <w:tabs>
              <w:tab w:val="right" w:leader="dot" w:pos="9350"/>
            </w:tabs>
            <w:rPr>
              <w:rFonts w:eastAsiaTheme="minorEastAsia"/>
              <w:noProof/>
            </w:rPr>
          </w:pPr>
          <w:hyperlink w:history="1" w:anchor="_Toc214072214">
            <w:r w:rsidRPr="007C7FCD">
              <w:rPr>
                <w:rStyle w:val="Hyperlink"/>
                <w:noProof/>
              </w:rPr>
              <w:t>2.4 Threats</w:t>
            </w:r>
            <w:r>
              <w:rPr>
                <w:noProof/>
                <w:webHidden/>
              </w:rPr>
              <w:tab/>
            </w:r>
            <w:r>
              <w:rPr>
                <w:noProof/>
                <w:webHidden/>
              </w:rPr>
              <w:fldChar w:fldCharType="begin"/>
            </w:r>
            <w:r>
              <w:rPr>
                <w:noProof/>
                <w:webHidden/>
              </w:rPr>
              <w:instrText xml:space="preserve"> PAGEREF _Toc214072214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F56263" w:rsidRDefault="00F56263" w14:paraId="57824FC8" wp14:textId="77777777">
          <w:pPr>
            <w:pStyle w:val="TOC1"/>
            <w:tabs>
              <w:tab w:val="right" w:leader="dot" w:pos="9350"/>
            </w:tabs>
            <w:rPr>
              <w:rFonts w:eastAsiaTheme="minorEastAsia"/>
              <w:noProof/>
            </w:rPr>
          </w:pPr>
          <w:hyperlink w:history="1" w:anchor="_Toc214072215">
            <w:r w:rsidRPr="007C7FCD">
              <w:rPr>
                <w:rStyle w:val="Hyperlink"/>
                <w:noProof/>
              </w:rPr>
              <w:t>3. Key Stakeholders for the Medinox-VitaTrack Project: Identification and Analysis</w:t>
            </w:r>
            <w:r>
              <w:rPr>
                <w:noProof/>
                <w:webHidden/>
              </w:rPr>
              <w:tab/>
            </w:r>
            <w:r>
              <w:rPr>
                <w:noProof/>
                <w:webHidden/>
              </w:rPr>
              <w:fldChar w:fldCharType="begin"/>
            </w:r>
            <w:r>
              <w:rPr>
                <w:noProof/>
                <w:webHidden/>
              </w:rPr>
              <w:instrText xml:space="preserve"> PAGEREF _Toc214072215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F56263" w:rsidRDefault="00F56263" w14:paraId="22DBB7A5" wp14:textId="77777777">
          <w:pPr>
            <w:pStyle w:val="TOC2"/>
            <w:tabs>
              <w:tab w:val="right" w:leader="dot" w:pos="9350"/>
            </w:tabs>
            <w:rPr>
              <w:rFonts w:eastAsiaTheme="minorEastAsia"/>
              <w:noProof/>
            </w:rPr>
          </w:pPr>
          <w:hyperlink w:history="1" w:anchor="_Toc214072216">
            <w:r w:rsidRPr="007C7FCD">
              <w:rPr>
                <w:rStyle w:val="Hyperlink"/>
                <w:noProof/>
              </w:rPr>
              <w:t>3.1 Internal Stakeholders</w:t>
            </w:r>
            <w:r>
              <w:rPr>
                <w:noProof/>
                <w:webHidden/>
              </w:rPr>
              <w:tab/>
            </w:r>
            <w:r>
              <w:rPr>
                <w:noProof/>
                <w:webHidden/>
              </w:rPr>
              <w:fldChar w:fldCharType="begin"/>
            </w:r>
            <w:r>
              <w:rPr>
                <w:noProof/>
                <w:webHidden/>
              </w:rPr>
              <w:instrText xml:space="preserve"> PAGEREF _Toc214072216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F56263" w:rsidRDefault="00F56263" w14:paraId="7BC99F1A" wp14:textId="77777777">
          <w:pPr>
            <w:pStyle w:val="TOC2"/>
            <w:tabs>
              <w:tab w:val="right" w:leader="dot" w:pos="9350"/>
            </w:tabs>
            <w:rPr>
              <w:rFonts w:eastAsiaTheme="minorEastAsia"/>
              <w:noProof/>
            </w:rPr>
          </w:pPr>
          <w:hyperlink w:history="1" w:anchor="_Toc214072217">
            <w:r w:rsidRPr="007C7FCD">
              <w:rPr>
                <w:rStyle w:val="Hyperlink"/>
                <w:noProof/>
              </w:rPr>
              <w:t>3.2 External Stakeholders</w:t>
            </w:r>
            <w:r>
              <w:rPr>
                <w:noProof/>
                <w:webHidden/>
              </w:rPr>
              <w:tab/>
            </w:r>
            <w:r>
              <w:rPr>
                <w:noProof/>
                <w:webHidden/>
              </w:rPr>
              <w:fldChar w:fldCharType="begin"/>
            </w:r>
            <w:r>
              <w:rPr>
                <w:noProof/>
                <w:webHidden/>
              </w:rPr>
              <w:instrText xml:space="preserve"> PAGEREF _Toc214072217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F56263" w:rsidRDefault="00F56263" w14:paraId="1D3DDE44" wp14:textId="77777777">
          <w:pPr>
            <w:pStyle w:val="TOC1"/>
            <w:tabs>
              <w:tab w:val="right" w:leader="dot" w:pos="9350"/>
            </w:tabs>
            <w:rPr>
              <w:rFonts w:eastAsiaTheme="minorEastAsia"/>
              <w:noProof/>
            </w:rPr>
          </w:pPr>
          <w:hyperlink w:history="1" w:anchor="_Toc214072218">
            <w:r w:rsidRPr="007C7FCD">
              <w:rPr>
                <w:rStyle w:val="Hyperlink"/>
                <w:noProof/>
              </w:rPr>
              <w:t>4. Stakeholder Roles, Benefits, and Challenges in the Medinox-VitaTrack Project</w:t>
            </w:r>
            <w:r>
              <w:rPr>
                <w:noProof/>
                <w:webHidden/>
              </w:rPr>
              <w:tab/>
            </w:r>
            <w:r>
              <w:rPr>
                <w:noProof/>
                <w:webHidden/>
              </w:rPr>
              <w:fldChar w:fldCharType="begin"/>
            </w:r>
            <w:r>
              <w:rPr>
                <w:noProof/>
                <w:webHidden/>
              </w:rPr>
              <w:instrText xml:space="preserve"> PAGEREF _Toc214072218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56263" w:rsidRDefault="00F56263" w14:paraId="780231E4" wp14:textId="77777777">
          <w:pPr>
            <w:pStyle w:val="TOC2"/>
            <w:tabs>
              <w:tab w:val="right" w:leader="dot" w:pos="9350"/>
            </w:tabs>
            <w:rPr>
              <w:rFonts w:eastAsiaTheme="minorEastAsia"/>
              <w:noProof/>
            </w:rPr>
          </w:pPr>
          <w:hyperlink w:history="1" w:anchor="_Toc214072219">
            <w:r w:rsidRPr="007C7FCD">
              <w:rPr>
                <w:rStyle w:val="Hyperlink"/>
                <w:noProof/>
              </w:rPr>
              <w:t>4.1 Internal Stakeholders</w:t>
            </w:r>
            <w:r>
              <w:rPr>
                <w:noProof/>
                <w:webHidden/>
              </w:rPr>
              <w:tab/>
            </w:r>
            <w:r>
              <w:rPr>
                <w:noProof/>
                <w:webHidden/>
              </w:rPr>
              <w:fldChar w:fldCharType="begin"/>
            </w:r>
            <w:r>
              <w:rPr>
                <w:noProof/>
                <w:webHidden/>
              </w:rPr>
              <w:instrText xml:space="preserve"> PAGEREF _Toc214072219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56263" w:rsidRDefault="00F56263" w14:paraId="2F1AA090" wp14:textId="77777777">
          <w:pPr>
            <w:pStyle w:val="TOC2"/>
            <w:tabs>
              <w:tab w:val="right" w:leader="dot" w:pos="9350"/>
            </w:tabs>
            <w:rPr>
              <w:rFonts w:eastAsiaTheme="minorEastAsia"/>
              <w:noProof/>
            </w:rPr>
          </w:pPr>
          <w:hyperlink w:history="1" w:anchor="_Toc214072220">
            <w:r w:rsidRPr="007C7FCD">
              <w:rPr>
                <w:rStyle w:val="Hyperlink"/>
                <w:noProof/>
              </w:rPr>
              <w:t>4.2 External Stakeholders</w:t>
            </w:r>
            <w:r>
              <w:rPr>
                <w:noProof/>
                <w:webHidden/>
              </w:rPr>
              <w:tab/>
            </w:r>
            <w:r>
              <w:rPr>
                <w:noProof/>
                <w:webHidden/>
              </w:rPr>
              <w:fldChar w:fldCharType="begin"/>
            </w:r>
            <w:r>
              <w:rPr>
                <w:noProof/>
                <w:webHidden/>
              </w:rPr>
              <w:instrText xml:space="preserve"> PAGEREF _Toc214072220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F56263" w:rsidRDefault="00F56263" w14:paraId="02D251AD" wp14:textId="77777777">
          <w:pPr>
            <w:pStyle w:val="TOC1"/>
            <w:tabs>
              <w:tab w:val="right" w:leader="dot" w:pos="9350"/>
            </w:tabs>
            <w:rPr>
              <w:rFonts w:eastAsiaTheme="minorEastAsia"/>
              <w:noProof/>
            </w:rPr>
          </w:pPr>
          <w:hyperlink w:history="1" w:anchor="_Toc214072221">
            <w:r w:rsidRPr="007C7FCD">
              <w:rPr>
                <w:rStyle w:val="Hyperlink"/>
                <w:noProof/>
              </w:rPr>
              <w:t>5. Stakeholder Engagement Frameworks and Models for the Medinox-VitaTrack Project</w:t>
            </w:r>
            <w:r>
              <w:rPr>
                <w:noProof/>
                <w:webHidden/>
              </w:rPr>
              <w:tab/>
            </w:r>
            <w:r>
              <w:rPr>
                <w:noProof/>
                <w:webHidden/>
              </w:rPr>
              <w:fldChar w:fldCharType="begin"/>
            </w:r>
            <w:r>
              <w:rPr>
                <w:noProof/>
                <w:webHidden/>
              </w:rPr>
              <w:instrText xml:space="preserve"> PAGEREF _Toc214072221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56263" w:rsidRDefault="00F56263" w14:paraId="607861EC" wp14:textId="77777777">
          <w:pPr>
            <w:pStyle w:val="TOC2"/>
            <w:tabs>
              <w:tab w:val="right" w:leader="dot" w:pos="9350"/>
            </w:tabs>
            <w:rPr>
              <w:rFonts w:eastAsiaTheme="minorEastAsia"/>
              <w:noProof/>
            </w:rPr>
          </w:pPr>
          <w:hyperlink w:history="1" w:anchor="_Toc214072222">
            <w:r w:rsidRPr="007C7FCD">
              <w:rPr>
                <w:rStyle w:val="Hyperlink"/>
                <w:noProof/>
              </w:rPr>
              <w:t>5.1 Stakeholder Power/Interest Matrix</w:t>
            </w:r>
            <w:r>
              <w:rPr>
                <w:noProof/>
                <w:webHidden/>
              </w:rPr>
              <w:tab/>
            </w:r>
            <w:r>
              <w:rPr>
                <w:noProof/>
                <w:webHidden/>
              </w:rPr>
              <w:fldChar w:fldCharType="begin"/>
            </w:r>
            <w:r>
              <w:rPr>
                <w:noProof/>
                <w:webHidden/>
              </w:rPr>
              <w:instrText xml:space="preserve"> PAGEREF _Toc214072222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F56263" w:rsidRDefault="00F56263" w14:paraId="07795923" wp14:textId="77777777">
          <w:pPr>
            <w:pStyle w:val="TOC2"/>
            <w:tabs>
              <w:tab w:val="right" w:leader="dot" w:pos="9350"/>
            </w:tabs>
            <w:rPr>
              <w:rFonts w:eastAsiaTheme="minorEastAsia"/>
              <w:noProof/>
            </w:rPr>
          </w:pPr>
          <w:hyperlink w:history="1" w:anchor="_Toc214072223">
            <w:r w:rsidRPr="007C7FCD">
              <w:rPr>
                <w:rStyle w:val="Hyperlink"/>
                <w:noProof/>
              </w:rPr>
              <w:t>5.2 Stakeholder Engagement Plan</w:t>
            </w:r>
            <w:r>
              <w:rPr>
                <w:noProof/>
                <w:webHidden/>
              </w:rPr>
              <w:tab/>
            </w:r>
            <w:r>
              <w:rPr>
                <w:noProof/>
                <w:webHidden/>
              </w:rPr>
              <w:fldChar w:fldCharType="begin"/>
            </w:r>
            <w:r>
              <w:rPr>
                <w:noProof/>
                <w:webHidden/>
              </w:rPr>
              <w:instrText xml:space="preserve"> PAGEREF _Toc214072223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F56263" w:rsidRDefault="00F56263" w14:paraId="368089E3" wp14:textId="77777777">
          <w:pPr>
            <w:pStyle w:val="TOC2"/>
            <w:tabs>
              <w:tab w:val="right" w:leader="dot" w:pos="9350"/>
            </w:tabs>
            <w:rPr>
              <w:rFonts w:eastAsiaTheme="minorEastAsia"/>
              <w:noProof/>
            </w:rPr>
          </w:pPr>
          <w:hyperlink w:history="1" w:anchor="_Toc214072224">
            <w:r w:rsidRPr="007C7FCD">
              <w:rPr>
                <w:rStyle w:val="Hyperlink"/>
                <w:noProof/>
              </w:rPr>
              <w:t>5.3 Project Communication Plan</w:t>
            </w:r>
            <w:r>
              <w:rPr>
                <w:noProof/>
                <w:webHidden/>
              </w:rPr>
              <w:tab/>
            </w:r>
            <w:r>
              <w:rPr>
                <w:noProof/>
                <w:webHidden/>
              </w:rPr>
              <w:fldChar w:fldCharType="begin"/>
            </w:r>
            <w:r>
              <w:rPr>
                <w:noProof/>
                <w:webHidden/>
              </w:rPr>
              <w:instrText xml:space="preserve"> PAGEREF _Toc214072224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F56263" w:rsidRDefault="00F56263" w14:paraId="1F103C49" wp14:textId="77777777">
          <w:pPr>
            <w:pStyle w:val="TOC2"/>
            <w:tabs>
              <w:tab w:val="right" w:leader="dot" w:pos="9350"/>
            </w:tabs>
            <w:rPr>
              <w:rFonts w:eastAsiaTheme="minorEastAsia"/>
              <w:noProof/>
            </w:rPr>
          </w:pPr>
          <w:hyperlink w:history="1" w:anchor="_Toc214072225">
            <w:r w:rsidRPr="007C7FCD">
              <w:rPr>
                <w:rStyle w:val="Hyperlink"/>
                <w:noProof/>
              </w:rPr>
              <w:t>5.4 RACI Matrix</w:t>
            </w:r>
            <w:r>
              <w:rPr>
                <w:noProof/>
                <w:webHidden/>
              </w:rPr>
              <w:tab/>
            </w:r>
            <w:r>
              <w:rPr>
                <w:noProof/>
                <w:webHidden/>
              </w:rPr>
              <w:fldChar w:fldCharType="begin"/>
            </w:r>
            <w:r>
              <w:rPr>
                <w:noProof/>
                <w:webHidden/>
              </w:rPr>
              <w:instrText xml:space="preserve"> PAGEREF _Toc214072225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F56263" w:rsidRDefault="00F56263" w14:paraId="38525BFB" wp14:textId="77777777">
          <w:pPr>
            <w:pStyle w:val="TOC1"/>
            <w:tabs>
              <w:tab w:val="right" w:leader="dot" w:pos="9350"/>
            </w:tabs>
            <w:rPr>
              <w:rFonts w:eastAsiaTheme="minorEastAsia"/>
              <w:noProof/>
            </w:rPr>
          </w:pPr>
          <w:hyperlink w:history="1" w:anchor="_Toc214072226">
            <w:r w:rsidRPr="007C7FCD">
              <w:rPr>
                <w:rStyle w:val="Hyperlink"/>
                <w:noProof/>
              </w:rPr>
              <w:t>6. A Critical Engagement Process for the Medinox-VitaTrack Project: Applying the 4C’s Model</w:t>
            </w:r>
            <w:r>
              <w:rPr>
                <w:noProof/>
                <w:webHidden/>
              </w:rPr>
              <w:tab/>
            </w:r>
            <w:r>
              <w:rPr>
                <w:noProof/>
                <w:webHidden/>
              </w:rPr>
              <w:fldChar w:fldCharType="begin"/>
            </w:r>
            <w:r>
              <w:rPr>
                <w:noProof/>
                <w:webHidden/>
              </w:rPr>
              <w:instrText xml:space="preserve"> PAGEREF _Toc214072226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F56263" w:rsidRDefault="00F56263" w14:paraId="00E3F387" wp14:textId="77777777">
          <w:pPr>
            <w:pStyle w:val="TOC2"/>
            <w:tabs>
              <w:tab w:val="right" w:leader="dot" w:pos="9350"/>
            </w:tabs>
            <w:rPr>
              <w:rFonts w:eastAsiaTheme="minorEastAsia"/>
              <w:noProof/>
            </w:rPr>
          </w:pPr>
          <w:hyperlink w:history="1" w:anchor="_Toc214072227">
            <w:r w:rsidRPr="007C7FCD">
              <w:rPr>
                <w:rStyle w:val="Hyperlink"/>
                <w:noProof/>
              </w:rPr>
              <w:t>6.1 Communication: The Foundational Bedrock</w:t>
            </w:r>
            <w:r>
              <w:rPr>
                <w:noProof/>
                <w:webHidden/>
              </w:rPr>
              <w:tab/>
            </w:r>
            <w:r>
              <w:rPr>
                <w:noProof/>
                <w:webHidden/>
              </w:rPr>
              <w:fldChar w:fldCharType="begin"/>
            </w:r>
            <w:r>
              <w:rPr>
                <w:noProof/>
                <w:webHidden/>
              </w:rPr>
              <w:instrText xml:space="preserve"> PAGEREF _Toc214072227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F56263" w:rsidRDefault="00F56263" w14:paraId="73AED4A4" wp14:textId="77777777">
          <w:pPr>
            <w:pStyle w:val="TOC2"/>
            <w:tabs>
              <w:tab w:val="right" w:leader="dot" w:pos="9350"/>
            </w:tabs>
            <w:rPr>
              <w:rFonts w:eastAsiaTheme="minorEastAsia"/>
              <w:noProof/>
            </w:rPr>
          </w:pPr>
          <w:hyperlink w:history="1" w:anchor="_Toc214072228">
            <w:r w:rsidRPr="007C7FCD">
              <w:rPr>
                <w:rStyle w:val="Hyperlink"/>
                <w:noProof/>
              </w:rPr>
              <w:t>6.2 Coordination: The Operational Engine</w:t>
            </w:r>
            <w:r>
              <w:rPr>
                <w:noProof/>
                <w:webHidden/>
              </w:rPr>
              <w:tab/>
            </w:r>
            <w:r>
              <w:rPr>
                <w:noProof/>
                <w:webHidden/>
              </w:rPr>
              <w:fldChar w:fldCharType="begin"/>
            </w:r>
            <w:r>
              <w:rPr>
                <w:noProof/>
                <w:webHidden/>
              </w:rPr>
              <w:instrText xml:space="preserve"> PAGEREF _Toc214072228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F56263" w:rsidRDefault="00F56263" w14:paraId="25590605" wp14:textId="77777777">
          <w:pPr>
            <w:pStyle w:val="TOC2"/>
            <w:tabs>
              <w:tab w:val="right" w:leader="dot" w:pos="9350"/>
            </w:tabs>
            <w:rPr>
              <w:rFonts w:eastAsiaTheme="minorEastAsia"/>
              <w:noProof/>
            </w:rPr>
          </w:pPr>
          <w:hyperlink w:history="1" w:anchor="_Toc214072229">
            <w:r w:rsidRPr="007C7FCD">
              <w:rPr>
                <w:rStyle w:val="Hyperlink"/>
                <w:noProof/>
              </w:rPr>
              <w:t>6.3 Cooperation: The Voluntary Alliance</w:t>
            </w:r>
            <w:r>
              <w:rPr>
                <w:noProof/>
                <w:webHidden/>
              </w:rPr>
              <w:tab/>
            </w:r>
            <w:r>
              <w:rPr>
                <w:noProof/>
                <w:webHidden/>
              </w:rPr>
              <w:fldChar w:fldCharType="begin"/>
            </w:r>
            <w:r>
              <w:rPr>
                <w:noProof/>
                <w:webHidden/>
              </w:rPr>
              <w:instrText xml:space="preserve"> PAGEREF _Toc214072229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F56263" w:rsidRDefault="00F56263" w14:paraId="726F6784" wp14:textId="77777777">
          <w:pPr>
            <w:pStyle w:val="TOC2"/>
            <w:tabs>
              <w:tab w:val="right" w:leader="dot" w:pos="9350"/>
            </w:tabs>
            <w:rPr>
              <w:rFonts w:eastAsiaTheme="minorEastAsia"/>
              <w:noProof/>
            </w:rPr>
          </w:pPr>
          <w:hyperlink w:history="1" w:anchor="_Toc214072230">
            <w:r w:rsidRPr="007C7FCD">
              <w:rPr>
                <w:rStyle w:val="Hyperlink"/>
                <w:noProof/>
              </w:rPr>
              <w:t>6.4 Collaboration: The Strategic Partnership</w:t>
            </w:r>
            <w:r>
              <w:rPr>
                <w:noProof/>
                <w:webHidden/>
              </w:rPr>
              <w:tab/>
            </w:r>
            <w:r>
              <w:rPr>
                <w:noProof/>
                <w:webHidden/>
              </w:rPr>
              <w:fldChar w:fldCharType="begin"/>
            </w:r>
            <w:r>
              <w:rPr>
                <w:noProof/>
                <w:webHidden/>
              </w:rPr>
              <w:instrText xml:space="preserve"> PAGEREF _Toc214072230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F56263" w:rsidRDefault="00F56263" w14:paraId="457067CE" wp14:textId="77777777">
          <w:pPr>
            <w:pStyle w:val="TOC1"/>
            <w:tabs>
              <w:tab w:val="right" w:leader="dot" w:pos="9350"/>
            </w:tabs>
            <w:rPr>
              <w:rFonts w:eastAsiaTheme="minorEastAsia"/>
              <w:noProof/>
            </w:rPr>
          </w:pPr>
          <w:hyperlink w:history="1" w:anchor="_Toc214072231">
            <w:r w:rsidRPr="007C7FCD">
              <w:rPr>
                <w:rStyle w:val="Hyperlink"/>
                <w:noProof/>
              </w:rPr>
              <w:t>7. Evaluation of Stakeholder Engagement Impact and Future Recommendations for Medinox</w:t>
            </w:r>
            <w:r>
              <w:rPr>
                <w:noProof/>
                <w:webHidden/>
              </w:rPr>
              <w:tab/>
            </w:r>
            <w:r>
              <w:rPr>
                <w:noProof/>
                <w:webHidden/>
              </w:rPr>
              <w:fldChar w:fldCharType="begin"/>
            </w:r>
            <w:r>
              <w:rPr>
                <w:noProof/>
                <w:webHidden/>
              </w:rPr>
              <w:instrText xml:space="preserve"> PAGEREF _Toc214072231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F56263" w:rsidRDefault="00F56263" w14:paraId="6A7729D0" wp14:textId="77777777">
          <w:pPr>
            <w:pStyle w:val="TOC2"/>
            <w:tabs>
              <w:tab w:val="right" w:leader="dot" w:pos="9350"/>
            </w:tabs>
            <w:rPr>
              <w:rFonts w:eastAsiaTheme="minorEastAsia"/>
              <w:noProof/>
            </w:rPr>
          </w:pPr>
          <w:hyperlink w:history="1" w:anchor="_Toc214072232">
            <w:r w:rsidRPr="007C7FCD">
              <w:rPr>
                <w:rStyle w:val="Hyperlink"/>
                <w:noProof/>
              </w:rPr>
              <w:t>7.1 Impact on Business Performance</w:t>
            </w:r>
            <w:r>
              <w:rPr>
                <w:noProof/>
                <w:webHidden/>
              </w:rPr>
              <w:tab/>
            </w:r>
            <w:r>
              <w:rPr>
                <w:noProof/>
                <w:webHidden/>
              </w:rPr>
              <w:fldChar w:fldCharType="begin"/>
            </w:r>
            <w:r>
              <w:rPr>
                <w:noProof/>
                <w:webHidden/>
              </w:rPr>
              <w:instrText xml:space="preserve"> PAGEREF _Toc214072232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F56263" w:rsidRDefault="00F56263" w14:paraId="7D966870" wp14:textId="77777777">
          <w:pPr>
            <w:pStyle w:val="TOC2"/>
            <w:tabs>
              <w:tab w:val="right" w:leader="dot" w:pos="9350"/>
            </w:tabs>
            <w:rPr>
              <w:rFonts w:eastAsiaTheme="minorEastAsia"/>
              <w:noProof/>
            </w:rPr>
          </w:pPr>
          <w:hyperlink w:history="1" w:anchor="_Toc214072233">
            <w:r w:rsidRPr="007C7FCD">
              <w:rPr>
                <w:rStyle w:val="Hyperlink"/>
                <w:noProof/>
              </w:rPr>
              <w:t>7.2 Recommendations for Future Projects</w:t>
            </w:r>
            <w:r>
              <w:rPr>
                <w:noProof/>
                <w:webHidden/>
              </w:rPr>
              <w:tab/>
            </w:r>
            <w:r>
              <w:rPr>
                <w:noProof/>
                <w:webHidden/>
              </w:rPr>
              <w:fldChar w:fldCharType="begin"/>
            </w:r>
            <w:r>
              <w:rPr>
                <w:noProof/>
                <w:webHidden/>
              </w:rPr>
              <w:instrText xml:space="preserve"> PAGEREF _Toc214072233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00F56263" w:rsidRDefault="00F56263" w14:paraId="69C807E4" wp14:textId="77777777">
          <w:pPr>
            <w:pStyle w:val="TOC1"/>
            <w:tabs>
              <w:tab w:val="right" w:leader="dot" w:pos="9350"/>
            </w:tabs>
            <w:rPr>
              <w:rFonts w:eastAsiaTheme="minorEastAsia"/>
              <w:noProof/>
            </w:rPr>
          </w:pPr>
          <w:hyperlink w:history="1" w:anchor="_Toc214072234">
            <w:r w:rsidRPr="007C7FCD">
              <w:rPr>
                <w:rStyle w:val="Hyperlink"/>
                <w:noProof/>
              </w:rPr>
              <w:t>8. Conclusion</w:t>
            </w:r>
            <w:r>
              <w:rPr>
                <w:noProof/>
                <w:webHidden/>
              </w:rPr>
              <w:tab/>
            </w:r>
            <w:r>
              <w:rPr>
                <w:noProof/>
                <w:webHidden/>
              </w:rPr>
              <w:fldChar w:fldCharType="begin"/>
            </w:r>
            <w:r>
              <w:rPr>
                <w:noProof/>
                <w:webHidden/>
              </w:rPr>
              <w:instrText xml:space="preserve"> PAGEREF _Toc214072234 \h </w:instrText>
            </w:r>
            <w:r>
              <w:rPr>
                <w:noProof/>
                <w:webHidden/>
              </w:rPr>
            </w:r>
            <w:r>
              <w:rPr>
                <w:noProof/>
                <w:webHidden/>
              </w:rPr>
              <w:fldChar w:fldCharType="separate"/>
            </w:r>
            <w:r>
              <w:rPr>
                <w:noProof/>
                <w:webHidden/>
              </w:rPr>
              <w:t>15</w:t>
            </w:r>
            <w:r>
              <w:rPr>
                <w:noProof/>
                <w:webHidden/>
              </w:rPr>
              <w:fldChar w:fldCharType="end"/>
            </w:r>
          </w:hyperlink>
        </w:p>
        <w:p xmlns:wp14="http://schemas.microsoft.com/office/word/2010/wordml" w:rsidR="00F56263" w:rsidRDefault="00F56263" w14:paraId="46E43290" wp14:textId="77777777">
          <w:pPr>
            <w:pStyle w:val="TOC1"/>
            <w:tabs>
              <w:tab w:val="right" w:leader="dot" w:pos="9350"/>
            </w:tabs>
            <w:rPr>
              <w:rFonts w:eastAsiaTheme="minorEastAsia"/>
              <w:noProof/>
            </w:rPr>
          </w:pPr>
          <w:hyperlink w:history="1" w:anchor="_Toc214072235">
            <w:r w:rsidRPr="007C7FC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_Toc214072235 \h </w:instrText>
            </w:r>
            <w:r>
              <w:rPr>
                <w:noProof/>
                <w:webHidden/>
              </w:rPr>
            </w:r>
            <w:r>
              <w:rPr>
                <w:noProof/>
                <w:webHidden/>
              </w:rPr>
              <w:fldChar w:fldCharType="separate"/>
            </w:r>
            <w:r>
              <w:rPr>
                <w:noProof/>
                <w:webHidden/>
              </w:rPr>
              <w:t>17</w:t>
            </w:r>
            <w:r>
              <w:rPr>
                <w:noProof/>
                <w:webHidden/>
              </w:rPr>
              <w:fldChar w:fldCharType="end"/>
            </w:r>
          </w:hyperlink>
        </w:p>
        <w:p xmlns:wp14="http://schemas.microsoft.com/office/word/2010/wordml" w:rsidR="00EA7D93" w:rsidRDefault="00EA7D93" w14:paraId="72A3D3EC" wp14:textId="77777777">
          <w:r>
            <w:rPr>
              <w:b/>
              <w:bCs/>
              <w:noProof/>
            </w:rPr>
            <w:fldChar w:fldCharType="end"/>
          </w:r>
        </w:p>
      </w:sdtContent>
    </w:sdt>
    <w:p xmlns:wp14="http://schemas.microsoft.com/office/word/2010/wordml" w:rsidR="00E351A9" w:rsidRDefault="00E351A9" w14:paraId="0D0B940D" wp14:textId="77777777">
      <w:pPr>
        <w:rPr>
          <w:rFonts w:ascii="Arial" w:hAnsi="Arial" w:cs="Arial"/>
        </w:rPr>
        <w:sectPr w:rsidR="00E351A9" w:rsidSect="00E351A9">
          <w:headerReference w:type="even" r:id="rId12"/>
          <w:headerReference w:type="default" r:id="rId13"/>
          <w:footerReference w:type="even" r:id="rId14"/>
          <w:footerReference w:type="default" r:id="rId15"/>
          <w:headerReference w:type="first" r:id="rId16"/>
          <w:footerReference w:type="first" r:id="rId17"/>
          <w:pgSz w:w="12240" w:h="15840" w:orient="portrait"/>
          <w:pgMar w:top="1440" w:right="1440" w:bottom="1440" w:left="1440" w:header="720" w:footer="720" w:gutter="0"/>
          <w:pgNumType w:fmt="upperRoman"/>
          <w:cols w:space="720"/>
          <w:titlePg/>
          <w:docGrid w:linePitch="360"/>
        </w:sectPr>
      </w:pPr>
    </w:p>
    <w:p xmlns:wp14="http://schemas.microsoft.com/office/word/2010/wordml" w:rsidRPr="00D913BC" w:rsidR="008C3B4E" w:rsidP="008C3B4E" w:rsidRDefault="008C3B4E" w14:paraId="1A6F17A5" wp14:textId="77777777">
      <w:pPr>
        <w:pStyle w:val="Heading1"/>
        <w:jc w:val="center"/>
        <w:rPr>
          <w:rFonts w:ascii="Arial" w:hAnsi="Arial" w:cs="Arial"/>
          <w:sz w:val="52"/>
        </w:rPr>
      </w:pPr>
      <w:bookmarkStart w:name="_Toc212462830" w:id="1"/>
      <w:bookmarkStart w:name="_Toc214072206" w:id="2"/>
      <w:r w:rsidRPr="00D913BC">
        <w:rPr>
          <w:rFonts w:ascii="Arial" w:hAnsi="Arial" w:cs="Arial"/>
          <w:sz w:val="52"/>
        </w:rPr>
        <w:t>Report</w:t>
      </w:r>
      <w:bookmarkEnd w:id="1"/>
      <w:bookmarkEnd w:id="2"/>
    </w:p>
    <w:p xmlns:wp14="http://schemas.microsoft.com/office/word/2010/wordml" w:rsidRPr="004A22D0" w:rsidR="008C3B4E" w:rsidP="0E5A6DCC" w:rsidRDefault="008C3B4E" w14:paraId="585B67C6" wp14:textId="397DDB9B">
      <w:pPr>
        <w:ind w:left="1440" w:hanging="1440"/>
        <w:rPr>
          <w:rFonts w:ascii="Arial" w:hAnsi="Arial" w:cs="Arial"/>
          <w:b w:val="1"/>
          <w:bCs w:val="1"/>
        </w:rPr>
      </w:pPr>
      <w:r w:rsidRPr="004A22D0" w:rsidR="14C5D414">
        <w:rPr>
          <w:rFonts w:ascii="Arial" w:hAnsi="Arial" w:cs="Arial"/>
          <w:b w:val="1"/>
          <w:bCs w:val="1"/>
        </w:rPr>
        <w:t xml:space="preserve">To: </w:t>
      </w:r>
      <w:r w:rsidRPr="004A22D0" w:rsidR="1E91B144">
        <w:rPr>
          <w:rFonts w:ascii="Arial" w:hAnsi="Arial" w:cs="Arial"/>
          <w:b w:val="1"/>
          <w:bCs w:val="1"/>
        </w:rPr>
        <w:t xml:space="preserve">                </w:t>
      </w:r>
      <w:r w:rsidRPr="004A22D0" w:rsidR="008C3B4E">
        <w:rPr>
          <w:rFonts w:ascii="Arial" w:hAnsi="Arial" w:cs="Arial"/>
          <w:shd w:val="clear" w:color="auto" w:fill="FFFFFF"/>
        </w:rPr>
        <w:t xml:space="preserve">The </w:t>
      </w:r>
      <w:r w:rsidRPr="0E5A6DCC" w:rsidR="00A3022E">
        <w:rPr>
          <w:rFonts w:ascii="Arial" w:hAnsi="Arial" w:cs="Arial"/>
          <w:b w:val="1"/>
          <w:bCs w:val="1"/>
        </w:rPr>
        <w:t>Medin</w:t>
      </w:r>
      <w:r w:rsidRPr="0E5A6DCC" w:rsidR="5CB66D4A">
        <w:rPr>
          <w:rFonts w:ascii="Arial" w:hAnsi="Arial" w:cs="Arial"/>
          <w:b w:val="1"/>
          <w:bCs w:val="1"/>
        </w:rPr>
        <w:t>ox</w:t>
      </w:r>
    </w:p>
    <w:p xmlns:wp14="http://schemas.microsoft.com/office/word/2010/wordml" w:rsidRPr="004A22D0" w:rsidR="008C3B4E" w:rsidP="008C3B4E" w:rsidRDefault="008C3B4E" w14:paraId="58F1B464" wp14:textId="77777777">
      <w:pPr>
        <w:ind w:left="720" w:hanging="720"/>
        <w:rPr>
          <w:rFonts w:ascii="Arial" w:hAnsi="Arial" w:cs="Arial"/>
          <w:b/>
        </w:rPr>
      </w:pPr>
      <w:r w:rsidRPr="004A22D0">
        <w:rPr>
          <w:rFonts w:ascii="Arial" w:hAnsi="Arial" w:cs="Arial"/>
          <w:b/>
          <w:bCs/>
        </w:rPr>
        <w:t>From:</w:t>
      </w:r>
      <w:r w:rsidRPr="004A22D0">
        <w:rPr>
          <w:rFonts w:ascii="Arial" w:hAnsi="Arial" w:cs="Arial"/>
          <w:b/>
        </w:rPr>
        <w:t> </w:t>
      </w:r>
      <w:r w:rsidRPr="004A22D0">
        <w:rPr>
          <w:rFonts w:ascii="Arial" w:hAnsi="Arial" w:cs="Arial"/>
          <w:b/>
        </w:rPr>
        <w:tab/>
      </w:r>
      <w:r w:rsidRPr="004A22D0" w:rsidR="00BE7521">
        <w:rPr>
          <w:rFonts w:ascii="Arial" w:hAnsi="Arial" w:cs="Arial"/>
          <w:b/>
        </w:rPr>
        <w:tab/>
      </w:r>
      <w:r w:rsidRPr="004A22D0" w:rsidR="0010778F">
        <w:rPr>
          <w:rFonts w:ascii="Arial" w:hAnsi="Arial" w:cs="Arial"/>
          <w:shd w:val="clear" w:color="auto" w:fill="FFFFFF"/>
        </w:rPr>
        <w:t>Project Manager, New Product Launch</w:t>
      </w:r>
    </w:p>
    <w:p xmlns:wp14="http://schemas.microsoft.com/office/word/2010/wordml" w:rsidRPr="004A22D0" w:rsidR="008C3B4E" w:rsidP="008C3B4E" w:rsidRDefault="008C3B4E" w14:paraId="191043A2" wp14:textId="77777777">
      <w:pPr>
        <w:ind w:left="720" w:hanging="720"/>
        <w:rPr>
          <w:rFonts w:ascii="Arial" w:hAnsi="Arial" w:cs="Arial"/>
          <w:b/>
        </w:rPr>
      </w:pPr>
      <w:r w:rsidRPr="004A22D0">
        <w:rPr>
          <w:rFonts w:ascii="Arial" w:hAnsi="Arial" w:cs="Arial"/>
          <w:b/>
          <w:bCs/>
        </w:rPr>
        <w:t>Date:</w:t>
      </w:r>
      <w:r w:rsidRPr="004A22D0">
        <w:rPr>
          <w:rFonts w:ascii="Arial" w:hAnsi="Arial" w:cs="Arial"/>
          <w:b/>
        </w:rPr>
        <w:t> </w:t>
      </w:r>
      <w:r w:rsidRPr="004A22D0">
        <w:rPr>
          <w:rFonts w:ascii="Arial" w:hAnsi="Arial" w:cs="Arial"/>
          <w:b/>
        </w:rPr>
        <w:tab/>
      </w:r>
      <w:r w:rsidRPr="004A22D0">
        <w:rPr>
          <w:rFonts w:ascii="Arial" w:hAnsi="Arial" w:cs="Arial"/>
          <w:b/>
        </w:rPr>
        <w:tab/>
      </w:r>
      <w:r w:rsidRPr="004A22D0">
        <w:rPr>
          <w:rFonts w:ascii="Arial" w:hAnsi="Arial" w:cs="Arial"/>
        </w:rPr>
        <w:t>November 15, 2025</w:t>
      </w:r>
    </w:p>
    <w:p xmlns:wp14="http://schemas.microsoft.com/office/word/2010/wordml" w:rsidRPr="004A22D0" w:rsidR="008C3B4E" w:rsidP="008C3B4E" w:rsidRDefault="008C3B4E" w14:paraId="747B3BE0" wp14:textId="77777777">
      <w:pPr>
        <w:spacing w:line="360" w:lineRule="auto"/>
        <w:ind w:left="1440" w:hanging="1440"/>
        <w:rPr>
          <w:rFonts w:ascii="Arial" w:hAnsi="Arial" w:cs="Arial"/>
        </w:rPr>
      </w:pPr>
      <w:r w:rsidRPr="004A22D0">
        <w:rPr>
          <w:rFonts w:ascii="Arial" w:hAnsi="Arial" w:cs="Arial"/>
          <w:b/>
          <w:bCs/>
        </w:rPr>
        <w:t>Subject:</w:t>
      </w:r>
      <w:r w:rsidRPr="004A22D0">
        <w:rPr>
          <w:rFonts w:ascii="Arial" w:hAnsi="Arial" w:cs="Arial"/>
          <w:b/>
        </w:rPr>
        <w:t> </w:t>
      </w:r>
      <w:r w:rsidRPr="004A22D0">
        <w:rPr>
          <w:rFonts w:ascii="Arial" w:hAnsi="Arial" w:cs="Arial"/>
          <w:b/>
        </w:rPr>
        <w:tab/>
      </w:r>
      <w:r w:rsidRPr="004A22D0" w:rsidR="004A22D0">
        <w:rPr>
          <w:rFonts w:ascii="Arial" w:hAnsi="Arial" w:cs="Arial"/>
          <w:bCs/>
          <w:shd w:val="clear" w:color="auto" w:fill="FFFFFF"/>
        </w:rPr>
        <w:t xml:space="preserve">Strategic Stakeholder Engagement for the Successful Launch of the </w:t>
      </w:r>
      <w:proofErr w:type="spellStart"/>
      <w:r w:rsidR="00A27093">
        <w:rPr>
          <w:rFonts w:ascii="Arial" w:hAnsi="Arial" w:cs="Arial"/>
          <w:b/>
          <w:bCs/>
          <w:shd w:val="clear" w:color="auto" w:fill="FFFFFF"/>
        </w:rPr>
        <w:t>Medinox</w:t>
      </w:r>
      <w:r w:rsidRPr="00A81790" w:rsidR="004A22D0">
        <w:rPr>
          <w:rFonts w:ascii="Arial" w:hAnsi="Arial" w:cs="Arial"/>
          <w:b/>
          <w:bCs/>
          <w:shd w:val="clear" w:color="auto" w:fill="FFFFFF"/>
        </w:rPr>
        <w:t>-</w:t>
      </w:r>
      <w:r w:rsidRPr="001F1D4D" w:rsidR="004A22D0">
        <w:rPr>
          <w:rFonts w:ascii="Arial" w:hAnsi="Arial" w:cs="Arial"/>
          <w:b/>
          <w:bCs/>
          <w:shd w:val="clear" w:color="auto" w:fill="FFFFFF"/>
        </w:rPr>
        <w:t>VitaTrack</w:t>
      </w:r>
      <w:proofErr w:type="spellEnd"/>
      <w:r w:rsidRPr="004A22D0" w:rsidR="004A22D0">
        <w:rPr>
          <w:rFonts w:ascii="Arial" w:hAnsi="Arial" w:cs="Arial"/>
          <w:bCs/>
          <w:shd w:val="clear" w:color="auto" w:fill="FFFFFF"/>
        </w:rPr>
        <w:t>: A Project Management Report</w:t>
      </w:r>
    </w:p>
    <w:p xmlns:wp14="http://schemas.microsoft.com/office/word/2010/wordml" w:rsidRPr="004230E8" w:rsidR="00243263" w:rsidP="004230E8" w:rsidRDefault="00460B9C" w14:paraId="3BEFA9E7" wp14:textId="77777777">
      <w:pPr>
        <w:pStyle w:val="Heading1"/>
      </w:pPr>
      <w:bookmarkStart w:name="_Toc214072207" w:id="3"/>
      <w:r w:rsidRPr="004230E8">
        <w:t xml:space="preserve">1.0 </w:t>
      </w:r>
      <w:r w:rsidRPr="004230E8" w:rsidR="00243263">
        <w:t>Introduction</w:t>
      </w:r>
      <w:r w:rsidR="004230E8">
        <w:t xml:space="preserve"> of </w:t>
      </w:r>
      <w:proofErr w:type="spellStart"/>
      <w:r w:rsidR="004230E8">
        <w:t>Medinox</w:t>
      </w:r>
      <w:proofErr w:type="spellEnd"/>
      <w:r w:rsidR="004230E8">
        <w:t xml:space="preserve"> UK</w:t>
      </w:r>
      <w:bookmarkEnd w:id="3"/>
    </w:p>
    <w:p xmlns:wp14="http://schemas.microsoft.com/office/word/2010/wordml" w:rsidRPr="006F6F67" w:rsidR="006F6F67" w:rsidP="0037780E" w:rsidRDefault="0037780E" w14:paraId="05750631" wp14:textId="77777777">
      <w:pPr>
        <w:pStyle w:val="Heading2"/>
      </w:pPr>
      <w:bookmarkStart w:name="_Toc214072208" w:id="4"/>
      <w:r>
        <w:t xml:space="preserve">1.1 </w:t>
      </w:r>
      <w:r w:rsidRPr="006F6F67" w:rsidR="006F6F67">
        <w:t xml:space="preserve">Company Profile: </w:t>
      </w:r>
      <w:proofErr w:type="spellStart"/>
      <w:r w:rsidR="00A3022E">
        <w:t>Medinox</w:t>
      </w:r>
      <w:bookmarkEnd w:id="4"/>
      <w:proofErr w:type="spellEnd"/>
    </w:p>
    <w:p xmlns:wp14="http://schemas.microsoft.com/office/word/2010/wordml" w:rsidRPr="006F6F67" w:rsidR="006F6F67" w:rsidP="0E5A6DCC" w:rsidRDefault="00354572" w14:paraId="28C0BE8D" wp14:textId="32E2D6EC">
      <w:pPr>
        <w:spacing w:line="360" w:lineRule="auto"/>
        <w:jc w:val="both"/>
        <w:rPr>
          <w:rFonts w:ascii="Arial" w:hAnsi="Arial" w:cs="Arial"/>
        </w:rPr>
      </w:pPr>
      <w:r w:rsidRPr="0E5A6DCC" w:rsidR="00354572">
        <w:rPr>
          <w:rFonts w:ascii="Arial" w:hAnsi="Arial" w:cs="Arial"/>
        </w:rPr>
        <w:t>Medinox</w:t>
      </w:r>
      <w:r w:rsidRPr="0E5A6DCC" w:rsidR="00354572">
        <w:rPr>
          <w:rFonts w:ascii="Arial" w:hAnsi="Arial" w:cs="Arial"/>
        </w:rPr>
        <w:t xml:space="preserve"> is a dynamic company in the consumer health sector that focuses on production and global distribution of </w:t>
      </w:r>
      <w:r w:rsidRPr="0E5A6DCC" w:rsidR="16624952">
        <w:rPr>
          <w:rFonts w:ascii="Arial" w:hAnsi="Arial" w:cs="Arial"/>
        </w:rPr>
        <w:t>over the counter</w:t>
      </w:r>
      <w:r w:rsidRPr="0E5A6DCC" w:rsidR="00354572">
        <w:rPr>
          <w:rFonts w:ascii="Arial" w:hAnsi="Arial" w:cs="Arial"/>
        </w:rPr>
        <w:t xml:space="preserve"> (OTC) health and wellness markets (</w:t>
      </w:r>
      <w:r w:rsidRPr="0E5A6DCC" w:rsidR="00354572">
        <w:rPr>
          <w:rFonts w:ascii="Arial" w:hAnsi="Arial" w:cs="Arial"/>
        </w:rPr>
        <w:t>Medinox</w:t>
      </w:r>
      <w:r w:rsidRPr="0E5A6DCC" w:rsidR="00354572">
        <w:rPr>
          <w:rFonts w:ascii="Arial" w:hAnsi="Arial" w:cs="Arial"/>
        </w:rPr>
        <w:t>, 2025). It has a large international presence, and has permanent offices in the United Kingdom, South Africa and Australia and distributes its heterogeneous line of products to over 30 nations across Europe, Middle East as well as Africa (</w:t>
      </w:r>
      <w:r w:rsidRPr="0E5A6DCC" w:rsidR="00354572">
        <w:rPr>
          <w:rFonts w:ascii="Arial" w:hAnsi="Arial" w:cs="Arial"/>
        </w:rPr>
        <w:t>Medinox</w:t>
      </w:r>
      <w:r w:rsidRPr="0E5A6DCC" w:rsidR="00354572">
        <w:rPr>
          <w:rFonts w:ascii="Arial" w:hAnsi="Arial" w:cs="Arial"/>
        </w:rPr>
        <w:t>, 2025). Such a wide presence on the geographical base supports its position as a growing entity determined to build strong, win-win partnerships with retailers, wholesalers, and pharmacies across the world (</w:t>
      </w:r>
      <w:r w:rsidRPr="0E5A6DCC" w:rsidR="00354572">
        <w:rPr>
          <w:rFonts w:ascii="Arial" w:hAnsi="Arial" w:cs="Arial"/>
        </w:rPr>
        <w:t>Medinox</w:t>
      </w:r>
      <w:r w:rsidRPr="0E5A6DCC" w:rsidR="00354572">
        <w:rPr>
          <w:rFonts w:ascii="Arial" w:hAnsi="Arial" w:cs="Arial"/>
        </w:rPr>
        <w:t>, 2025).</w:t>
      </w:r>
    </w:p>
    <w:p xmlns:wp14="http://schemas.microsoft.com/office/word/2010/wordml" w:rsidRPr="0051398B" w:rsidR="006F6F67" w:rsidP="0051398B" w:rsidRDefault="006F6F67" w14:paraId="1DF5C26F" wp14:textId="77777777">
      <w:pPr>
        <w:pStyle w:val="Heading2"/>
      </w:pPr>
      <w:bookmarkStart w:name="_Toc214072209" w:id="5"/>
      <w:r w:rsidRPr="0051398B">
        <w:t xml:space="preserve">1.2 The </w:t>
      </w:r>
      <w:proofErr w:type="spellStart"/>
      <w:r w:rsidRPr="0051398B" w:rsidR="006E7A79">
        <w:t>Medinox-VitaTrack</w:t>
      </w:r>
      <w:proofErr w:type="spellEnd"/>
      <w:r w:rsidRPr="0051398B" w:rsidR="006E7A79">
        <w:t xml:space="preserve"> </w:t>
      </w:r>
      <w:r w:rsidRPr="0051398B">
        <w:t>Project</w:t>
      </w:r>
      <w:bookmarkEnd w:id="5"/>
    </w:p>
    <w:p xmlns:wp14="http://schemas.microsoft.com/office/word/2010/wordml" w:rsidR="0051398B" w:rsidP="006F6F67" w:rsidRDefault="0051398B" w14:paraId="0E27B00A" wp14:textId="77777777">
      <w:pPr>
        <w:spacing w:line="360" w:lineRule="auto"/>
        <w:jc w:val="both"/>
        <w:rPr>
          <w:rFonts w:ascii="Arial" w:hAnsi="Arial" w:cs="Arial"/>
          <w:szCs w:val="24"/>
        </w:rPr>
      </w:pPr>
    </w:p>
    <w:p xmlns:wp14="http://schemas.microsoft.com/office/word/2010/wordml" w:rsidR="003240D4" w:rsidP="0E5A6DCC" w:rsidRDefault="00074EB6" w14:paraId="706198F5" wp14:textId="3990AE52">
      <w:pPr>
        <w:spacing w:line="360" w:lineRule="auto"/>
        <w:jc w:val="both"/>
        <w:rPr>
          <w:rFonts w:ascii="Arial" w:hAnsi="Arial" w:cs="Arial"/>
        </w:rPr>
      </w:pPr>
      <w:r w:rsidRPr="0E5A6DCC" w:rsidR="00074EB6">
        <w:rPr>
          <w:rFonts w:ascii="Arial" w:hAnsi="Arial" w:cs="Arial"/>
        </w:rPr>
        <w:t xml:space="preserve">The project is </w:t>
      </w:r>
      <w:r w:rsidRPr="0E5A6DCC" w:rsidR="7A5A22BF">
        <w:rPr>
          <w:rFonts w:ascii="Arial" w:hAnsi="Arial" w:cs="Arial"/>
        </w:rPr>
        <w:t>the</w:t>
      </w:r>
      <w:r w:rsidRPr="0E5A6DCC" w:rsidR="00074EB6">
        <w:rPr>
          <w:rFonts w:ascii="Arial" w:hAnsi="Arial" w:cs="Arial"/>
        </w:rPr>
        <w:t xml:space="preserve"> development and introduction of the </w:t>
      </w:r>
      <w:r w:rsidRPr="0E5A6DCC" w:rsidR="006E7A79">
        <w:rPr>
          <w:rFonts w:ascii="Arial" w:hAnsi="Arial" w:cs="Arial"/>
          <w:b w:val="1"/>
          <w:bCs w:val="1"/>
        </w:rPr>
        <w:t>Medinox-VitaTrack</w:t>
      </w:r>
      <w:r w:rsidRPr="0E5A6DCC" w:rsidR="006E7A79">
        <w:rPr>
          <w:rFonts w:ascii="Arial" w:hAnsi="Arial" w:cs="Arial"/>
          <w:b w:val="1"/>
          <w:bCs w:val="1"/>
        </w:rPr>
        <w:t xml:space="preserve"> </w:t>
      </w:r>
      <w:r w:rsidRPr="0E5A6DCC" w:rsidR="00074EB6">
        <w:rPr>
          <w:rFonts w:ascii="Arial" w:hAnsi="Arial" w:cs="Arial"/>
        </w:rPr>
        <w:t xml:space="preserve">which is a new wearable consumer health device. The </w:t>
      </w:r>
      <w:r w:rsidRPr="0E5A6DCC" w:rsidR="00074EB6">
        <w:rPr>
          <w:rFonts w:ascii="Arial" w:hAnsi="Arial" w:cs="Arial"/>
        </w:rPr>
        <w:t>VitaTrack</w:t>
      </w:r>
      <w:r w:rsidRPr="0E5A6DCC" w:rsidR="00074EB6">
        <w:rPr>
          <w:rFonts w:ascii="Arial" w:hAnsi="Arial" w:cs="Arial"/>
        </w:rPr>
        <w:t xml:space="preserve"> will be released to the market in half a year and is expected to allow the tracking of such vital physiological variables as heart rate, blood oxygen saturation (</w:t>
      </w:r>
      <w:r w:rsidRPr="0E5A6DCC" w:rsidR="00074EB6">
        <w:rPr>
          <w:rFonts w:ascii="Arial" w:hAnsi="Arial" w:cs="Arial"/>
        </w:rPr>
        <w:t>SpO</w:t>
      </w:r>
      <w:r w:rsidRPr="0E5A6DCC" w:rsidR="00074EB6">
        <w:rPr>
          <w:rFonts w:ascii="Arial" w:hAnsi="Arial" w:cs="Arial"/>
        </w:rPr>
        <w:t xml:space="preserve"> 2), and higher levels of sleep patterns. This strategic move is an important part of diversification of </w:t>
      </w:r>
      <w:r w:rsidRPr="0E5A6DCC" w:rsidR="008F610D">
        <w:rPr>
          <w:rFonts w:ascii="Arial" w:hAnsi="Arial" w:cs="Arial"/>
        </w:rPr>
        <w:t>Medinox</w:t>
      </w:r>
      <w:r w:rsidRPr="0E5A6DCC" w:rsidR="00074EB6">
        <w:rPr>
          <w:rFonts w:ascii="Arial" w:hAnsi="Arial" w:cs="Arial"/>
        </w:rPr>
        <w:t>l</w:t>
      </w:r>
      <w:r w:rsidRPr="0E5A6DCC" w:rsidR="00074EB6">
        <w:rPr>
          <w:rFonts w:ascii="Arial" w:hAnsi="Arial" w:cs="Arial"/>
        </w:rPr>
        <w:t xml:space="preserve">, </w:t>
      </w:r>
      <w:r w:rsidRPr="0E5A6DCC" w:rsidR="46952203">
        <w:rPr>
          <w:rFonts w:ascii="Arial" w:hAnsi="Arial" w:cs="Arial"/>
        </w:rPr>
        <w:t>shifting</w:t>
      </w:r>
      <w:r w:rsidRPr="0E5A6DCC" w:rsidR="00074EB6">
        <w:rPr>
          <w:rFonts w:ascii="Arial" w:hAnsi="Arial" w:cs="Arial"/>
        </w:rPr>
        <w:t xml:space="preserve"> the model of a strict B2B (Business-to-Business) model, now being the B2C (Business-to-Consumer) digital health environment. The aim is to </w:t>
      </w:r>
      <w:r w:rsidRPr="0E5A6DCC" w:rsidR="00074EB6">
        <w:rPr>
          <w:rFonts w:ascii="Arial" w:hAnsi="Arial" w:cs="Arial"/>
        </w:rPr>
        <w:t>utilize</w:t>
      </w:r>
      <w:r w:rsidRPr="0E5A6DCC" w:rsidR="00074EB6">
        <w:rPr>
          <w:rFonts w:ascii="Arial" w:hAnsi="Arial" w:cs="Arial"/>
        </w:rPr>
        <w:t xml:space="preserve"> the </w:t>
      </w:r>
      <w:r w:rsidRPr="0E5A6DCC" w:rsidR="17FED3AA">
        <w:rPr>
          <w:rFonts w:ascii="Arial" w:hAnsi="Arial" w:cs="Arial"/>
        </w:rPr>
        <w:t>company's</w:t>
      </w:r>
      <w:r w:rsidRPr="0E5A6DCC" w:rsidR="00074EB6">
        <w:rPr>
          <w:rFonts w:ascii="Arial" w:hAnsi="Arial" w:cs="Arial"/>
        </w:rPr>
        <w:t xml:space="preserve"> established brand name and experience in </w:t>
      </w:r>
      <w:r w:rsidRPr="0E5A6DCC" w:rsidR="3C42F8D5">
        <w:rPr>
          <w:rFonts w:ascii="Arial" w:hAnsi="Arial" w:cs="Arial"/>
        </w:rPr>
        <w:t>the development</w:t>
      </w:r>
      <w:r w:rsidRPr="0E5A6DCC" w:rsidR="00074EB6">
        <w:rPr>
          <w:rFonts w:ascii="Arial" w:hAnsi="Arial" w:cs="Arial"/>
        </w:rPr>
        <w:t xml:space="preserve"> of medical grade sensors to provide a consumable product of </w:t>
      </w:r>
      <w:r w:rsidRPr="0E5A6DCC" w:rsidR="1793DBD9">
        <w:rPr>
          <w:rFonts w:ascii="Arial" w:hAnsi="Arial" w:cs="Arial"/>
        </w:rPr>
        <w:t>higher</w:t>
      </w:r>
      <w:r w:rsidRPr="0E5A6DCC" w:rsidR="00074EB6">
        <w:rPr>
          <w:rFonts w:ascii="Arial" w:hAnsi="Arial" w:cs="Arial"/>
        </w:rPr>
        <w:t xml:space="preserve"> accuracy and dependability than the current products available in the market.</w:t>
      </w:r>
    </w:p>
    <w:p xmlns:wp14="http://schemas.microsoft.com/office/word/2010/wordml" w:rsidR="003240D4" w:rsidRDefault="003240D4" w14:paraId="60061E4C" wp14:textId="77777777">
      <w:pPr>
        <w:rPr>
          <w:rFonts w:ascii="Arial" w:hAnsi="Arial" w:cs="Arial"/>
          <w:szCs w:val="24"/>
        </w:rPr>
      </w:pPr>
      <w:r>
        <w:rPr>
          <w:rFonts w:ascii="Arial" w:hAnsi="Arial" w:cs="Arial"/>
          <w:szCs w:val="24"/>
        </w:rPr>
        <w:br w:type="page"/>
      </w:r>
    </w:p>
    <w:p xmlns:wp14="http://schemas.microsoft.com/office/word/2010/wordml" w:rsidR="006F6F67" w:rsidP="006F6F67" w:rsidRDefault="006F6F67" w14:paraId="44EAFD9C" wp14:textId="77777777">
      <w:pPr>
        <w:spacing w:line="360" w:lineRule="auto"/>
        <w:jc w:val="both"/>
        <w:rPr>
          <w:rFonts w:ascii="Arial" w:hAnsi="Arial" w:cs="Arial"/>
          <w:szCs w:val="24"/>
        </w:rPr>
      </w:pPr>
    </w:p>
    <w:p xmlns:wp14="http://schemas.microsoft.com/office/word/2010/wordml" w:rsidRPr="006F6F67" w:rsidR="006E7A79" w:rsidP="006F6F67" w:rsidRDefault="00F56263" w14:paraId="09150FB8" wp14:textId="77777777">
      <w:pPr>
        <w:spacing w:line="360" w:lineRule="auto"/>
        <w:jc w:val="both"/>
        <w:rPr>
          <w:rFonts w:ascii="Arial" w:hAnsi="Arial" w:cs="Arial"/>
          <w:szCs w:val="24"/>
        </w:rPr>
      </w:pPr>
      <w:r w:rsidRPr="00F56263">
        <w:drawing>
          <wp:anchor xmlns:wp14="http://schemas.microsoft.com/office/word/2010/wordprocessingDrawing" distT="0" distB="0" distL="114300" distR="114300" simplePos="0" relativeHeight="251665408" behindDoc="0" locked="0" layoutInCell="1" allowOverlap="1" wp14:anchorId="4861A878" wp14:editId="6588E454">
            <wp:simplePos x="0" y="0"/>
            <wp:positionH relativeFrom="column">
              <wp:posOffset>782955</wp:posOffset>
            </wp:positionH>
            <wp:positionV relativeFrom="paragraph">
              <wp:posOffset>272415</wp:posOffset>
            </wp:positionV>
            <wp:extent cx="4949825" cy="3733800"/>
            <wp:effectExtent l="0" t="0" r="3175" b="0"/>
            <wp:wrapNone/>
            <wp:docPr id="11" name="Picture 11" descr="C:\Users\Administrator\Downloads\Gemini_Generated_Image_hcfxqjhcfxqjhcf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Gemini_Generated_Image_hcfxqjhcfxqjhcfx.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49825" cy="373380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F56263" w:rsidR="006E7A79" w:rsidP="00F56263" w:rsidRDefault="006E7A79" w14:paraId="4B94D5A5" wp14:textId="77777777"/>
    <w:p xmlns:wp14="http://schemas.microsoft.com/office/word/2010/wordml" w:rsidR="006E7A79" w:rsidP="00076B49" w:rsidRDefault="006E7A79" w14:paraId="3DEEC669" wp14:textId="77777777">
      <w:pPr>
        <w:pStyle w:val="Heading1"/>
      </w:pPr>
    </w:p>
    <w:p xmlns:wp14="http://schemas.microsoft.com/office/word/2010/wordml" w:rsidR="006E7A79" w:rsidP="00076B49" w:rsidRDefault="006E7A79" w14:paraId="3656B9AB" wp14:textId="77777777">
      <w:pPr>
        <w:pStyle w:val="Heading1"/>
      </w:pPr>
    </w:p>
    <w:p xmlns:wp14="http://schemas.microsoft.com/office/word/2010/wordml" w:rsidR="006E7A79" w:rsidP="00076B49" w:rsidRDefault="006E7A79" w14:paraId="45FB0818" wp14:textId="77777777">
      <w:pPr>
        <w:pStyle w:val="Heading1"/>
      </w:pPr>
    </w:p>
    <w:p xmlns:wp14="http://schemas.microsoft.com/office/word/2010/wordml" w:rsidR="006E7A79" w:rsidP="00076B49" w:rsidRDefault="006E7A79" w14:paraId="049F31CB" wp14:textId="77777777">
      <w:pPr>
        <w:pStyle w:val="Heading1"/>
      </w:pPr>
    </w:p>
    <w:p xmlns:wp14="http://schemas.microsoft.com/office/word/2010/wordml" w:rsidR="006E7A79" w:rsidP="00076B49" w:rsidRDefault="006E7A79" w14:paraId="53128261" wp14:textId="77777777">
      <w:pPr>
        <w:pStyle w:val="Heading1"/>
      </w:pPr>
    </w:p>
    <w:p xmlns:wp14="http://schemas.microsoft.com/office/word/2010/wordml" w:rsidR="006E7A79" w:rsidRDefault="006E7A79" w14:paraId="1D26AE76" wp14:textId="77777777">
      <w:pPr>
        <w:rPr>
          <w:rFonts w:asciiTheme="majorHAnsi" w:hAnsiTheme="majorHAnsi" w:eastAsiaTheme="majorEastAsia" w:cstheme="majorBidi"/>
          <w:b/>
          <w:bCs/>
          <w:color w:val="365F91" w:themeColor="accent1" w:themeShade="BF"/>
          <w:sz w:val="28"/>
          <w:szCs w:val="28"/>
        </w:rPr>
      </w:pPr>
      <w:r>
        <w:rPr>
          <w:noProof/>
        </w:rPr>
        <w:drawing>
          <wp:anchor xmlns:wp14="http://schemas.microsoft.com/office/word/2010/wordprocessingDrawing" distT="0" distB="0" distL="114300" distR="114300" simplePos="0" relativeHeight="251666432" behindDoc="0" locked="0" layoutInCell="1" allowOverlap="1" wp14:anchorId="08982782" wp14:editId="50305DBF">
            <wp:simplePos x="0" y="0"/>
            <wp:positionH relativeFrom="column">
              <wp:posOffset>914400</wp:posOffset>
            </wp:positionH>
            <wp:positionV relativeFrom="paragraph">
              <wp:posOffset>953770</wp:posOffset>
            </wp:positionV>
            <wp:extent cx="4762500" cy="3731720"/>
            <wp:effectExtent l="0" t="0" r="0" b="2540"/>
            <wp:wrapNone/>
            <wp:docPr id="12" name="Picture 12" descr="C:\Users\Administrator\Downloads\Gemini_Generated_Image_sulppfsulppfsu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Downloads\Gemini_Generated_Image_sulppfsulppfsulp.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373172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xmlns:wp14="http://schemas.microsoft.com/office/word/2010/wordml" w:rsidRPr="0010778F" w:rsidR="0010778F" w:rsidP="00076B49" w:rsidRDefault="0037780E" w14:paraId="5678E89F" wp14:textId="77777777">
      <w:pPr>
        <w:pStyle w:val="Heading1"/>
      </w:pPr>
      <w:bookmarkStart w:name="_Toc214072210" w:id="6"/>
      <w:r>
        <w:t xml:space="preserve">2. </w:t>
      </w:r>
      <w:r w:rsidRPr="0010778F" w:rsidR="0010778F">
        <w:t xml:space="preserve">An Appraisal of </w:t>
      </w:r>
      <w:proofErr w:type="spellStart"/>
      <w:r w:rsidR="00A3022E">
        <w:t>Medinox</w:t>
      </w:r>
      <w:proofErr w:type="spellEnd"/>
      <w:r w:rsidRPr="0010778F" w:rsidR="0010778F">
        <w:t>: A SWOT Analysis</w:t>
      </w:r>
      <w:bookmarkEnd w:id="6"/>
    </w:p>
    <w:p xmlns:wp14="http://schemas.microsoft.com/office/word/2010/wordml" w:rsidR="000B1868" w:rsidP="0010778F" w:rsidRDefault="00074EB6" w14:paraId="1C81198E" wp14:textId="77777777">
      <w:pPr>
        <w:spacing w:line="360" w:lineRule="auto"/>
        <w:jc w:val="both"/>
        <w:rPr>
          <w:rFonts w:ascii="Arial" w:hAnsi="Arial" w:cs="Arial"/>
        </w:rPr>
      </w:pPr>
      <w:r w:rsidRPr="00074EB6">
        <w:rPr>
          <w:rFonts w:ascii="Arial" w:hAnsi="Arial" w:cs="Arial"/>
        </w:rPr>
        <w:t xml:space="preserve">In the context of launching the new </w:t>
      </w:r>
      <w:proofErr w:type="spellStart"/>
      <w:r w:rsidR="00A3022E">
        <w:rPr>
          <w:rFonts w:ascii="Arial" w:hAnsi="Arial" w:cs="Arial"/>
        </w:rPr>
        <w:t>Medinox-VitaTrack</w:t>
      </w:r>
      <w:proofErr w:type="spellEnd"/>
      <w:r w:rsidR="00A3022E">
        <w:rPr>
          <w:rFonts w:ascii="Arial" w:hAnsi="Arial" w:cs="Arial"/>
        </w:rPr>
        <w:t xml:space="preserve"> </w:t>
      </w:r>
      <w:r w:rsidRPr="00074EB6">
        <w:rPr>
          <w:rFonts w:ascii="Arial" w:hAnsi="Arial" w:cs="Arial"/>
        </w:rPr>
        <w:t xml:space="preserve">wearable device in the overall operational environment of </w:t>
      </w:r>
      <w:proofErr w:type="spellStart"/>
      <w:r w:rsidR="00A3022E">
        <w:rPr>
          <w:rFonts w:ascii="Arial" w:hAnsi="Arial" w:cs="Arial"/>
          <w:szCs w:val="24"/>
        </w:rPr>
        <w:t>Medinox</w:t>
      </w:r>
      <w:proofErr w:type="spellEnd"/>
      <w:r w:rsidRPr="00074EB6">
        <w:rPr>
          <w:rFonts w:ascii="Arial" w:hAnsi="Arial" w:cs="Arial"/>
        </w:rPr>
        <w:t xml:space="preserve">, a strategic analysis of this company is necessary. The SWOT analysis will also guide the stakeholder engagement strategy as it points out the internal strengths to be exploited and the external factors that should be addressed. </w:t>
      </w:r>
    </w:p>
    <w:p xmlns:wp14="http://schemas.microsoft.com/office/word/2010/wordml" w:rsidRPr="00074EB6" w:rsidR="00074EB6" w:rsidP="0037780E" w:rsidRDefault="0037780E" w14:paraId="2D5E47DA" wp14:textId="77777777">
      <w:pPr>
        <w:pStyle w:val="Heading2"/>
      </w:pPr>
      <w:bookmarkStart w:name="_Toc214072211" w:id="7"/>
      <w:r>
        <w:t xml:space="preserve">2.1 </w:t>
      </w:r>
      <w:r w:rsidRPr="00074EB6" w:rsidR="00074EB6">
        <w:t>Strengths</w:t>
      </w:r>
      <w:bookmarkEnd w:id="7"/>
      <w:r w:rsidRPr="00074EB6" w:rsidR="00074EB6">
        <w:t xml:space="preserve"> </w:t>
      </w:r>
    </w:p>
    <w:p xmlns:wp14="http://schemas.microsoft.com/office/word/2010/wordml" w:rsidR="00074EB6" w:rsidP="0010778F" w:rsidRDefault="00A3022E" w14:paraId="07B90F9A" wp14:textId="00286C93">
      <w:pPr>
        <w:spacing w:line="360" w:lineRule="auto"/>
        <w:jc w:val="both"/>
        <w:rPr>
          <w:rFonts w:ascii="Arial" w:hAnsi="Arial" w:cs="Arial"/>
        </w:rPr>
      </w:pPr>
      <w:r w:rsidRPr="0E5A6DCC" w:rsidR="00A3022E">
        <w:rPr>
          <w:rFonts w:ascii="Arial" w:hAnsi="Arial" w:cs="Arial"/>
        </w:rPr>
        <w:t>Medinox</w:t>
      </w:r>
      <w:r w:rsidRPr="0E5A6DCC" w:rsidR="00A3022E">
        <w:rPr>
          <w:rFonts w:ascii="Arial" w:hAnsi="Arial" w:cs="Arial"/>
        </w:rPr>
        <w:t xml:space="preserve"> </w:t>
      </w:r>
      <w:r w:rsidRPr="0E5A6DCC" w:rsidR="00074EB6">
        <w:rPr>
          <w:rFonts w:ascii="Arial" w:hAnsi="Arial" w:cs="Arial"/>
        </w:rPr>
        <w:t xml:space="preserve">also has a reputation that has been </w:t>
      </w:r>
      <w:r w:rsidRPr="0E5A6DCC" w:rsidR="00074EB6">
        <w:rPr>
          <w:rFonts w:ascii="Arial" w:hAnsi="Arial" w:cs="Arial"/>
        </w:rPr>
        <w:t>established</w:t>
      </w:r>
      <w:r w:rsidRPr="0E5A6DCC" w:rsidR="00074EB6">
        <w:rPr>
          <w:rFonts w:ascii="Arial" w:hAnsi="Arial" w:cs="Arial"/>
        </w:rPr>
        <w:t xml:space="preserve"> over the decades because of its engineering quality and specialization in medical-gra</w:t>
      </w:r>
      <w:r w:rsidRPr="0E5A6DCC" w:rsidR="006B3DAA">
        <w:rPr>
          <w:rFonts w:ascii="Arial" w:hAnsi="Arial" w:cs="Arial"/>
        </w:rPr>
        <w:t>de devices (</w:t>
      </w:r>
      <w:r w:rsidRPr="0E5A6DCC" w:rsidR="008F610D">
        <w:rPr>
          <w:rFonts w:ascii="Arial" w:hAnsi="Arial" w:cs="Arial"/>
        </w:rPr>
        <w:t>Mdinox</w:t>
      </w:r>
      <w:r w:rsidRPr="0E5A6DCC" w:rsidR="006B3DAA">
        <w:rPr>
          <w:rFonts w:ascii="Arial" w:hAnsi="Arial" w:cs="Arial"/>
        </w:rPr>
        <w:t>, 2025</w:t>
      </w:r>
      <w:r w:rsidRPr="0E5A6DCC" w:rsidR="00074EB6">
        <w:rPr>
          <w:rFonts w:ascii="Arial" w:hAnsi="Arial" w:cs="Arial"/>
        </w:rPr>
        <w:t xml:space="preserve">). The brand name is </w:t>
      </w:r>
      <w:r w:rsidRPr="0E5A6DCC" w:rsidR="00074EB6">
        <w:rPr>
          <w:rFonts w:ascii="Arial" w:hAnsi="Arial" w:cs="Arial"/>
        </w:rPr>
        <w:t>a very important</w:t>
      </w:r>
      <w:r w:rsidRPr="0E5A6DCC" w:rsidR="00074EB6">
        <w:rPr>
          <w:rFonts w:ascii="Arial" w:hAnsi="Arial" w:cs="Arial"/>
        </w:rPr>
        <w:t xml:space="preserve"> resource because </w:t>
      </w:r>
      <w:r w:rsidRPr="0E5A6DCC" w:rsidR="7EEA7A4B">
        <w:rPr>
          <w:rFonts w:ascii="Arial" w:hAnsi="Arial" w:cs="Arial"/>
        </w:rPr>
        <w:t>a good</w:t>
      </w:r>
      <w:r w:rsidRPr="0E5A6DCC" w:rsidR="00074EB6">
        <w:rPr>
          <w:rFonts w:ascii="Arial" w:hAnsi="Arial" w:cs="Arial"/>
        </w:rPr>
        <w:t xml:space="preserve"> reputation has a direct relationship with the </w:t>
      </w:r>
      <w:r w:rsidRPr="0E5A6DCC" w:rsidR="632EEF2D">
        <w:rPr>
          <w:rFonts w:ascii="Arial" w:hAnsi="Arial" w:cs="Arial"/>
        </w:rPr>
        <w:t>stakeholder's</w:t>
      </w:r>
      <w:r w:rsidRPr="0E5A6DCC" w:rsidR="00074EB6">
        <w:rPr>
          <w:rFonts w:ascii="Arial" w:hAnsi="Arial" w:cs="Arial"/>
        </w:rPr>
        <w:t xml:space="preserve"> confidence and credibility of the project (Donaldson and Preston 2010). The fact that the firm has extensive experience in creating and adhering to tough regulatory guidelines, including the European Medical Device Regulation (EU MDR), is a major strength (European Commission, 2017). Moreover, the company has developed strong, long-term relationships with its important stakeholders and especially healthcare professionals and clinical institutions that are crucial in terms of validation and endorsement (HIQA, 2017). </w:t>
      </w:r>
      <w:r w:rsidRPr="0E5A6DCC" w:rsidR="7E1A36E3">
        <w:rPr>
          <w:rFonts w:ascii="Arial" w:hAnsi="Arial" w:cs="Arial"/>
        </w:rPr>
        <w:t>Lastly</w:t>
      </w:r>
      <w:r w:rsidRPr="0E5A6DCC" w:rsidR="00074EB6">
        <w:rPr>
          <w:rFonts w:ascii="Arial" w:hAnsi="Arial" w:cs="Arial"/>
        </w:rPr>
        <w:t xml:space="preserve">, the long-standing status of the company in the B2B healthcare market offers a consistent stream of revenues and profound understanding of the market (Savage, 2015). </w:t>
      </w:r>
    </w:p>
    <w:p xmlns:wp14="http://schemas.microsoft.com/office/word/2010/wordml" w:rsidRPr="00074EB6" w:rsidR="00074EB6" w:rsidP="0037780E" w:rsidRDefault="0037780E" w14:paraId="329465D8" wp14:textId="77777777">
      <w:pPr>
        <w:pStyle w:val="Heading2"/>
      </w:pPr>
      <w:bookmarkStart w:name="_Toc214072212" w:id="8"/>
      <w:r>
        <w:t xml:space="preserve">2.2 </w:t>
      </w:r>
      <w:r w:rsidRPr="00074EB6" w:rsidR="00074EB6">
        <w:t>Weaknesses</w:t>
      </w:r>
      <w:bookmarkEnd w:id="8"/>
      <w:r w:rsidRPr="00074EB6" w:rsidR="00074EB6">
        <w:t xml:space="preserve"> </w:t>
      </w:r>
    </w:p>
    <w:p xmlns:wp14="http://schemas.microsoft.com/office/word/2010/wordml" w:rsidR="00074EB6" w:rsidP="0010778F" w:rsidRDefault="00074EB6" w14:paraId="715A8A3E" wp14:textId="3CF93D95">
      <w:pPr>
        <w:spacing w:line="360" w:lineRule="auto"/>
        <w:jc w:val="both"/>
        <w:rPr>
          <w:rFonts w:ascii="Arial" w:hAnsi="Arial" w:cs="Arial"/>
        </w:rPr>
      </w:pPr>
      <w:r w:rsidRPr="0E5A6DCC" w:rsidR="00074EB6">
        <w:rPr>
          <w:rFonts w:ascii="Arial" w:hAnsi="Arial" w:cs="Arial"/>
        </w:rPr>
        <w:t xml:space="preserve">The main limitation of </w:t>
      </w:r>
      <w:r w:rsidRPr="0E5A6DCC" w:rsidR="00A3022E">
        <w:rPr>
          <w:rFonts w:ascii="Arial" w:hAnsi="Arial" w:cs="Arial"/>
        </w:rPr>
        <w:t>Medinox</w:t>
      </w:r>
      <w:r w:rsidRPr="0E5A6DCC" w:rsidR="00074EB6">
        <w:rPr>
          <w:rFonts w:ascii="Arial" w:hAnsi="Arial" w:cs="Arial"/>
        </w:rPr>
        <w:t xml:space="preserve"> </w:t>
      </w:r>
      <w:r w:rsidRPr="0E5A6DCC" w:rsidR="00074EB6">
        <w:rPr>
          <w:rFonts w:ascii="Arial" w:hAnsi="Arial" w:cs="Arial"/>
        </w:rPr>
        <w:t xml:space="preserve">is that the firm has no strong experience in the B2C consumer-driven market, which follows entirely different principles than the traditional B2B conventional (Smith, 2000). This inexperience can also translate into a </w:t>
      </w:r>
      <w:r w:rsidRPr="0E5A6DCC" w:rsidR="00074EB6">
        <w:rPr>
          <w:rFonts w:ascii="Arial" w:hAnsi="Arial" w:cs="Arial"/>
        </w:rPr>
        <w:t>possible deficiency</w:t>
      </w:r>
      <w:r w:rsidRPr="0E5A6DCC" w:rsidR="00074EB6">
        <w:rPr>
          <w:rFonts w:ascii="Arial" w:hAnsi="Arial" w:cs="Arial"/>
        </w:rPr>
        <w:t xml:space="preserve"> of internal agility s</w:t>
      </w:r>
      <w:r w:rsidRPr="0E5A6DCC" w:rsidR="008F610D">
        <w:rPr>
          <w:rFonts w:ascii="Arial" w:hAnsi="Arial" w:cs="Arial"/>
        </w:rPr>
        <w:t xml:space="preserve">ince bigger, </w:t>
      </w:r>
      <w:r w:rsidRPr="0E5A6DCC" w:rsidR="008F610D">
        <w:rPr>
          <w:rFonts w:ascii="Arial" w:hAnsi="Arial" w:cs="Arial"/>
        </w:rPr>
        <w:t>established</w:t>
      </w:r>
      <w:r w:rsidRPr="0E5A6DCC" w:rsidR="008F610D">
        <w:rPr>
          <w:rFonts w:ascii="Arial" w:hAnsi="Arial" w:cs="Arial"/>
        </w:rPr>
        <w:t xml:space="preserve"> organiz</w:t>
      </w:r>
      <w:r w:rsidRPr="0E5A6DCC" w:rsidR="00074EB6">
        <w:rPr>
          <w:rFonts w:ascii="Arial" w:hAnsi="Arial" w:cs="Arial"/>
        </w:rPr>
        <w:t>ations tend to be slow in the speed of the cycles of iteration needed to be successful in consumer technology (</w:t>
      </w:r>
      <w:r w:rsidRPr="0E5A6DCC" w:rsidR="00074EB6">
        <w:rPr>
          <w:rFonts w:ascii="Arial" w:hAnsi="Arial" w:cs="Arial"/>
        </w:rPr>
        <w:t>Achterkamp</w:t>
      </w:r>
      <w:r w:rsidRPr="0E5A6DCC" w:rsidR="00074EB6">
        <w:rPr>
          <w:rFonts w:ascii="Arial" w:hAnsi="Arial" w:cs="Arial"/>
        </w:rPr>
        <w:t xml:space="preserve"> &amp; </w:t>
      </w:r>
      <w:r w:rsidRPr="0E5A6DCC" w:rsidR="00074EB6">
        <w:rPr>
          <w:rFonts w:ascii="Arial" w:hAnsi="Arial" w:cs="Arial"/>
        </w:rPr>
        <w:t>Vos</w:t>
      </w:r>
      <w:r w:rsidRPr="0E5A6DCC" w:rsidR="00074EB6">
        <w:rPr>
          <w:rFonts w:ascii="Arial" w:hAnsi="Arial" w:cs="Arial"/>
        </w:rPr>
        <w:t xml:space="preserve">, 2007). The brand of the company that is solid in clinical facilities might lack </w:t>
      </w:r>
      <w:r w:rsidRPr="0E5A6DCC" w:rsidR="5AC5365D">
        <w:rPr>
          <w:rFonts w:ascii="Arial" w:hAnsi="Arial" w:cs="Arial"/>
        </w:rPr>
        <w:t>instant</w:t>
      </w:r>
      <w:r w:rsidRPr="0E5A6DCC" w:rsidR="00074EB6">
        <w:rPr>
          <w:rFonts w:ascii="Arial" w:hAnsi="Arial" w:cs="Arial"/>
        </w:rPr>
        <w:t xml:space="preserve"> fame and demand among common consumers, which poses a marketing problem (Weber, 2017). </w:t>
      </w:r>
    </w:p>
    <w:p xmlns:wp14="http://schemas.microsoft.com/office/word/2010/wordml" w:rsidRPr="00074EB6" w:rsidR="00074EB6" w:rsidP="0037780E" w:rsidRDefault="0037780E" w14:paraId="2B3541CD" wp14:textId="77777777">
      <w:pPr>
        <w:pStyle w:val="Heading2"/>
      </w:pPr>
      <w:bookmarkStart w:name="_Toc214072213" w:id="9"/>
      <w:r>
        <w:t xml:space="preserve">2.3 </w:t>
      </w:r>
      <w:r w:rsidRPr="00074EB6" w:rsidR="00074EB6">
        <w:t>Opportunities</w:t>
      </w:r>
      <w:bookmarkEnd w:id="9"/>
      <w:r w:rsidRPr="00074EB6" w:rsidR="00074EB6">
        <w:t xml:space="preserve"> </w:t>
      </w:r>
    </w:p>
    <w:p xmlns:wp14="http://schemas.microsoft.com/office/word/2010/wordml" w:rsidR="00074EB6" w:rsidP="0010778F" w:rsidRDefault="00074EB6" w14:paraId="3F3AB5E8" wp14:textId="0BCBA228">
      <w:pPr>
        <w:spacing w:line="360" w:lineRule="auto"/>
        <w:jc w:val="both"/>
        <w:rPr>
          <w:rFonts w:ascii="Arial" w:hAnsi="Arial" w:cs="Arial"/>
        </w:rPr>
      </w:pPr>
      <w:r w:rsidRPr="0E5A6DCC" w:rsidR="00074EB6">
        <w:rPr>
          <w:rFonts w:ascii="Arial" w:hAnsi="Arial" w:cs="Arial"/>
        </w:rPr>
        <w:t>The wearable health technology market in the world is a large and fast-growing prospect due to the growing health awareness among consumers (</w:t>
      </w:r>
      <w:r w:rsidRPr="0E5A6DCC" w:rsidR="00074EB6">
        <w:rPr>
          <w:rFonts w:ascii="Arial" w:hAnsi="Arial" w:cs="Arial"/>
        </w:rPr>
        <w:t>Dwivedi</w:t>
      </w:r>
      <w:r w:rsidRPr="0E5A6DCC" w:rsidR="00074EB6">
        <w:rPr>
          <w:rFonts w:ascii="Arial" w:hAnsi="Arial" w:cs="Arial"/>
        </w:rPr>
        <w:t xml:space="preserve">, 2021). The tactic to capitalize on </w:t>
      </w:r>
      <w:r w:rsidRPr="0E5A6DCC" w:rsidR="00D62433">
        <w:rPr>
          <w:rFonts w:ascii="Arial" w:hAnsi="Arial" w:cs="Arial"/>
        </w:rPr>
        <w:t>MEDINOX</w:t>
      </w:r>
      <w:r w:rsidRPr="0E5A6DCC" w:rsidR="00074EB6">
        <w:rPr>
          <w:rFonts w:ascii="Arial" w:hAnsi="Arial" w:cs="Arial"/>
        </w:rPr>
        <w:t xml:space="preserve"> as having a reputation of accuracy in clinical grade will be a compelling unique selling point to stand out the </w:t>
      </w:r>
      <w:r w:rsidRPr="0E5A6DCC" w:rsidR="00074EB6">
        <w:rPr>
          <w:rFonts w:ascii="Arial" w:hAnsi="Arial" w:cs="Arial"/>
        </w:rPr>
        <w:t>VitaTrack</w:t>
      </w:r>
      <w:r w:rsidRPr="0E5A6DCC" w:rsidR="00074EB6">
        <w:rPr>
          <w:rFonts w:ascii="Arial" w:hAnsi="Arial" w:cs="Arial"/>
        </w:rPr>
        <w:t xml:space="preserve"> in a market where data reliability often seems dubious </w:t>
      </w:r>
      <w:r w:rsidRPr="0E5A6DCC" w:rsidR="00854483">
        <w:rPr>
          <w:rFonts w:ascii="Arial" w:hAnsi="Arial" w:cs="Arial"/>
        </w:rPr>
        <w:t>(Elly et al., 2024)</w:t>
      </w:r>
      <w:r w:rsidRPr="0E5A6DCC" w:rsidR="00074EB6">
        <w:rPr>
          <w:rFonts w:ascii="Arial" w:hAnsi="Arial" w:cs="Arial"/>
        </w:rPr>
        <w:t xml:space="preserve">. The increasing adoption of telehealth and remote patient monitoring into </w:t>
      </w:r>
      <w:r w:rsidRPr="0E5A6DCC" w:rsidR="238885CE">
        <w:rPr>
          <w:rFonts w:ascii="Arial" w:hAnsi="Arial" w:cs="Arial"/>
        </w:rPr>
        <w:t>mainstream</w:t>
      </w:r>
      <w:r w:rsidRPr="0E5A6DCC" w:rsidR="00074EB6">
        <w:rPr>
          <w:rFonts w:ascii="Arial" w:hAnsi="Arial" w:cs="Arial"/>
        </w:rPr>
        <w:t xml:space="preserve"> healthcare presents a strong opportunity </w:t>
      </w:r>
      <w:r w:rsidRPr="0E5A6DCC" w:rsidR="667FD660">
        <w:rPr>
          <w:rFonts w:ascii="Arial" w:hAnsi="Arial" w:cs="Arial"/>
        </w:rPr>
        <w:t>for</w:t>
      </w:r>
      <w:r w:rsidRPr="0E5A6DCC" w:rsidR="00074EB6">
        <w:rPr>
          <w:rFonts w:ascii="Arial" w:hAnsi="Arial" w:cs="Arial"/>
        </w:rPr>
        <w:t xml:space="preserve"> </w:t>
      </w:r>
      <w:r w:rsidRPr="0E5A6DCC" w:rsidR="2FFF0415">
        <w:rPr>
          <w:rFonts w:ascii="Arial" w:hAnsi="Arial" w:cs="Arial"/>
        </w:rPr>
        <w:t>devices</w:t>
      </w:r>
      <w:r w:rsidRPr="0E5A6DCC" w:rsidR="00074EB6">
        <w:rPr>
          <w:rFonts w:ascii="Arial" w:hAnsi="Arial" w:cs="Arial"/>
        </w:rPr>
        <w:t xml:space="preserve"> that could deliver reliable information to consumers and their physicians (PMC, 2022). It also has a great chance of </w:t>
      </w:r>
      <w:r w:rsidRPr="0E5A6DCC" w:rsidR="00074EB6">
        <w:rPr>
          <w:rFonts w:ascii="Arial" w:hAnsi="Arial" w:cs="Arial"/>
        </w:rPr>
        <w:t>establishing</w:t>
      </w:r>
      <w:r w:rsidRPr="0E5A6DCC" w:rsidR="00074EB6">
        <w:rPr>
          <w:rFonts w:ascii="Arial" w:hAnsi="Arial" w:cs="Arial"/>
        </w:rPr>
        <w:t xml:space="preserve"> new strategic </w:t>
      </w:r>
      <w:r w:rsidRPr="0E5A6DCC" w:rsidR="5BEAADAC">
        <w:rPr>
          <w:rFonts w:ascii="Arial" w:hAnsi="Arial" w:cs="Arial"/>
        </w:rPr>
        <w:t>partnerships</w:t>
      </w:r>
      <w:r w:rsidRPr="0E5A6DCC" w:rsidR="00074EB6">
        <w:rPr>
          <w:rFonts w:ascii="Arial" w:hAnsi="Arial" w:cs="Arial"/>
        </w:rPr>
        <w:t xml:space="preserve"> with technology companies, health insurance </w:t>
      </w:r>
      <w:r w:rsidRPr="0E5A6DCC" w:rsidR="385903F1">
        <w:rPr>
          <w:rFonts w:ascii="Arial" w:hAnsi="Arial" w:cs="Arial"/>
        </w:rPr>
        <w:t>companies,</w:t>
      </w:r>
      <w:r w:rsidRPr="0E5A6DCC" w:rsidR="00074EB6">
        <w:rPr>
          <w:rFonts w:ascii="Arial" w:hAnsi="Arial" w:cs="Arial"/>
        </w:rPr>
        <w:t xml:space="preserve"> and online health platforms to improve distribution and value (</w:t>
      </w:r>
      <w:r w:rsidRPr="0E5A6DCC" w:rsidR="00074EB6">
        <w:rPr>
          <w:rFonts w:ascii="Arial" w:hAnsi="Arial" w:cs="Arial"/>
        </w:rPr>
        <w:t>Rowlinson</w:t>
      </w:r>
      <w:r w:rsidRPr="0E5A6DCC" w:rsidR="00074EB6">
        <w:rPr>
          <w:rFonts w:ascii="Arial" w:hAnsi="Arial" w:cs="Arial"/>
        </w:rPr>
        <w:t xml:space="preserve"> and Cheung, 2008). Last, the </w:t>
      </w:r>
      <w:r w:rsidRPr="0E5A6DCC" w:rsidR="00074EB6">
        <w:rPr>
          <w:rFonts w:ascii="Arial" w:hAnsi="Arial" w:cs="Arial"/>
        </w:rPr>
        <w:t>la</w:t>
      </w:r>
      <w:r w:rsidRPr="0E5A6DCC" w:rsidR="008F610D">
        <w:rPr>
          <w:rFonts w:ascii="Arial" w:hAnsi="Arial" w:cs="Arial"/>
        </w:rPr>
        <w:t>rge size</w:t>
      </w:r>
      <w:r w:rsidRPr="0E5A6DCC" w:rsidR="008F610D">
        <w:rPr>
          <w:rFonts w:ascii="Arial" w:hAnsi="Arial" w:cs="Arial"/>
        </w:rPr>
        <w:t xml:space="preserve"> of aggregated, anonymiz</w:t>
      </w:r>
      <w:r w:rsidRPr="0E5A6DCC" w:rsidR="00074EB6">
        <w:rPr>
          <w:rFonts w:ascii="Arial" w:hAnsi="Arial" w:cs="Arial"/>
        </w:rPr>
        <w:t>ed data formed on the device has the potential to unlock new revenue sources in the form of population health insights and research, so long as strong standards of ethical and data governance are upheld (HIQA, 2017).</w:t>
      </w:r>
    </w:p>
    <w:p xmlns:wp14="http://schemas.microsoft.com/office/word/2010/wordml" w:rsidRPr="00074EB6" w:rsidR="00074EB6" w:rsidP="0037780E" w:rsidRDefault="0037780E" w14:paraId="00E18E19" wp14:textId="77777777">
      <w:pPr>
        <w:pStyle w:val="Heading2"/>
      </w:pPr>
      <w:bookmarkStart w:name="_Toc214072214" w:id="10"/>
      <w:r>
        <w:t xml:space="preserve">2.4 </w:t>
      </w:r>
      <w:r w:rsidRPr="00074EB6" w:rsidR="00074EB6">
        <w:t>Threats</w:t>
      </w:r>
      <w:bookmarkEnd w:id="10"/>
      <w:r w:rsidRPr="00074EB6" w:rsidR="00074EB6">
        <w:t xml:space="preserve"> </w:t>
      </w:r>
    </w:p>
    <w:p xmlns:wp14="http://schemas.microsoft.com/office/word/2010/wordml" w:rsidRPr="0010778F" w:rsidR="0010778F" w:rsidP="0010778F" w:rsidRDefault="00074EB6" w14:paraId="2F2B25B6" wp14:textId="4C7BE583">
      <w:pPr>
        <w:spacing w:line="360" w:lineRule="auto"/>
        <w:jc w:val="both"/>
        <w:rPr>
          <w:rFonts w:ascii="Arial" w:hAnsi="Arial" w:cs="Arial"/>
        </w:rPr>
      </w:pPr>
      <w:r w:rsidRPr="0E5A6DCC" w:rsidR="00074EB6">
        <w:rPr>
          <w:rFonts w:ascii="Arial" w:hAnsi="Arial" w:cs="Arial"/>
        </w:rPr>
        <w:t xml:space="preserve">Consumer health technology is highly competitive with large nimble players that </w:t>
      </w:r>
      <w:r w:rsidRPr="0E5A6DCC" w:rsidR="00074EB6">
        <w:rPr>
          <w:rFonts w:ascii="Arial" w:hAnsi="Arial" w:cs="Arial"/>
        </w:rPr>
        <w:t>possess</w:t>
      </w:r>
      <w:r w:rsidRPr="0E5A6DCC" w:rsidR="00074EB6">
        <w:rPr>
          <w:rFonts w:ascii="Arial" w:hAnsi="Arial" w:cs="Arial"/>
        </w:rPr>
        <w:t xml:space="preserve"> strong brand name and huge marketing budgets (Savage, 2015). </w:t>
      </w:r>
      <w:r w:rsidRPr="0E5A6DCC" w:rsidR="1ECFE185">
        <w:rPr>
          <w:rFonts w:ascii="Arial" w:hAnsi="Arial" w:cs="Arial"/>
        </w:rPr>
        <w:t>The regulatory</w:t>
      </w:r>
      <w:r w:rsidRPr="0E5A6DCC" w:rsidR="00074EB6">
        <w:rPr>
          <w:rFonts w:ascii="Arial" w:hAnsi="Arial" w:cs="Arial"/>
        </w:rPr>
        <w:t xml:space="preserve"> environment of health claim making devices is a constant risk and changes in regulations by other authorities like the </w:t>
      </w:r>
      <w:r w:rsidRPr="0E5A6DCC" w:rsidR="00074EB6">
        <w:rPr>
          <w:rFonts w:ascii="Arial" w:hAnsi="Arial" w:cs="Arial"/>
        </w:rPr>
        <w:t>BfArM</w:t>
      </w:r>
      <w:r w:rsidRPr="0E5A6DCC" w:rsidR="00074EB6">
        <w:rPr>
          <w:rFonts w:ascii="Arial" w:hAnsi="Arial" w:cs="Arial"/>
        </w:rPr>
        <w:t xml:space="preserve"> and FDA might impose new requirements that are expensive to </w:t>
      </w:r>
      <w:r w:rsidRPr="0E5A6DCC" w:rsidR="00074EB6">
        <w:rPr>
          <w:rFonts w:ascii="Arial" w:hAnsi="Arial" w:cs="Arial"/>
        </w:rPr>
        <w:t>comply with</w:t>
      </w:r>
      <w:r w:rsidRPr="0E5A6DCC" w:rsidR="00074EB6">
        <w:rPr>
          <w:rFonts w:ascii="Arial" w:hAnsi="Arial" w:cs="Arial"/>
        </w:rPr>
        <w:t xml:space="preserve"> minimal notice (European Commission, 2017). The issue of data privacy and security is one of the biggest risks, and any failure may have devastating effects on the reputation the company gained due to its trustworthiness (Pritchard, 2015).</w:t>
      </w:r>
    </w:p>
    <w:p xmlns:wp14="http://schemas.microsoft.com/office/word/2010/wordml" w:rsidRPr="00195AFA" w:rsidR="00195AFA" w:rsidP="00076B49" w:rsidRDefault="0037780E" w14:paraId="00A9AE8C" wp14:textId="77777777">
      <w:pPr>
        <w:pStyle w:val="Heading1"/>
      </w:pPr>
      <w:bookmarkStart w:name="_Toc214072215" w:id="11"/>
      <w:r>
        <w:t xml:space="preserve">3. </w:t>
      </w:r>
      <w:r w:rsidRPr="00195AFA" w:rsidR="00195AFA">
        <w:t xml:space="preserve">Key Stakeholders for the </w:t>
      </w:r>
      <w:proofErr w:type="spellStart"/>
      <w:r w:rsidR="006E7A79">
        <w:t>Medinox-VitaTrack</w:t>
      </w:r>
      <w:proofErr w:type="spellEnd"/>
      <w:r w:rsidR="006E7A79">
        <w:t xml:space="preserve"> </w:t>
      </w:r>
      <w:r w:rsidRPr="00195AFA" w:rsidR="00195AFA">
        <w:t>Project: Identification and Analysis</w:t>
      </w:r>
      <w:bookmarkEnd w:id="11"/>
    </w:p>
    <w:p xmlns:wp14="http://schemas.microsoft.com/office/word/2010/wordml" w:rsidRPr="00195AFA" w:rsidR="00195AFA" w:rsidP="00195AFA" w:rsidRDefault="00074EB6" w14:paraId="46D6AD00" wp14:textId="2147BFC6">
      <w:pPr>
        <w:spacing w:line="360" w:lineRule="auto"/>
        <w:jc w:val="both"/>
        <w:rPr>
          <w:rFonts w:ascii="Arial" w:hAnsi="Arial" w:cs="Arial"/>
        </w:rPr>
      </w:pPr>
      <w:r w:rsidRPr="0E5A6DCC" w:rsidR="00074EB6">
        <w:rPr>
          <w:rFonts w:ascii="Arial" w:hAnsi="Arial" w:cs="Arial"/>
        </w:rPr>
        <w:t xml:space="preserve">The effective implementation of the </w:t>
      </w:r>
      <w:r w:rsidRPr="0E5A6DCC" w:rsidR="00A3022E">
        <w:rPr>
          <w:rFonts w:ascii="Arial" w:hAnsi="Arial" w:cs="Arial"/>
        </w:rPr>
        <w:t>Medinox-VitaTrack</w:t>
      </w:r>
      <w:r w:rsidRPr="0E5A6DCC" w:rsidR="00A3022E">
        <w:rPr>
          <w:rFonts w:ascii="Arial" w:hAnsi="Arial" w:cs="Arial"/>
        </w:rPr>
        <w:t xml:space="preserve"> </w:t>
      </w:r>
      <w:r w:rsidRPr="0E5A6DCC" w:rsidR="00074EB6">
        <w:rPr>
          <w:rFonts w:ascii="Arial" w:hAnsi="Arial" w:cs="Arial"/>
        </w:rPr>
        <w:t xml:space="preserve">wearable device will be </w:t>
      </w:r>
      <w:r w:rsidRPr="0E5A6DCC" w:rsidR="00074EB6">
        <w:rPr>
          <w:rFonts w:ascii="Arial" w:hAnsi="Arial" w:cs="Arial"/>
        </w:rPr>
        <w:t>determined</w:t>
      </w:r>
      <w:r w:rsidRPr="0E5A6DCC" w:rsidR="00074EB6">
        <w:rPr>
          <w:rFonts w:ascii="Arial" w:hAnsi="Arial" w:cs="Arial"/>
        </w:rPr>
        <w:t xml:space="preserve"> by the ability to </w:t>
      </w:r>
      <w:r w:rsidRPr="0E5A6DCC" w:rsidR="00074EB6">
        <w:rPr>
          <w:rFonts w:ascii="Arial" w:hAnsi="Arial" w:cs="Arial"/>
        </w:rPr>
        <w:t>operate</w:t>
      </w:r>
      <w:r w:rsidRPr="0E5A6DCC" w:rsidR="00074EB6">
        <w:rPr>
          <w:rFonts w:ascii="Arial" w:hAnsi="Arial" w:cs="Arial"/>
        </w:rPr>
        <w:t xml:space="preserve"> a complex system of stakeholders. Stakeholders refer to any</w:t>
      </w:r>
      <w:r w:rsidRPr="0E5A6DCC" w:rsidR="008F610D">
        <w:rPr>
          <w:rFonts w:ascii="Arial" w:hAnsi="Arial" w:cs="Arial"/>
        </w:rPr>
        <w:t xml:space="preserve"> individuals, groups, or organiz</w:t>
      </w:r>
      <w:r w:rsidRPr="0E5A6DCC" w:rsidR="00074EB6">
        <w:rPr>
          <w:rFonts w:ascii="Arial" w:hAnsi="Arial" w:cs="Arial"/>
        </w:rPr>
        <w:t xml:space="preserve">ations capable of influencing, influenced by or feel inclined to influence effects of a </w:t>
      </w:r>
      <w:r w:rsidRPr="0E5A6DCC" w:rsidR="57D4CC39">
        <w:rPr>
          <w:rFonts w:ascii="Arial" w:hAnsi="Arial" w:cs="Arial"/>
        </w:rPr>
        <w:t>project's</w:t>
      </w:r>
      <w:r w:rsidRPr="0E5A6DCC" w:rsidR="00074EB6">
        <w:rPr>
          <w:rFonts w:ascii="Arial" w:hAnsi="Arial" w:cs="Arial"/>
        </w:rPr>
        <w:t xml:space="preserve"> activities, goals or project results (Project Management Institute, 2021). These stakeholders are systematic and need to be </w:t>
      </w:r>
      <w:r w:rsidRPr="0E5A6DCC" w:rsidR="00074EB6">
        <w:rPr>
          <w:rFonts w:ascii="Arial" w:hAnsi="Arial" w:cs="Arial"/>
        </w:rPr>
        <w:t>identified</w:t>
      </w:r>
      <w:r w:rsidRPr="0E5A6DCC" w:rsidR="00074EB6">
        <w:rPr>
          <w:rFonts w:ascii="Arial" w:hAnsi="Arial" w:cs="Arial"/>
        </w:rPr>
        <w:t xml:space="preserve"> and analyzed </w:t>
      </w:r>
      <w:r w:rsidRPr="0E5A6DCC" w:rsidR="00074EB6">
        <w:rPr>
          <w:rFonts w:ascii="Arial" w:hAnsi="Arial" w:cs="Arial"/>
        </w:rPr>
        <w:t>in order to</w:t>
      </w:r>
      <w:r w:rsidRPr="0E5A6DCC" w:rsidR="00074EB6">
        <w:rPr>
          <w:rFonts w:ascii="Arial" w:hAnsi="Arial" w:cs="Arial"/>
        </w:rPr>
        <w:t xml:space="preserve"> </w:t>
      </w:r>
      <w:r w:rsidRPr="0E5A6DCC" w:rsidR="00074EB6">
        <w:rPr>
          <w:rFonts w:ascii="Arial" w:hAnsi="Arial" w:cs="Arial"/>
        </w:rPr>
        <w:t>come up with</w:t>
      </w:r>
      <w:r w:rsidRPr="0E5A6DCC" w:rsidR="00074EB6">
        <w:rPr>
          <w:rFonts w:ascii="Arial" w:hAnsi="Arial" w:cs="Arial"/>
        </w:rPr>
        <w:t xml:space="preserve"> an effective engagement strategy. In this chapter, the major internal and external stakeholders of the project are clas</w:t>
      </w:r>
      <w:r w:rsidRPr="0E5A6DCC" w:rsidR="008F610D">
        <w:rPr>
          <w:rFonts w:ascii="Arial" w:hAnsi="Arial" w:cs="Arial"/>
        </w:rPr>
        <w:t>sified and analyz</w:t>
      </w:r>
      <w:r w:rsidRPr="0E5A6DCC" w:rsidR="00074EB6">
        <w:rPr>
          <w:rFonts w:ascii="Arial" w:hAnsi="Arial" w:cs="Arial"/>
        </w:rPr>
        <w:t>ed.</w:t>
      </w:r>
    </w:p>
    <w:p xmlns:wp14="http://schemas.microsoft.com/office/word/2010/wordml" w:rsidR="00CC170E" w:rsidP="0037780E" w:rsidRDefault="0037780E" w14:paraId="4681D226" wp14:textId="77777777">
      <w:pPr>
        <w:pStyle w:val="Heading2"/>
      </w:pPr>
      <w:bookmarkStart w:name="_Toc214072216" w:id="12"/>
      <w:r>
        <w:t xml:space="preserve">3.1 </w:t>
      </w:r>
      <w:r w:rsidRPr="00CC170E" w:rsidR="00CC170E">
        <w:t>Internal Stakeholders</w:t>
      </w:r>
      <w:bookmarkEnd w:id="12"/>
    </w:p>
    <w:p xmlns:wp14="http://schemas.microsoft.com/office/word/2010/wordml" w:rsidR="00074EB6" w:rsidP="0037780E" w:rsidRDefault="0037780E" w14:paraId="0D030EE4" wp14:textId="77777777">
      <w:pPr>
        <w:spacing w:line="360" w:lineRule="auto"/>
        <w:jc w:val="both"/>
        <w:rPr>
          <w:rFonts w:ascii="Arial" w:hAnsi="Arial" w:cs="Arial"/>
        </w:rPr>
      </w:pPr>
      <w:r w:rsidRPr="000C5446">
        <w:rPr>
          <w:noProof/>
        </w:rPr>
        <w:drawing>
          <wp:anchor xmlns:wp14="http://schemas.microsoft.com/office/word/2010/wordprocessingDrawing" distT="0" distB="0" distL="114300" distR="114300" simplePos="0" relativeHeight="251664384" behindDoc="0" locked="0" layoutInCell="1" allowOverlap="1" wp14:anchorId="596E9943" wp14:editId="02FA94D5">
            <wp:simplePos x="0" y="0"/>
            <wp:positionH relativeFrom="column">
              <wp:posOffset>-38100</wp:posOffset>
            </wp:positionH>
            <wp:positionV relativeFrom="paragraph">
              <wp:posOffset>137795</wp:posOffset>
            </wp:positionV>
            <wp:extent cx="5943600" cy="15665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156654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EB6">
        <w:rPr>
          <w:rFonts w:ascii="Arial" w:hAnsi="Arial" w:cs="Arial"/>
        </w:rPr>
        <w:br w:type="page"/>
      </w:r>
    </w:p>
    <w:p xmlns:wp14="http://schemas.microsoft.com/office/word/2010/wordml" w:rsidRPr="00CC170E" w:rsidR="00CC170E" w:rsidP="00CC170E" w:rsidRDefault="00074EB6" w14:paraId="6EFCA8FD" wp14:textId="323AAA16">
      <w:pPr>
        <w:spacing w:line="360" w:lineRule="auto"/>
        <w:jc w:val="both"/>
        <w:rPr>
          <w:rFonts w:ascii="Arial" w:hAnsi="Arial" w:cs="Arial"/>
        </w:rPr>
      </w:pPr>
      <w:r w:rsidRPr="0E5A6DCC" w:rsidR="00074EB6">
        <w:rPr>
          <w:rFonts w:ascii="Arial" w:hAnsi="Arial" w:cs="Arial"/>
        </w:rPr>
        <w:t xml:space="preserve">The internal stakeholders play </w:t>
      </w:r>
      <w:r w:rsidRPr="0E5A6DCC" w:rsidR="00074EB6">
        <w:rPr>
          <w:rFonts w:ascii="Arial" w:hAnsi="Arial" w:cs="Arial"/>
        </w:rPr>
        <w:t>a central role</w:t>
      </w:r>
      <w:r w:rsidRPr="0E5A6DCC" w:rsidR="00074EB6">
        <w:rPr>
          <w:rFonts w:ascii="Arial" w:hAnsi="Arial" w:cs="Arial"/>
        </w:rPr>
        <w:t xml:space="preserve"> in the execution of the operational aspect of the project (Project Management Institute, 2021). The key </w:t>
      </w:r>
      <w:r w:rsidRPr="0E5A6DCC" w:rsidR="78C56234">
        <w:rPr>
          <w:rFonts w:ascii="Arial" w:hAnsi="Arial" w:cs="Arial"/>
        </w:rPr>
        <w:t>players,</w:t>
      </w:r>
      <w:r w:rsidRPr="0E5A6DCC" w:rsidR="00074EB6">
        <w:rPr>
          <w:rFonts w:ascii="Arial" w:hAnsi="Arial" w:cs="Arial"/>
        </w:rPr>
        <w:t xml:space="preserve"> </w:t>
      </w:r>
      <w:r w:rsidRPr="0E5A6DCC" w:rsidR="00074EB6">
        <w:rPr>
          <w:rFonts w:ascii="Arial" w:hAnsi="Arial" w:cs="Arial"/>
        </w:rPr>
        <w:t>be</w:t>
      </w:r>
      <w:r w:rsidRPr="0E5A6DCC" w:rsidR="00074EB6">
        <w:rPr>
          <w:rFonts w:ascii="Arial" w:hAnsi="Arial" w:cs="Arial"/>
        </w:rPr>
        <w:t xml:space="preserve"> it the Project Team and Senior </w:t>
      </w:r>
      <w:r w:rsidRPr="0E5A6DCC" w:rsidR="3CB41B6C">
        <w:rPr>
          <w:rFonts w:ascii="Arial" w:hAnsi="Arial" w:cs="Arial"/>
        </w:rPr>
        <w:t>Management,</w:t>
      </w:r>
      <w:r w:rsidRPr="0E5A6DCC" w:rsidR="00074EB6">
        <w:rPr>
          <w:rFonts w:ascii="Arial" w:hAnsi="Arial" w:cs="Arial"/>
        </w:rPr>
        <w:t xml:space="preserve"> are high power, high interest and their consistent involvement is paramount to success (</w:t>
      </w:r>
      <w:r w:rsidRPr="0E5A6DCC" w:rsidR="00074EB6">
        <w:rPr>
          <w:rFonts w:ascii="Arial" w:hAnsi="Arial" w:cs="Arial"/>
        </w:rPr>
        <w:t>Mendelow</w:t>
      </w:r>
      <w:r w:rsidRPr="0E5A6DCC" w:rsidR="00074EB6">
        <w:rPr>
          <w:rFonts w:ascii="Arial" w:hAnsi="Arial" w:cs="Arial"/>
        </w:rPr>
        <w:t xml:space="preserve">, 1991). Technical </w:t>
      </w:r>
      <w:r w:rsidRPr="0E5A6DCC" w:rsidR="00074EB6">
        <w:rPr>
          <w:rFonts w:ascii="Arial" w:hAnsi="Arial" w:cs="Arial"/>
        </w:rPr>
        <w:t>expertise</w:t>
      </w:r>
      <w:r w:rsidRPr="0E5A6DCC" w:rsidR="00074EB6">
        <w:rPr>
          <w:rFonts w:ascii="Arial" w:hAnsi="Arial" w:cs="Arial"/>
        </w:rPr>
        <w:t xml:space="preserve"> of the R&amp;D Department is a direct factor that controls the functionality and reliability of the product. In parallel, the Regulatory Affairs Department is a gatekeeper which plays a crucial role since its capacity to </w:t>
      </w:r>
      <w:r w:rsidRPr="0E5A6DCC" w:rsidR="00074EB6">
        <w:rPr>
          <w:rFonts w:ascii="Arial" w:hAnsi="Arial" w:cs="Arial"/>
        </w:rPr>
        <w:t>operate</w:t>
      </w:r>
      <w:r w:rsidRPr="0E5A6DCC" w:rsidR="00074EB6">
        <w:rPr>
          <w:rFonts w:ascii="Arial" w:hAnsi="Arial" w:cs="Arial"/>
        </w:rPr>
        <w:t xml:space="preserve"> in the European Medical Device Regulation (EU MDR) is a non-negotiable success factor (European Commission, 2017). The Marketing and Sales Departments should be in liaison with the project to have the final product market-ready and with a clear path of reaching customers (Weber, 2017). Lastly, the Legal Team protects the project against high reputational and financial risks of </w:t>
      </w:r>
      <w:r w:rsidRPr="0E5A6DCC" w:rsidR="6B6D3C45">
        <w:rPr>
          <w:rFonts w:ascii="Arial" w:hAnsi="Arial" w:cs="Arial"/>
        </w:rPr>
        <w:t>product</w:t>
      </w:r>
      <w:r w:rsidRPr="0E5A6DCC" w:rsidR="00074EB6">
        <w:rPr>
          <w:rFonts w:ascii="Arial" w:hAnsi="Arial" w:cs="Arial"/>
        </w:rPr>
        <w:t xml:space="preserve"> liability and data security (Pritchard, 2015).</w:t>
      </w:r>
    </w:p>
    <w:p xmlns:wp14="http://schemas.microsoft.com/office/word/2010/wordml" w:rsidR="00CC170E" w:rsidP="0037780E" w:rsidRDefault="0037780E" w14:paraId="7A3CFA0A" wp14:textId="77777777">
      <w:pPr>
        <w:pStyle w:val="Heading2"/>
      </w:pPr>
      <w:bookmarkStart w:name="_Toc214072217" w:id="13"/>
      <w:r>
        <w:t xml:space="preserve">3.2 </w:t>
      </w:r>
      <w:r w:rsidRPr="00CC170E" w:rsidR="00CC170E">
        <w:t>External Stakeholders</w:t>
      </w:r>
      <w:bookmarkEnd w:id="13"/>
    </w:p>
    <w:p xmlns:wp14="http://schemas.microsoft.com/office/word/2010/wordml" w:rsidR="0037780E" w:rsidP="00CC170E" w:rsidRDefault="0037780E" w14:paraId="1C039A9C" wp14:textId="77777777">
      <w:pPr>
        <w:spacing w:line="360" w:lineRule="auto"/>
        <w:jc w:val="both"/>
        <w:rPr>
          <w:rFonts w:ascii="Arial" w:hAnsi="Arial" w:cs="Arial"/>
          <w:b/>
          <w:bCs/>
        </w:rPr>
      </w:pPr>
      <w:r w:rsidRPr="000C5446">
        <w:rPr>
          <w:noProof/>
        </w:rPr>
        <w:drawing>
          <wp:anchor xmlns:wp14="http://schemas.microsoft.com/office/word/2010/wordprocessingDrawing" distT="0" distB="0" distL="114300" distR="114300" simplePos="0" relativeHeight="251668480" behindDoc="0" locked="0" layoutInCell="1" allowOverlap="1" wp14:anchorId="2A9237A4" wp14:editId="466D4EB7">
            <wp:simplePos x="0" y="0"/>
            <wp:positionH relativeFrom="column">
              <wp:posOffset>-85725</wp:posOffset>
            </wp:positionH>
            <wp:positionV relativeFrom="paragraph">
              <wp:posOffset>228600</wp:posOffset>
            </wp:positionV>
            <wp:extent cx="5895975" cy="240030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5975"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C5446" w:rsidP="00CC170E" w:rsidRDefault="000C5446" w14:paraId="62486C05" wp14:textId="77777777">
      <w:pPr>
        <w:spacing w:line="360" w:lineRule="auto"/>
        <w:jc w:val="both"/>
        <w:rPr>
          <w:rFonts w:ascii="Arial" w:hAnsi="Arial" w:cs="Arial"/>
        </w:rPr>
      </w:pPr>
    </w:p>
    <w:p xmlns:wp14="http://schemas.microsoft.com/office/word/2010/wordml" w:rsidR="0037780E" w:rsidP="00CC170E" w:rsidRDefault="0037780E" w14:paraId="4101652C" wp14:textId="77777777">
      <w:pPr>
        <w:spacing w:line="360" w:lineRule="auto"/>
        <w:jc w:val="both"/>
        <w:rPr>
          <w:rFonts w:ascii="Arial" w:hAnsi="Arial" w:cs="Arial"/>
        </w:rPr>
      </w:pPr>
    </w:p>
    <w:p xmlns:wp14="http://schemas.microsoft.com/office/word/2010/wordml" w:rsidR="0037780E" w:rsidP="00CC170E" w:rsidRDefault="0037780E" w14:paraId="4B99056E" wp14:textId="77777777">
      <w:pPr>
        <w:spacing w:line="360" w:lineRule="auto"/>
        <w:jc w:val="both"/>
        <w:rPr>
          <w:rFonts w:ascii="Arial" w:hAnsi="Arial" w:cs="Arial"/>
        </w:rPr>
      </w:pPr>
    </w:p>
    <w:p xmlns:wp14="http://schemas.microsoft.com/office/word/2010/wordml" w:rsidR="0037780E" w:rsidP="00CC170E" w:rsidRDefault="0037780E" w14:paraId="1299C43A" wp14:textId="77777777">
      <w:pPr>
        <w:spacing w:line="360" w:lineRule="auto"/>
        <w:jc w:val="both"/>
        <w:rPr>
          <w:rFonts w:ascii="Arial" w:hAnsi="Arial" w:cs="Arial"/>
        </w:rPr>
      </w:pPr>
    </w:p>
    <w:p xmlns:wp14="http://schemas.microsoft.com/office/word/2010/wordml" w:rsidR="0037780E" w:rsidP="00CC170E" w:rsidRDefault="0037780E" w14:paraId="4DDBEF00" wp14:textId="77777777">
      <w:pPr>
        <w:spacing w:line="360" w:lineRule="auto"/>
        <w:jc w:val="both"/>
        <w:rPr>
          <w:rFonts w:ascii="Arial" w:hAnsi="Arial" w:cs="Arial"/>
        </w:rPr>
      </w:pPr>
    </w:p>
    <w:p xmlns:wp14="http://schemas.microsoft.com/office/word/2010/wordml" w:rsidR="0037780E" w:rsidP="00CC170E" w:rsidRDefault="0037780E" w14:paraId="3461D779" wp14:textId="77777777">
      <w:pPr>
        <w:spacing w:line="360" w:lineRule="auto"/>
        <w:jc w:val="both"/>
        <w:rPr>
          <w:rFonts w:ascii="Arial" w:hAnsi="Arial" w:cs="Arial"/>
        </w:rPr>
      </w:pPr>
    </w:p>
    <w:p xmlns:wp14="http://schemas.microsoft.com/office/word/2010/wordml" w:rsidR="0037780E" w:rsidP="00CC170E" w:rsidRDefault="0037780E" w14:paraId="3CF2D8B6" wp14:textId="77777777">
      <w:pPr>
        <w:spacing w:line="360" w:lineRule="auto"/>
        <w:jc w:val="both"/>
        <w:rPr>
          <w:rFonts w:ascii="Arial" w:hAnsi="Arial" w:cs="Arial"/>
        </w:rPr>
      </w:pPr>
    </w:p>
    <w:p xmlns:wp14="http://schemas.microsoft.com/office/word/2010/wordml" w:rsidR="00CC170E" w:rsidP="00CC170E" w:rsidRDefault="00074EB6" w14:paraId="4AFA139A" wp14:textId="77777777">
      <w:pPr>
        <w:spacing w:line="360" w:lineRule="auto"/>
        <w:jc w:val="both"/>
        <w:rPr>
          <w:rFonts w:ascii="Arial" w:hAnsi="Arial" w:cs="Arial"/>
        </w:rPr>
      </w:pPr>
      <w:r w:rsidRPr="00074EB6">
        <w:rPr>
          <w:rFonts w:ascii="Arial" w:hAnsi="Arial" w:cs="Arial"/>
        </w:rPr>
        <w:t xml:space="preserve">External stakeholders are those that </w:t>
      </w:r>
      <w:r w:rsidR="008F610D">
        <w:rPr>
          <w:rFonts w:ascii="Arial" w:hAnsi="Arial" w:cs="Arial"/>
        </w:rPr>
        <w:t>have an immense external organiz</w:t>
      </w:r>
      <w:r w:rsidRPr="00074EB6">
        <w:rPr>
          <w:rFonts w:ascii="Arial" w:hAnsi="Arial" w:cs="Arial"/>
        </w:rPr>
        <w:t xml:space="preserve">ational influence (Project Management Institute, 2021). Regulatory Bodies enjoy the greatest authority, and their consent is obligatory to launch, so there should be active and open interaction with them (HIQA, 2017). Healthcare Professionals: The device can gain more trust and adoption after the clinical validity of the device is endorsed by Healthcare Professionals </w:t>
      </w:r>
      <w:r w:rsidR="00854483">
        <w:rPr>
          <w:rFonts w:ascii="Arial" w:hAnsi="Arial" w:cs="Arial"/>
        </w:rPr>
        <w:t>(Elly et al., 2024)</w:t>
      </w:r>
      <w:r w:rsidRPr="00074EB6">
        <w:rPr>
          <w:rFonts w:ascii="Arial" w:hAnsi="Arial" w:cs="Arial"/>
        </w:rPr>
        <w:t>. Although not very powerful individually, End-Users are high-interest stakeholders whose acceptance is the ultimate measure of the commercial viability of the project and therefo</w:t>
      </w:r>
      <w:r>
        <w:rPr>
          <w:rFonts w:ascii="Arial" w:hAnsi="Arial" w:cs="Arial"/>
        </w:rPr>
        <w:t xml:space="preserve">re, their feedback is necessary </w:t>
      </w:r>
      <w:r w:rsidRPr="00CC170E" w:rsidR="00CC170E">
        <w:rPr>
          <w:rFonts w:ascii="Arial" w:hAnsi="Arial" w:cs="Arial"/>
        </w:rPr>
        <w:t>(</w:t>
      </w:r>
      <w:proofErr w:type="spellStart"/>
      <w:r w:rsidRPr="00CC170E" w:rsidR="00CC170E">
        <w:rPr>
          <w:rFonts w:ascii="Arial" w:hAnsi="Arial" w:cs="Arial"/>
        </w:rPr>
        <w:t>Achterkamp</w:t>
      </w:r>
      <w:proofErr w:type="spellEnd"/>
      <w:r w:rsidRPr="00CC170E" w:rsidR="00CC170E">
        <w:rPr>
          <w:rFonts w:ascii="Arial" w:hAnsi="Arial" w:cs="Arial"/>
        </w:rPr>
        <w:t xml:space="preserve"> &amp; </w:t>
      </w:r>
      <w:proofErr w:type="spellStart"/>
      <w:r w:rsidRPr="00F7452A" w:rsidR="00CC170E">
        <w:rPr>
          <w:rFonts w:ascii="Arial" w:hAnsi="Arial" w:cs="Arial"/>
        </w:rPr>
        <w:t>Vos</w:t>
      </w:r>
      <w:proofErr w:type="spellEnd"/>
      <w:r w:rsidRPr="00CC170E" w:rsidR="00CC170E">
        <w:rPr>
          <w:rFonts w:ascii="Arial" w:hAnsi="Arial" w:cs="Arial"/>
        </w:rPr>
        <w:t xml:space="preserve">, 2007). </w:t>
      </w:r>
      <w:r w:rsidRPr="00074EB6">
        <w:rPr>
          <w:rFonts w:ascii="Arial" w:hAnsi="Arial" w:cs="Arial"/>
        </w:rPr>
        <w:t xml:space="preserve">The suppliers and manufacturers have a direct impact on the cost, schedule, and quality of the project and thus, they require the management of </w:t>
      </w:r>
      <w:r w:rsidRPr="00074EB6">
        <w:rPr>
          <w:rFonts w:ascii="Arial" w:hAnsi="Arial" w:cs="Arial"/>
        </w:rPr>
        <w:t>partnerships to maintain stability of the supply chain (</w:t>
      </w:r>
      <w:proofErr w:type="spellStart"/>
      <w:r w:rsidRPr="00074EB6">
        <w:rPr>
          <w:rFonts w:ascii="Arial" w:hAnsi="Arial" w:cs="Arial"/>
        </w:rPr>
        <w:t>Rowlinson</w:t>
      </w:r>
      <w:proofErr w:type="spellEnd"/>
      <w:r w:rsidRPr="00074EB6">
        <w:rPr>
          <w:rFonts w:ascii="Arial" w:hAnsi="Arial" w:cs="Arial"/>
        </w:rPr>
        <w:t xml:space="preserve"> and Cheung, 2008). Lastly, competition is an ongoing external risk, and the market activities of the competitors need to be monitored in an organized way to maintain the competitive positioning of the </w:t>
      </w:r>
      <w:proofErr w:type="spellStart"/>
      <w:r w:rsidRPr="00074EB6">
        <w:rPr>
          <w:rFonts w:ascii="Arial" w:hAnsi="Arial" w:cs="Arial"/>
        </w:rPr>
        <w:t>VitaTrack</w:t>
      </w:r>
      <w:proofErr w:type="spellEnd"/>
      <w:r w:rsidRPr="00074EB6">
        <w:rPr>
          <w:rFonts w:ascii="Arial" w:hAnsi="Arial" w:cs="Arial"/>
        </w:rPr>
        <w:t xml:space="preserve"> (Savage, 2015).</w:t>
      </w:r>
    </w:p>
    <w:p xmlns:wp14="http://schemas.microsoft.com/office/word/2010/wordml" w:rsidRPr="0019618C" w:rsidR="0019618C" w:rsidP="00076B49" w:rsidRDefault="0037780E" w14:paraId="240312F6" wp14:textId="77777777">
      <w:pPr>
        <w:pStyle w:val="Heading1"/>
      </w:pPr>
      <w:bookmarkStart w:name="_Toc214072218" w:id="14"/>
      <w:r>
        <w:t xml:space="preserve">4. </w:t>
      </w:r>
      <w:r w:rsidRPr="0019618C" w:rsidR="0019618C">
        <w:t xml:space="preserve">Stakeholder Roles, Benefits, and Challenges in the </w:t>
      </w:r>
      <w:proofErr w:type="spellStart"/>
      <w:r w:rsidR="006E7A79">
        <w:t>Medinox-VitaTrack</w:t>
      </w:r>
      <w:proofErr w:type="spellEnd"/>
      <w:r w:rsidR="006E7A79">
        <w:t xml:space="preserve"> </w:t>
      </w:r>
      <w:r w:rsidRPr="0019618C" w:rsidR="0019618C">
        <w:t>Project</w:t>
      </w:r>
      <w:bookmarkEnd w:id="14"/>
    </w:p>
    <w:p xmlns:wp14="http://schemas.microsoft.com/office/word/2010/wordml" w:rsidRPr="0019618C" w:rsidR="0019618C" w:rsidP="0019618C" w:rsidRDefault="00074EB6" w14:paraId="30145009" wp14:textId="77777777">
      <w:pPr>
        <w:spacing w:line="360" w:lineRule="auto"/>
        <w:jc w:val="both"/>
        <w:rPr>
          <w:rFonts w:ascii="Arial" w:hAnsi="Arial" w:cs="Arial"/>
        </w:rPr>
      </w:pPr>
      <w:r w:rsidRPr="00074EB6">
        <w:rPr>
          <w:rFonts w:ascii="Arial" w:hAnsi="Arial" w:cs="Arial"/>
        </w:rPr>
        <w:t xml:space="preserve">In the case of </w:t>
      </w:r>
      <w:proofErr w:type="spellStart"/>
      <w:r w:rsidR="00A3022E">
        <w:rPr>
          <w:rFonts w:ascii="Arial" w:hAnsi="Arial" w:cs="Arial"/>
        </w:rPr>
        <w:t>Medinox-VitaTrack</w:t>
      </w:r>
      <w:proofErr w:type="spellEnd"/>
      <w:r w:rsidR="00A3022E">
        <w:rPr>
          <w:rFonts w:ascii="Arial" w:hAnsi="Arial" w:cs="Arial"/>
        </w:rPr>
        <w:t xml:space="preserve"> </w:t>
      </w:r>
      <w:r w:rsidRPr="00074EB6">
        <w:rPr>
          <w:rFonts w:ascii="Arial" w:hAnsi="Arial" w:cs="Arial"/>
        </w:rPr>
        <w:t>project, every key stakeholder will have a different position which will play a significant role in the successful opening. They should also have a detailed comprehension of their roles, the valuable contribution they make, and the difficulties they will face to be well-managed during the project (Project Management Institute, 2021).</w:t>
      </w:r>
    </w:p>
    <w:p xmlns:wp14="http://schemas.microsoft.com/office/word/2010/wordml" w:rsidRPr="0019618C" w:rsidR="0019618C" w:rsidP="0037780E" w:rsidRDefault="0037780E" w14:paraId="63A339BD" wp14:textId="77777777">
      <w:pPr>
        <w:pStyle w:val="Heading2"/>
      </w:pPr>
      <w:bookmarkStart w:name="_Toc214072219" w:id="15"/>
      <w:r>
        <w:t xml:space="preserve">4.1 </w:t>
      </w:r>
      <w:r w:rsidRPr="0019618C" w:rsidR="0019618C">
        <w:t>Internal Stakeholders</w:t>
      </w:r>
      <w:bookmarkEnd w:id="15"/>
    </w:p>
    <w:p xmlns:wp14="http://schemas.microsoft.com/office/word/2010/wordml" w:rsidRPr="0019618C" w:rsidR="0019618C" w:rsidP="0019618C" w:rsidRDefault="00AA1ABF" w14:paraId="27230D51" wp14:textId="4AFA7AEA">
      <w:pPr>
        <w:spacing w:line="360" w:lineRule="auto"/>
        <w:jc w:val="both"/>
        <w:rPr>
          <w:rFonts w:ascii="Arial" w:hAnsi="Arial" w:cs="Arial"/>
        </w:rPr>
      </w:pPr>
      <w:r w:rsidRPr="0E5A6DCC" w:rsidR="00AA1ABF">
        <w:rPr>
          <w:rFonts w:ascii="Arial" w:hAnsi="Arial" w:cs="Arial"/>
        </w:rPr>
        <w:t xml:space="preserve">The ultimate responsibility of funding and strategic approval of the </w:t>
      </w:r>
      <w:r w:rsidRPr="0E5A6DCC" w:rsidR="00AA1ABF">
        <w:rPr>
          <w:rFonts w:ascii="Arial" w:hAnsi="Arial" w:cs="Arial"/>
        </w:rPr>
        <w:t>VitaTrack</w:t>
      </w:r>
      <w:r w:rsidRPr="0E5A6DCC" w:rsidR="00AA1ABF">
        <w:rPr>
          <w:rFonts w:ascii="Arial" w:hAnsi="Arial" w:cs="Arial"/>
        </w:rPr>
        <w:t xml:space="preserve"> project is the responsibility of senior management including the CEO and the Board (Solera, 2009). They offer a source of funds and </w:t>
      </w:r>
      <w:r w:rsidRPr="0E5A6DCC" w:rsidR="7D84C4C5">
        <w:rPr>
          <w:rFonts w:ascii="Arial" w:hAnsi="Arial" w:cs="Arial"/>
        </w:rPr>
        <w:t>a business</w:t>
      </w:r>
      <w:r w:rsidRPr="0E5A6DCC" w:rsidR="00AA1ABF">
        <w:rPr>
          <w:rFonts w:ascii="Arial" w:hAnsi="Arial" w:cs="Arial"/>
        </w:rPr>
        <w:t xml:space="preserve"> plan but have the difficulty of striking a balance between this new investment and the already established B2B portfolio of the company. The R&amp;D Department will be tasked with the responsibility of putting the product concept into a safe, </w:t>
      </w:r>
      <w:r w:rsidRPr="0E5A6DCC" w:rsidR="00AA1ABF">
        <w:rPr>
          <w:rFonts w:ascii="Arial" w:hAnsi="Arial" w:cs="Arial"/>
        </w:rPr>
        <w:t>accurate</w:t>
      </w:r>
      <w:r w:rsidRPr="0E5A6DCC" w:rsidR="00AA1ABF">
        <w:rPr>
          <w:rFonts w:ascii="Arial" w:hAnsi="Arial" w:cs="Arial"/>
        </w:rPr>
        <w:t xml:space="preserve">, and reliable physical device of the </w:t>
      </w:r>
      <w:r w:rsidRPr="0E5A6DCC" w:rsidR="00AA1ABF">
        <w:rPr>
          <w:rFonts w:ascii="Arial" w:hAnsi="Arial" w:cs="Arial"/>
        </w:rPr>
        <w:t>VitaTrack</w:t>
      </w:r>
      <w:r w:rsidRPr="0E5A6DCC" w:rsidR="00AA1ABF">
        <w:rPr>
          <w:rFonts w:ascii="Arial" w:hAnsi="Arial" w:cs="Arial"/>
        </w:rPr>
        <w:t xml:space="preserve"> (</w:t>
      </w:r>
      <w:r w:rsidRPr="0E5A6DCC" w:rsidR="00AA1ABF">
        <w:rPr>
          <w:rFonts w:ascii="Arial" w:hAnsi="Arial" w:cs="Arial"/>
        </w:rPr>
        <w:t>Dwivedi</w:t>
      </w:r>
      <w:r w:rsidRPr="0E5A6DCC" w:rsidR="00AA1ABF">
        <w:rPr>
          <w:rFonts w:ascii="Arial" w:hAnsi="Arial" w:cs="Arial"/>
        </w:rPr>
        <w:t xml:space="preserve">, 2021). Although they provide deep technical knowledge of medical-level sensor technology, they </w:t>
      </w:r>
      <w:r w:rsidRPr="0E5A6DCC" w:rsidR="75F6F0F9">
        <w:rPr>
          <w:rFonts w:ascii="Arial" w:hAnsi="Arial" w:cs="Arial"/>
        </w:rPr>
        <w:t>must</w:t>
      </w:r>
      <w:r w:rsidRPr="0E5A6DCC" w:rsidR="00AA1ABF">
        <w:rPr>
          <w:rFonts w:ascii="Arial" w:hAnsi="Arial" w:cs="Arial"/>
        </w:rPr>
        <w:t xml:space="preserve"> face a major issue of reconfiguring their demanding development cycles into a consumer-product cycle. </w:t>
      </w:r>
      <w:r w:rsidRPr="0E5A6DCC" w:rsidR="4444C3B5">
        <w:rPr>
          <w:rFonts w:ascii="Arial" w:hAnsi="Arial" w:cs="Arial"/>
        </w:rPr>
        <w:t>The Regulatory</w:t>
      </w:r>
      <w:r w:rsidRPr="0E5A6DCC" w:rsidR="00AA1ABF">
        <w:rPr>
          <w:rFonts w:ascii="Arial" w:hAnsi="Arial" w:cs="Arial"/>
        </w:rPr>
        <w:t xml:space="preserve"> Affairs Department has the responsibility of obtaining CE marking of the </w:t>
      </w:r>
      <w:r w:rsidRPr="0E5A6DCC" w:rsidR="00AA1ABF">
        <w:rPr>
          <w:rFonts w:ascii="Arial" w:hAnsi="Arial" w:cs="Arial"/>
        </w:rPr>
        <w:t>VitaTrack</w:t>
      </w:r>
      <w:r w:rsidRPr="0E5A6DCC" w:rsidR="00AA1ABF">
        <w:rPr>
          <w:rFonts w:ascii="Arial" w:hAnsi="Arial" w:cs="Arial"/>
        </w:rPr>
        <w:t xml:space="preserve"> according to the MDR which is a non-negotiable prerequisite to </w:t>
      </w:r>
      <w:r w:rsidRPr="0E5A6DCC" w:rsidR="05DAEF73">
        <w:rPr>
          <w:rFonts w:ascii="Arial" w:hAnsi="Arial" w:cs="Arial"/>
        </w:rPr>
        <w:t>launch</w:t>
      </w:r>
      <w:r w:rsidRPr="0E5A6DCC" w:rsidR="00AA1ABF">
        <w:rPr>
          <w:rFonts w:ascii="Arial" w:hAnsi="Arial" w:cs="Arial"/>
        </w:rPr>
        <w:t xml:space="preserve"> (European Commission, 2017). Their </w:t>
      </w:r>
      <w:r w:rsidRPr="0E5A6DCC" w:rsidR="00AA1ABF">
        <w:rPr>
          <w:rFonts w:ascii="Arial" w:hAnsi="Arial" w:cs="Arial"/>
        </w:rPr>
        <w:t>high levels</w:t>
      </w:r>
      <w:r w:rsidRPr="0E5A6DCC" w:rsidR="00AA1ABF">
        <w:rPr>
          <w:rFonts w:ascii="Arial" w:hAnsi="Arial" w:cs="Arial"/>
        </w:rPr>
        <w:t xml:space="preserve"> of </w:t>
      </w:r>
      <w:r w:rsidRPr="0E5A6DCC" w:rsidR="00AA1ABF">
        <w:rPr>
          <w:rFonts w:ascii="Arial" w:hAnsi="Arial" w:cs="Arial"/>
        </w:rPr>
        <w:t>expertise</w:t>
      </w:r>
      <w:r w:rsidRPr="0E5A6DCC" w:rsidR="00AA1ABF">
        <w:rPr>
          <w:rFonts w:ascii="Arial" w:hAnsi="Arial" w:cs="Arial"/>
        </w:rPr>
        <w:t xml:space="preserve"> cushion regulatory risk, but they will have to </w:t>
      </w:r>
      <w:r w:rsidRPr="0E5A6DCC" w:rsidR="00AA1ABF">
        <w:rPr>
          <w:rFonts w:ascii="Arial" w:hAnsi="Arial" w:cs="Arial"/>
        </w:rPr>
        <w:t>operate</w:t>
      </w:r>
      <w:r w:rsidRPr="0E5A6DCC" w:rsidR="00AA1ABF">
        <w:rPr>
          <w:rFonts w:ascii="Arial" w:hAnsi="Arial" w:cs="Arial"/>
        </w:rPr>
        <w:t xml:space="preserve"> within the gray area of applying the regulations of medical devices to a consumer product. The Marketing Team has the task of </w:t>
      </w:r>
      <w:r w:rsidRPr="0E5A6DCC" w:rsidR="00AA1ABF">
        <w:rPr>
          <w:rFonts w:ascii="Arial" w:hAnsi="Arial" w:cs="Arial"/>
        </w:rPr>
        <w:t>establishing</w:t>
      </w:r>
      <w:r w:rsidRPr="0E5A6DCC" w:rsidR="00AA1ABF">
        <w:rPr>
          <w:rFonts w:ascii="Arial" w:hAnsi="Arial" w:cs="Arial"/>
        </w:rPr>
        <w:t xml:space="preserve"> the brand and developing the demand in a new B2C market in relation to </w:t>
      </w:r>
      <w:r w:rsidRPr="0E5A6DCC" w:rsidR="00AA1ABF">
        <w:rPr>
          <w:rFonts w:ascii="Arial" w:hAnsi="Arial" w:cs="Arial"/>
        </w:rPr>
        <w:t>VitaTrack</w:t>
      </w:r>
      <w:r w:rsidRPr="0E5A6DCC" w:rsidR="00AA1ABF">
        <w:rPr>
          <w:rFonts w:ascii="Arial" w:hAnsi="Arial" w:cs="Arial"/>
        </w:rPr>
        <w:t xml:space="preserve"> (Weber, 2017). They have the necessary market insights but </w:t>
      </w:r>
      <w:r w:rsidRPr="0E5A6DCC" w:rsidR="00AA1ABF">
        <w:rPr>
          <w:rFonts w:ascii="Arial" w:hAnsi="Arial" w:cs="Arial"/>
        </w:rPr>
        <w:t>have to</w:t>
      </w:r>
      <w:r w:rsidRPr="0E5A6DCC" w:rsidR="00AA1ABF">
        <w:rPr>
          <w:rFonts w:ascii="Arial" w:hAnsi="Arial" w:cs="Arial"/>
        </w:rPr>
        <w:t xml:space="preserve"> overcome the unique difficulty of building an image towards consumers o</w:t>
      </w:r>
      <w:r w:rsidRPr="0E5A6DCC" w:rsidR="00AA1ABF">
        <w:rPr>
          <w:rFonts w:ascii="Arial" w:hAnsi="Arial" w:cs="Arial"/>
        </w:rPr>
        <w:t>f a historically clinical brand</w:t>
      </w:r>
      <w:r w:rsidRPr="0E5A6DCC" w:rsidR="0019618C">
        <w:rPr>
          <w:rFonts w:ascii="Arial" w:hAnsi="Arial" w:cs="Arial"/>
        </w:rPr>
        <w:t>.</w:t>
      </w:r>
    </w:p>
    <w:p xmlns:wp14="http://schemas.microsoft.com/office/word/2010/wordml" w:rsidRPr="0019618C" w:rsidR="0019618C" w:rsidP="0037780E" w:rsidRDefault="0037780E" w14:paraId="4FFB850B" wp14:textId="77777777">
      <w:pPr>
        <w:pStyle w:val="Heading2"/>
      </w:pPr>
      <w:bookmarkStart w:name="_Toc214072220" w:id="16"/>
      <w:r>
        <w:t xml:space="preserve">4.2 </w:t>
      </w:r>
      <w:r w:rsidRPr="0019618C" w:rsidR="0019618C">
        <w:t>External Stakeholders</w:t>
      </w:r>
      <w:bookmarkEnd w:id="16"/>
    </w:p>
    <w:p xmlns:wp14="http://schemas.microsoft.com/office/word/2010/wordml" w:rsidR="0019618C" w:rsidP="0019618C" w:rsidRDefault="001E1D3E" w14:paraId="3FC384E8" wp14:textId="1D8A35BC">
      <w:pPr>
        <w:spacing w:line="360" w:lineRule="auto"/>
        <w:jc w:val="both"/>
        <w:rPr>
          <w:rFonts w:ascii="Arial" w:hAnsi="Arial" w:cs="Arial"/>
        </w:rPr>
      </w:pPr>
      <w:r w:rsidRPr="0E5A6DCC" w:rsidR="001E1D3E">
        <w:rPr>
          <w:rFonts w:ascii="Arial" w:hAnsi="Arial" w:cs="Arial"/>
        </w:rPr>
        <w:t xml:space="preserve">The healthcare professionals (HCPs) including the cardiologists are crucial toward the validation of the clinical accuracy of the data collected by the </w:t>
      </w:r>
      <w:r w:rsidRPr="0E5A6DCC" w:rsidR="001E1D3E">
        <w:rPr>
          <w:rFonts w:ascii="Arial" w:hAnsi="Arial" w:cs="Arial"/>
        </w:rPr>
        <w:t>VitaTrack</w:t>
      </w:r>
      <w:r w:rsidRPr="0E5A6DCC" w:rsidR="001E1D3E">
        <w:rPr>
          <w:rFonts w:ascii="Arial" w:hAnsi="Arial" w:cs="Arial"/>
        </w:rPr>
        <w:t xml:space="preserve"> </w:t>
      </w:r>
      <w:r w:rsidRPr="0E5A6DCC" w:rsidR="00854483">
        <w:rPr>
          <w:rFonts w:ascii="Arial" w:hAnsi="Arial" w:cs="Arial"/>
        </w:rPr>
        <w:t>(Elly et al., 2024)</w:t>
      </w:r>
      <w:r w:rsidRPr="0E5A6DCC" w:rsidR="001E1D3E">
        <w:rPr>
          <w:rFonts w:ascii="Arial" w:hAnsi="Arial" w:cs="Arial"/>
        </w:rPr>
        <w:t xml:space="preserve">. Their recommendation is a massive advantage, which makes them more believable, but to involve them, it is necessary to prove the usefulness of the device during their hectic schedules. The </w:t>
      </w:r>
      <w:r w:rsidRPr="0E5A6DCC" w:rsidR="001E1D3E">
        <w:rPr>
          <w:rFonts w:ascii="Arial" w:hAnsi="Arial" w:cs="Arial"/>
        </w:rPr>
        <w:t xml:space="preserve">consumers, who are </w:t>
      </w:r>
      <w:r w:rsidRPr="0E5A6DCC" w:rsidR="533C57CF">
        <w:rPr>
          <w:rFonts w:ascii="Arial" w:hAnsi="Arial" w:cs="Arial"/>
        </w:rPr>
        <w:t>end</w:t>
      </w:r>
      <w:r w:rsidRPr="0E5A6DCC" w:rsidR="001E1D3E">
        <w:rPr>
          <w:rFonts w:ascii="Arial" w:hAnsi="Arial" w:cs="Arial"/>
        </w:rPr>
        <w:t xml:space="preserve">-users, eventually become users and adopt the </w:t>
      </w:r>
      <w:r w:rsidRPr="0E5A6DCC" w:rsidR="001E1D3E">
        <w:rPr>
          <w:rFonts w:ascii="Arial" w:hAnsi="Arial" w:cs="Arial"/>
        </w:rPr>
        <w:t>VitaTrack</w:t>
      </w:r>
      <w:r w:rsidRPr="0E5A6DCC" w:rsidR="001E1D3E">
        <w:rPr>
          <w:rFonts w:ascii="Arial" w:hAnsi="Arial" w:cs="Arial"/>
        </w:rPr>
        <w:t xml:space="preserve"> (</w:t>
      </w:r>
      <w:r w:rsidRPr="0E5A6DCC" w:rsidR="001E1D3E">
        <w:rPr>
          <w:rFonts w:ascii="Arial" w:hAnsi="Arial" w:cs="Arial"/>
        </w:rPr>
        <w:t>Achterkamp</w:t>
      </w:r>
      <w:r w:rsidRPr="0E5A6DCC" w:rsidR="001E1D3E">
        <w:rPr>
          <w:rFonts w:ascii="Arial" w:hAnsi="Arial" w:cs="Arial"/>
        </w:rPr>
        <w:t xml:space="preserve"> &amp; </w:t>
      </w:r>
      <w:r w:rsidRPr="0E5A6DCC" w:rsidR="001E1D3E">
        <w:rPr>
          <w:rFonts w:ascii="Arial" w:hAnsi="Arial" w:cs="Arial"/>
        </w:rPr>
        <w:t>Vos</w:t>
      </w:r>
      <w:r w:rsidRPr="0E5A6DCC" w:rsidR="001E1D3E">
        <w:rPr>
          <w:rFonts w:ascii="Arial" w:hAnsi="Arial" w:cs="Arial"/>
        </w:rPr>
        <w:t xml:space="preserve">, 2007). Their feedback on the beta test is a treasure trove to </w:t>
      </w:r>
      <w:r w:rsidRPr="0E5A6DCC" w:rsidR="36D45C00">
        <w:rPr>
          <w:rFonts w:ascii="Arial" w:hAnsi="Arial" w:cs="Arial"/>
        </w:rPr>
        <w:t>focusing on</w:t>
      </w:r>
      <w:r w:rsidRPr="0E5A6DCC" w:rsidR="001E1D3E">
        <w:rPr>
          <w:rFonts w:ascii="Arial" w:hAnsi="Arial" w:cs="Arial"/>
        </w:rPr>
        <w:t xml:space="preserve"> the </w:t>
      </w:r>
      <w:r w:rsidRPr="0E5A6DCC" w:rsidR="45877278">
        <w:rPr>
          <w:rFonts w:ascii="Arial" w:hAnsi="Arial" w:cs="Arial"/>
        </w:rPr>
        <w:t>user's</w:t>
      </w:r>
      <w:r w:rsidRPr="0E5A6DCC" w:rsidR="001E1D3E">
        <w:rPr>
          <w:rFonts w:ascii="Arial" w:hAnsi="Arial" w:cs="Arial"/>
        </w:rPr>
        <w:t xml:space="preserve"> experience, yet one of the </w:t>
      </w:r>
      <w:r w:rsidRPr="0E5A6DCC" w:rsidR="001E1D3E">
        <w:rPr>
          <w:rFonts w:ascii="Arial" w:hAnsi="Arial" w:cs="Arial"/>
        </w:rPr>
        <w:t>main issues</w:t>
      </w:r>
      <w:r w:rsidRPr="0E5A6DCC" w:rsidR="001E1D3E">
        <w:rPr>
          <w:rFonts w:ascii="Arial" w:hAnsi="Arial" w:cs="Arial"/>
        </w:rPr>
        <w:t xml:space="preserve"> is that they deal with the expectations set by the device in its clinical-use state and its user-friendly cause. </w:t>
      </w:r>
      <w:r w:rsidRPr="0E5A6DCC" w:rsidR="001E1D3E">
        <w:rPr>
          <w:rFonts w:ascii="Arial" w:hAnsi="Arial" w:cs="Arial"/>
        </w:rPr>
        <w:t>BfArM</w:t>
      </w:r>
      <w:r w:rsidRPr="0E5A6DCC" w:rsidR="001E1D3E">
        <w:rPr>
          <w:rFonts w:ascii="Arial" w:hAnsi="Arial" w:cs="Arial"/>
        </w:rPr>
        <w:t xml:space="preserve"> and other regulatory organizations </w:t>
      </w:r>
      <w:r w:rsidRPr="0E5A6DCC" w:rsidR="7317413C">
        <w:rPr>
          <w:rFonts w:ascii="Arial" w:hAnsi="Arial" w:cs="Arial"/>
        </w:rPr>
        <w:t>oversee</w:t>
      </w:r>
      <w:r w:rsidRPr="0E5A6DCC" w:rsidR="001E1D3E">
        <w:rPr>
          <w:rFonts w:ascii="Arial" w:hAnsi="Arial" w:cs="Arial"/>
        </w:rPr>
        <w:t xml:space="preserve"> approving the </w:t>
      </w:r>
      <w:r w:rsidRPr="0E5A6DCC" w:rsidR="001E1D3E">
        <w:rPr>
          <w:rFonts w:ascii="Arial" w:hAnsi="Arial" w:cs="Arial"/>
        </w:rPr>
        <w:t>VitaTrack</w:t>
      </w:r>
      <w:r w:rsidRPr="0E5A6DCC" w:rsidR="001E1D3E">
        <w:rPr>
          <w:rFonts w:ascii="Arial" w:hAnsi="Arial" w:cs="Arial"/>
        </w:rPr>
        <w:t xml:space="preserve"> on the market (HIQA, 2017). The result of a successful engagement is the advantage of market access; the negative outcome of this initiative is </w:t>
      </w:r>
      <w:r w:rsidRPr="0E5A6DCC" w:rsidR="001E1D3E">
        <w:rPr>
          <w:rFonts w:ascii="Arial" w:hAnsi="Arial" w:cs="Arial"/>
        </w:rPr>
        <w:t>possible delays</w:t>
      </w:r>
      <w:r w:rsidRPr="0E5A6DCC" w:rsidR="001E1D3E">
        <w:rPr>
          <w:rFonts w:ascii="Arial" w:hAnsi="Arial" w:cs="Arial"/>
        </w:rPr>
        <w:t xml:space="preserve"> in the project in case of the medical assertion being subjected to stringent inspection of the </w:t>
      </w:r>
      <w:r w:rsidRPr="0E5A6DCC" w:rsidR="1CB9C688">
        <w:rPr>
          <w:rFonts w:ascii="Arial" w:hAnsi="Arial" w:cs="Arial"/>
        </w:rPr>
        <w:t>device's</w:t>
      </w:r>
      <w:r w:rsidRPr="0E5A6DCC" w:rsidR="001E1D3E">
        <w:rPr>
          <w:rFonts w:ascii="Arial" w:hAnsi="Arial" w:cs="Arial"/>
        </w:rPr>
        <w:t xml:space="preserve"> health. Lastly, the </w:t>
      </w:r>
      <w:r w:rsidRPr="0E5A6DCC" w:rsidR="001E1D3E">
        <w:rPr>
          <w:rFonts w:ascii="Arial" w:hAnsi="Arial" w:cs="Arial"/>
        </w:rPr>
        <w:t>component</w:t>
      </w:r>
      <w:r w:rsidRPr="0E5A6DCC" w:rsidR="001E1D3E">
        <w:rPr>
          <w:rFonts w:ascii="Arial" w:hAnsi="Arial" w:cs="Arial"/>
        </w:rPr>
        <w:t xml:space="preserve"> suppliers will be held responsible </w:t>
      </w:r>
      <w:r w:rsidRPr="0E5A6DCC" w:rsidR="564CB803">
        <w:rPr>
          <w:rFonts w:ascii="Arial" w:hAnsi="Arial" w:cs="Arial"/>
        </w:rPr>
        <w:t>for</w:t>
      </w:r>
      <w:r w:rsidRPr="0E5A6DCC" w:rsidR="001E1D3E">
        <w:rPr>
          <w:rFonts w:ascii="Arial" w:hAnsi="Arial" w:cs="Arial"/>
        </w:rPr>
        <w:t xml:space="preserve"> supplying quality parts on time to </w:t>
      </w:r>
      <w:r w:rsidRPr="0E5A6DCC" w:rsidR="001E1D3E">
        <w:rPr>
          <w:rFonts w:ascii="Arial" w:hAnsi="Arial" w:cs="Arial"/>
        </w:rPr>
        <w:t>VitaTrack</w:t>
      </w:r>
      <w:r w:rsidRPr="0E5A6DCC" w:rsidR="001E1D3E">
        <w:rPr>
          <w:rFonts w:ascii="Arial" w:hAnsi="Arial" w:cs="Arial"/>
        </w:rPr>
        <w:t xml:space="preserve"> (</w:t>
      </w:r>
      <w:r w:rsidRPr="0E5A6DCC" w:rsidR="001E1D3E">
        <w:rPr>
          <w:rFonts w:ascii="Arial" w:hAnsi="Arial" w:cs="Arial"/>
        </w:rPr>
        <w:t>Rowlinson</w:t>
      </w:r>
      <w:r w:rsidRPr="0E5A6DCC" w:rsidR="001E1D3E">
        <w:rPr>
          <w:rFonts w:ascii="Arial" w:hAnsi="Arial" w:cs="Arial"/>
        </w:rPr>
        <w:t xml:space="preserve"> and Cheung, 2008). They ensure scalability of </w:t>
      </w:r>
      <w:r w:rsidRPr="0E5A6DCC" w:rsidR="681E89CB">
        <w:rPr>
          <w:rFonts w:ascii="Arial" w:hAnsi="Arial" w:cs="Arial"/>
        </w:rPr>
        <w:t>manufacturing,</w:t>
      </w:r>
      <w:r w:rsidRPr="0E5A6DCC" w:rsidR="001E1D3E">
        <w:rPr>
          <w:rFonts w:ascii="Arial" w:hAnsi="Arial" w:cs="Arial"/>
        </w:rPr>
        <w:t xml:space="preserve"> but an unstable supply-chain globally is a permanent challenge to the production and cost of the project</w:t>
      </w:r>
      <w:r w:rsidRPr="0E5A6DCC" w:rsidR="001E1D3E">
        <w:rPr>
          <w:rFonts w:ascii="Arial" w:hAnsi="Arial" w:cs="Arial"/>
        </w:rPr>
        <w:t>.</w:t>
      </w:r>
    </w:p>
    <w:p xmlns:wp14="http://schemas.microsoft.com/office/word/2010/wordml" w:rsidRPr="001537E3" w:rsidR="001537E3" w:rsidP="00076B49" w:rsidRDefault="0037780E" w14:paraId="751310B8" wp14:textId="77777777">
      <w:pPr>
        <w:pStyle w:val="Heading1"/>
      </w:pPr>
      <w:bookmarkStart w:name="_Toc214072221" w:id="17"/>
      <w:r>
        <w:t xml:space="preserve">5. </w:t>
      </w:r>
      <w:r w:rsidRPr="001537E3" w:rsidR="001537E3">
        <w:t xml:space="preserve">Stakeholder Engagement Frameworks and Models for the </w:t>
      </w:r>
      <w:proofErr w:type="spellStart"/>
      <w:r w:rsidR="006E7A79">
        <w:t>Medinox-VitaTrack</w:t>
      </w:r>
      <w:proofErr w:type="spellEnd"/>
      <w:r w:rsidR="006E7A79">
        <w:t xml:space="preserve"> </w:t>
      </w:r>
      <w:r w:rsidRPr="001537E3" w:rsidR="001537E3">
        <w:t>Project</w:t>
      </w:r>
      <w:bookmarkEnd w:id="17"/>
    </w:p>
    <w:p xmlns:wp14="http://schemas.microsoft.com/office/word/2010/wordml" w:rsidRPr="001537E3" w:rsidR="001537E3" w:rsidP="001537E3" w:rsidRDefault="001537E3" w14:paraId="6DBCEECB" wp14:textId="6132A785">
      <w:pPr>
        <w:spacing w:line="360" w:lineRule="auto"/>
        <w:jc w:val="both"/>
        <w:rPr>
          <w:rFonts w:ascii="Arial" w:hAnsi="Arial" w:cs="Arial"/>
        </w:rPr>
      </w:pPr>
      <w:r w:rsidRPr="0E5A6DCC" w:rsidR="001537E3">
        <w:rPr>
          <w:rFonts w:ascii="Arial" w:hAnsi="Arial" w:cs="Arial"/>
        </w:rPr>
        <w:t xml:space="preserve">Effective stakeholder management for the </w:t>
      </w:r>
      <w:r w:rsidRPr="0E5A6DCC" w:rsidR="006E7A79">
        <w:rPr>
          <w:rFonts w:ascii="Arial" w:hAnsi="Arial" w:cs="Arial"/>
        </w:rPr>
        <w:t>Medinox-VitaTrack</w:t>
      </w:r>
      <w:r w:rsidRPr="0E5A6DCC" w:rsidR="006E7A79">
        <w:rPr>
          <w:rFonts w:ascii="Arial" w:hAnsi="Arial" w:cs="Arial"/>
        </w:rPr>
        <w:t xml:space="preserve"> </w:t>
      </w:r>
      <w:r w:rsidRPr="0E5A6DCC" w:rsidR="001537E3">
        <w:rPr>
          <w:rFonts w:ascii="Arial" w:hAnsi="Arial" w:cs="Arial"/>
        </w:rPr>
        <w:t xml:space="preserve">project </w:t>
      </w:r>
      <w:r w:rsidRPr="0E5A6DCC" w:rsidR="00500F90">
        <w:rPr>
          <w:rFonts w:ascii="Arial" w:hAnsi="Arial" w:cs="Arial"/>
        </w:rPr>
        <w:t xml:space="preserve">requires a formal strategy employing the existing frameworks to make sure that every stakeholder is engaged accordingly (Project Management Institute, 2021). The </w:t>
      </w:r>
      <w:r w:rsidRPr="0E5A6DCC" w:rsidR="32D72B7F">
        <w:rPr>
          <w:rFonts w:ascii="Arial" w:hAnsi="Arial" w:cs="Arial"/>
        </w:rPr>
        <w:t>models below</w:t>
      </w:r>
      <w:r w:rsidRPr="0E5A6DCC" w:rsidR="00500F90">
        <w:rPr>
          <w:rFonts w:ascii="Arial" w:hAnsi="Arial" w:cs="Arial"/>
        </w:rPr>
        <w:t xml:space="preserve"> can offer </w:t>
      </w:r>
      <w:r w:rsidRPr="0E5A6DCC" w:rsidR="109023BD">
        <w:rPr>
          <w:rFonts w:ascii="Arial" w:hAnsi="Arial" w:cs="Arial"/>
        </w:rPr>
        <w:t>holistic</w:t>
      </w:r>
      <w:r w:rsidRPr="0E5A6DCC" w:rsidR="00500F90">
        <w:rPr>
          <w:rFonts w:ascii="Arial" w:hAnsi="Arial" w:cs="Arial"/>
        </w:rPr>
        <w:t xml:space="preserve"> identification, </w:t>
      </w:r>
      <w:r w:rsidRPr="0E5A6DCC" w:rsidR="31B54572">
        <w:rPr>
          <w:rFonts w:ascii="Arial" w:hAnsi="Arial" w:cs="Arial"/>
        </w:rPr>
        <w:t>analysis,</w:t>
      </w:r>
      <w:r w:rsidRPr="0E5A6DCC" w:rsidR="00500F90">
        <w:rPr>
          <w:rFonts w:ascii="Arial" w:hAnsi="Arial" w:cs="Arial"/>
        </w:rPr>
        <w:t xml:space="preserve"> and engagement.</w:t>
      </w:r>
    </w:p>
    <w:p xmlns:wp14="http://schemas.microsoft.com/office/word/2010/wordml" w:rsidRPr="001537E3" w:rsidR="001537E3" w:rsidP="0037780E" w:rsidRDefault="0037780E" w14:paraId="603F30A1" wp14:textId="77777777">
      <w:pPr>
        <w:pStyle w:val="Heading2"/>
      </w:pPr>
      <w:bookmarkStart w:name="_Toc214072222" w:id="18"/>
      <w:r>
        <w:t>5.1</w:t>
      </w:r>
      <w:r w:rsidRPr="001537E3" w:rsidR="001537E3">
        <w:t xml:space="preserve"> Stakeholder Power/Interest Matrix</w:t>
      </w:r>
      <w:bookmarkEnd w:id="18"/>
    </w:p>
    <w:p xmlns:wp14="http://schemas.microsoft.com/office/word/2010/wordml" w:rsidR="003015CD" w:rsidP="001537E3" w:rsidRDefault="00500F90" w14:paraId="2C01481B" wp14:textId="75E651AF">
      <w:pPr>
        <w:spacing w:line="360" w:lineRule="auto"/>
        <w:jc w:val="both"/>
        <w:rPr>
          <w:rFonts w:ascii="Times New Roman" w:hAnsi="Times New Roman" w:eastAsia="Times New Roman" w:cs="Times New Roman"/>
          <w:snapToGrid w:val="0"/>
          <w:color w:val="000000"/>
          <w:w w:val="0"/>
          <w:sz w:val="0"/>
          <w:szCs w:val="0"/>
          <w:bdr w:val="none" w:color="000000" w:sz="0" w:space="0"/>
          <w:shd w:val="clear" w:color="000000" w:fill="000000"/>
          <w:lang w:eastAsia="x-none" w:bidi="x-none"/>
        </w:rPr>
      </w:pPr>
      <w:r w:rsidRPr="00500F90" w:rsidR="00500F90">
        <w:rPr>
          <w:rFonts w:ascii="Arial" w:hAnsi="Arial" w:cs="Arial"/>
        </w:rPr>
        <w:t>The model is used to rank and classify the stakeholders according to the level of impact they have on the project and their concern on the project (</w:t>
      </w:r>
      <w:r w:rsidRPr="00500F90" w:rsidR="00500F90">
        <w:rPr>
          <w:rFonts w:ascii="Arial" w:hAnsi="Arial" w:cs="Arial"/>
        </w:rPr>
        <w:t>Mendelow</w:t>
      </w:r>
      <w:r w:rsidRPr="00500F90" w:rsidR="00500F90">
        <w:rPr>
          <w:rFonts w:ascii="Arial" w:hAnsi="Arial" w:cs="Arial"/>
        </w:rPr>
        <w:t xml:space="preserve">, 1991), which in turn directly </w:t>
      </w:r>
      <w:r w:rsidRPr="00500F90" w:rsidR="5231CB94">
        <w:rPr>
          <w:rFonts w:ascii="Arial" w:hAnsi="Arial" w:cs="Arial"/>
        </w:rPr>
        <w:t xml:space="preserve">surveys</w:t>
      </w:r>
      <w:r w:rsidRPr="00500F90" w:rsidR="00500F90">
        <w:rPr>
          <w:rFonts w:ascii="Arial" w:hAnsi="Arial" w:cs="Arial"/>
        </w:rPr>
        <w:t xml:space="preserve"> how much and in what manner each group is to be engaged. This is the core matrix in the case of the </w:t>
      </w:r>
      <w:r w:rsidRPr="00500F90" w:rsidR="00500F90">
        <w:rPr>
          <w:rFonts w:ascii="Arial" w:hAnsi="Arial" w:cs="Arial"/>
        </w:rPr>
        <w:t>VitaTrack</w:t>
      </w:r>
      <w:r w:rsidRPr="00500F90" w:rsidR="00500F90">
        <w:rPr>
          <w:rFonts w:ascii="Arial" w:hAnsi="Arial" w:cs="Arial"/>
        </w:rPr>
        <w:t xml:space="preserve"> project. According to it, major stakeholders like the Regulatory Affairs team need to collaborate closely on a daily and intensive basis </w:t>
      </w:r>
      <w:r w:rsidRPr="00500F90" w:rsidR="451421E7">
        <w:rPr>
          <w:rFonts w:ascii="Arial" w:hAnsi="Arial" w:cs="Arial"/>
        </w:rPr>
        <w:t xml:space="preserve">to</w:t>
      </w:r>
      <w:r w:rsidRPr="00500F90" w:rsidR="00500F90">
        <w:rPr>
          <w:rFonts w:ascii="Arial" w:hAnsi="Arial" w:cs="Arial"/>
        </w:rPr>
        <w:t xml:space="preserve"> work around MDR compliance (European Commission, 2017). On the other hand, the stakeholders to be informed like the end-users in the beta </w:t>
      </w:r>
      <w:r w:rsidRPr="00500F90" w:rsidR="00500F90">
        <w:rPr>
          <w:rFonts w:ascii="Arial" w:hAnsi="Arial" w:cs="Arial"/>
        </w:rPr>
        <w:t>programme</w:t>
      </w:r>
      <w:r w:rsidRPr="00500F90" w:rsidR="00500F90">
        <w:rPr>
          <w:rFonts w:ascii="Arial" w:hAnsi="Arial" w:cs="Arial"/>
        </w:rPr>
        <w:t xml:space="preserve"> must have regular updates and feedback channels </w:t>
      </w:r>
      <w:r w:rsidRPr="00500F90" w:rsidR="5C66C80D">
        <w:rPr>
          <w:rFonts w:ascii="Arial" w:hAnsi="Arial" w:cs="Arial"/>
        </w:rPr>
        <w:t xml:space="preserve">to</w:t>
      </w:r>
      <w:r w:rsidRPr="00500F90" w:rsidR="00500F90">
        <w:rPr>
          <w:rFonts w:ascii="Arial" w:hAnsi="Arial" w:cs="Arial"/>
        </w:rPr>
        <w:t xml:space="preserve"> create advocacy without bombarding them with information (</w:t>
      </w:r>
      <w:r w:rsidRPr="00500F90" w:rsidR="00500F90">
        <w:rPr>
          <w:rFonts w:ascii="Arial" w:hAnsi="Arial" w:cs="Arial"/>
        </w:rPr>
        <w:t>Achterkamp</w:t>
      </w:r>
      <w:r w:rsidRPr="00500F90" w:rsidR="00500F90">
        <w:rPr>
          <w:rFonts w:ascii="Arial" w:hAnsi="Arial" w:cs="Arial"/>
        </w:rPr>
        <w:t xml:space="preserve"> &amp; </w:t>
      </w:r>
      <w:r w:rsidRPr="00500F90" w:rsidR="00500F90">
        <w:rPr>
          <w:rFonts w:ascii="Arial" w:hAnsi="Arial" w:cs="Arial"/>
        </w:rPr>
        <w:t>Vos</w:t>
      </w:r>
      <w:r w:rsidRPr="00500F90" w:rsidR="00500F90">
        <w:rPr>
          <w:rFonts w:ascii="Arial" w:hAnsi="Arial" w:cs="Arial"/>
        </w:rPr>
        <w:t>, 2007</w:t>
      </w:r>
      <w:r w:rsidRPr="00500F90" w:rsidR="00500F90">
        <w:rPr>
          <w:rFonts w:ascii="Arial" w:hAnsi="Arial" w:cs="Arial"/>
        </w:rPr>
        <w:t>).</w:t>
      </w:r>
      <w:r w:rsidRPr="001537E3" w:rsidR="001537E3">
        <w:rPr>
          <w:rFonts w:ascii="Arial" w:hAnsi="Arial" w:cs="Arial"/>
        </w:rPr>
        <w:t>.</w:t>
      </w:r>
      <w:r w:rsidRPr="003015CD" w:rsidR="003015CD">
        <w:rPr>
          <w:rFonts w:ascii="Times New Roman" w:hAnsi="Times New Roman" w:eastAsia="Times New Roman" w:cs="Times New Roman"/>
          <w:snapToGrid w:val="0"/>
          <w:color w:val="000000"/>
          <w:w w:val="0"/>
          <w:sz w:val="0"/>
          <w:szCs w:val="0"/>
          <w:bdr w:val="none" w:color="000000" w:sz="0" w:space="0"/>
          <w:shd w:val="clear" w:color="000000" w:fill="000000"/>
          <w:lang w:val="x-none" w:eastAsia="x-none" w:bidi="x-none"/>
        </w:rPr>
        <w:t xml:space="preserve"> </w:t>
      </w:r>
    </w:p>
    <w:p xmlns:wp14="http://schemas.microsoft.com/office/word/2010/wordml" w:rsidR="00074EB6" w:rsidP="001537E3" w:rsidRDefault="00074EB6" w14:paraId="0FB78278" wp14:textId="77777777">
      <w:pPr>
        <w:spacing w:line="360" w:lineRule="auto"/>
        <w:jc w:val="both"/>
        <w:rPr>
          <w:rFonts w:ascii="Times New Roman" w:hAnsi="Times New Roman" w:eastAsia="Times New Roman" w:cs="Times New Roman"/>
          <w:snapToGrid w:val="0"/>
          <w:color w:val="000000"/>
          <w:w w:val="0"/>
          <w:sz w:val="0"/>
          <w:szCs w:val="0"/>
          <w:u w:color="000000"/>
          <w:bdr w:val="none" w:color="000000" w:sz="0" w:space="0"/>
          <w:shd w:val="clear" w:color="000000" w:fill="000000"/>
          <w:lang w:eastAsia="x-none" w:bidi="x-none"/>
        </w:rPr>
      </w:pPr>
    </w:p>
    <w:p xmlns:wp14="http://schemas.microsoft.com/office/word/2010/wordml" w:rsidRPr="00074EB6" w:rsidR="00074EB6" w:rsidP="001537E3" w:rsidRDefault="00074EB6" w14:paraId="1FC39945" wp14:textId="77777777">
      <w:pPr>
        <w:spacing w:line="360" w:lineRule="auto"/>
        <w:jc w:val="both"/>
        <w:rPr>
          <w:rFonts w:ascii="Times New Roman" w:hAnsi="Times New Roman" w:eastAsia="Times New Roman" w:cs="Times New Roman"/>
          <w:snapToGrid w:val="0"/>
          <w:color w:val="000000"/>
          <w:w w:val="0"/>
          <w:sz w:val="0"/>
          <w:szCs w:val="0"/>
          <w:u w:color="000000"/>
          <w:bdr w:val="none" w:color="000000" w:sz="0" w:space="0"/>
          <w:shd w:val="clear" w:color="000000" w:fill="000000"/>
          <w:lang w:eastAsia="x-none" w:bidi="x-none"/>
        </w:rPr>
      </w:pPr>
    </w:p>
    <w:p xmlns:wp14="http://schemas.microsoft.com/office/word/2010/wordml" w:rsidRPr="001537E3" w:rsidR="001537E3" w:rsidP="001537E3" w:rsidRDefault="001537E3" w14:paraId="0562CB0E" wp14:textId="77777777">
      <w:pPr>
        <w:spacing w:line="360" w:lineRule="auto"/>
        <w:jc w:val="both"/>
        <w:rPr>
          <w:rFonts w:ascii="Arial" w:hAnsi="Arial" w:cs="Arial"/>
        </w:rPr>
      </w:pPr>
    </w:p>
    <w:p xmlns:wp14="http://schemas.microsoft.com/office/word/2010/wordml" w:rsidR="00076B49" w:rsidRDefault="00076B49" w14:paraId="34CE0A41" wp14:textId="77777777">
      <w:pPr>
        <w:rPr>
          <w:rFonts w:ascii="Arial" w:hAnsi="Arial" w:cs="Arial"/>
        </w:rPr>
      </w:pPr>
      <w:r>
        <w:rPr>
          <w:rFonts w:ascii="Arial" w:hAnsi="Arial" w:cs="Arial"/>
        </w:rPr>
        <w:br w:type="page"/>
      </w:r>
    </w:p>
    <w:p xmlns:wp14="http://schemas.microsoft.com/office/word/2010/wordml" w:rsidR="003015CD" w:rsidP="001537E3" w:rsidRDefault="00500F90" w14:paraId="33CEEE62" wp14:textId="77777777">
      <w:pPr>
        <w:spacing w:line="360" w:lineRule="auto"/>
        <w:jc w:val="both"/>
        <w:rPr>
          <w:rFonts w:ascii="Arial" w:hAnsi="Arial" w:cs="Arial"/>
        </w:rPr>
      </w:pPr>
      <w:r>
        <w:rPr>
          <w:rFonts w:ascii="Arial" w:hAnsi="Arial" w:cs="Arial"/>
          <w:noProof/>
        </w:rPr>
        <w:drawing>
          <wp:anchor xmlns:wp14="http://schemas.microsoft.com/office/word/2010/wordprocessingDrawing" distT="0" distB="0" distL="114300" distR="114300" simplePos="0" relativeHeight="251663360" behindDoc="0" locked="0" layoutInCell="1" allowOverlap="1" wp14:anchorId="675800AD" wp14:editId="361ED78C">
            <wp:simplePos x="0" y="0"/>
            <wp:positionH relativeFrom="column">
              <wp:posOffset>171450</wp:posOffset>
            </wp:positionH>
            <wp:positionV relativeFrom="paragraph">
              <wp:posOffset>40005</wp:posOffset>
            </wp:positionV>
            <wp:extent cx="5343525" cy="3190875"/>
            <wp:effectExtent l="0" t="0" r="9525" b="9525"/>
            <wp:wrapNone/>
            <wp:docPr id="8" name="Picture 8" descr="C:\Users\Administrator\Downloads\Gemini_Generated_Image_hy94qshy94qshy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Gemini_Generated_Image_hy94qshy94qshy94.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43525" cy="319087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500F90" w:rsidP="001537E3" w:rsidRDefault="00500F90" w14:paraId="62EBF3C5" wp14:textId="77777777">
      <w:pPr>
        <w:spacing w:line="360" w:lineRule="auto"/>
        <w:jc w:val="both"/>
        <w:rPr>
          <w:rFonts w:ascii="Arial" w:hAnsi="Arial" w:cs="Arial"/>
        </w:rPr>
      </w:pPr>
    </w:p>
    <w:p xmlns:wp14="http://schemas.microsoft.com/office/word/2010/wordml" w:rsidR="00500F90" w:rsidP="001537E3" w:rsidRDefault="00500F90" w14:paraId="6D98A12B" wp14:textId="77777777">
      <w:pPr>
        <w:spacing w:line="360" w:lineRule="auto"/>
        <w:jc w:val="both"/>
        <w:rPr>
          <w:rFonts w:ascii="Arial" w:hAnsi="Arial" w:cs="Arial"/>
        </w:rPr>
      </w:pPr>
    </w:p>
    <w:p xmlns:wp14="http://schemas.microsoft.com/office/word/2010/wordml" w:rsidR="00500F90" w:rsidP="001537E3" w:rsidRDefault="00500F90" w14:paraId="2946DB82" wp14:textId="77777777">
      <w:pPr>
        <w:spacing w:line="360" w:lineRule="auto"/>
        <w:jc w:val="both"/>
        <w:rPr>
          <w:rFonts w:ascii="Arial" w:hAnsi="Arial" w:cs="Arial"/>
        </w:rPr>
      </w:pPr>
    </w:p>
    <w:p xmlns:wp14="http://schemas.microsoft.com/office/word/2010/wordml" w:rsidR="00500F90" w:rsidP="001537E3" w:rsidRDefault="00500F90" w14:paraId="5997CC1D" wp14:textId="77777777">
      <w:pPr>
        <w:spacing w:line="360" w:lineRule="auto"/>
        <w:jc w:val="both"/>
        <w:rPr>
          <w:rFonts w:ascii="Arial" w:hAnsi="Arial" w:cs="Arial"/>
        </w:rPr>
      </w:pPr>
    </w:p>
    <w:p xmlns:wp14="http://schemas.microsoft.com/office/word/2010/wordml" w:rsidR="00500F90" w:rsidP="001537E3" w:rsidRDefault="00500F90" w14:paraId="110FFD37" wp14:textId="77777777">
      <w:pPr>
        <w:spacing w:line="360" w:lineRule="auto"/>
        <w:jc w:val="both"/>
        <w:rPr>
          <w:rFonts w:ascii="Arial" w:hAnsi="Arial" w:cs="Arial"/>
          <w:b/>
          <w:bCs/>
        </w:rPr>
      </w:pPr>
    </w:p>
    <w:p xmlns:wp14="http://schemas.microsoft.com/office/word/2010/wordml" w:rsidR="00500F90" w:rsidP="001537E3" w:rsidRDefault="00500F90" w14:paraId="6B699379" wp14:textId="77777777">
      <w:pPr>
        <w:spacing w:line="360" w:lineRule="auto"/>
        <w:jc w:val="both"/>
        <w:rPr>
          <w:rFonts w:ascii="Arial" w:hAnsi="Arial" w:cs="Arial"/>
          <w:b/>
          <w:bCs/>
        </w:rPr>
      </w:pPr>
    </w:p>
    <w:p xmlns:wp14="http://schemas.microsoft.com/office/word/2010/wordml" w:rsidR="00500F90" w:rsidP="001537E3" w:rsidRDefault="00500F90" w14:paraId="3FE9F23F" wp14:textId="77777777">
      <w:pPr>
        <w:spacing w:line="360" w:lineRule="auto"/>
        <w:jc w:val="both"/>
        <w:rPr>
          <w:rFonts w:ascii="Arial" w:hAnsi="Arial" w:cs="Arial"/>
          <w:b/>
          <w:bCs/>
        </w:rPr>
      </w:pPr>
    </w:p>
    <w:p xmlns:wp14="http://schemas.microsoft.com/office/word/2010/wordml" w:rsidR="00500F90" w:rsidP="001537E3" w:rsidRDefault="00500F90" w14:paraId="1F72F646" wp14:textId="77777777">
      <w:pPr>
        <w:spacing w:line="360" w:lineRule="auto"/>
        <w:jc w:val="both"/>
        <w:rPr>
          <w:rFonts w:ascii="Arial" w:hAnsi="Arial" w:cs="Arial"/>
          <w:b/>
          <w:bCs/>
        </w:rPr>
      </w:pPr>
    </w:p>
    <w:p xmlns:wp14="http://schemas.microsoft.com/office/word/2010/wordml" w:rsidRPr="001537E3" w:rsidR="001537E3" w:rsidP="0037780E" w:rsidRDefault="0037780E" w14:paraId="016FF242" wp14:textId="77777777">
      <w:pPr>
        <w:pStyle w:val="Heading2"/>
      </w:pPr>
      <w:bookmarkStart w:name="_Toc214072223" w:id="19"/>
      <w:r>
        <w:t xml:space="preserve">5.2 </w:t>
      </w:r>
      <w:r w:rsidRPr="001537E3" w:rsidR="001537E3">
        <w:t>Stakeholder Engagement Plan</w:t>
      </w:r>
      <w:bookmarkEnd w:id="19"/>
    </w:p>
    <w:p xmlns:wp14="http://schemas.microsoft.com/office/word/2010/wordml" w:rsidRPr="001537E3" w:rsidR="001537E3" w:rsidP="001537E3" w:rsidRDefault="00500F90" w14:paraId="6BBCBFE2" wp14:textId="6D1D2AF4">
      <w:pPr>
        <w:spacing w:line="360" w:lineRule="auto"/>
        <w:jc w:val="both"/>
        <w:rPr>
          <w:rFonts w:ascii="Arial" w:hAnsi="Arial" w:cs="Arial"/>
        </w:rPr>
      </w:pPr>
      <w:r w:rsidRPr="0E5A6DCC" w:rsidR="12FD61AE">
        <w:rPr>
          <w:rFonts w:ascii="Arial" w:hAnsi="Arial" w:cs="Arial"/>
          <w:b w:val="1"/>
          <w:bCs w:val="1"/>
        </w:rPr>
        <w:t>The Stakeholder</w:t>
      </w:r>
      <w:r w:rsidRPr="0E5A6DCC" w:rsidR="00500F90">
        <w:rPr>
          <w:rFonts w:ascii="Arial" w:hAnsi="Arial" w:cs="Arial"/>
          <w:b w:val="1"/>
          <w:bCs w:val="1"/>
        </w:rPr>
        <w:t xml:space="preserve"> Engagement Plan</w:t>
      </w:r>
      <w:r w:rsidRPr="0E5A6DCC" w:rsidR="00500F90">
        <w:rPr>
          <w:rFonts w:ascii="Arial" w:hAnsi="Arial" w:cs="Arial"/>
        </w:rPr>
        <w:t xml:space="preserve"> is a plan that converts the matrix into actions, including how to bring the stakeholders to the desired level of commitment by targeting their current level of engagement (HIQA, 2017). It is a dynamic document that guides proactive involvement. In the case of the </w:t>
      </w:r>
      <w:r w:rsidRPr="0E5A6DCC" w:rsidR="00500F90">
        <w:rPr>
          <w:rFonts w:ascii="Arial" w:hAnsi="Arial" w:cs="Arial"/>
        </w:rPr>
        <w:t>VitaTrack</w:t>
      </w:r>
      <w:r w:rsidRPr="0E5A6DCC" w:rsidR="00500F90">
        <w:rPr>
          <w:rFonts w:ascii="Arial" w:hAnsi="Arial" w:cs="Arial"/>
        </w:rPr>
        <w:t>, this strategy guarantees that the HCPs move to a state of unawareness to become active followers, thus using their credibility to gain market acceptance (Weber, 2017). The plan also gives a clear roadmap towards changing the relationship of the stakeholders.</w:t>
      </w:r>
    </w:p>
    <w:tbl>
      <w:tblPr>
        <w:tblStyle w:val="TableGrid"/>
        <w:tblW w:w="0" w:type="auto"/>
        <w:tblLook w:val="04A0" w:firstRow="1" w:lastRow="0" w:firstColumn="1" w:lastColumn="0" w:noHBand="0" w:noVBand="1"/>
      </w:tblPr>
      <w:tblGrid>
        <w:gridCol w:w="1981"/>
        <w:gridCol w:w="1764"/>
        <w:gridCol w:w="1773"/>
        <w:gridCol w:w="4058"/>
      </w:tblGrid>
      <w:tr xmlns:wp14="http://schemas.microsoft.com/office/word/2010/wordml" w:rsidRPr="001537E3" w:rsidR="001537E3" w:rsidTr="0E5A6DCC" w14:paraId="04A67C3A" wp14:textId="77777777">
        <w:tc>
          <w:tcPr>
            <w:tcW w:w="0" w:type="auto"/>
            <w:shd w:val="clear" w:color="auto" w:fill="C4BC96" w:themeFill="background2" w:themeFillShade="BF"/>
            <w:tcMar/>
            <w:hideMark/>
          </w:tcPr>
          <w:p w:rsidRPr="00CF3D80" w:rsidR="001537E3" w:rsidP="001537E3" w:rsidRDefault="001537E3" w14:paraId="7F44D69E" wp14:textId="77777777">
            <w:pPr>
              <w:spacing w:after="200" w:line="360" w:lineRule="auto"/>
              <w:jc w:val="both"/>
              <w:rPr>
                <w:rFonts w:ascii="Arial" w:hAnsi="Arial" w:cs="Arial"/>
                <w:color w:val="C00000"/>
              </w:rPr>
            </w:pPr>
            <w:r w:rsidRPr="00CF3D80">
              <w:rPr>
                <w:rFonts w:ascii="Arial" w:hAnsi="Arial" w:cs="Arial"/>
                <w:color w:val="C00000"/>
              </w:rPr>
              <w:t>Stakeholder</w:t>
            </w:r>
          </w:p>
        </w:tc>
        <w:tc>
          <w:tcPr>
            <w:tcW w:w="0" w:type="auto"/>
            <w:shd w:val="clear" w:color="auto" w:fill="C4BC96" w:themeFill="background2" w:themeFillShade="BF"/>
            <w:tcMar/>
            <w:hideMark/>
          </w:tcPr>
          <w:p w:rsidRPr="00CF3D80" w:rsidR="001537E3" w:rsidP="001537E3" w:rsidRDefault="001537E3" w14:paraId="203D80A5" wp14:textId="77777777">
            <w:pPr>
              <w:spacing w:after="200" w:line="360" w:lineRule="auto"/>
              <w:jc w:val="both"/>
              <w:rPr>
                <w:rFonts w:ascii="Arial" w:hAnsi="Arial" w:cs="Arial"/>
                <w:color w:val="C00000"/>
              </w:rPr>
            </w:pPr>
            <w:r w:rsidRPr="00CF3D80">
              <w:rPr>
                <w:rFonts w:ascii="Arial" w:hAnsi="Arial" w:cs="Arial"/>
                <w:color w:val="C00000"/>
              </w:rPr>
              <w:t>Current Engagement</w:t>
            </w:r>
          </w:p>
        </w:tc>
        <w:tc>
          <w:tcPr>
            <w:tcW w:w="0" w:type="auto"/>
            <w:shd w:val="clear" w:color="auto" w:fill="C4BC96" w:themeFill="background2" w:themeFillShade="BF"/>
            <w:tcMar/>
            <w:hideMark/>
          </w:tcPr>
          <w:p w:rsidRPr="00CF3D80" w:rsidR="001537E3" w:rsidP="001537E3" w:rsidRDefault="001537E3" w14:paraId="064C2AC2" wp14:textId="77777777">
            <w:pPr>
              <w:spacing w:after="200" w:line="360" w:lineRule="auto"/>
              <w:jc w:val="both"/>
              <w:rPr>
                <w:rFonts w:ascii="Arial" w:hAnsi="Arial" w:cs="Arial"/>
                <w:color w:val="C00000"/>
              </w:rPr>
            </w:pPr>
            <w:r w:rsidRPr="00CF3D80">
              <w:rPr>
                <w:rFonts w:ascii="Arial" w:hAnsi="Arial" w:cs="Arial"/>
                <w:color w:val="C00000"/>
              </w:rPr>
              <w:t>Desired Engagement</w:t>
            </w:r>
          </w:p>
        </w:tc>
        <w:tc>
          <w:tcPr>
            <w:tcW w:w="0" w:type="auto"/>
            <w:shd w:val="clear" w:color="auto" w:fill="C4BC96" w:themeFill="background2" w:themeFillShade="BF"/>
            <w:tcMar/>
            <w:hideMark/>
          </w:tcPr>
          <w:p w:rsidRPr="00CF3D80" w:rsidR="001537E3" w:rsidP="001537E3" w:rsidRDefault="001537E3" w14:paraId="6235D8B4" wp14:textId="77777777">
            <w:pPr>
              <w:spacing w:after="200" w:line="360" w:lineRule="auto"/>
              <w:jc w:val="both"/>
              <w:rPr>
                <w:rFonts w:ascii="Arial" w:hAnsi="Arial" w:cs="Arial"/>
                <w:color w:val="C00000"/>
              </w:rPr>
            </w:pPr>
            <w:r w:rsidRPr="00CF3D80">
              <w:rPr>
                <w:rFonts w:ascii="Arial" w:hAnsi="Arial" w:cs="Arial"/>
                <w:color w:val="C00000"/>
              </w:rPr>
              <w:t>Actions &amp; Initiatives</w:t>
            </w:r>
          </w:p>
        </w:tc>
      </w:tr>
      <w:tr xmlns:wp14="http://schemas.microsoft.com/office/word/2010/wordml" w:rsidRPr="001537E3" w:rsidR="001537E3" w:rsidTr="0E5A6DCC" w14:paraId="7BEF94E7" wp14:textId="77777777">
        <w:tc>
          <w:tcPr>
            <w:tcW w:w="0" w:type="auto"/>
            <w:tcMar/>
            <w:hideMark/>
          </w:tcPr>
          <w:p w:rsidRPr="001537E3" w:rsidR="001537E3" w:rsidP="001537E3" w:rsidRDefault="001537E3" w14:paraId="1D480EE4" wp14:textId="77777777">
            <w:pPr>
              <w:spacing w:after="200" w:line="360" w:lineRule="auto"/>
              <w:jc w:val="both"/>
              <w:rPr>
                <w:rFonts w:ascii="Arial" w:hAnsi="Arial" w:cs="Arial"/>
              </w:rPr>
            </w:pPr>
            <w:r w:rsidRPr="001537E3">
              <w:rPr>
                <w:rFonts w:ascii="Arial" w:hAnsi="Arial" w:cs="Arial"/>
              </w:rPr>
              <w:t>Healthcare Professionals</w:t>
            </w:r>
          </w:p>
        </w:tc>
        <w:tc>
          <w:tcPr>
            <w:tcW w:w="0" w:type="auto"/>
            <w:tcMar/>
            <w:hideMark/>
          </w:tcPr>
          <w:p w:rsidRPr="001537E3" w:rsidR="001537E3" w:rsidP="001537E3" w:rsidRDefault="001537E3" w14:paraId="433AEDB0" wp14:textId="77777777">
            <w:pPr>
              <w:spacing w:after="200" w:line="360" w:lineRule="auto"/>
              <w:jc w:val="both"/>
              <w:rPr>
                <w:rFonts w:ascii="Arial" w:hAnsi="Arial" w:cs="Arial"/>
              </w:rPr>
            </w:pPr>
            <w:r w:rsidRPr="001537E3">
              <w:rPr>
                <w:rFonts w:ascii="Arial" w:hAnsi="Arial" w:cs="Arial"/>
              </w:rPr>
              <w:t>Unaware</w:t>
            </w:r>
          </w:p>
        </w:tc>
        <w:tc>
          <w:tcPr>
            <w:tcW w:w="0" w:type="auto"/>
            <w:tcMar/>
            <w:hideMark/>
          </w:tcPr>
          <w:p w:rsidRPr="001537E3" w:rsidR="001537E3" w:rsidP="001537E3" w:rsidRDefault="001537E3" w14:paraId="032D14B2" wp14:textId="77777777">
            <w:pPr>
              <w:spacing w:after="200" w:line="360" w:lineRule="auto"/>
              <w:jc w:val="both"/>
              <w:rPr>
                <w:rFonts w:ascii="Arial" w:hAnsi="Arial" w:cs="Arial"/>
              </w:rPr>
            </w:pPr>
            <w:r w:rsidRPr="001537E3">
              <w:rPr>
                <w:rFonts w:ascii="Arial" w:hAnsi="Arial" w:cs="Arial"/>
              </w:rPr>
              <w:t>Supportive</w:t>
            </w:r>
          </w:p>
        </w:tc>
        <w:tc>
          <w:tcPr>
            <w:tcW w:w="0" w:type="auto"/>
            <w:tcMar/>
            <w:hideMark/>
          </w:tcPr>
          <w:p w:rsidRPr="001537E3" w:rsidR="001537E3" w:rsidP="001537E3" w:rsidRDefault="001537E3" w14:paraId="633B9B30" wp14:textId="77777777">
            <w:pPr>
              <w:spacing w:after="200" w:line="360" w:lineRule="auto"/>
              <w:jc w:val="both"/>
              <w:rPr>
                <w:rFonts w:ascii="Arial" w:hAnsi="Arial" w:cs="Arial"/>
              </w:rPr>
            </w:pPr>
            <w:r w:rsidRPr="001537E3">
              <w:rPr>
                <w:rFonts w:ascii="Arial" w:hAnsi="Arial" w:cs="Arial"/>
              </w:rPr>
              <w:t xml:space="preserve">Establish Clinical Advisory Board; involve in validation study design </w:t>
            </w:r>
            <w:r w:rsidR="00854483">
              <w:rPr>
                <w:rFonts w:ascii="Arial" w:hAnsi="Arial" w:cs="Arial"/>
              </w:rPr>
              <w:t>(Elly et al., 2024)</w:t>
            </w:r>
            <w:r w:rsidRPr="001537E3">
              <w:rPr>
                <w:rFonts w:ascii="Arial" w:hAnsi="Arial" w:cs="Arial"/>
              </w:rPr>
              <w:t>.</w:t>
            </w:r>
          </w:p>
        </w:tc>
      </w:tr>
      <w:tr xmlns:wp14="http://schemas.microsoft.com/office/word/2010/wordml" w:rsidRPr="001537E3" w:rsidR="001537E3" w:rsidTr="0E5A6DCC" w14:paraId="7E704488" wp14:textId="77777777">
        <w:tc>
          <w:tcPr>
            <w:tcW w:w="0" w:type="auto"/>
            <w:tcMar/>
            <w:hideMark/>
          </w:tcPr>
          <w:p w:rsidRPr="001537E3" w:rsidR="001537E3" w:rsidP="001537E3" w:rsidRDefault="001537E3" w14:paraId="711E997D" wp14:textId="77777777">
            <w:pPr>
              <w:spacing w:after="200" w:line="360" w:lineRule="auto"/>
              <w:jc w:val="both"/>
              <w:rPr>
                <w:rFonts w:ascii="Arial" w:hAnsi="Arial" w:cs="Arial"/>
              </w:rPr>
            </w:pPr>
            <w:r w:rsidRPr="001537E3">
              <w:rPr>
                <w:rFonts w:ascii="Arial" w:hAnsi="Arial" w:cs="Arial"/>
              </w:rPr>
              <w:t>End-Users (Beta Testers)</w:t>
            </w:r>
          </w:p>
        </w:tc>
        <w:tc>
          <w:tcPr>
            <w:tcW w:w="0" w:type="auto"/>
            <w:tcMar/>
            <w:hideMark/>
          </w:tcPr>
          <w:p w:rsidRPr="001537E3" w:rsidR="001537E3" w:rsidP="001537E3" w:rsidRDefault="001537E3" w14:paraId="21E3A77E" wp14:textId="77777777">
            <w:pPr>
              <w:spacing w:after="200" w:line="360" w:lineRule="auto"/>
              <w:jc w:val="both"/>
              <w:rPr>
                <w:rFonts w:ascii="Arial" w:hAnsi="Arial" w:cs="Arial"/>
              </w:rPr>
            </w:pPr>
            <w:r w:rsidRPr="001537E3">
              <w:rPr>
                <w:rFonts w:ascii="Arial" w:hAnsi="Arial" w:cs="Arial"/>
              </w:rPr>
              <w:t>Neutral</w:t>
            </w:r>
          </w:p>
        </w:tc>
        <w:tc>
          <w:tcPr>
            <w:tcW w:w="0" w:type="auto"/>
            <w:tcMar/>
            <w:hideMark/>
          </w:tcPr>
          <w:p w:rsidRPr="001537E3" w:rsidR="001537E3" w:rsidP="001537E3" w:rsidRDefault="001537E3" w14:paraId="39139C2C" wp14:textId="77777777">
            <w:pPr>
              <w:spacing w:after="200" w:line="360" w:lineRule="auto"/>
              <w:jc w:val="both"/>
              <w:rPr>
                <w:rFonts w:ascii="Arial" w:hAnsi="Arial" w:cs="Arial"/>
              </w:rPr>
            </w:pPr>
            <w:r w:rsidRPr="001537E3">
              <w:rPr>
                <w:rFonts w:ascii="Arial" w:hAnsi="Arial" w:cs="Arial"/>
              </w:rPr>
              <w:t>Leading</w:t>
            </w:r>
          </w:p>
        </w:tc>
        <w:tc>
          <w:tcPr>
            <w:tcW w:w="0" w:type="auto"/>
            <w:tcMar/>
            <w:hideMark/>
          </w:tcPr>
          <w:p w:rsidRPr="001537E3" w:rsidR="001537E3" w:rsidP="001537E3" w:rsidRDefault="001537E3" w14:paraId="20CE1EA9" wp14:textId="5DFC9AA1">
            <w:pPr>
              <w:spacing w:after="200" w:line="360" w:lineRule="auto"/>
              <w:jc w:val="both"/>
              <w:rPr>
                <w:rFonts w:ascii="Arial" w:hAnsi="Arial" w:cs="Arial"/>
              </w:rPr>
            </w:pPr>
            <w:r w:rsidRPr="0E5A6DCC" w:rsidR="001537E3">
              <w:rPr>
                <w:rFonts w:ascii="Arial" w:hAnsi="Arial" w:cs="Arial"/>
              </w:rPr>
              <w:t xml:space="preserve">Create </w:t>
            </w:r>
            <w:r w:rsidRPr="0E5A6DCC" w:rsidR="15313ECC">
              <w:rPr>
                <w:rFonts w:ascii="Arial" w:hAnsi="Arial" w:cs="Arial"/>
              </w:rPr>
              <w:t>a structured</w:t>
            </w:r>
            <w:r w:rsidRPr="0E5A6DCC" w:rsidR="001537E3">
              <w:rPr>
                <w:rFonts w:ascii="Arial" w:hAnsi="Arial" w:cs="Arial"/>
              </w:rPr>
              <w:t xml:space="preserve"> beta </w:t>
            </w:r>
            <w:r w:rsidRPr="0E5A6DCC" w:rsidR="29A187B5">
              <w:rPr>
                <w:rFonts w:ascii="Arial" w:hAnsi="Arial" w:cs="Arial"/>
              </w:rPr>
              <w:t>programmed</w:t>
            </w:r>
            <w:r w:rsidRPr="0E5A6DCC" w:rsidR="001537E3">
              <w:rPr>
                <w:rFonts w:ascii="Arial" w:hAnsi="Arial" w:cs="Arial"/>
              </w:rPr>
              <w:t xml:space="preserve"> with surveys and focus groups.</w:t>
            </w:r>
          </w:p>
        </w:tc>
      </w:tr>
    </w:tbl>
    <w:p xmlns:wp14="http://schemas.microsoft.com/office/word/2010/wordml" w:rsidR="00074EB6" w:rsidP="001537E3" w:rsidRDefault="00074EB6" w14:paraId="08CE6F91" wp14:textId="77777777">
      <w:pPr>
        <w:spacing w:line="360" w:lineRule="auto"/>
        <w:jc w:val="both"/>
        <w:rPr>
          <w:rFonts w:ascii="Arial" w:hAnsi="Arial" w:cs="Arial"/>
        </w:rPr>
      </w:pPr>
    </w:p>
    <w:p xmlns:wp14="http://schemas.microsoft.com/office/word/2010/wordml" w:rsidR="00076B49" w:rsidRDefault="00076B49" w14:paraId="61CDCEAD" wp14:textId="77777777">
      <w:pPr>
        <w:rPr>
          <w:rFonts w:ascii="Arial" w:hAnsi="Arial" w:cs="Arial"/>
          <w:b/>
          <w:bCs/>
        </w:rPr>
      </w:pPr>
    </w:p>
    <w:p xmlns:wp14="http://schemas.microsoft.com/office/word/2010/wordml" w:rsidR="00284ECD" w:rsidRDefault="00284ECD" w14:paraId="6BB9E253" wp14:textId="77777777">
      <w:pPr>
        <w:rPr>
          <w:rFonts w:ascii="Arial" w:hAnsi="Arial" w:cs="Arial"/>
          <w:b/>
          <w:bCs/>
        </w:rPr>
      </w:pPr>
      <w:r>
        <w:rPr>
          <w:rFonts w:ascii="Arial" w:hAnsi="Arial" w:cs="Arial"/>
          <w:b/>
          <w:bCs/>
        </w:rPr>
        <w:br w:type="page"/>
      </w:r>
    </w:p>
    <w:p xmlns:wp14="http://schemas.microsoft.com/office/word/2010/wordml" w:rsidRPr="001537E3" w:rsidR="001537E3" w:rsidP="0037780E" w:rsidRDefault="0037780E" w14:paraId="0C8B24B4" wp14:textId="77777777">
      <w:pPr>
        <w:pStyle w:val="Heading2"/>
      </w:pPr>
      <w:bookmarkStart w:name="_Toc214072224" w:id="20"/>
      <w:r>
        <w:t>5.3</w:t>
      </w:r>
      <w:r w:rsidRPr="001537E3" w:rsidR="001537E3">
        <w:t xml:space="preserve"> Project Communication Plan</w:t>
      </w:r>
      <w:bookmarkEnd w:id="20"/>
    </w:p>
    <w:p xmlns:wp14="http://schemas.microsoft.com/office/word/2010/wordml" w:rsidRPr="001537E3" w:rsidR="001537E3" w:rsidP="001537E3" w:rsidRDefault="00CF3D80" w14:paraId="2F646CF5" wp14:textId="3BF9C125">
      <w:pPr>
        <w:spacing w:line="360" w:lineRule="auto"/>
        <w:jc w:val="both"/>
        <w:rPr>
          <w:rFonts w:ascii="Arial" w:hAnsi="Arial" w:cs="Arial"/>
        </w:rPr>
      </w:pPr>
      <w:r w:rsidRPr="00014FB2">
        <w:rPr>
          <w:rFonts w:ascii="Arial" w:hAnsi="Arial" w:cs="Arial"/>
          <w:noProof/>
        </w:rPr>
        <w:drawing>
          <wp:anchor xmlns:wp14="http://schemas.microsoft.com/office/word/2010/wordprocessingDrawing" distT="0" distB="0" distL="114300" distR="114300" simplePos="0" relativeHeight="251662336" behindDoc="0" locked="0" layoutInCell="1" allowOverlap="1" wp14:anchorId="583FE283" wp14:editId="25E18E76">
            <wp:simplePos x="0" y="0"/>
            <wp:positionH relativeFrom="column">
              <wp:posOffset>37465</wp:posOffset>
            </wp:positionH>
            <wp:positionV relativeFrom="paragraph">
              <wp:posOffset>1212850</wp:posOffset>
            </wp:positionV>
            <wp:extent cx="5579693" cy="4257675"/>
            <wp:effectExtent l="0" t="0" r="2540" b="0"/>
            <wp:wrapNone/>
            <wp:docPr id="7" name="Picture 7" descr="C:\Users\Administrator\Downloads\Gemini_Generated_Image_uq70nruq70nruq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Gemini_Generated_Image_uq70nruq70nruq7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79693" cy="425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4ECD" w:rsidR="00284ECD">
        <w:rPr>
          <w:rFonts w:ascii="Arial" w:hAnsi="Arial" w:cs="Arial"/>
        </w:rPr>
        <w:t xml:space="preserve">This operational tool </w:t>
      </w:r>
      <w:r w:rsidRPr="00284ECD" w:rsidR="00284ECD">
        <w:rPr>
          <w:rFonts w:ascii="Arial" w:hAnsi="Arial" w:cs="Arial"/>
        </w:rPr>
        <w:t xml:space="preserve">indicates</w:t>
      </w:r>
      <w:r w:rsidRPr="00284ECD" w:rsidR="00284ECD">
        <w:rPr>
          <w:rFonts w:ascii="Arial" w:hAnsi="Arial" w:cs="Arial"/>
        </w:rPr>
        <w:t xml:space="preserve"> </w:t>
      </w:r>
      <w:r w:rsidRPr="00284ECD" w:rsidR="4951C831">
        <w:rPr>
          <w:rFonts w:ascii="Arial" w:hAnsi="Arial" w:cs="Arial"/>
        </w:rPr>
        <w:t xml:space="preserve">what</w:t>
      </w:r>
      <w:r w:rsidRPr="00284ECD" w:rsidR="00284ECD">
        <w:rPr>
          <w:rFonts w:ascii="Arial" w:hAnsi="Arial" w:cs="Arial"/>
        </w:rPr>
        <w:t xml:space="preserve">, when, </w:t>
      </w:r>
      <w:r w:rsidRPr="00284ECD" w:rsidR="130F6161">
        <w:rPr>
          <w:rFonts w:ascii="Arial" w:hAnsi="Arial" w:cs="Arial"/>
        </w:rPr>
        <w:t xml:space="preserve">how,</w:t>
      </w:r>
      <w:r w:rsidRPr="00284ECD" w:rsidR="00284ECD">
        <w:rPr>
          <w:rFonts w:ascii="Arial" w:hAnsi="Arial" w:cs="Arial"/>
        </w:rPr>
        <w:t xml:space="preserve"> and who of project communications, which guarantees consistency and avoidance of misinformation (Pritchard, 2015). In the case of the </w:t>
      </w:r>
      <w:r w:rsidRPr="00284ECD" w:rsidR="00284ECD">
        <w:rPr>
          <w:rFonts w:ascii="Arial" w:hAnsi="Arial" w:cs="Arial"/>
        </w:rPr>
        <w:t>VitaTrack</w:t>
      </w:r>
      <w:r w:rsidRPr="00284ECD" w:rsidR="00284ECD">
        <w:rPr>
          <w:rFonts w:ascii="Arial" w:hAnsi="Arial" w:cs="Arial"/>
        </w:rPr>
        <w:t xml:space="preserve"> launch, the plan ensures that the senior management can get access to high-level and concise data to make decisions whilst the rest of the company is aware and is motivated, which is very essential in ensuring internal buy-in (Solera, 2009).</w:t>
      </w:r>
      <w:r w:rsidRPr="001537E3" w:rsidR="001537E3">
        <w:rPr>
          <w:rFonts w:ascii="Arial" w:hAnsi="Arial" w:cs="Arial"/>
        </w:rPr>
        <w:t>).</w:t>
      </w:r>
    </w:p>
    <w:p xmlns:wp14="http://schemas.microsoft.com/office/word/2010/wordml" w:rsidR="00F576D1" w:rsidP="001537E3" w:rsidRDefault="00932063" w14:paraId="29D6B04F" wp14:textId="77777777">
      <w:pPr>
        <w:spacing w:line="360" w:lineRule="auto"/>
        <w:jc w:val="both"/>
        <w:rPr>
          <w:rFonts w:ascii="Arial" w:hAnsi="Arial" w:cs="Arial"/>
        </w:rPr>
      </w:pPr>
      <w:r w:rsidRPr="00932063">
        <w:rPr>
          <w:rFonts w:ascii="Arial" w:hAnsi="Arial" w:cs="Arial"/>
        </w:rPr>
        <w:t xml:space="preserve"> </w:t>
      </w:r>
    </w:p>
    <w:p xmlns:wp14="http://schemas.microsoft.com/office/word/2010/wordml" w:rsidR="00076B49" w:rsidP="00076B49" w:rsidRDefault="00076B49" w14:paraId="23DE523C" wp14:textId="77777777">
      <w:pPr>
        <w:rPr>
          <w:rFonts w:ascii="Arial" w:hAnsi="Arial" w:cs="Arial"/>
        </w:rPr>
      </w:pPr>
    </w:p>
    <w:p xmlns:wp14="http://schemas.microsoft.com/office/word/2010/wordml" w:rsidR="00076B49" w:rsidP="00076B49" w:rsidRDefault="00076B49" w14:paraId="52E56223" wp14:textId="77777777">
      <w:pPr>
        <w:rPr>
          <w:rFonts w:ascii="Arial" w:hAnsi="Arial" w:cs="Arial"/>
        </w:rPr>
      </w:pPr>
    </w:p>
    <w:p xmlns:wp14="http://schemas.microsoft.com/office/word/2010/wordml" w:rsidR="00076B49" w:rsidP="00076B49" w:rsidRDefault="00076B49" w14:paraId="07547A01" wp14:textId="77777777">
      <w:pPr>
        <w:rPr>
          <w:rFonts w:ascii="Arial" w:hAnsi="Arial" w:cs="Arial"/>
        </w:rPr>
      </w:pPr>
    </w:p>
    <w:p xmlns:wp14="http://schemas.microsoft.com/office/word/2010/wordml" w:rsidR="00076B49" w:rsidP="00076B49" w:rsidRDefault="00076B49" w14:paraId="5043CB0F" wp14:textId="77777777">
      <w:pPr>
        <w:rPr>
          <w:rFonts w:ascii="Arial" w:hAnsi="Arial" w:cs="Arial"/>
        </w:rPr>
      </w:pPr>
    </w:p>
    <w:p xmlns:wp14="http://schemas.microsoft.com/office/word/2010/wordml" w:rsidR="00076B49" w:rsidP="00076B49" w:rsidRDefault="00076B49" w14:paraId="07459315" wp14:textId="77777777">
      <w:pPr>
        <w:rPr>
          <w:rFonts w:ascii="Arial" w:hAnsi="Arial" w:cs="Arial"/>
        </w:rPr>
      </w:pPr>
    </w:p>
    <w:p xmlns:wp14="http://schemas.microsoft.com/office/word/2010/wordml" w:rsidR="00076B49" w:rsidP="00076B49" w:rsidRDefault="00076B49" w14:paraId="6537F28F" wp14:textId="77777777">
      <w:pPr>
        <w:rPr>
          <w:rFonts w:ascii="Arial" w:hAnsi="Arial" w:cs="Arial"/>
        </w:rPr>
      </w:pPr>
    </w:p>
    <w:p xmlns:wp14="http://schemas.microsoft.com/office/word/2010/wordml" w:rsidR="00076B49" w:rsidP="00076B49" w:rsidRDefault="00076B49" w14:paraId="6DFB9E20" wp14:textId="77777777">
      <w:pPr>
        <w:rPr>
          <w:rFonts w:ascii="Arial" w:hAnsi="Arial" w:cs="Arial"/>
        </w:rPr>
      </w:pPr>
    </w:p>
    <w:p xmlns:wp14="http://schemas.microsoft.com/office/word/2010/wordml" w:rsidR="00076B49" w:rsidP="00076B49" w:rsidRDefault="00076B49" w14:paraId="70DF9E56" wp14:textId="77777777">
      <w:pPr>
        <w:rPr>
          <w:rFonts w:ascii="Arial" w:hAnsi="Arial" w:cs="Arial"/>
        </w:rPr>
      </w:pPr>
    </w:p>
    <w:p xmlns:wp14="http://schemas.microsoft.com/office/word/2010/wordml" w:rsidR="00076B49" w:rsidP="00076B49" w:rsidRDefault="00076B49" w14:paraId="44E871BC" wp14:textId="77777777">
      <w:pPr>
        <w:rPr>
          <w:rFonts w:ascii="Arial" w:hAnsi="Arial" w:cs="Arial"/>
        </w:rPr>
      </w:pPr>
    </w:p>
    <w:p xmlns:wp14="http://schemas.microsoft.com/office/word/2010/wordml" w:rsidR="00076B49" w:rsidP="00076B49" w:rsidRDefault="00076B49" w14:paraId="144A5D23" wp14:textId="77777777">
      <w:pPr>
        <w:rPr>
          <w:rFonts w:ascii="Arial" w:hAnsi="Arial" w:cs="Arial"/>
        </w:rPr>
      </w:pPr>
    </w:p>
    <w:p xmlns:wp14="http://schemas.microsoft.com/office/word/2010/wordml" w:rsidR="00014FB2" w:rsidP="00076B49" w:rsidRDefault="00014FB2" w14:paraId="738610EB" wp14:textId="77777777">
      <w:pPr>
        <w:spacing w:line="360" w:lineRule="auto"/>
        <w:jc w:val="both"/>
        <w:rPr>
          <w:rFonts w:ascii="Arial" w:hAnsi="Arial" w:cs="Arial"/>
          <w:b/>
          <w:bCs/>
        </w:rPr>
      </w:pPr>
    </w:p>
    <w:p xmlns:wp14="http://schemas.microsoft.com/office/word/2010/wordml" w:rsidR="00014FB2" w:rsidP="00076B49" w:rsidRDefault="00014FB2" w14:paraId="637805D2" wp14:textId="77777777">
      <w:pPr>
        <w:spacing w:line="360" w:lineRule="auto"/>
        <w:jc w:val="both"/>
        <w:rPr>
          <w:rFonts w:ascii="Arial" w:hAnsi="Arial" w:cs="Arial"/>
          <w:b/>
          <w:bCs/>
        </w:rPr>
      </w:pPr>
    </w:p>
    <w:p xmlns:wp14="http://schemas.microsoft.com/office/word/2010/wordml" w:rsidR="0037780E" w:rsidP="00076B49" w:rsidRDefault="0037780E" w14:paraId="463F29E8" wp14:textId="77777777">
      <w:pPr>
        <w:spacing w:line="360" w:lineRule="auto"/>
        <w:jc w:val="both"/>
        <w:rPr>
          <w:rFonts w:ascii="Arial" w:hAnsi="Arial" w:cs="Arial"/>
          <w:b/>
          <w:bCs/>
        </w:rPr>
      </w:pPr>
    </w:p>
    <w:p xmlns:wp14="http://schemas.microsoft.com/office/word/2010/wordml" w:rsidRPr="001537E3" w:rsidR="001537E3" w:rsidP="0037780E" w:rsidRDefault="0037780E" w14:paraId="48773A1D" wp14:textId="77777777">
      <w:pPr>
        <w:pStyle w:val="Heading2"/>
      </w:pPr>
      <w:bookmarkStart w:name="_Toc214072225" w:id="21"/>
      <w:r>
        <w:t>5.4</w:t>
      </w:r>
      <w:r w:rsidRPr="001537E3" w:rsidR="001537E3">
        <w:t xml:space="preserve"> RACI Matrix</w:t>
      </w:r>
      <w:bookmarkEnd w:id="21"/>
    </w:p>
    <w:p xmlns:wp14="http://schemas.microsoft.com/office/word/2010/wordml" w:rsidR="001537E3" w:rsidP="00076B49" w:rsidRDefault="00BF7A0A" w14:paraId="3151E57E" wp14:textId="2F4E4EE1">
      <w:pPr>
        <w:spacing w:line="360" w:lineRule="auto"/>
        <w:jc w:val="both"/>
        <w:rPr>
          <w:rFonts w:ascii="Arial" w:hAnsi="Arial" w:cs="Arial"/>
        </w:rPr>
      </w:pPr>
      <w:r w:rsidRPr="0E5A6DCC" w:rsidR="17943370">
        <w:rPr>
          <w:rFonts w:ascii="Arial" w:hAnsi="Arial" w:cs="Arial"/>
        </w:rPr>
        <w:t>The RACI</w:t>
      </w:r>
      <w:r w:rsidRPr="0E5A6DCC" w:rsidR="00BF7A0A">
        <w:rPr>
          <w:rFonts w:ascii="Arial" w:hAnsi="Arial" w:cs="Arial"/>
        </w:rPr>
        <w:t xml:space="preserve"> matrix explains the roles and responsibilities of each major activity in the project, hence eradicating any confusion and holding the team accountable (PMI, 2021). </w:t>
      </w:r>
      <w:r w:rsidRPr="0E5A6DCC" w:rsidR="00FE30EE">
        <w:rPr>
          <w:rFonts w:ascii="Arial" w:hAnsi="Arial" w:cs="Arial"/>
        </w:rPr>
        <w:t xml:space="preserve">The RACI matrix is essential in avoiding delays in the framework of the </w:t>
      </w:r>
      <w:r w:rsidRPr="0E5A6DCC" w:rsidR="00FE30EE">
        <w:rPr>
          <w:rFonts w:ascii="Arial" w:hAnsi="Arial" w:cs="Arial"/>
        </w:rPr>
        <w:t>VitaTrack</w:t>
      </w:r>
      <w:r w:rsidRPr="0E5A6DCC" w:rsidR="00FE30EE">
        <w:rPr>
          <w:rFonts w:ascii="Arial" w:hAnsi="Arial" w:cs="Arial"/>
        </w:rPr>
        <w:t xml:space="preserve"> project; in particular, the placement of the CE mark submission to the Regulatory Affairs with the supp</w:t>
      </w:r>
      <w:r w:rsidRPr="0E5A6DCC" w:rsidR="00FE30EE">
        <w:rPr>
          <w:rFonts w:ascii="Arial" w:hAnsi="Arial" w:cs="Arial"/>
        </w:rPr>
        <w:t>ortive consultative role of R&amp;D</w:t>
      </w:r>
      <w:r w:rsidRPr="0E5A6DCC" w:rsidR="00BF7A0A">
        <w:rPr>
          <w:rFonts w:ascii="Arial" w:hAnsi="Arial" w:cs="Arial"/>
        </w:rPr>
        <w:t xml:space="preserve">, simplifying a complicated high-stakes procedure (European Commission, 2017). This avoids </w:t>
      </w:r>
      <w:r w:rsidRPr="0E5A6DCC" w:rsidR="386FA81D">
        <w:rPr>
          <w:rFonts w:ascii="Arial" w:hAnsi="Arial" w:cs="Arial"/>
        </w:rPr>
        <w:t>overlapping</w:t>
      </w:r>
      <w:r w:rsidRPr="0E5A6DCC" w:rsidR="00BF7A0A">
        <w:rPr>
          <w:rFonts w:ascii="Arial" w:hAnsi="Arial" w:cs="Arial"/>
        </w:rPr>
        <w:t xml:space="preserve"> tasks and is a sure way of engaging the relevant stakeholders at the right moment.</w:t>
      </w:r>
    </w:p>
    <w:p xmlns:wp14="http://schemas.microsoft.com/office/word/2010/wordml" w:rsidR="001537E3" w:rsidP="001537E3" w:rsidRDefault="00CF3D80" w14:paraId="3B7B4B86" wp14:textId="77777777">
      <w:pPr>
        <w:spacing w:line="360" w:lineRule="auto"/>
        <w:jc w:val="both"/>
        <w:rPr>
          <w:rFonts w:ascii="Arial" w:hAnsi="Arial" w:cs="Arial"/>
        </w:rPr>
      </w:pPr>
      <w:r>
        <w:rPr>
          <w:rFonts w:ascii="Arial" w:hAnsi="Arial" w:cs="Arial"/>
          <w:noProof/>
        </w:rPr>
        <w:drawing>
          <wp:inline xmlns:wp14="http://schemas.microsoft.com/office/word/2010/wordprocessingDrawing" distT="0" distB="0" distL="0" distR="0" wp14:anchorId="59231AA9" wp14:editId="32C29E69">
            <wp:extent cx="5641927" cy="5153025"/>
            <wp:effectExtent l="0" t="0" r="0" b="0"/>
            <wp:docPr id="6" name="Picture 6" descr="C:\Users\Administrator\Downloads\Gemini_Generated_Image_2zde332zde332z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Gemini_Generated_Image_2zde332zde332zd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1927" cy="5153025"/>
                    </a:xfrm>
                    <a:prstGeom prst="rect">
                      <a:avLst/>
                    </a:prstGeom>
                    <a:noFill/>
                    <a:ln>
                      <a:noFill/>
                    </a:ln>
                  </pic:spPr>
                </pic:pic>
              </a:graphicData>
            </a:graphic>
          </wp:inline>
        </w:drawing>
      </w:r>
    </w:p>
    <w:p xmlns:wp14="http://schemas.microsoft.com/office/word/2010/wordml" w:rsidRPr="001537E3" w:rsidR="001537E3" w:rsidP="001537E3" w:rsidRDefault="0063049F" w14:paraId="4D4C117E" wp14:textId="77777777">
      <w:pPr>
        <w:spacing w:line="360" w:lineRule="auto"/>
        <w:jc w:val="both"/>
        <w:rPr>
          <w:rFonts w:ascii="Arial" w:hAnsi="Arial" w:cs="Arial"/>
        </w:rPr>
      </w:pPr>
      <w:r w:rsidRPr="0063049F">
        <w:rPr>
          <w:rFonts w:ascii="Arial" w:hAnsi="Arial" w:cs="Arial"/>
        </w:rPr>
        <w:t xml:space="preserve">Combining these structures, </w:t>
      </w:r>
      <w:proofErr w:type="spellStart"/>
      <w:r w:rsidR="00A3022E">
        <w:rPr>
          <w:rFonts w:ascii="Arial" w:hAnsi="Arial" w:cs="Arial"/>
        </w:rPr>
        <w:t>Medinox-VitaTrack</w:t>
      </w:r>
      <w:proofErr w:type="spellEnd"/>
      <w:r w:rsidR="00A3022E">
        <w:rPr>
          <w:rFonts w:ascii="Arial" w:hAnsi="Arial" w:cs="Arial"/>
        </w:rPr>
        <w:t xml:space="preserve"> </w:t>
      </w:r>
      <w:r w:rsidRPr="0063049F">
        <w:rPr>
          <w:rFonts w:ascii="Arial" w:hAnsi="Arial" w:cs="Arial"/>
        </w:rPr>
        <w:t xml:space="preserve">project will be able to adopt an effective multi-layered stakeholder engagement strategy that actively addresses the relations, risks, and drives the project to successful launching. </w:t>
      </w:r>
    </w:p>
    <w:p xmlns:wp14="http://schemas.microsoft.com/office/word/2010/wordml" w:rsidRPr="00CF3D80" w:rsidR="00CF3D80" w:rsidP="00CF3D80" w:rsidRDefault="0037780E" w14:paraId="23115E11" wp14:textId="77777777">
      <w:pPr>
        <w:pStyle w:val="Heading1"/>
      </w:pPr>
      <w:bookmarkStart w:name="_Toc214072226" w:id="22"/>
      <w:r>
        <w:t xml:space="preserve">6. </w:t>
      </w:r>
      <w:r w:rsidRPr="00CF3D80" w:rsidR="00CF3D80">
        <w:t xml:space="preserve">A Critical Engagement Process for the </w:t>
      </w:r>
      <w:proofErr w:type="spellStart"/>
      <w:r w:rsidR="006E7A79">
        <w:t>Medinox-VitaTrack</w:t>
      </w:r>
      <w:proofErr w:type="spellEnd"/>
      <w:r w:rsidR="006E7A79">
        <w:t xml:space="preserve"> </w:t>
      </w:r>
      <w:r w:rsidRPr="00CF3D80" w:rsidR="00CF3D80">
        <w:t>Project: Applying the 4C’s Model</w:t>
      </w:r>
      <w:bookmarkEnd w:id="22"/>
    </w:p>
    <w:p xmlns:wp14="http://schemas.microsoft.com/office/word/2010/wordml" w:rsidRPr="00CF3D80" w:rsidR="00CF3D80" w:rsidP="00CF3D80" w:rsidRDefault="00CF3D80" w14:paraId="2672B3E2" wp14:textId="77777777">
      <w:pPr>
        <w:spacing w:line="360" w:lineRule="auto"/>
        <w:jc w:val="both"/>
        <w:rPr>
          <w:rFonts w:ascii="Arial" w:hAnsi="Arial" w:cs="Arial"/>
        </w:rPr>
      </w:pPr>
      <w:r w:rsidRPr="00CF3D80">
        <w:rPr>
          <w:rFonts w:ascii="Arial" w:hAnsi="Arial" w:cs="Arial"/>
        </w:rPr>
        <w:t xml:space="preserve">As the Project Manager for the </w:t>
      </w:r>
      <w:proofErr w:type="spellStart"/>
      <w:r w:rsidR="006E7A79">
        <w:rPr>
          <w:rFonts w:ascii="Arial" w:hAnsi="Arial" w:cs="Arial"/>
        </w:rPr>
        <w:t>Medinox-VitaTrack</w:t>
      </w:r>
      <w:proofErr w:type="spellEnd"/>
      <w:r w:rsidR="006E7A79">
        <w:rPr>
          <w:rFonts w:ascii="Arial" w:hAnsi="Arial" w:cs="Arial"/>
        </w:rPr>
        <w:t xml:space="preserve"> </w:t>
      </w:r>
      <w:r w:rsidRPr="00CF3D80">
        <w:rPr>
          <w:rFonts w:ascii="Arial" w:hAnsi="Arial" w:cs="Arial"/>
        </w:rPr>
        <w:t>launch</w:t>
      </w:r>
      <w:r w:rsidRPr="00BA409C" w:rsidR="00BA409C">
        <w:rPr>
          <w:rFonts w:ascii="Arial" w:hAnsi="Arial" w:cs="Arial"/>
        </w:rPr>
        <w:t xml:space="preserve">, my own involvement process is a proactive and active strategy that goes beyond mere communication to create a highly integrated stakeholder environment. This </w:t>
      </w:r>
      <w:proofErr w:type="spellStart"/>
      <w:r w:rsidRPr="00BA409C" w:rsidR="00BA409C">
        <w:rPr>
          <w:rFonts w:ascii="Arial" w:hAnsi="Arial" w:cs="Arial"/>
        </w:rPr>
        <w:t>endeavour</w:t>
      </w:r>
      <w:proofErr w:type="spellEnd"/>
      <w:r w:rsidRPr="00BA409C" w:rsidR="00BA409C">
        <w:rPr>
          <w:rFonts w:ascii="Arial" w:hAnsi="Arial" w:cs="Arial"/>
        </w:rPr>
        <w:t xml:space="preserve"> will be effectively facilitated by the 4C model, which entails Communication, Coordination, Cooperation, and Collaboration, and intensifying this effort by increasing the intensity and integration of the resulting structure to </w:t>
      </w:r>
      <w:r w:rsidRPr="00BA409C" w:rsidR="00BA409C">
        <w:rPr>
          <w:rFonts w:ascii="Arial" w:hAnsi="Arial" w:cs="Arial"/>
        </w:rPr>
        <w:t xml:space="preserve">create a framework that can withstand the strain of the six-month </w:t>
      </w:r>
      <w:proofErr w:type="spellStart"/>
      <w:r w:rsidR="00A3022E">
        <w:rPr>
          <w:rFonts w:ascii="Arial" w:hAnsi="Arial" w:cs="Arial"/>
        </w:rPr>
        <w:t>Medinox-VitaTrack</w:t>
      </w:r>
      <w:proofErr w:type="spellEnd"/>
      <w:r w:rsidR="00A3022E">
        <w:rPr>
          <w:rFonts w:ascii="Arial" w:hAnsi="Arial" w:cs="Arial"/>
        </w:rPr>
        <w:t xml:space="preserve"> </w:t>
      </w:r>
      <w:r w:rsidRPr="00BA409C" w:rsidR="00BA409C">
        <w:rPr>
          <w:rFonts w:ascii="Arial" w:hAnsi="Arial" w:cs="Arial"/>
        </w:rPr>
        <w:t xml:space="preserve">timeline (Pritchard, 2015). </w:t>
      </w:r>
    </w:p>
    <w:p xmlns:wp14="http://schemas.microsoft.com/office/word/2010/wordml" w:rsidRPr="00CF3D80" w:rsidR="00CF3D80" w:rsidP="0037780E" w:rsidRDefault="0037780E" w14:paraId="0BE70D9E" wp14:textId="77777777">
      <w:pPr>
        <w:pStyle w:val="Heading2"/>
      </w:pPr>
      <w:bookmarkStart w:name="_Toc214072227" w:id="23"/>
      <w:r>
        <w:t>6.1</w:t>
      </w:r>
      <w:r w:rsidRPr="00F7452A" w:rsidR="00CF3D80">
        <w:t xml:space="preserve"> Communication: The Foundational Bedrock</w:t>
      </w:r>
      <w:bookmarkEnd w:id="23"/>
    </w:p>
    <w:p xmlns:wp14="http://schemas.microsoft.com/office/word/2010/wordml" w:rsidRPr="00CF3D80" w:rsidR="00CF3D80" w:rsidP="00CF3D80" w:rsidRDefault="00CF3D80" w14:paraId="6A141286" wp14:textId="1C5C8567">
      <w:pPr>
        <w:spacing w:line="360" w:lineRule="auto"/>
        <w:jc w:val="both"/>
        <w:rPr>
          <w:rFonts w:ascii="Arial" w:hAnsi="Arial" w:cs="Arial"/>
        </w:rPr>
      </w:pPr>
      <w:r w:rsidRPr="0E5A6DCC" w:rsidR="00CF3D80">
        <w:rPr>
          <w:rFonts w:ascii="Arial" w:hAnsi="Arial" w:cs="Arial"/>
        </w:rPr>
        <w:t xml:space="preserve">The first and most fundamental "C" </w:t>
      </w:r>
      <w:r w:rsidRPr="0E5A6DCC" w:rsidR="00021E6C">
        <w:rPr>
          <w:rFonts w:ascii="Arial" w:hAnsi="Arial" w:cs="Arial"/>
        </w:rPr>
        <w:t xml:space="preserve">is the creation of proactive, </w:t>
      </w:r>
      <w:r w:rsidRPr="0E5A6DCC" w:rsidR="5564414F">
        <w:rPr>
          <w:rFonts w:ascii="Arial" w:hAnsi="Arial" w:cs="Arial"/>
        </w:rPr>
        <w:t>transparent,</w:t>
      </w:r>
      <w:r w:rsidRPr="0E5A6DCC" w:rsidR="00021E6C">
        <w:rPr>
          <w:rFonts w:ascii="Arial" w:hAnsi="Arial" w:cs="Arial"/>
        </w:rPr>
        <w:t xml:space="preserve"> and multi</w:t>
      </w:r>
      <w:r w:rsidRPr="0E5A6DCC" w:rsidR="00D62433">
        <w:rPr>
          <w:rFonts w:ascii="Arial" w:hAnsi="Arial" w:cs="Arial"/>
        </w:rPr>
        <w:t>-</w:t>
      </w:r>
      <w:r w:rsidRPr="0E5A6DCC" w:rsidR="00267065">
        <w:rPr>
          <w:rFonts w:ascii="Arial" w:hAnsi="Arial" w:cs="Arial"/>
        </w:rPr>
        <w:t>ed</w:t>
      </w:r>
      <w:r w:rsidRPr="0E5A6DCC" w:rsidR="00021E6C">
        <w:rPr>
          <w:rFonts w:ascii="Arial" w:hAnsi="Arial" w:cs="Arial"/>
        </w:rPr>
        <w:t>channel</w:t>
      </w:r>
      <w:r w:rsidRPr="0E5A6DCC" w:rsidR="00021E6C">
        <w:rPr>
          <w:rFonts w:ascii="Arial" w:hAnsi="Arial" w:cs="Arial"/>
        </w:rPr>
        <w:t xml:space="preserve"> communication. In the </w:t>
      </w:r>
      <w:r w:rsidRPr="0E5A6DCC" w:rsidR="00A3022E">
        <w:rPr>
          <w:rFonts w:ascii="Arial" w:hAnsi="Arial" w:cs="Arial"/>
        </w:rPr>
        <w:t>Medinox-VitaTrack</w:t>
      </w:r>
      <w:r w:rsidRPr="0E5A6DCC" w:rsidR="00A3022E">
        <w:rPr>
          <w:rFonts w:ascii="Arial" w:hAnsi="Arial" w:cs="Arial"/>
        </w:rPr>
        <w:t xml:space="preserve"> </w:t>
      </w:r>
      <w:r w:rsidRPr="0E5A6DCC" w:rsidR="00021E6C">
        <w:rPr>
          <w:rFonts w:ascii="Arial" w:hAnsi="Arial" w:cs="Arial"/>
        </w:rPr>
        <w:t>project, this is done through the creation and strict execution of a Stakeholder Communication Plan based on the Power/Interest Matrix (</w:t>
      </w:r>
      <w:r w:rsidRPr="0E5A6DCC" w:rsidR="00021E6C">
        <w:rPr>
          <w:rFonts w:ascii="Arial" w:hAnsi="Arial" w:cs="Arial"/>
        </w:rPr>
        <w:t>Mendelow</w:t>
      </w:r>
      <w:r w:rsidRPr="0E5A6DCC" w:rsidR="00021E6C">
        <w:rPr>
          <w:rFonts w:ascii="Arial" w:hAnsi="Arial" w:cs="Arial"/>
        </w:rPr>
        <w:t xml:space="preserve">, 1991). The aim is to make sure that the right message is delivered to the right stakeholder when it is time and through the most </w:t>
      </w:r>
      <w:r w:rsidRPr="0E5A6DCC" w:rsidR="00021E6C">
        <w:rPr>
          <w:rFonts w:ascii="Arial" w:hAnsi="Arial" w:cs="Arial"/>
        </w:rPr>
        <w:t>appropriate channel</w:t>
      </w:r>
      <w:r w:rsidRPr="0E5A6DCC" w:rsidR="00021E6C">
        <w:rPr>
          <w:rFonts w:ascii="Arial" w:hAnsi="Arial" w:cs="Arial"/>
        </w:rPr>
        <w:t xml:space="preserve">. To the senior management of </w:t>
      </w:r>
      <w:r w:rsidRPr="0E5A6DCC" w:rsidR="00A3022E">
        <w:rPr>
          <w:rFonts w:ascii="Arial" w:hAnsi="Arial" w:cs="Arial"/>
        </w:rPr>
        <w:t>Medinox-VitaTrack</w:t>
      </w:r>
      <w:r w:rsidRPr="0E5A6DCC" w:rsidR="00A3022E">
        <w:rPr>
          <w:rFonts w:ascii="Arial" w:hAnsi="Arial" w:cs="Arial"/>
        </w:rPr>
        <w:t xml:space="preserve"> </w:t>
      </w:r>
      <w:r w:rsidRPr="0E5A6DCC" w:rsidR="00021E6C">
        <w:rPr>
          <w:rFonts w:ascii="Arial" w:hAnsi="Arial" w:cs="Arial"/>
        </w:rPr>
        <w:t xml:space="preserve">this is translated into monthly steering committee meetings, concise and </w:t>
      </w:r>
      <w:r w:rsidRPr="0E5A6DCC" w:rsidR="1DFBAC28">
        <w:rPr>
          <w:rFonts w:ascii="Arial" w:hAnsi="Arial" w:cs="Arial"/>
        </w:rPr>
        <w:t>high-level</w:t>
      </w:r>
      <w:r w:rsidRPr="0E5A6DCC" w:rsidR="00021E6C">
        <w:rPr>
          <w:rFonts w:ascii="Arial" w:hAnsi="Arial" w:cs="Arial"/>
        </w:rPr>
        <w:t xml:space="preserve"> dashboard reports, which are geared towards milestones, </w:t>
      </w:r>
      <w:r w:rsidRPr="0E5A6DCC" w:rsidR="00021E6C">
        <w:rPr>
          <w:rFonts w:ascii="Arial" w:hAnsi="Arial" w:cs="Arial"/>
        </w:rPr>
        <w:t>risks</w:t>
      </w:r>
      <w:r w:rsidRPr="0E5A6DCC" w:rsidR="00021E6C">
        <w:rPr>
          <w:rFonts w:ascii="Arial" w:hAnsi="Arial" w:cs="Arial"/>
        </w:rPr>
        <w:t xml:space="preserve"> and resource requirements. In comparison, communication to end-users is based on interactive media like beta-tester forums and social-media </w:t>
      </w:r>
      <w:r w:rsidRPr="0E5A6DCC" w:rsidR="3720E95D">
        <w:rPr>
          <w:rFonts w:ascii="Arial" w:hAnsi="Arial" w:cs="Arial"/>
        </w:rPr>
        <w:t>exchange and</w:t>
      </w:r>
      <w:r w:rsidRPr="0E5A6DCC" w:rsidR="00021E6C">
        <w:rPr>
          <w:rFonts w:ascii="Arial" w:hAnsi="Arial" w:cs="Arial"/>
        </w:rPr>
        <w:t xml:space="preserve"> </w:t>
      </w:r>
      <w:r w:rsidRPr="0E5A6DCC" w:rsidR="2CF1315D">
        <w:rPr>
          <w:rFonts w:ascii="Arial" w:hAnsi="Arial" w:cs="Arial"/>
        </w:rPr>
        <w:t>thus</w:t>
      </w:r>
      <w:r w:rsidRPr="0E5A6DCC" w:rsidR="00021E6C">
        <w:rPr>
          <w:rFonts w:ascii="Arial" w:hAnsi="Arial" w:cs="Arial"/>
        </w:rPr>
        <w:t xml:space="preserve"> enhances dialogue instead of monologue (</w:t>
      </w:r>
      <w:r w:rsidRPr="0E5A6DCC" w:rsidR="00021E6C">
        <w:rPr>
          <w:rFonts w:ascii="Arial" w:hAnsi="Arial" w:cs="Arial"/>
        </w:rPr>
        <w:t>Achterkamp</w:t>
      </w:r>
      <w:r w:rsidRPr="0E5A6DCC" w:rsidR="00021E6C">
        <w:rPr>
          <w:rFonts w:ascii="Arial" w:hAnsi="Arial" w:cs="Arial"/>
        </w:rPr>
        <w:t xml:space="preserve"> and </w:t>
      </w:r>
      <w:r w:rsidRPr="0E5A6DCC" w:rsidR="00021E6C">
        <w:rPr>
          <w:rFonts w:ascii="Arial" w:hAnsi="Arial" w:cs="Arial"/>
        </w:rPr>
        <w:t>Vos</w:t>
      </w:r>
      <w:r w:rsidRPr="0E5A6DCC" w:rsidR="00021E6C">
        <w:rPr>
          <w:rFonts w:ascii="Arial" w:hAnsi="Arial" w:cs="Arial"/>
        </w:rPr>
        <w:t xml:space="preserve">, 2007). The point of interest, however, is that communication is not just a broadcasting </w:t>
      </w:r>
      <w:r w:rsidRPr="0E5A6DCC" w:rsidR="2DCBA4CB">
        <w:rPr>
          <w:rFonts w:ascii="Arial" w:hAnsi="Arial" w:cs="Arial"/>
        </w:rPr>
        <w:t>tool,</w:t>
      </w:r>
      <w:r w:rsidRPr="0E5A6DCC" w:rsidR="00021E6C">
        <w:rPr>
          <w:rFonts w:ascii="Arial" w:hAnsi="Arial" w:cs="Arial"/>
        </w:rPr>
        <w:t xml:space="preserve"> but a management expectation tool, a management trust tool, and an aversion to misinformation that often brings down intricate projects such as </w:t>
      </w:r>
      <w:r w:rsidRPr="0E5A6DCC" w:rsidR="00D62433">
        <w:rPr>
          <w:rFonts w:ascii="Arial" w:hAnsi="Arial" w:cs="Arial"/>
        </w:rPr>
        <w:t>MEDINOX</w:t>
      </w:r>
      <w:r w:rsidRPr="0E5A6DCC" w:rsidR="00021E6C">
        <w:rPr>
          <w:rFonts w:ascii="Arial" w:hAnsi="Arial" w:cs="Arial"/>
        </w:rPr>
        <w:t>-</w:t>
      </w:r>
      <w:r w:rsidRPr="0E5A6DCC" w:rsidR="00021E6C">
        <w:rPr>
          <w:rFonts w:ascii="Arial" w:hAnsi="Arial" w:cs="Arial"/>
        </w:rPr>
        <w:t>VitaTrack</w:t>
      </w:r>
      <w:r w:rsidRPr="0E5A6DCC" w:rsidR="00021E6C">
        <w:rPr>
          <w:rFonts w:ascii="Arial" w:hAnsi="Arial" w:cs="Arial"/>
        </w:rPr>
        <w:t xml:space="preserve">. The inability to develop </w:t>
      </w:r>
      <w:r w:rsidRPr="0E5A6DCC" w:rsidR="73C2C644">
        <w:rPr>
          <w:rFonts w:ascii="Arial" w:hAnsi="Arial" w:cs="Arial"/>
        </w:rPr>
        <w:t>such</w:t>
      </w:r>
      <w:r w:rsidRPr="0E5A6DCC" w:rsidR="00021E6C">
        <w:rPr>
          <w:rFonts w:ascii="Arial" w:hAnsi="Arial" w:cs="Arial"/>
        </w:rPr>
        <w:t xml:space="preserve"> groundwork</w:t>
      </w:r>
      <w:r w:rsidRPr="0E5A6DCC" w:rsidR="00021E6C">
        <w:rPr>
          <w:rFonts w:ascii="Arial" w:hAnsi="Arial" w:cs="Arial"/>
        </w:rPr>
        <w:t xml:space="preserve"> would automatically trigger the downfall of </w:t>
      </w:r>
      <w:r w:rsidRPr="0E5A6DCC" w:rsidR="71DDCA0B">
        <w:rPr>
          <w:rFonts w:ascii="Arial" w:hAnsi="Arial" w:cs="Arial"/>
        </w:rPr>
        <w:t>subsequen+9+t</w:t>
      </w:r>
      <w:r w:rsidRPr="0E5A6DCC" w:rsidR="00021E6C">
        <w:rPr>
          <w:rFonts w:ascii="Arial" w:hAnsi="Arial" w:cs="Arial"/>
        </w:rPr>
        <w:t xml:space="preserve"> Cs.</w:t>
      </w:r>
    </w:p>
    <w:p xmlns:wp14="http://schemas.microsoft.com/office/word/2010/wordml" w:rsidRPr="00CF3D80" w:rsidR="00CF3D80" w:rsidP="0037780E" w:rsidRDefault="0037780E" w14:paraId="14DB7F59" wp14:textId="77777777">
      <w:pPr>
        <w:pStyle w:val="Heading2"/>
      </w:pPr>
      <w:bookmarkStart w:name="_Toc214072228" w:id="24"/>
      <w:r>
        <w:t>6.</w:t>
      </w:r>
      <w:r w:rsidRPr="00CF3D80" w:rsidR="00CF3D80">
        <w:t>2 Coordination: The Operational Engine</w:t>
      </w:r>
      <w:bookmarkEnd w:id="24"/>
    </w:p>
    <w:p xmlns:wp14="http://schemas.microsoft.com/office/word/2010/wordml" w:rsidRPr="00CF3D80" w:rsidR="00CF3D80" w:rsidP="00CF3D80" w:rsidRDefault="00076047" w14:paraId="1ED64B21" wp14:textId="77777777">
      <w:pPr>
        <w:spacing w:line="360" w:lineRule="auto"/>
        <w:jc w:val="both"/>
        <w:rPr>
          <w:rFonts w:ascii="Arial" w:hAnsi="Arial" w:cs="Arial"/>
        </w:rPr>
      </w:pPr>
      <w:r w:rsidRPr="00076047">
        <w:rPr>
          <w:rFonts w:ascii="Arial" w:hAnsi="Arial" w:cs="Arial"/>
        </w:rPr>
        <w:t>Whereas communication enforces the flow of information, coordination</w:t>
      </w:r>
      <w:r w:rsidR="00D62433">
        <w:rPr>
          <w:rFonts w:ascii="Arial" w:hAnsi="Arial" w:cs="Arial"/>
        </w:rPr>
        <w:t xml:space="preserve"> is the mechanism of synchronizi</w:t>
      </w:r>
      <w:r w:rsidRPr="00076047">
        <w:rPr>
          <w:rFonts w:ascii="Arial" w:hAnsi="Arial" w:cs="Arial"/>
        </w:rPr>
        <w:t xml:space="preserve">ng the mutually reliant activities of different stakeholders to avoid unnecessary duplication of efforts and discover gaps (Project Management Institute, 2021). In </w:t>
      </w:r>
      <w:proofErr w:type="spellStart"/>
      <w:r w:rsidR="00A3022E">
        <w:rPr>
          <w:rFonts w:ascii="Arial" w:hAnsi="Arial" w:cs="Arial"/>
        </w:rPr>
        <w:t>Medinox-VitaTrack</w:t>
      </w:r>
      <w:proofErr w:type="spellEnd"/>
      <w:r w:rsidR="00A3022E">
        <w:rPr>
          <w:rFonts w:ascii="Arial" w:hAnsi="Arial" w:cs="Arial"/>
        </w:rPr>
        <w:t xml:space="preserve"> </w:t>
      </w:r>
      <w:r w:rsidRPr="00076047">
        <w:rPr>
          <w:rFonts w:ascii="Arial" w:hAnsi="Arial" w:cs="Arial"/>
        </w:rPr>
        <w:t>project, t</w:t>
      </w:r>
      <w:r w:rsidR="00D62433">
        <w:rPr>
          <w:rFonts w:ascii="Arial" w:hAnsi="Arial" w:cs="Arial"/>
        </w:rPr>
        <w:t>he coordination is operationalize</w:t>
      </w:r>
      <w:r w:rsidRPr="00076047">
        <w:rPr>
          <w:rFonts w:ascii="Arial" w:hAnsi="Arial" w:cs="Arial"/>
        </w:rPr>
        <w:t>d by using such tools as the RACI matrix, which clearly defines who is Responsible, Accountable, Consulted, and Informed with respect to each of the key tasks. To illustrate, to finali</w:t>
      </w:r>
      <w:r w:rsidR="00D62433">
        <w:rPr>
          <w:rFonts w:ascii="Arial" w:hAnsi="Arial" w:cs="Arial"/>
        </w:rPr>
        <w:t>z</w:t>
      </w:r>
      <w:r w:rsidRPr="00076047">
        <w:rPr>
          <w:rFonts w:ascii="Arial" w:hAnsi="Arial" w:cs="Arial"/>
        </w:rPr>
        <w:t>e sensor specifications of the device, the R&amp;D team (Responsible) is to be liaised with the Regulatory Affairs team (Consulted) to ensure that design options meet MDR requirements; and the Marketing team (Consulted) to ensure that desired functions are included in the design. Scheduled and formal cross-functional synchronization meetings are used to bring about this coordination. The main issue is how to cope with the potential conflict between the demands of the R&amp;D department to carry out multiple testing of the new product and the needs of the marketing department to get the final details about the product to start their campaign. These parallel streams should be synchronized by effective coordination, which is created by shared timelines and visible management of workflow</w:t>
      </w:r>
      <w:r>
        <w:rPr>
          <w:rFonts w:ascii="Arial" w:hAnsi="Arial" w:cs="Arial"/>
        </w:rPr>
        <w:t>.</w:t>
      </w:r>
    </w:p>
    <w:p xmlns:wp14="http://schemas.microsoft.com/office/word/2010/wordml" w:rsidR="0037780E" w:rsidP="00CF3D80" w:rsidRDefault="0037780E" w14:paraId="3A0FF5F2" wp14:textId="77777777">
      <w:pPr>
        <w:spacing w:line="360" w:lineRule="auto"/>
        <w:jc w:val="both"/>
        <w:rPr>
          <w:rFonts w:ascii="Arial" w:hAnsi="Arial" w:cs="Arial"/>
          <w:b/>
          <w:bCs/>
        </w:rPr>
      </w:pPr>
    </w:p>
    <w:p xmlns:wp14="http://schemas.microsoft.com/office/word/2010/wordml" w:rsidRPr="00CF3D80" w:rsidR="00CF3D80" w:rsidP="0037780E" w:rsidRDefault="0037780E" w14:paraId="401DFABB" wp14:textId="77777777">
      <w:pPr>
        <w:pStyle w:val="Heading2"/>
      </w:pPr>
      <w:bookmarkStart w:name="_Toc214072229" w:id="25"/>
      <w:r>
        <w:t>6.3</w:t>
      </w:r>
      <w:r w:rsidRPr="00CF3D80" w:rsidR="00CF3D80">
        <w:t xml:space="preserve"> Cooperation: The Voluntary Alliance</w:t>
      </w:r>
      <w:bookmarkEnd w:id="25"/>
    </w:p>
    <w:p xmlns:wp14="http://schemas.microsoft.com/office/word/2010/wordml" w:rsidRPr="00CF3D80" w:rsidR="00CF3D80" w:rsidP="00CF3D80" w:rsidRDefault="00CF3D80" w14:paraId="28512B56" wp14:textId="299EE40D">
      <w:pPr>
        <w:spacing w:line="360" w:lineRule="auto"/>
        <w:jc w:val="both"/>
        <w:rPr>
          <w:rFonts w:ascii="Arial" w:hAnsi="Arial" w:cs="Arial"/>
        </w:rPr>
      </w:pPr>
      <w:r w:rsidRPr="0E5A6DCC" w:rsidR="00CF3D80">
        <w:rPr>
          <w:rFonts w:ascii="Arial" w:hAnsi="Arial" w:cs="Arial"/>
          <w:b w:val="1"/>
          <w:bCs w:val="1"/>
        </w:rPr>
        <w:t>Cooperation</w:t>
      </w:r>
      <w:r w:rsidRPr="0E5A6DCC" w:rsidR="008559D0">
        <w:rPr>
          <w:rFonts w:ascii="Arial" w:hAnsi="Arial" w:cs="Arial"/>
          <w:b w:val="1"/>
          <w:bCs w:val="1"/>
        </w:rPr>
        <w:t xml:space="preserve"> </w:t>
      </w:r>
      <w:r w:rsidRPr="0E5A6DCC" w:rsidR="008559D0">
        <w:rPr>
          <w:rFonts w:ascii="Arial" w:hAnsi="Arial" w:cs="Arial"/>
        </w:rPr>
        <w:t xml:space="preserve">refers to a voluntary goodwill of </w:t>
      </w:r>
      <w:r w:rsidRPr="0E5A6DCC" w:rsidR="454CA0FF">
        <w:rPr>
          <w:rFonts w:ascii="Arial" w:hAnsi="Arial" w:cs="Arial"/>
        </w:rPr>
        <w:t>stakeholders</w:t>
      </w:r>
      <w:r w:rsidRPr="0E5A6DCC" w:rsidR="008559D0">
        <w:rPr>
          <w:rFonts w:ascii="Arial" w:hAnsi="Arial" w:cs="Arial"/>
        </w:rPr>
        <w:t xml:space="preserve"> to share information and resources to help each other achieve their unique </w:t>
      </w:r>
      <w:r w:rsidRPr="0E5A6DCC" w:rsidR="008559D0">
        <w:rPr>
          <w:rFonts w:ascii="Arial" w:hAnsi="Arial" w:cs="Arial"/>
        </w:rPr>
        <w:t>objectives</w:t>
      </w:r>
      <w:r w:rsidRPr="0E5A6DCC" w:rsidR="008559D0">
        <w:rPr>
          <w:rFonts w:ascii="Arial" w:hAnsi="Arial" w:cs="Arial"/>
        </w:rPr>
        <w:t xml:space="preserve"> (HIQA, 2017). This is more than the required coordination to a more synergetic relationship. Within the framework of the </w:t>
      </w:r>
      <w:r w:rsidRPr="0E5A6DCC" w:rsidR="00A3022E">
        <w:rPr>
          <w:rFonts w:ascii="Arial" w:hAnsi="Arial" w:cs="Arial"/>
        </w:rPr>
        <w:t>Medinox-VitaTrack</w:t>
      </w:r>
      <w:r w:rsidRPr="0E5A6DCC" w:rsidR="00A3022E">
        <w:rPr>
          <w:rFonts w:ascii="Arial" w:hAnsi="Arial" w:cs="Arial"/>
        </w:rPr>
        <w:t xml:space="preserve"> </w:t>
      </w:r>
      <w:r w:rsidRPr="0E5A6DCC" w:rsidR="008559D0">
        <w:rPr>
          <w:rFonts w:ascii="Arial" w:hAnsi="Arial" w:cs="Arial"/>
        </w:rPr>
        <w:t xml:space="preserve">project, it is important to promote collaboration, both within and outside the company. One of the examples is to motivate the Clinical Advisory Board (HCPs) to contribute their clinical insights voluntarily to the R&amp;D team as well as to the Marketing </w:t>
      </w:r>
      <w:r w:rsidRPr="0E5A6DCC" w:rsidR="40C0F9D4">
        <w:rPr>
          <w:rFonts w:ascii="Arial" w:hAnsi="Arial" w:cs="Arial"/>
        </w:rPr>
        <w:t>team and</w:t>
      </w:r>
      <w:r w:rsidRPr="0E5A6DCC" w:rsidR="008559D0">
        <w:rPr>
          <w:rFonts w:ascii="Arial" w:hAnsi="Arial" w:cs="Arial"/>
        </w:rPr>
        <w:t xml:space="preserve"> thus </w:t>
      </w:r>
      <w:r w:rsidRPr="0E5A6DCC" w:rsidR="008559D0">
        <w:rPr>
          <w:rFonts w:ascii="Arial" w:hAnsi="Arial" w:cs="Arial"/>
        </w:rPr>
        <w:t>assist</w:t>
      </w:r>
      <w:r w:rsidRPr="0E5A6DCC" w:rsidR="008559D0">
        <w:rPr>
          <w:rFonts w:ascii="Arial" w:hAnsi="Arial" w:cs="Arial"/>
        </w:rPr>
        <w:t xml:space="preserve"> in designing a value proposal that will appeal to both the medical professionals and the consumers. On the same note, collaboration among end-users during the beta </w:t>
      </w:r>
      <w:r w:rsidRPr="0E5A6DCC" w:rsidR="008559D0">
        <w:rPr>
          <w:rFonts w:ascii="Arial" w:hAnsi="Arial" w:cs="Arial"/>
        </w:rPr>
        <w:t>programme</w:t>
      </w:r>
      <w:r w:rsidRPr="0E5A6DCC" w:rsidR="008559D0">
        <w:rPr>
          <w:rFonts w:ascii="Arial" w:hAnsi="Arial" w:cs="Arial"/>
        </w:rPr>
        <w:t xml:space="preserve">, as they provide active reporting of bugs and improvements, is of invaluable use. The project manager will </w:t>
      </w:r>
      <w:r w:rsidRPr="0E5A6DCC" w:rsidR="008559D0">
        <w:rPr>
          <w:rFonts w:ascii="Arial" w:hAnsi="Arial" w:cs="Arial"/>
        </w:rPr>
        <w:t>be required</w:t>
      </w:r>
      <w:r w:rsidRPr="0E5A6DCC" w:rsidR="008559D0">
        <w:rPr>
          <w:rFonts w:ascii="Arial" w:hAnsi="Arial" w:cs="Arial"/>
        </w:rPr>
        <w:t xml:space="preserve"> to provide an environment where collaboration will be encouraged; this will be made possible by showing the stakeholders that their contribution to the finished product will be actively involved thus creating a sense of ownership. The conflict management </w:t>
      </w:r>
      <w:r w:rsidRPr="0E5A6DCC" w:rsidR="008559D0">
        <w:rPr>
          <w:rFonts w:ascii="Arial" w:hAnsi="Arial" w:cs="Arial"/>
        </w:rPr>
        <w:t>in</w:t>
      </w:r>
      <w:r w:rsidRPr="0E5A6DCC" w:rsidR="008559D0">
        <w:rPr>
          <w:rFonts w:ascii="Arial" w:hAnsi="Arial" w:cs="Arial"/>
        </w:rPr>
        <w:t xml:space="preserve"> this level may be in relation to managing a deficient cooperation that may be occasioned by the perceived redundancy or non-observable contribution effect</w:t>
      </w:r>
      <w:r w:rsidRPr="0E5A6DCC" w:rsidR="00CF3D80">
        <w:rPr>
          <w:rFonts w:ascii="Arial" w:hAnsi="Arial" w:cs="Arial"/>
        </w:rPr>
        <w:t>.</w:t>
      </w:r>
    </w:p>
    <w:p xmlns:wp14="http://schemas.microsoft.com/office/word/2010/wordml" w:rsidRPr="00CF3D80" w:rsidR="00CF3D80" w:rsidP="0037780E" w:rsidRDefault="0037780E" w14:paraId="5554AF74" wp14:textId="77777777">
      <w:pPr>
        <w:pStyle w:val="Heading2"/>
      </w:pPr>
      <w:bookmarkStart w:name="_Toc214072230" w:id="26"/>
      <w:r>
        <w:t xml:space="preserve">6.4 </w:t>
      </w:r>
      <w:r w:rsidRPr="00CF3D80" w:rsidR="00CF3D80">
        <w:t>Collaboration: The Strategic Partnership</w:t>
      </w:r>
      <w:bookmarkEnd w:id="26"/>
    </w:p>
    <w:p xmlns:wp14="http://schemas.microsoft.com/office/word/2010/wordml" w:rsidRPr="00CF3D80" w:rsidR="00CF3D80" w:rsidP="00CF3D80" w:rsidRDefault="00C57BF1" w14:paraId="70595C9F" wp14:textId="7738EA61">
      <w:pPr>
        <w:spacing w:line="360" w:lineRule="auto"/>
        <w:jc w:val="both"/>
        <w:rPr>
          <w:rFonts w:ascii="Arial" w:hAnsi="Arial" w:cs="Arial"/>
        </w:rPr>
      </w:pPr>
      <w:r w:rsidRPr="0E5A6DCC" w:rsidR="00C57BF1">
        <w:rPr>
          <w:rFonts w:ascii="Arial" w:hAnsi="Arial" w:cs="Arial"/>
        </w:rPr>
        <w:t xml:space="preserve">The topmost tier of the 4C model is collaboration where stakeholders collaborate towards a common goal, which may result in the development of something new that could not otherwise </w:t>
      </w:r>
      <w:r w:rsidRPr="0E5A6DCC" w:rsidR="00C57BF1">
        <w:rPr>
          <w:rFonts w:ascii="Arial" w:hAnsi="Arial" w:cs="Arial"/>
        </w:rPr>
        <w:t>be</w:t>
      </w:r>
      <w:r w:rsidRPr="0E5A6DCC" w:rsidR="00C57BF1">
        <w:rPr>
          <w:rFonts w:ascii="Arial" w:hAnsi="Arial" w:cs="Arial"/>
        </w:rPr>
        <w:t xml:space="preserve"> </w:t>
      </w:r>
      <w:r w:rsidRPr="0E5A6DCC" w:rsidR="00C57BF1">
        <w:rPr>
          <w:rFonts w:ascii="Arial" w:hAnsi="Arial" w:cs="Arial"/>
        </w:rPr>
        <w:t>accomplished</w:t>
      </w:r>
      <w:r w:rsidRPr="0E5A6DCC" w:rsidR="00C57BF1">
        <w:rPr>
          <w:rFonts w:ascii="Arial" w:hAnsi="Arial" w:cs="Arial"/>
        </w:rPr>
        <w:t xml:space="preserve"> individually </w:t>
      </w:r>
      <w:r w:rsidRPr="0E5A6DCC" w:rsidR="00854483">
        <w:rPr>
          <w:rFonts w:ascii="Arial" w:hAnsi="Arial" w:cs="Arial"/>
        </w:rPr>
        <w:t>(Elly et al., 2024)</w:t>
      </w:r>
      <w:r w:rsidRPr="0E5A6DCC" w:rsidR="00C57BF1">
        <w:rPr>
          <w:rFonts w:ascii="Arial" w:hAnsi="Arial" w:cs="Arial"/>
        </w:rPr>
        <w:t xml:space="preserve">. In the case of </w:t>
      </w:r>
      <w:r w:rsidRPr="0E5A6DCC" w:rsidR="00D62433">
        <w:rPr>
          <w:rFonts w:ascii="Arial" w:hAnsi="Arial" w:cs="Arial"/>
        </w:rPr>
        <w:t>MEDINOX</w:t>
      </w:r>
      <w:r w:rsidRPr="0E5A6DCC" w:rsidR="00C57BF1">
        <w:rPr>
          <w:rFonts w:ascii="Arial" w:hAnsi="Arial" w:cs="Arial"/>
        </w:rPr>
        <w:t>-</w:t>
      </w:r>
      <w:r w:rsidRPr="0E5A6DCC" w:rsidR="00C57BF1">
        <w:rPr>
          <w:rFonts w:ascii="Arial" w:hAnsi="Arial" w:cs="Arial"/>
        </w:rPr>
        <w:t>VitaTrack</w:t>
      </w:r>
      <w:r w:rsidRPr="0E5A6DCC" w:rsidR="00C57BF1">
        <w:rPr>
          <w:rFonts w:ascii="Arial" w:hAnsi="Arial" w:cs="Arial"/>
        </w:rPr>
        <w:t xml:space="preserve">, this theory is best applied to the connection with the Regulatory Affairs department and the Clinical Advisory Board. This goes beyond the consultation idea and involves </w:t>
      </w:r>
      <w:r w:rsidRPr="0E5A6DCC" w:rsidR="00C57BF1">
        <w:rPr>
          <w:rFonts w:ascii="Arial" w:hAnsi="Arial" w:cs="Arial"/>
        </w:rPr>
        <w:t>establishing</w:t>
      </w:r>
      <w:r w:rsidRPr="0E5A6DCC" w:rsidR="00C57BF1">
        <w:rPr>
          <w:rFonts w:ascii="Arial" w:hAnsi="Arial" w:cs="Arial"/>
        </w:rPr>
        <w:t xml:space="preserve"> a partnership-style relationship where they share the regulation plan as well as the clinical validation plan. They, therefore, are engaged in problem-solving sessions early enough, which means they are </w:t>
      </w:r>
      <w:r w:rsidRPr="0E5A6DCC" w:rsidR="24044A78">
        <w:rPr>
          <w:rFonts w:ascii="Arial" w:hAnsi="Arial" w:cs="Arial"/>
        </w:rPr>
        <w:t>considered</w:t>
      </w:r>
      <w:r w:rsidRPr="0E5A6DCC" w:rsidR="00C57BF1">
        <w:rPr>
          <w:rFonts w:ascii="Arial" w:hAnsi="Arial" w:cs="Arial"/>
        </w:rPr>
        <w:t xml:space="preserve"> extensions of the core project team. </w:t>
      </w:r>
      <w:r w:rsidRPr="0E5A6DCC" w:rsidR="006E47A7">
        <w:rPr>
          <w:rFonts w:ascii="Arial" w:hAnsi="Arial" w:cs="Arial"/>
        </w:rPr>
        <w:t>T</w:t>
      </w:r>
      <w:r w:rsidRPr="0E5A6DCC" w:rsidR="006E47A7">
        <w:rPr>
          <w:rFonts w:ascii="Arial" w:hAnsi="Arial" w:cs="Arial"/>
        </w:rPr>
        <w:t>he benefit is profound: a regulatory strategy designed concurrently with the product dramatically reduces the risk of last</w:t>
      </w:r>
      <w:r w:rsidRPr="0E5A6DCC" w:rsidR="006E47A7">
        <w:rPr>
          <w:rFonts w:ascii="Cambria Math" w:hAnsi="Cambria Math" w:cs="Cambria Math"/>
        </w:rPr>
        <w:t>‑</w:t>
      </w:r>
      <w:r w:rsidRPr="0E5A6DCC" w:rsidR="006E47A7">
        <w:rPr>
          <w:rFonts w:ascii="Arial" w:hAnsi="Arial" w:cs="Arial"/>
        </w:rPr>
        <w:t>minute, launch</w:t>
      </w:r>
      <w:r w:rsidRPr="0E5A6DCC" w:rsidR="006E47A7">
        <w:rPr>
          <w:rFonts w:ascii="Cambria Math" w:hAnsi="Cambria Math" w:cs="Cambria Math"/>
        </w:rPr>
        <w:t>‑</w:t>
      </w:r>
      <w:r w:rsidRPr="0E5A6DCC" w:rsidR="006E47A7">
        <w:rPr>
          <w:rFonts w:ascii="Arial" w:hAnsi="Arial" w:cs="Arial"/>
        </w:rPr>
        <w:t>breaking compliance issues.</w:t>
      </w:r>
      <w:r w:rsidRPr="0E5A6DCC" w:rsidR="00C57BF1">
        <w:rPr>
          <w:rFonts w:ascii="Arial" w:hAnsi="Arial" w:cs="Arial"/>
        </w:rPr>
        <w:t xml:space="preserve"> The problem is that collaboration is both resource-consuming and it presupposes </w:t>
      </w:r>
      <w:r w:rsidRPr="0E5A6DCC" w:rsidR="00C57BF1">
        <w:rPr>
          <w:rFonts w:ascii="Arial" w:hAnsi="Arial" w:cs="Arial"/>
        </w:rPr>
        <w:t>high</w:t>
      </w:r>
      <w:r w:rsidRPr="0E5A6DCC" w:rsidR="00C57BF1">
        <w:rPr>
          <w:rFonts w:ascii="Arial" w:hAnsi="Arial" w:cs="Arial"/>
        </w:rPr>
        <w:t xml:space="preserve"> level of trust and mutual vision that should be actively developed and supported by the project manager during the project lifecycle of </w:t>
      </w:r>
      <w:r w:rsidRPr="0E5A6DCC" w:rsidR="00A3022E">
        <w:rPr>
          <w:rFonts w:ascii="Arial" w:hAnsi="Arial" w:cs="Arial"/>
        </w:rPr>
        <w:t>Medinox-VitaTrack</w:t>
      </w:r>
      <w:r w:rsidRPr="0E5A6DCC" w:rsidR="00A3022E">
        <w:rPr>
          <w:rFonts w:ascii="Arial" w:hAnsi="Arial" w:cs="Arial"/>
        </w:rPr>
        <w:t xml:space="preserve"> </w:t>
      </w:r>
      <w:r w:rsidRPr="0E5A6DCC" w:rsidR="00C57BF1">
        <w:rPr>
          <w:rFonts w:ascii="Arial" w:hAnsi="Arial" w:cs="Arial"/>
        </w:rPr>
        <w:t>project.</w:t>
      </w:r>
    </w:p>
    <w:p xmlns:wp14="http://schemas.microsoft.com/office/word/2010/wordml" w:rsidRPr="00076B49" w:rsidR="00076B49" w:rsidP="00E50A0D" w:rsidRDefault="0037780E" w14:paraId="3F85D9AE" wp14:textId="77777777">
      <w:pPr>
        <w:pStyle w:val="Heading1"/>
      </w:pPr>
      <w:bookmarkStart w:name="_Toc214072231" w:id="27"/>
      <w:r>
        <w:t xml:space="preserve">7. </w:t>
      </w:r>
      <w:r w:rsidRPr="00076B49" w:rsidR="00076B49">
        <w:t xml:space="preserve">Evaluation of Stakeholder Engagement Impact and Future Recommendations for </w:t>
      </w:r>
      <w:proofErr w:type="spellStart"/>
      <w:r w:rsidR="00A3022E">
        <w:t>Medinox</w:t>
      </w:r>
      <w:bookmarkEnd w:id="27"/>
      <w:proofErr w:type="spellEnd"/>
    </w:p>
    <w:p xmlns:wp14="http://schemas.microsoft.com/office/word/2010/wordml" w:rsidRPr="00076B49" w:rsidR="00076B49" w:rsidP="00076B49" w:rsidRDefault="001C6FE0" w14:paraId="50D9EDD1" wp14:textId="019E4262">
      <w:pPr>
        <w:spacing w:line="360" w:lineRule="auto"/>
        <w:jc w:val="both"/>
        <w:rPr>
          <w:rFonts w:ascii="Arial" w:hAnsi="Arial" w:cs="Arial"/>
        </w:rPr>
      </w:pPr>
      <w:r w:rsidRPr="0E5A6DCC" w:rsidR="001C6FE0">
        <w:rPr>
          <w:rFonts w:ascii="Arial" w:hAnsi="Arial" w:cs="Arial"/>
        </w:rPr>
        <w:t xml:space="preserve">Strategic stakeholder involvement during the </w:t>
      </w:r>
      <w:r w:rsidRPr="0E5A6DCC" w:rsidR="00A3022E">
        <w:rPr>
          <w:rFonts w:ascii="Arial" w:hAnsi="Arial" w:cs="Arial"/>
        </w:rPr>
        <w:t>Medinox-VitaTrack</w:t>
      </w:r>
      <w:r w:rsidRPr="0E5A6DCC" w:rsidR="00A3022E">
        <w:rPr>
          <w:rFonts w:ascii="Arial" w:hAnsi="Arial" w:cs="Arial"/>
        </w:rPr>
        <w:t xml:space="preserve"> </w:t>
      </w:r>
      <w:r w:rsidRPr="0E5A6DCC" w:rsidR="001C6FE0">
        <w:rPr>
          <w:rFonts w:ascii="Arial" w:hAnsi="Arial" w:cs="Arial"/>
        </w:rPr>
        <w:t xml:space="preserve">project is not only a project-management process; but a highly serious aspect of business performance with significant implications on financial payoff, brand reputation and </w:t>
      </w:r>
      <w:r w:rsidRPr="0E5A6DCC" w:rsidR="5E59CE6F">
        <w:rPr>
          <w:rFonts w:ascii="Arial" w:hAnsi="Arial" w:cs="Arial"/>
        </w:rPr>
        <w:t>long-term</w:t>
      </w:r>
      <w:r w:rsidRPr="0E5A6DCC" w:rsidR="001C6FE0">
        <w:rPr>
          <w:rFonts w:ascii="Arial" w:hAnsi="Arial" w:cs="Arial"/>
        </w:rPr>
        <w:t xml:space="preserve"> strategic positioning (Donaldson and Preston, 2010).</w:t>
      </w:r>
    </w:p>
    <w:p xmlns:wp14="http://schemas.microsoft.com/office/word/2010/wordml" w:rsidRPr="00076B49" w:rsidR="00076B49" w:rsidP="0037780E" w:rsidRDefault="0037780E" w14:paraId="7EDEBCFA" wp14:textId="77777777">
      <w:pPr>
        <w:pStyle w:val="Heading2"/>
      </w:pPr>
      <w:bookmarkStart w:name="_Toc214072232" w:id="28"/>
      <w:r>
        <w:t xml:space="preserve">7.1 </w:t>
      </w:r>
      <w:r w:rsidRPr="00076B49" w:rsidR="00076B49">
        <w:t>Impact on Business Performance</w:t>
      </w:r>
      <w:bookmarkEnd w:id="28"/>
    </w:p>
    <w:p xmlns:wp14="http://schemas.microsoft.com/office/word/2010/wordml" w:rsidRPr="00076B49" w:rsidR="00076B49" w:rsidP="00076B49" w:rsidRDefault="00076B49" w14:paraId="0ABDDFE8" wp14:textId="7FB52F26">
      <w:pPr>
        <w:spacing w:line="360" w:lineRule="auto"/>
        <w:jc w:val="both"/>
        <w:rPr>
          <w:rFonts w:ascii="Arial" w:hAnsi="Arial" w:cs="Arial"/>
        </w:rPr>
      </w:pPr>
      <w:r w:rsidRPr="0E5A6DCC" w:rsidR="00076B49">
        <w:rPr>
          <w:rFonts w:ascii="Arial" w:hAnsi="Arial" w:cs="Arial"/>
        </w:rPr>
        <w:t>Firstly,</w:t>
      </w:r>
      <w:r w:rsidRPr="0E5A6DCC" w:rsidR="5A06DAA7">
        <w:rPr>
          <w:rFonts w:ascii="Arial" w:hAnsi="Arial" w:cs="Arial"/>
        </w:rPr>
        <w:t xml:space="preserve"> </w:t>
      </w:r>
      <w:r w:rsidRPr="0E5A6DCC" w:rsidR="5A06DAA7">
        <w:rPr>
          <w:rFonts w:ascii="Arial" w:hAnsi="Arial" w:cs="Arial"/>
        </w:rPr>
        <w:t>to begin</w:t>
      </w:r>
      <w:r w:rsidRPr="0E5A6DCC" w:rsidR="5A06DAA7">
        <w:rPr>
          <w:rFonts w:ascii="Arial" w:hAnsi="Arial" w:cs="Arial"/>
        </w:rPr>
        <w:t xml:space="preserve"> </w:t>
      </w:r>
      <w:r w:rsidRPr="0E5A6DCC" w:rsidR="00860958">
        <w:rPr>
          <w:rFonts w:ascii="Arial" w:hAnsi="Arial" w:cs="Arial"/>
        </w:rPr>
        <w:t xml:space="preserve">stakeholder engagement directly and quantitatively influences the operation and financial performance. Early coordination with the Regulatory Affairs department and other agencies simplifies the approval </w:t>
      </w:r>
      <w:r w:rsidRPr="0E5A6DCC" w:rsidR="1F5C4F41">
        <w:rPr>
          <w:rFonts w:ascii="Arial" w:hAnsi="Arial" w:cs="Arial"/>
        </w:rPr>
        <w:t>route,</w:t>
      </w:r>
      <w:r w:rsidRPr="0E5A6DCC" w:rsidR="00860958">
        <w:rPr>
          <w:rFonts w:ascii="Arial" w:hAnsi="Arial" w:cs="Arial"/>
        </w:rPr>
        <w:t xml:space="preserve"> thus making the time-to-market of </w:t>
      </w:r>
      <w:r w:rsidRPr="0E5A6DCC" w:rsidR="00A3022E">
        <w:rPr>
          <w:rFonts w:ascii="Arial" w:hAnsi="Arial" w:cs="Arial"/>
        </w:rPr>
        <w:t>Medinox-VitaTrack</w:t>
      </w:r>
      <w:r w:rsidRPr="0E5A6DCC" w:rsidR="00A3022E">
        <w:rPr>
          <w:rFonts w:ascii="Arial" w:hAnsi="Arial" w:cs="Arial"/>
        </w:rPr>
        <w:t xml:space="preserve"> </w:t>
      </w:r>
      <w:r w:rsidRPr="0E5A6DCC" w:rsidR="00860958">
        <w:rPr>
          <w:rFonts w:ascii="Arial" w:hAnsi="Arial" w:cs="Arial"/>
        </w:rPr>
        <w:t xml:space="preserve">shorter (European Commission, 2017). This acceleration is one of the major indicators of finance as delays in the launch are </w:t>
      </w:r>
      <w:r w:rsidRPr="0E5A6DCC" w:rsidR="00860958">
        <w:rPr>
          <w:rFonts w:ascii="Arial" w:hAnsi="Arial" w:cs="Arial"/>
        </w:rPr>
        <w:t>immediately</w:t>
      </w:r>
      <w:r w:rsidRPr="0E5A6DCC" w:rsidR="00860958">
        <w:rPr>
          <w:rFonts w:ascii="Arial" w:hAnsi="Arial" w:cs="Arial"/>
        </w:rPr>
        <w:t xml:space="preserve"> the loss of revenue and reduced the first-mover advantage in a competitive niche. </w:t>
      </w:r>
      <w:r w:rsidRPr="0E5A6DCC" w:rsidR="00F7452A">
        <w:rPr>
          <w:rFonts w:ascii="Arial" w:hAnsi="Arial" w:cs="Arial"/>
        </w:rPr>
        <w:t>For example,</w:t>
      </w:r>
      <w:r w:rsidRPr="0E5A6DCC" w:rsidR="00860958">
        <w:rPr>
          <w:rFonts w:ascii="Arial" w:hAnsi="Arial" w:cs="Arial"/>
        </w:rPr>
        <w:t xml:space="preserve"> the </w:t>
      </w:r>
      <w:r w:rsidRPr="0E5A6DCC" w:rsidR="00A3022E">
        <w:rPr>
          <w:rFonts w:ascii="Arial" w:hAnsi="Arial" w:cs="Arial"/>
        </w:rPr>
        <w:t>Medinox-VitaTrack</w:t>
      </w:r>
      <w:r w:rsidRPr="0E5A6DCC" w:rsidR="00A3022E">
        <w:rPr>
          <w:rFonts w:ascii="Arial" w:hAnsi="Arial" w:cs="Arial"/>
        </w:rPr>
        <w:t xml:space="preserve"> </w:t>
      </w:r>
      <w:r w:rsidRPr="0E5A6DCC" w:rsidR="00860958">
        <w:rPr>
          <w:rFonts w:ascii="Arial" w:hAnsi="Arial" w:cs="Arial"/>
        </w:rPr>
        <w:t xml:space="preserve">beta </w:t>
      </w:r>
      <w:r w:rsidRPr="0E5A6DCC" w:rsidR="4BF39517">
        <w:rPr>
          <w:rFonts w:ascii="Arial" w:hAnsi="Arial" w:cs="Arial"/>
        </w:rPr>
        <w:t>programmer</w:t>
      </w:r>
      <w:r w:rsidRPr="0E5A6DCC" w:rsidR="00860958">
        <w:rPr>
          <w:rFonts w:ascii="Arial" w:hAnsi="Arial" w:cs="Arial"/>
        </w:rPr>
        <w:t xml:space="preserve">, which is an </w:t>
      </w:r>
      <w:r w:rsidRPr="0E5A6DCC" w:rsidR="3775DFF1">
        <w:rPr>
          <w:rFonts w:ascii="Arial" w:hAnsi="Arial" w:cs="Arial"/>
        </w:rPr>
        <w:t>economically</w:t>
      </w:r>
      <w:r w:rsidRPr="0E5A6DCC" w:rsidR="00860958">
        <w:rPr>
          <w:rFonts w:ascii="Arial" w:hAnsi="Arial" w:cs="Arial"/>
        </w:rPr>
        <w:t xml:space="preserve"> large scale quality check that directly increases product-market fit as well as minimizes the cost of customer support in the future and customer returns.</w:t>
      </w:r>
    </w:p>
    <w:p xmlns:wp14="http://schemas.microsoft.com/office/word/2010/wordml" w:rsidR="00860958" w:rsidP="00860958" w:rsidRDefault="00860958" w14:paraId="1CBCD28F" wp14:textId="77777777">
      <w:pPr>
        <w:spacing w:line="360" w:lineRule="auto"/>
        <w:jc w:val="both"/>
        <w:rPr>
          <w:rFonts w:ascii="Arial" w:hAnsi="Arial" w:cs="Arial"/>
        </w:rPr>
      </w:pPr>
      <w:r w:rsidRPr="00860958">
        <w:rPr>
          <w:rFonts w:ascii="Arial" w:hAnsi="Arial" w:cs="Arial"/>
        </w:rPr>
        <w:t xml:space="preserve">Secondly, involvement deeply improves brand image and positioning. In the case of a company like </w:t>
      </w:r>
      <w:proofErr w:type="spellStart"/>
      <w:r w:rsidR="00D62433">
        <w:rPr>
          <w:rFonts w:ascii="Arial" w:hAnsi="Arial" w:cs="Arial"/>
        </w:rPr>
        <w:t>Medinox</w:t>
      </w:r>
      <w:proofErr w:type="spellEnd"/>
      <w:r w:rsidRPr="00860958">
        <w:rPr>
          <w:rFonts w:ascii="Arial" w:hAnsi="Arial" w:cs="Arial"/>
        </w:rPr>
        <w:t xml:space="preserve">, where consumers build trust and clinical rigor in its B2B reputation, a consumer product failure would lead to reputational spillover, harming its core business (Weber, 2017). Nevertheless, by incorporating HCPs as clinical validators and collaborators in an authentic and authentic manner, </w:t>
      </w:r>
      <w:proofErr w:type="spellStart"/>
      <w:r w:rsidR="00A3022E">
        <w:rPr>
          <w:rFonts w:ascii="Arial" w:hAnsi="Arial" w:cs="Arial"/>
        </w:rPr>
        <w:t>Medinox-VitaTrack</w:t>
      </w:r>
      <w:proofErr w:type="spellEnd"/>
      <w:r w:rsidR="00A3022E">
        <w:rPr>
          <w:rFonts w:ascii="Arial" w:hAnsi="Arial" w:cs="Arial"/>
        </w:rPr>
        <w:t xml:space="preserve"> </w:t>
      </w:r>
      <w:r w:rsidRPr="00860958">
        <w:rPr>
          <w:rFonts w:ascii="Arial" w:hAnsi="Arial" w:cs="Arial"/>
        </w:rPr>
        <w:t xml:space="preserve">can obtain credible endorsements that will be reinforcing its marketing statements. This creates what </w:t>
      </w:r>
      <w:proofErr w:type="spellStart"/>
      <w:r w:rsidRPr="00860958">
        <w:rPr>
          <w:rFonts w:ascii="Arial" w:hAnsi="Arial" w:cs="Arial"/>
        </w:rPr>
        <w:t>Dwivedi</w:t>
      </w:r>
      <w:proofErr w:type="spellEnd"/>
      <w:r w:rsidRPr="00860958">
        <w:rPr>
          <w:rFonts w:ascii="Arial" w:hAnsi="Arial" w:cs="Arial"/>
        </w:rPr>
        <w:t xml:space="preserve"> (2021) refers to as the stakeholder-based brand equity in which the trustworthiness of the involved stakeholders is transferred to the product.</w:t>
      </w:r>
      <w:r w:rsidRPr="00076B49" w:rsidR="00076B49">
        <w:rPr>
          <w:rFonts w:ascii="Arial" w:hAnsi="Arial" w:cs="Arial"/>
        </w:rPr>
        <w:t xml:space="preserve"> </w:t>
      </w:r>
      <w:r w:rsidRPr="00860958">
        <w:rPr>
          <w:rFonts w:ascii="Arial" w:hAnsi="Arial" w:cs="Arial"/>
        </w:rPr>
        <w:t xml:space="preserve">This is inestimable in the case of a new market entry, and enables the </w:t>
      </w:r>
      <w:proofErr w:type="spellStart"/>
      <w:r w:rsidR="00A3022E">
        <w:rPr>
          <w:rFonts w:ascii="Arial" w:hAnsi="Arial" w:cs="Arial"/>
        </w:rPr>
        <w:t>Medinox-VitaTrack</w:t>
      </w:r>
      <w:proofErr w:type="spellEnd"/>
      <w:r w:rsidR="00A3022E">
        <w:rPr>
          <w:rFonts w:ascii="Arial" w:hAnsi="Arial" w:cs="Arial"/>
        </w:rPr>
        <w:t xml:space="preserve"> </w:t>
      </w:r>
      <w:r w:rsidRPr="00860958">
        <w:rPr>
          <w:rFonts w:ascii="Arial" w:hAnsi="Arial" w:cs="Arial"/>
        </w:rPr>
        <w:t xml:space="preserve">to stand out on an arena of reliability and precision as opposed to simply on feature set. In addition, open communication with all the stakeholders especially in the case of difficulties, creates an aura of goodwill that can protect the brand in case of an unavoidable crisis. </w:t>
      </w:r>
    </w:p>
    <w:p xmlns:wp14="http://schemas.microsoft.com/office/word/2010/wordml" w:rsidR="00F7452A" w:rsidP="00860958" w:rsidRDefault="00860958" w14:paraId="029C75FB" wp14:textId="77777777">
      <w:pPr>
        <w:spacing w:line="360" w:lineRule="auto"/>
        <w:jc w:val="both"/>
        <w:rPr>
          <w:rFonts w:ascii="Arial" w:hAnsi="Arial" w:cs="Arial"/>
        </w:rPr>
      </w:pPr>
      <w:r w:rsidRPr="00860958">
        <w:rPr>
          <w:rFonts w:ascii="Arial" w:hAnsi="Arial" w:cs="Arial"/>
        </w:rPr>
        <w:t xml:space="preserve">Thirdly, successful interaction builds innovation and strategic agility. The partnership relations developed with the Clinical Advisory Board and end-users are not terminated upon the release of the </w:t>
      </w:r>
      <w:proofErr w:type="spellStart"/>
      <w:r w:rsidR="00D62433">
        <w:rPr>
          <w:rFonts w:ascii="Arial" w:hAnsi="Arial" w:cs="Arial"/>
        </w:rPr>
        <w:t>Medinox</w:t>
      </w:r>
      <w:r w:rsidRPr="00860958">
        <w:rPr>
          <w:rFonts w:ascii="Arial" w:hAnsi="Arial" w:cs="Arial"/>
        </w:rPr>
        <w:t>-VitaTrack</w:t>
      </w:r>
      <w:proofErr w:type="spellEnd"/>
      <w:r w:rsidRPr="00860958">
        <w:rPr>
          <w:rFonts w:ascii="Arial" w:hAnsi="Arial" w:cs="Arial"/>
        </w:rPr>
        <w:t xml:space="preserve">; instead, they create a feedback loop that allows product improvement and further development </w:t>
      </w:r>
      <w:r w:rsidR="00854483">
        <w:rPr>
          <w:rFonts w:ascii="Arial" w:hAnsi="Arial" w:cs="Arial"/>
        </w:rPr>
        <w:t>(Elly et al., 2024)</w:t>
      </w:r>
      <w:r w:rsidRPr="00860958">
        <w:rPr>
          <w:rFonts w:ascii="Arial" w:hAnsi="Arial" w:cs="Arial"/>
        </w:rPr>
        <w:t>. These stakeholders also form a source of co-</w:t>
      </w:r>
      <w:r w:rsidRPr="00860958">
        <w:rPr>
          <w:rFonts w:ascii="Arial" w:hAnsi="Arial" w:cs="Arial"/>
        </w:rPr>
        <w:t xml:space="preserve">creation, where they give knowledge on next-generation features, unmet clinical requirements, and possible ancillary services. </w:t>
      </w:r>
    </w:p>
    <w:p xmlns:wp14="http://schemas.microsoft.com/office/word/2010/wordml" w:rsidRPr="00076B49" w:rsidR="00076B49" w:rsidP="00860958" w:rsidRDefault="00860958" w14:paraId="53160495" wp14:textId="77777777">
      <w:pPr>
        <w:spacing w:line="360" w:lineRule="auto"/>
        <w:jc w:val="both"/>
        <w:rPr>
          <w:rFonts w:ascii="Arial" w:hAnsi="Arial" w:cs="Arial"/>
        </w:rPr>
      </w:pPr>
      <w:r>
        <w:rPr>
          <w:rFonts w:ascii="Arial" w:hAnsi="Arial" w:cs="Arial"/>
        </w:rPr>
        <w:t>F</w:t>
      </w:r>
      <w:r w:rsidR="00D62433">
        <w:rPr>
          <w:rFonts w:ascii="Arial" w:hAnsi="Arial" w:cs="Arial"/>
        </w:rPr>
        <w:t>i</w:t>
      </w:r>
      <w:r>
        <w:rPr>
          <w:rFonts w:ascii="Arial" w:hAnsi="Arial" w:cs="Arial"/>
        </w:rPr>
        <w:t>n</w:t>
      </w:r>
      <w:r w:rsidR="00D62433">
        <w:rPr>
          <w:rFonts w:ascii="Arial" w:hAnsi="Arial" w:cs="Arial"/>
        </w:rPr>
        <w:t>a</w:t>
      </w:r>
      <w:r>
        <w:rPr>
          <w:rFonts w:ascii="Arial" w:hAnsi="Arial" w:cs="Arial"/>
        </w:rPr>
        <w:t>lly</w:t>
      </w:r>
      <w:r w:rsidRPr="00860958">
        <w:rPr>
          <w:rFonts w:ascii="Arial" w:hAnsi="Arial" w:cs="Arial"/>
        </w:rPr>
        <w:t xml:space="preserve">, an effective engagement strategy is an effective risk mitigation tool. The systematic mapping and analysis of stakeholders of the </w:t>
      </w:r>
      <w:proofErr w:type="spellStart"/>
      <w:r w:rsidR="00D62433">
        <w:rPr>
          <w:rFonts w:ascii="Arial" w:hAnsi="Arial" w:cs="Arial"/>
        </w:rPr>
        <w:t>Medinox</w:t>
      </w:r>
      <w:proofErr w:type="spellEnd"/>
      <w:r w:rsidRPr="00860958">
        <w:rPr>
          <w:rFonts w:ascii="Arial" w:hAnsi="Arial" w:cs="Arial"/>
        </w:rPr>
        <w:t xml:space="preserve"> -</w:t>
      </w:r>
      <w:proofErr w:type="spellStart"/>
      <w:r w:rsidRPr="00860958">
        <w:rPr>
          <w:rFonts w:ascii="Arial" w:hAnsi="Arial" w:cs="Arial"/>
        </w:rPr>
        <w:t>VitaTrack</w:t>
      </w:r>
      <w:proofErr w:type="spellEnd"/>
      <w:r w:rsidRPr="00860958">
        <w:rPr>
          <w:rFonts w:ascii="Arial" w:hAnsi="Arial" w:cs="Arial"/>
        </w:rPr>
        <w:t xml:space="preserve"> project will allow identifying the possible sources of resistance or conflict early (</w:t>
      </w:r>
      <w:proofErr w:type="spellStart"/>
      <w:r w:rsidRPr="00860958">
        <w:rPr>
          <w:rFonts w:ascii="Arial" w:hAnsi="Arial" w:cs="Arial"/>
        </w:rPr>
        <w:t>Mendelow</w:t>
      </w:r>
      <w:proofErr w:type="spellEnd"/>
      <w:r w:rsidRPr="00860958">
        <w:rPr>
          <w:rFonts w:ascii="Arial" w:hAnsi="Arial" w:cs="Arial"/>
        </w:rPr>
        <w:t>, 1991). Through awareness of the interests of high-power stakeholders, including the Legal team on the issue of data privacy (GDPR), the project can adopt compliant data-handling measures proactively, which will prevent the occurrence of disastrous fines and lawsuits after the launching of the project (Pritchard, 2015). This is a proactive risk management process incorporated in the stakeholder engagement process to safeguard not only the project, but the entire organi</w:t>
      </w:r>
      <w:r w:rsidR="00854483">
        <w:rPr>
          <w:rFonts w:ascii="Arial" w:hAnsi="Arial" w:cs="Arial"/>
        </w:rPr>
        <w:t>z</w:t>
      </w:r>
      <w:r w:rsidRPr="00860958">
        <w:rPr>
          <w:rFonts w:ascii="Arial" w:hAnsi="Arial" w:cs="Arial"/>
        </w:rPr>
        <w:t>ation as well against risks that are potentially existential.</w:t>
      </w:r>
    </w:p>
    <w:p xmlns:wp14="http://schemas.microsoft.com/office/word/2010/wordml" w:rsidRPr="00076B49" w:rsidR="00076B49" w:rsidP="0037780E" w:rsidRDefault="0037780E" w14:paraId="3095353E" wp14:textId="77777777">
      <w:pPr>
        <w:pStyle w:val="Heading2"/>
      </w:pPr>
      <w:bookmarkStart w:name="_Toc214072233" w:id="29"/>
      <w:r>
        <w:t xml:space="preserve">7.2 </w:t>
      </w:r>
      <w:r w:rsidRPr="00076B49" w:rsidR="00076B49">
        <w:t>Recommendations for Future Projects</w:t>
      </w:r>
      <w:bookmarkEnd w:id="29"/>
    </w:p>
    <w:p xmlns:wp14="http://schemas.microsoft.com/office/word/2010/wordml" w:rsidR="00860958" w:rsidP="00860958" w:rsidRDefault="00076B49" w14:paraId="0C4D2A65" wp14:textId="77777777">
      <w:pPr>
        <w:spacing w:line="360" w:lineRule="auto"/>
        <w:jc w:val="both"/>
        <w:rPr>
          <w:rFonts w:ascii="Arial" w:hAnsi="Arial" w:cs="Arial"/>
        </w:rPr>
      </w:pPr>
      <w:r w:rsidRPr="00076B49">
        <w:rPr>
          <w:rFonts w:ascii="Arial" w:hAnsi="Arial" w:cs="Arial"/>
        </w:rPr>
        <w:t xml:space="preserve">To </w:t>
      </w:r>
      <w:r w:rsidR="00014FB2">
        <w:rPr>
          <w:rFonts w:ascii="Arial" w:hAnsi="Arial" w:cs="Arial"/>
        </w:rPr>
        <w:t>institutionaliz</w:t>
      </w:r>
      <w:r w:rsidRPr="00860958" w:rsidR="00860958">
        <w:rPr>
          <w:rFonts w:ascii="Arial" w:hAnsi="Arial" w:cs="Arial"/>
        </w:rPr>
        <w:t xml:space="preserve">e these advantages and capitalize on the experience of the </w:t>
      </w:r>
      <w:proofErr w:type="spellStart"/>
      <w:r w:rsidR="00A3022E">
        <w:rPr>
          <w:rFonts w:ascii="Arial" w:hAnsi="Arial" w:cs="Arial"/>
        </w:rPr>
        <w:t>Medinox-VitaTrack</w:t>
      </w:r>
      <w:proofErr w:type="spellEnd"/>
      <w:r w:rsidR="00A3022E">
        <w:rPr>
          <w:rFonts w:ascii="Arial" w:hAnsi="Arial" w:cs="Arial"/>
        </w:rPr>
        <w:t xml:space="preserve"> </w:t>
      </w:r>
      <w:r w:rsidRPr="00860958" w:rsidR="00860958">
        <w:rPr>
          <w:rFonts w:ascii="Arial" w:hAnsi="Arial" w:cs="Arial"/>
        </w:rPr>
        <w:t xml:space="preserve">project, </w:t>
      </w:r>
      <w:proofErr w:type="spellStart"/>
      <w:r w:rsidR="00A3022E">
        <w:rPr>
          <w:rFonts w:ascii="Arial" w:hAnsi="Arial" w:cs="Arial"/>
        </w:rPr>
        <w:t>Medinox</w:t>
      </w:r>
      <w:proofErr w:type="spellEnd"/>
      <w:r w:rsidR="00014FB2">
        <w:rPr>
          <w:rFonts w:ascii="Arial" w:hAnsi="Arial" w:cs="Arial"/>
        </w:rPr>
        <w:t xml:space="preserve"> </w:t>
      </w:r>
      <w:r w:rsidRPr="00860958" w:rsidR="00860958">
        <w:rPr>
          <w:rFonts w:ascii="Arial" w:hAnsi="Arial" w:cs="Arial"/>
        </w:rPr>
        <w:t>must consider the following suggestions when working on future projects:</w:t>
      </w:r>
    </w:p>
    <w:p xmlns:wp14="http://schemas.microsoft.com/office/word/2010/wordml" w:rsidR="00860958" w:rsidP="00860958" w:rsidRDefault="00014FB2" w14:paraId="05FE2589" wp14:textId="77777777">
      <w:pPr>
        <w:spacing w:line="360" w:lineRule="auto"/>
        <w:jc w:val="both"/>
        <w:rPr>
          <w:rFonts w:ascii="Arial" w:hAnsi="Arial" w:cs="Arial"/>
        </w:rPr>
      </w:pPr>
      <w:r>
        <w:rPr>
          <w:rFonts w:ascii="Arial" w:hAnsi="Arial" w:cs="Arial"/>
          <w:b/>
        </w:rPr>
        <w:t>Resource and Formaliz</w:t>
      </w:r>
      <w:r w:rsidRPr="00860958" w:rsidR="00860958">
        <w:rPr>
          <w:rFonts w:ascii="Arial" w:hAnsi="Arial" w:cs="Arial"/>
          <w:b/>
        </w:rPr>
        <w:t>e the Engagement Function</w:t>
      </w:r>
      <w:r w:rsidRPr="00860958" w:rsidR="00860958">
        <w:rPr>
          <w:rFonts w:ascii="Arial" w:hAnsi="Arial" w:cs="Arial"/>
        </w:rPr>
        <w:t>: Stakeholder engagement is to be replenished as a project activity rather than an ad-hoc one; as a formali</w:t>
      </w:r>
      <w:r>
        <w:rPr>
          <w:rFonts w:ascii="Arial" w:hAnsi="Arial" w:cs="Arial"/>
        </w:rPr>
        <w:t>z</w:t>
      </w:r>
      <w:r w:rsidRPr="00860958" w:rsidR="00860958">
        <w:rPr>
          <w:rFonts w:ascii="Arial" w:hAnsi="Arial" w:cs="Arial"/>
        </w:rPr>
        <w:t>ed organi</w:t>
      </w:r>
      <w:r>
        <w:rPr>
          <w:rFonts w:ascii="Arial" w:hAnsi="Arial" w:cs="Arial"/>
        </w:rPr>
        <w:t>z</w:t>
      </w:r>
      <w:r w:rsidRPr="00860958" w:rsidR="00860958">
        <w:rPr>
          <w:rFonts w:ascii="Arial" w:hAnsi="Arial" w:cs="Arial"/>
        </w:rPr>
        <w:t>ational capability. This will require the development of a standardi</w:t>
      </w:r>
      <w:r>
        <w:rPr>
          <w:rFonts w:ascii="Arial" w:hAnsi="Arial" w:cs="Arial"/>
        </w:rPr>
        <w:t>z</w:t>
      </w:r>
      <w:r w:rsidRPr="00860958" w:rsidR="00860958">
        <w:rPr>
          <w:rFonts w:ascii="Arial" w:hAnsi="Arial" w:cs="Arial"/>
        </w:rPr>
        <w:t>ed organi</w:t>
      </w:r>
      <w:r>
        <w:rPr>
          <w:rFonts w:ascii="Arial" w:hAnsi="Arial" w:cs="Arial"/>
        </w:rPr>
        <w:t>z</w:t>
      </w:r>
      <w:r w:rsidRPr="00860958" w:rsidR="00860958">
        <w:rPr>
          <w:rFonts w:ascii="Arial" w:hAnsi="Arial" w:cs="Arial"/>
        </w:rPr>
        <w:t>ational procedure, including templates of stakeholder registers and communication plans, and RACI matrices, to be utili</w:t>
      </w:r>
      <w:r w:rsidR="00854483">
        <w:rPr>
          <w:rFonts w:ascii="Arial" w:hAnsi="Arial" w:cs="Arial"/>
        </w:rPr>
        <w:t>z</w:t>
      </w:r>
      <w:r w:rsidRPr="00860958" w:rsidR="00860958">
        <w:rPr>
          <w:rFonts w:ascii="Arial" w:hAnsi="Arial" w:cs="Arial"/>
        </w:rPr>
        <w:t>ed in all future product development projects (Project Management Institute, 2021). The company must further consider the introduction of a special position of Community Manager who will oversee the end-user and healthcare professional relationship beyond one product life cycle.</w:t>
      </w:r>
    </w:p>
    <w:p xmlns:wp14="http://schemas.microsoft.com/office/word/2010/wordml" w:rsidR="00860958" w:rsidP="00860958" w:rsidRDefault="00860958" w14:paraId="289A201B" wp14:textId="77777777">
      <w:pPr>
        <w:spacing w:line="360" w:lineRule="auto"/>
        <w:jc w:val="both"/>
        <w:rPr>
          <w:rFonts w:ascii="Arial" w:hAnsi="Arial" w:cs="Arial"/>
        </w:rPr>
      </w:pPr>
      <w:r w:rsidRPr="00860958">
        <w:rPr>
          <w:rFonts w:ascii="Arial" w:hAnsi="Arial" w:cs="Arial"/>
          <w:b/>
        </w:rPr>
        <w:t>Introduce a Stakeholder Engagement KPI Dashboard</w:t>
      </w:r>
      <w:r w:rsidRPr="00860958">
        <w:rPr>
          <w:rFonts w:ascii="Arial" w:hAnsi="Arial" w:cs="Arial"/>
        </w:rPr>
        <w:t xml:space="preserve">: To shift anecdotal evidence to the data-driven management, the effect of engagement needs to be quantified. The Key Performance Indicators to be monitored by future projects will include Stakeholder Satisfaction Scores (the average score of periodic surveys), Feedback Implementation Rate (the rate of Incident valid </w:t>
      </w:r>
      <w:r w:rsidR="00014FB2">
        <w:rPr>
          <w:rFonts w:ascii="Arial" w:hAnsi="Arial" w:cs="Arial"/>
        </w:rPr>
        <w:t>stakeholder suggestions actualiz</w:t>
      </w:r>
      <w:r w:rsidRPr="00860958">
        <w:rPr>
          <w:rFonts w:ascii="Arial" w:hAnsi="Arial" w:cs="Arial"/>
        </w:rPr>
        <w:t>ed), and Engagement Velocity (the time spent to implement stakeholder-raised issues) (HIQA, 2017). This information will offer a fair ground on the performance assessment and the rationale of further investment in engagement activities.</w:t>
      </w:r>
    </w:p>
    <w:p xmlns:wp14="http://schemas.microsoft.com/office/word/2010/wordml" w:rsidR="00860958" w:rsidP="00860958" w:rsidRDefault="00860958" w14:paraId="0E3D4DEB" wp14:textId="77777777">
      <w:pPr>
        <w:spacing w:line="360" w:lineRule="auto"/>
        <w:jc w:val="both"/>
        <w:rPr>
          <w:rFonts w:ascii="Arial" w:hAnsi="Arial" w:cs="Arial"/>
        </w:rPr>
      </w:pPr>
      <w:r w:rsidRPr="00860958">
        <w:rPr>
          <w:rFonts w:ascii="Arial" w:hAnsi="Arial" w:cs="Arial"/>
          <w:b/>
        </w:rPr>
        <w:t xml:space="preserve">Launch a "Stakeholder-Centric" Training </w:t>
      </w:r>
      <w:proofErr w:type="spellStart"/>
      <w:r w:rsidRPr="00860958">
        <w:rPr>
          <w:rFonts w:ascii="Arial" w:hAnsi="Arial" w:cs="Arial"/>
          <w:b/>
        </w:rPr>
        <w:t>Programme</w:t>
      </w:r>
      <w:proofErr w:type="spellEnd"/>
      <w:r w:rsidRPr="00860958">
        <w:rPr>
          <w:rFonts w:ascii="Arial" w:hAnsi="Arial" w:cs="Arial"/>
        </w:rPr>
        <w:t xml:space="preserve">: The concepts and tactics of efficient stakeholder interactions such as the 4Cs model and methods of conflict management must be </w:t>
      </w:r>
      <w:r w:rsidRPr="00860958">
        <w:rPr>
          <w:rFonts w:ascii="Arial" w:hAnsi="Arial" w:cs="Arial"/>
        </w:rPr>
        <w:t xml:space="preserve">included in compulsory training of all project administrators and heads of departments. This instills a common way of thinking and set </w:t>
      </w:r>
      <w:r w:rsidR="00854483">
        <w:rPr>
          <w:rFonts w:ascii="Arial" w:hAnsi="Arial" w:cs="Arial"/>
        </w:rPr>
        <w:t>of skills throughout the organiz</w:t>
      </w:r>
      <w:r w:rsidRPr="00860958">
        <w:rPr>
          <w:rFonts w:ascii="Arial" w:hAnsi="Arial" w:cs="Arial"/>
        </w:rPr>
        <w:t>ation and provides the same and professional manner in which these vital relationships are handled (Savage, 2015).</w:t>
      </w:r>
    </w:p>
    <w:p xmlns:wp14="http://schemas.microsoft.com/office/word/2010/wordml" w:rsidRPr="00076B49" w:rsidR="00076B49" w:rsidP="00860958" w:rsidRDefault="00860958" w14:paraId="74BFE7FA" wp14:textId="18695779">
      <w:pPr>
        <w:spacing w:line="360" w:lineRule="auto"/>
        <w:jc w:val="both"/>
        <w:rPr>
          <w:rFonts w:ascii="Arial" w:hAnsi="Arial" w:cs="Arial"/>
        </w:rPr>
      </w:pPr>
      <w:r w:rsidRPr="0E5A6DCC" w:rsidR="00860958">
        <w:rPr>
          <w:rFonts w:ascii="Arial" w:hAnsi="Arial" w:cs="Arial"/>
          <w:b w:val="1"/>
          <w:bCs w:val="1"/>
        </w:rPr>
        <w:t>Create a Long-term Strategic Partnership Model</w:t>
      </w:r>
      <w:r w:rsidRPr="0E5A6DCC" w:rsidR="00860958">
        <w:rPr>
          <w:rFonts w:ascii="Arial" w:hAnsi="Arial" w:cs="Arial"/>
        </w:rPr>
        <w:t xml:space="preserve">: The </w:t>
      </w:r>
      <w:r w:rsidRPr="0E5A6DCC" w:rsidR="00860958">
        <w:rPr>
          <w:rFonts w:ascii="Arial" w:hAnsi="Arial" w:cs="Arial"/>
        </w:rPr>
        <w:t>company</w:t>
      </w:r>
      <w:r w:rsidRPr="0E5A6DCC" w:rsidR="00860958">
        <w:rPr>
          <w:rFonts w:ascii="Arial" w:hAnsi="Arial" w:cs="Arial"/>
        </w:rPr>
        <w:t xml:space="preserve"> must avoid perceiving relations between stakeholders as a transaction or project-based relations. The Clinical Advisory </w:t>
      </w:r>
      <w:r w:rsidRPr="0E5A6DCC" w:rsidR="471F7580">
        <w:rPr>
          <w:rFonts w:ascii="Arial" w:hAnsi="Arial" w:cs="Arial"/>
        </w:rPr>
        <w:t>Board, developed</w:t>
      </w:r>
      <w:r w:rsidRPr="0E5A6DCC" w:rsidR="00860958">
        <w:rPr>
          <w:rFonts w:ascii="Arial" w:hAnsi="Arial" w:cs="Arial"/>
        </w:rPr>
        <w:t xml:space="preserve"> to support the </w:t>
      </w:r>
      <w:r w:rsidRPr="0E5A6DCC" w:rsidR="00A3022E">
        <w:rPr>
          <w:rFonts w:ascii="Arial" w:hAnsi="Arial" w:cs="Arial"/>
        </w:rPr>
        <w:t>Medinox-VitaTrack</w:t>
      </w:r>
      <w:r w:rsidRPr="0E5A6DCC" w:rsidR="00A3022E">
        <w:rPr>
          <w:rFonts w:ascii="Arial" w:hAnsi="Arial" w:cs="Arial"/>
        </w:rPr>
        <w:t xml:space="preserve"> </w:t>
      </w:r>
      <w:r w:rsidRPr="0E5A6DCC" w:rsidR="00860958">
        <w:rPr>
          <w:rFonts w:ascii="Arial" w:hAnsi="Arial" w:cs="Arial"/>
        </w:rPr>
        <w:t xml:space="preserve">ought to develop into a permanent </w:t>
      </w:r>
      <w:r w:rsidRPr="0E5A6DCC" w:rsidR="00854483">
        <w:rPr>
          <w:rFonts w:ascii="Arial" w:hAnsi="Arial" w:cs="Arial"/>
        </w:rPr>
        <w:t>Medinox</w:t>
      </w:r>
      <w:r w:rsidRPr="0E5A6DCC" w:rsidR="00860958">
        <w:rPr>
          <w:rFonts w:ascii="Arial" w:hAnsi="Arial" w:cs="Arial"/>
        </w:rPr>
        <w:t xml:space="preserve"> Digital Health Council that offers continuous strategic advice to the entire digital health portfolio of the company. Similarly, relationships with suppliers should be raised to strategic </w:t>
      </w:r>
      <w:r w:rsidRPr="0E5A6DCC" w:rsidR="640BA88D">
        <w:rPr>
          <w:rFonts w:ascii="Arial" w:hAnsi="Arial" w:cs="Arial"/>
        </w:rPr>
        <w:t>partnerships,</w:t>
      </w:r>
      <w:r w:rsidRPr="0E5A6DCC" w:rsidR="00860958">
        <w:rPr>
          <w:rFonts w:ascii="Arial" w:hAnsi="Arial" w:cs="Arial"/>
        </w:rPr>
        <w:t xml:space="preserve"> and they should be involved in the </w:t>
      </w:r>
      <w:r w:rsidRPr="0E5A6DCC" w:rsidR="00860958">
        <w:rPr>
          <w:rFonts w:ascii="Arial" w:hAnsi="Arial" w:cs="Arial"/>
        </w:rPr>
        <w:t>initial</w:t>
      </w:r>
      <w:r w:rsidRPr="0E5A6DCC" w:rsidR="00860958">
        <w:rPr>
          <w:rFonts w:ascii="Arial" w:hAnsi="Arial" w:cs="Arial"/>
        </w:rPr>
        <w:t xml:space="preserve"> stages of innovation of future products (</w:t>
      </w:r>
      <w:r w:rsidRPr="0E5A6DCC" w:rsidR="00860958">
        <w:rPr>
          <w:rFonts w:ascii="Arial" w:hAnsi="Arial" w:cs="Arial"/>
        </w:rPr>
        <w:t>Rowlinson</w:t>
      </w:r>
      <w:r w:rsidRPr="0E5A6DCC" w:rsidR="00860958">
        <w:rPr>
          <w:rFonts w:ascii="Arial" w:hAnsi="Arial" w:cs="Arial"/>
        </w:rPr>
        <w:t xml:space="preserve"> and Cheung, 2008).</w:t>
      </w:r>
    </w:p>
    <w:p xmlns:wp14="http://schemas.microsoft.com/office/word/2010/wordml" w:rsidRPr="002831E7" w:rsidR="002831E7" w:rsidP="00E50A0D" w:rsidRDefault="0037780E" w14:paraId="6384B77E" wp14:textId="77777777">
      <w:pPr>
        <w:pStyle w:val="Heading1"/>
      </w:pPr>
      <w:bookmarkStart w:name="_Toc214072234" w:id="30"/>
      <w:r>
        <w:t xml:space="preserve">8. </w:t>
      </w:r>
      <w:r w:rsidRPr="002831E7" w:rsidR="002831E7">
        <w:t>Conclusion</w:t>
      </w:r>
      <w:bookmarkEnd w:id="30"/>
    </w:p>
    <w:p xmlns:wp14="http://schemas.microsoft.com/office/word/2010/wordml" w:rsidRPr="002831E7" w:rsidR="002831E7" w:rsidP="002831E7" w:rsidRDefault="00860958" w14:paraId="02DFE856" wp14:textId="37C5B64A">
      <w:pPr>
        <w:spacing w:line="360" w:lineRule="auto"/>
        <w:jc w:val="both"/>
        <w:rPr>
          <w:rFonts w:ascii="Arial" w:hAnsi="Arial" w:cs="Arial"/>
        </w:rPr>
      </w:pPr>
      <w:r w:rsidRPr="0E5A6DCC" w:rsidR="00860958">
        <w:rPr>
          <w:rFonts w:ascii="Arial" w:hAnsi="Arial" w:cs="Arial"/>
        </w:rPr>
        <w:t xml:space="preserve">The introduction of the </w:t>
      </w:r>
      <w:r w:rsidRPr="0E5A6DCC" w:rsidR="00A3022E">
        <w:rPr>
          <w:rFonts w:ascii="Arial" w:hAnsi="Arial" w:cs="Arial"/>
        </w:rPr>
        <w:t>Medinox-VitaTrack</w:t>
      </w:r>
      <w:r w:rsidRPr="0E5A6DCC" w:rsidR="00A3022E">
        <w:rPr>
          <w:rFonts w:ascii="Arial" w:hAnsi="Arial" w:cs="Arial"/>
        </w:rPr>
        <w:t xml:space="preserve"> </w:t>
      </w:r>
      <w:r w:rsidRPr="0E5A6DCC" w:rsidR="00860958">
        <w:rPr>
          <w:rFonts w:ascii="Arial" w:hAnsi="Arial" w:cs="Arial"/>
        </w:rPr>
        <w:t xml:space="preserve">has proved beyond any doubt that strategic stakeholder engagement is not a fringe support </w:t>
      </w:r>
      <w:r w:rsidRPr="0E5A6DCC" w:rsidR="1C40041B">
        <w:rPr>
          <w:rFonts w:ascii="Arial" w:hAnsi="Arial" w:cs="Arial"/>
        </w:rPr>
        <w:t>practice,</w:t>
      </w:r>
      <w:r w:rsidRPr="0E5A6DCC" w:rsidR="00860958">
        <w:rPr>
          <w:rFonts w:ascii="Arial" w:hAnsi="Arial" w:cs="Arial"/>
        </w:rPr>
        <w:t xml:space="preserve"> but it is a driving force behind project success and business performance. </w:t>
      </w:r>
      <w:r w:rsidRPr="0E5A6DCC" w:rsidR="00FE30EE">
        <w:rPr>
          <w:rFonts w:ascii="Arial" w:hAnsi="Arial" w:cs="Arial"/>
        </w:rPr>
        <w:t>Another way with which the relationships among the stakeholders can be reformulated has been logically outlined in the report with references to the existing frameworks like the Power/Interest Matrix and the 4Cs model among others the transformation of potential threats into valuable assets being made possible through a carefully thought-out and well-organized strategy (</w:t>
      </w:r>
      <w:r w:rsidRPr="0E5A6DCC" w:rsidR="00FE30EE">
        <w:rPr>
          <w:rFonts w:ascii="Arial" w:hAnsi="Arial" w:cs="Arial"/>
        </w:rPr>
        <w:t>Mendelow</w:t>
      </w:r>
      <w:r w:rsidRPr="0E5A6DCC" w:rsidR="00FE30EE">
        <w:rPr>
          <w:rFonts w:ascii="Arial" w:hAnsi="Arial" w:cs="Arial"/>
        </w:rPr>
        <w:t>, 1991; Pritchard, 2015). Recognizing and examining the various network, which includes network regulatory bodies, medical practitioners, end-users, internal team, etc., has become a critical approach towards negotiating the dynamics of the market that the medical devices market is highly regulated (European Commission, 2017). The consequences of this contact are far-reaching and extensive.</w:t>
      </w:r>
      <w:r w:rsidRPr="0E5A6DCC" w:rsidR="00860958">
        <w:rPr>
          <w:rFonts w:ascii="Arial" w:hAnsi="Arial" w:cs="Arial"/>
        </w:rPr>
        <w:t xml:space="preserve"> It also directly leads to a more efficient operational performance by saving time-to-market and decreasing the expenses related to the rework and at the same time creates unmatched brand equity and trust due to credible recommendation and effective communication (Weber, 2017; </w:t>
      </w:r>
      <w:r w:rsidRPr="0E5A6DCC" w:rsidR="00860958">
        <w:rPr>
          <w:rFonts w:ascii="Arial" w:hAnsi="Arial" w:cs="Arial"/>
        </w:rPr>
        <w:t>Dwivedi</w:t>
      </w:r>
      <w:r w:rsidRPr="0E5A6DCC" w:rsidR="00860958">
        <w:rPr>
          <w:rFonts w:ascii="Arial" w:hAnsi="Arial" w:cs="Arial"/>
        </w:rPr>
        <w:t xml:space="preserve">, 2021). Moreover, it leads to an innovative and co-creation culture, transforming the stakeholders into the partners of </w:t>
      </w:r>
      <w:r w:rsidRPr="0E5A6DCC" w:rsidR="00A3022E">
        <w:rPr>
          <w:rFonts w:ascii="Arial" w:hAnsi="Arial" w:cs="Arial"/>
        </w:rPr>
        <w:t>Medinox-VitaTrack</w:t>
      </w:r>
      <w:r w:rsidRPr="0E5A6DCC" w:rsidR="00A3022E">
        <w:rPr>
          <w:rFonts w:ascii="Arial" w:hAnsi="Arial" w:cs="Arial"/>
        </w:rPr>
        <w:t xml:space="preserve"> </w:t>
      </w:r>
      <w:r w:rsidRPr="0E5A6DCC" w:rsidR="00860958">
        <w:rPr>
          <w:rFonts w:ascii="Arial" w:hAnsi="Arial" w:cs="Arial"/>
        </w:rPr>
        <w:t xml:space="preserve">and the following product generation. In summary, the experiences that have been gained throughout this project have reinforced the notion that sound stakeholder management is the key </w:t>
      </w:r>
      <w:r w:rsidRPr="0E5A6DCC" w:rsidR="00860958">
        <w:rPr>
          <w:rFonts w:ascii="Arial" w:hAnsi="Arial" w:cs="Arial"/>
        </w:rPr>
        <w:t>component</w:t>
      </w:r>
      <w:r w:rsidRPr="0E5A6DCC" w:rsidR="00860958">
        <w:rPr>
          <w:rFonts w:ascii="Arial" w:hAnsi="Arial" w:cs="Arial"/>
        </w:rPr>
        <w:t xml:space="preserve"> of risk mitigation and value creation. </w:t>
      </w:r>
      <w:r w:rsidRPr="0E5A6DCC" w:rsidR="00A3022E">
        <w:rPr>
          <w:rFonts w:ascii="Arial" w:hAnsi="Arial" w:cs="Arial"/>
        </w:rPr>
        <w:t>Medinox</w:t>
      </w:r>
      <w:r w:rsidRPr="0E5A6DCC" w:rsidR="00860958">
        <w:rPr>
          <w:rFonts w:ascii="Arial" w:hAnsi="Arial" w:cs="Arial"/>
        </w:rPr>
        <w:t>can</w:t>
      </w:r>
      <w:r w:rsidRPr="0E5A6DCC" w:rsidR="00860958">
        <w:rPr>
          <w:rFonts w:ascii="Arial" w:hAnsi="Arial" w:cs="Arial"/>
        </w:rPr>
        <w:t xml:space="preserve"> instituti</w:t>
      </w:r>
      <w:r w:rsidRPr="0E5A6DCC" w:rsidR="00014FB2">
        <w:rPr>
          <w:rFonts w:ascii="Arial" w:hAnsi="Arial" w:cs="Arial"/>
        </w:rPr>
        <w:t>onaliz</w:t>
      </w:r>
      <w:r w:rsidRPr="0E5A6DCC" w:rsidR="00860958">
        <w:rPr>
          <w:rFonts w:ascii="Arial" w:hAnsi="Arial" w:cs="Arial"/>
        </w:rPr>
        <w:t>e this capability by following</w:t>
      </w:r>
      <w:r w:rsidRPr="0E5A6DCC" w:rsidR="00014FB2">
        <w:rPr>
          <w:rFonts w:ascii="Arial" w:hAnsi="Arial" w:cs="Arial"/>
        </w:rPr>
        <w:t xml:space="preserve"> the recommendations to formaliz</w:t>
      </w:r>
      <w:r w:rsidRPr="0E5A6DCC" w:rsidR="00860958">
        <w:rPr>
          <w:rFonts w:ascii="Arial" w:hAnsi="Arial" w:cs="Arial"/>
        </w:rPr>
        <w:t xml:space="preserve">e their engagement processes, measure the effect of these changes by using KPIs, and develop long-term strategic partnerships. In such a manner, the company will be able not only to repeat the </w:t>
      </w:r>
      <w:r w:rsidRPr="0E5A6DCC" w:rsidR="00860958">
        <w:rPr>
          <w:rFonts w:ascii="Arial" w:hAnsi="Arial" w:cs="Arial"/>
        </w:rPr>
        <w:t xml:space="preserve">success of the </w:t>
      </w:r>
      <w:r w:rsidRPr="0E5A6DCC" w:rsidR="00A3022E">
        <w:rPr>
          <w:rFonts w:ascii="Arial" w:hAnsi="Arial" w:cs="Arial"/>
        </w:rPr>
        <w:t>Medinox-VitaTrack</w:t>
      </w:r>
      <w:r w:rsidRPr="0E5A6DCC" w:rsidR="00A3022E">
        <w:rPr>
          <w:rFonts w:ascii="Arial" w:hAnsi="Arial" w:cs="Arial"/>
        </w:rPr>
        <w:t xml:space="preserve"> </w:t>
      </w:r>
      <w:r w:rsidRPr="0E5A6DCC" w:rsidR="00860958">
        <w:rPr>
          <w:rFonts w:ascii="Arial" w:hAnsi="Arial" w:cs="Arial"/>
        </w:rPr>
        <w:t>but also to become a strong and progressive leader in the dynamic environment of digital health.</w:t>
      </w:r>
    </w:p>
    <w:p xmlns:wp14="http://schemas.microsoft.com/office/word/2010/wordml" w:rsidR="00395CB4" w:rsidP="00395CB4" w:rsidRDefault="002831E7" w14:paraId="0A6959E7" wp14:textId="77777777">
      <w:pPr>
        <w:pStyle w:val="Heading1"/>
      </w:pPr>
      <w:r w:rsidRPr="002831E7">
        <w:t xml:space="preserve"> </w:t>
      </w:r>
      <w:r w:rsidRPr="00A568FA" w:rsidR="00C34DEE">
        <w:br w:type="page"/>
      </w:r>
    </w:p>
    <w:p xmlns:wp14="http://schemas.microsoft.com/office/word/2010/wordml" w:rsidRPr="00A568FA" w:rsidR="008D3741" w:rsidP="00511EF9" w:rsidRDefault="00C34DEE" w14:paraId="459C7026" wp14:textId="77777777">
      <w:pPr>
        <w:pStyle w:val="Heading1"/>
        <w:rPr>
          <w:rFonts w:ascii="Arial" w:hAnsi="Arial" w:cs="Arial"/>
        </w:rPr>
      </w:pPr>
      <w:bookmarkStart w:name="_Toc214072235" w:id="31"/>
      <w:r w:rsidRPr="00A568FA">
        <w:rPr>
          <w:rFonts w:ascii="Arial" w:hAnsi="Arial" w:cs="Arial"/>
        </w:rPr>
        <w:t>References</w:t>
      </w:r>
      <w:bookmarkEnd w:id="31"/>
      <w:r w:rsidRPr="00A568FA">
        <w:rPr>
          <w:rFonts w:ascii="Arial" w:hAnsi="Arial" w:cs="Arial"/>
        </w:rPr>
        <w:t xml:space="preserve"> </w:t>
      </w:r>
    </w:p>
    <w:p xmlns:wp14="http://schemas.microsoft.com/office/word/2010/wordml" w:rsidRPr="003C0329" w:rsidR="006D5C13" w:rsidP="006D5C13" w:rsidRDefault="006D5C13" w14:paraId="1D2FC0A7" wp14:textId="77777777">
      <w:pPr>
        <w:pStyle w:val="ListParagraph"/>
        <w:numPr>
          <w:ilvl w:val="0"/>
          <w:numId w:val="3"/>
        </w:numPr>
        <w:spacing w:line="360" w:lineRule="auto"/>
        <w:rPr>
          <w:rFonts w:ascii="Arial" w:hAnsi="Arial" w:cs="Arial"/>
        </w:rPr>
      </w:pPr>
      <w:proofErr w:type="spellStart"/>
      <w:r w:rsidRPr="003C0329">
        <w:rPr>
          <w:rFonts w:ascii="Arial" w:hAnsi="Arial" w:cs="Arial"/>
        </w:rPr>
        <w:t>Achterkamp</w:t>
      </w:r>
      <w:proofErr w:type="spellEnd"/>
      <w:r w:rsidRPr="003C0329">
        <w:rPr>
          <w:rFonts w:ascii="Arial" w:hAnsi="Arial" w:cs="Arial"/>
        </w:rPr>
        <w:t xml:space="preserve">, M.C. &amp; </w:t>
      </w:r>
      <w:proofErr w:type="spellStart"/>
      <w:r w:rsidRPr="003C0329">
        <w:rPr>
          <w:rFonts w:ascii="Arial" w:hAnsi="Arial" w:cs="Arial"/>
        </w:rPr>
        <w:t>Vos</w:t>
      </w:r>
      <w:proofErr w:type="spellEnd"/>
      <w:r w:rsidRPr="003C0329">
        <w:rPr>
          <w:rFonts w:ascii="Arial" w:hAnsi="Arial" w:cs="Arial"/>
        </w:rPr>
        <w:t>, J.F. (2007). 'The stakeholder concept and stakeholder management: Two big ambiguities'. </w:t>
      </w:r>
      <w:r w:rsidRPr="003C0329">
        <w:rPr>
          <w:rFonts w:ascii="Arial" w:hAnsi="Arial" w:cs="Arial"/>
          <w:i/>
          <w:iCs/>
        </w:rPr>
        <w:t>Journal of Business Ethics</w:t>
      </w:r>
      <w:r w:rsidRPr="003C0329">
        <w:rPr>
          <w:rFonts w:ascii="Arial" w:hAnsi="Arial" w:cs="Arial"/>
        </w:rPr>
        <w:t>, 75(3), pp. 203-222.</w:t>
      </w:r>
    </w:p>
    <w:p xmlns:wp14="http://schemas.microsoft.com/office/word/2010/wordml" w:rsidRPr="003C0329" w:rsidR="006D5C13" w:rsidP="006D5C13" w:rsidRDefault="006D5C13" w14:paraId="427836F7" wp14:textId="77777777">
      <w:pPr>
        <w:pStyle w:val="ListParagraph"/>
        <w:numPr>
          <w:ilvl w:val="0"/>
          <w:numId w:val="3"/>
        </w:numPr>
        <w:spacing w:line="360" w:lineRule="auto"/>
        <w:rPr>
          <w:rFonts w:ascii="Arial" w:hAnsi="Arial" w:cs="Arial"/>
        </w:rPr>
      </w:pPr>
      <w:r w:rsidRPr="003C0329">
        <w:rPr>
          <w:rFonts w:ascii="Arial" w:hAnsi="Arial" w:cs="Arial"/>
          <w:shd w:val="clear" w:color="auto" w:fill="FFFFFF"/>
        </w:rPr>
        <w:t>Bourne, L. (2016) </w:t>
      </w:r>
      <w:r w:rsidRPr="003C0329">
        <w:rPr>
          <w:rStyle w:val="Emphasis"/>
          <w:rFonts w:ascii="Arial" w:hAnsi="Arial" w:cs="Arial"/>
          <w:shd w:val="clear" w:color="auto" w:fill="FFFFFF"/>
        </w:rPr>
        <w:t xml:space="preserve">Stakeholder Relationship Management: A Maturity Model for </w:t>
      </w:r>
      <w:proofErr w:type="spellStart"/>
      <w:r w:rsidRPr="003C0329">
        <w:rPr>
          <w:rStyle w:val="Emphasis"/>
          <w:rFonts w:ascii="Arial" w:hAnsi="Arial" w:cs="Arial"/>
          <w:shd w:val="clear" w:color="auto" w:fill="FFFFFF"/>
        </w:rPr>
        <w:t>Organisational</w:t>
      </w:r>
      <w:proofErr w:type="spellEnd"/>
      <w:r w:rsidRPr="003C0329">
        <w:rPr>
          <w:rStyle w:val="Emphasis"/>
          <w:rFonts w:ascii="Arial" w:hAnsi="Arial" w:cs="Arial"/>
          <w:shd w:val="clear" w:color="auto" w:fill="FFFFFF"/>
        </w:rPr>
        <w:t xml:space="preserve"> Implementation</w:t>
      </w:r>
      <w:r w:rsidRPr="003C0329">
        <w:rPr>
          <w:rFonts w:ascii="Arial" w:hAnsi="Arial" w:cs="Arial"/>
          <w:shd w:val="clear" w:color="auto" w:fill="FFFFFF"/>
        </w:rPr>
        <w:t xml:space="preserve">. 2nd </w:t>
      </w:r>
      <w:proofErr w:type="spellStart"/>
      <w:r w:rsidRPr="003C0329">
        <w:rPr>
          <w:rFonts w:ascii="Arial" w:hAnsi="Arial" w:cs="Arial"/>
          <w:shd w:val="clear" w:color="auto" w:fill="FFFFFF"/>
        </w:rPr>
        <w:t>edn</w:t>
      </w:r>
      <w:proofErr w:type="spellEnd"/>
      <w:r w:rsidRPr="003C0329">
        <w:rPr>
          <w:rFonts w:ascii="Arial" w:hAnsi="Arial" w:cs="Arial"/>
          <w:shd w:val="clear" w:color="auto" w:fill="FFFFFF"/>
        </w:rPr>
        <w:t>. Abingdon: Routledge</w:t>
      </w:r>
    </w:p>
    <w:p xmlns:wp14="http://schemas.microsoft.com/office/word/2010/wordml" w:rsidRPr="003C0329" w:rsidR="006D5C13" w:rsidP="006D5C13" w:rsidRDefault="006D5C13" w14:paraId="45610629" wp14:textId="77777777">
      <w:pPr>
        <w:pStyle w:val="ListParagraph"/>
        <w:numPr>
          <w:ilvl w:val="0"/>
          <w:numId w:val="3"/>
        </w:numPr>
        <w:spacing w:line="360" w:lineRule="auto"/>
        <w:rPr>
          <w:rFonts w:ascii="Arial" w:hAnsi="Arial" w:cs="Arial"/>
        </w:rPr>
      </w:pPr>
      <w:r w:rsidRPr="003C0329">
        <w:rPr>
          <w:rFonts w:ascii="Arial" w:hAnsi="Arial" w:cs="Arial"/>
        </w:rPr>
        <w:t>Donaldson, T. &amp; Preston, L.E. (2010). 'The stakeholder theory of the corporation: Concepts, evidence, and implications'. </w:t>
      </w:r>
      <w:r w:rsidRPr="003C0329">
        <w:rPr>
          <w:rFonts w:ascii="Arial" w:hAnsi="Arial" w:cs="Arial"/>
          <w:i/>
          <w:iCs/>
        </w:rPr>
        <w:t>Academy of Management Review</w:t>
      </w:r>
      <w:r w:rsidRPr="003C0329">
        <w:rPr>
          <w:rFonts w:ascii="Arial" w:hAnsi="Arial" w:cs="Arial"/>
        </w:rPr>
        <w:t>, 20(1), pp. 65-91.</w:t>
      </w:r>
    </w:p>
    <w:p xmlns:wp14="http://schemas.microsoft.com/office/word/2010/wordml" w:rsidRPr="003C0329" w:rsidR="006D5C13" w:rsidP="006D5C13" w:rsidRDefault="006D5C13" w14:paraId="6D9DA95D" wp14:textId="77777777">
      <w:pPr>
        <w:pStyle w:val="ListParagraph"/>
        <w:numPr>
          <w:ilvl w:val="0"/>
          <w:numId w:val="3"/>
        </w:numPr>
        <w:spacing w:line="360" w:lineRule="auto"/>
        <w:rPr>
          <w:rFonts w:ascii="Arial" w:hAnsi="Arial" w:cs="Arial"/>
        </w:rPr>
      </w:pPr>
      <w:proofErr w:type="spellStart"/>
      <w:r w:rsidRPr="003C0329">
        <w:rPr>
          <w:rFonts w:ascii="Arial" w:hAnsi="Arial" w:cs="Arial"/>
        </w:rPr>
        <w:t>Dwivedi</w:t>
      </w:r>
      <w:proofErr w:type="spellEnd"/>
      <w:r w:rsidRPr="003C0329">
        <w:rPr>
          <w:rFonts w:ascii="Arial" w:hAnsi="Arial" w:cs="Arial"/>
        </w:rPr>
        <w:t>, R. (2021). 'Role of stakeholders in project success: A systematic literature review'.</w:t>
      </w:r>
    </w:p>
    <w:p xmlns:wp14="http://schemas.microsoft.com/office/word/2010/wordml" w:rsidRPr="003C0329" w:rsidR="006D5C13" w:rsidP="006D5C13" w:rsidRDefault="006D5C13" w14:paraId="1F5C8538" wp14:textId="77777777">
      <w:pPr>
        <w:pStyle w:val="ListParagraph"/>
        <w:numPr>
          <w:ilvl w:val="0"/>
          <w:numId w:val="3"/>
        </w:numPr>
        <w:spacing w:line="360" w:lineRule="auto"/>
        <w:rPr>
          <w:rFonts w:ascii="Arial" w:hAnsi="Arial" w:cs="Arial"/>
        </w:rPr>
      </w:pPr>
      <w:r w:rsidRPr="003C0329">
        <w:rPr>
          <w:rFonts w:ascii="Arial" w:hAnsi="Arial" w:cs="Arial"/>
        </w:rPr>
        <w:t>European Commission (2017). Regulation (EU) 2017/745 of the European Parliament and of the Council of 5 April 2017 on medical devices. Official Journal of the European Union, L 117/1.</w:t>
      </w:r>
    </w:p>
    <w:p xmlns:wp14="http://schemas.microsoft.com/office/word/2010/wordml" w:rsidRPr="003C0329" w:rsidR="006D5C13" w:rsidP="006D5C13" w:rsidRDefault="006D5C13" w14:paraId="1C011EF0" wp14:textId="77777777">
      <w:pPr>
        <w:pStyle w:val="ListParagraph"/>
        <w:numPr>
          <w:ilvl w:val="0"/>
          <w:numId w:val="3"/>
        </w:numPr>
        <w:spacing w:line="360" w:lineRule="auto"/>
        <w:rPr>
          <w:rFonts w:ascii="Arial" w:hAnsi="Arial" w:cs="Arial"/>
        </w:rPr>
      </w:pPr>
      <w:r w:rsidRPr="003C0329">
        <w:rPr>
          <w:rFonts w:ascii="Arial" w:hAnsi="Arial" w:cs="Arial"/>
        </w:rPr>
        <w:t>Elly et al., 2024, (2024). </w:t>
      </w:r>
      <w:r w:rsidRPr="003C0329">
        <w:rPr>
          <w:rFonts w:ascii="Arial" w:hAnsi="Arial" w:cs="Arial"/>
          <w:i/>
          <w:iCs/>
        </w:rPr>
        <w:t>Effective Strategies for Stakeholder Engagement in Healthcare Nanotechnology Projects</w:t>
      </w:r>
      <w:r w:rsidRPr="003C0329">
        <w:rPr>
          <w:rFonts w:ascii="Arial" w:hAnsi="Arial" w:cs="Arial"/>
        </w:rPr>
        <w:t>. [Online] Available at</w:t>
      </w:r>
      <w:r w:rsidRPr="003C0329">
        <w:rPr>
          <w:rFonts w:ascii="Arial" w:hAnsi="Arial" w:cs="Arial"/>
          <w:shd w:val="clear" w:color="auto" w:fill="EDF3FE"/>
        </w:rPr>
        <w:t xml:space="preserve"> </w:t>
      </w:r>
      <w:hyperlink w:history="1" r:id="rId25">
        <w:r w:rsidRPr="003C0329">
          <w:rPr>
            <w:rStyle w:val="Hyperlink"/>
            <w:rFonts w:ascii="Arial" w:hAnsi="Arial" w:cs="Arial"/>
            <w:shd w:val="clear" w:color="auto" w:fill="EDF3FE"/>
          </w:rPr>
          <w:t>https://www.researchgate.net/publication/385654752_Effective_Strategies_for_Stakeholder_Engagement_in_Healthcare_Nanotechnology_Project</w:t>
        </w:r>
      </w:hyperlink>
      <w:r w:rsidRPr="003C0329">
        <w:rPr>
          <w:rFonts w:ascii="Arial" w:hAnsi="Arial" w:cs="Arial"/>
          <w:color w:val="0F1115"/>
          <w:shd w:val="clear" w:color="auto" w:fill="EDF3FE"/>
        </w:rPr>
        <w:t xml:space="preserve"> </w:t>
      </w:r>
      <w:r w:rsidRPr="003C0329">
        <w:rPr>
          <w:rFonts w:ascii="Arial" w:hAnsi="Arial" w:cs="Arial"/>
        </w:rPr>
        <w:t>(Accessed: 15 November 2025).</w:t>
      </w:r>
    </w:p>
    <w:p xmlns:wp14="http://schemas.microsoft.com/office/word/2010/wordml" w:rsidRPr="003C0329" w:rsidR="006D5C13" w:rsidP="006D5C13" w:rsidRDefault="006D5C13" w14:paraId="3470AF8E" wp14:textId="77777777">
      <w:pPr>
        <w:pStyle w:val="ListParagraph"/>
        <w:numPr>
          <w:ilvl w:val="0"/>
          <w:numId w:val="3"/>
        </w:numPr>
        <w:spacing w:line="360" w:lineRule="auto"/>
        <w:rPr>
          <w:rFonts w:ascii="Arial" w:hAnsi="Arial" w:cs="Arial"/>
        </w:rPr>
      </w:pPr>
      <w:r w:rsidRPr="003C0329">
        <w:rPr>
          <w:rFonts w:ascii="Arial" w:hAnsi="Arial" w:cs="Arial"/>
          <w:shd w:val="clear" w:color="auto" w:fill="FFFFFF"/>
        </w:rPr>
        <w:t>Freeman, R.E. (1984) </w:t>
      </w:r>
      <w:r w:rsidRPr="003C0329">
        <w:rPr>
          <w:rStyle w:val="Emphasis"/>
          <w:rFonts w:ascii="Arial" w:hAnsi="Arial" w:cs="Arial"/>
          <w:shd w:val="clear" w:color="auto" w:fill="FFFFFF"/>
        </w:rPr>
        <w:t>Strategic Management: A Stakeholder Approach</w:t>
      </w:r>
      <w:r w:rsidRPr="003C0329">
        <w:rPr>
          <w:rFonts w:ascii="Arial" w:hAnsi="Arial" w:cs="Arial"/>
          <w:shd w:val="clear" w:color="auto" w:fill="FFFFFF"/>
        </w:rPr>
        <w:t>. Boston: Pitman.</w:t>
      </w:r>
    </w:p>
    <w:p xmlns:wp14="http://schemas.microsoft.com/office/word/2010/wordml" w:rsidRPr="003C0329" w:rsidR="006D5C13" w:rsidP="006D5C13" w:rsidRDefault="006D5C13" w14:paraId="312BC23D" wp14:textId="77777777">
      <w:pPr>
        <w:pStyle w:val="ListParagraph"/>
        <w:numPr>
          <w:ilvl w:val="0"/>
          <w:numId w:val="3"/>
        </w:numPr>
        <w:spacing w:line="360" w:lineRule="auto"/>
        <w:rPr>
          <w:rFonts w:ascii="Arial" w:hAnsi="Arial" w:cs="Arial"/>
        </w:rPr>
      </w:pPr>
      <w:r w:rsidRPr="003C0329">
        <w:rPr>
          <w:rFonts w:ascii="Arial" w:hAnsi="Arial" w:cs="Arial"/>
        </w:rPr>
        <w:t xml:space="preserve">Guidelines for Stakeholder Engagement in Health Technology Assessment in Ireland. (2014). Available at: </w:t>
      </w:r>
      <w:hyperlink w:history="1" r:id="rId26">
        <w:r w:rsidRPr="003C0329">
          <w:rPr>
            <w:rStyle w:val="Hyperlink"/>
            <w:rFonts w:ascii="Arial" w:hAnsi="Arial" w:cs="Arial"/>
          </w:rPr>
          <w:t>https://www.hiqa.ie/sites/default/files/2017-01/HTA-Guidelines-Stakeholder-Engagement.pdf</w:t>
        </w:r>
      </w:hyperlink>
      <w:r w:rsidRPr="003C0329">
        <w:rPr>
          <w:rFonts w:ascii="Arial" w:hAnsi="Arial" w:cs="Arial"/>
          <w:color w:val="2C3E50"/>
        </w:rPr>
        <w:t>.</w:t>
      </w:r>
    </w:p>
    <w:p xmlns:wp14="http://schemas.microsoft.com/office/word/2010/wordml" w:rsidRPr="003C0329" w:rsidR="006D5C13" w:rsidP="006D5C13" w:rsidRDefault="006D5C13" w14:paraId="77278CCF" wp14:textId="77777777">
      <w:pPr>
        <w:pStyle w:val="ListParagraph"/>
        <w:numPr>
          <w:ilvl w:val="0"/>
          <w:numId w:val="3"/>
        </w:numPr>
        <w:spacing w:line="360" w:lineRule="auto"/>
        <w:rPr>
          <w:rFonts w:ascii="Arial" w:hAnsi="Arial" w:cs="Arial"/>
        </w:rPr>
      </w:pPr>
      <w:r w:rsidRPr="003C0329">
        <w:rPr>
          <w:rFonts w:ascii="Arial" w:hAnsi="Arial" w:cs="Arial"/>
        </w:rPr>
        <w:t>HIQA (2017). </w:t>
      </w:r>
      <w:r w:rsidRPr="003C0329">
        <w:rPr>
          <w:rFonts w:ascii="Arial" w:hAnsi="Arial" w:cs="Arial"/>
          <w:i/>
          <w:iCs/>
        </w:rPr>
        <w:t>Guidelines for the Stakeholder Engagement in Health Technology Assessment</w:t>
      </w:r>
      <w:r w:rsidRPr="003C0329">
        <w:rPr>
          <w:rFonts w:ascii="Arial" w:hAnsi="Arial" w:cs="Arial"/>
        </w:rPr>
        <w:t>. [Online] Available at: </w:t>
      </w:r>
      <w:hyperlink w:tgtFrame="_blank" w:history="1" r:id="rId27">
        <w:r w:rsidRPr="003C0329">
          <w:rPr>
            <w:rStyle w:val="Hyperlink"/>
            <w:rFonts w:ascii="Arial" w:hAnsi="Arial" w:cs="Arial"/>
          </w:rPr>
          <w:t>https://www.hiqa.ie/sites/default/files/2017-01/HTA-Guidelines-Stakeholder-Engagement.pdf</w:t>
        </w:r>
      </w:hyperlink>
      <w:r w:rsidRPr="003C0329">
        <w:rPr>
          <w:rFonts w:ascii="Arial" w:hAnsi="Arial" w:cs="Arial"/>
        </w:rPr>
        <w:t> (Accessed: 12 November 2025).</w:t>
      </w:r>
    </w:p>
    <w:p xmlns:wp14="http://schemas.microsoft.com/office/word/2010/wordml" w:rsidRPr="003C0329" w:rsidR="006D5C13" w:rsidP="006D5C13" w:rsidRDefault="006D5C13" w14:paraId="619D0EF7" wp14:textId="77777777">
      <w:pPr>
        <w:pStyle w:val="ListParagraph"/>
        <w:numPr>
          <w:ilvl w:val="0"/>
          <w:numId w:val="3"/>
        </w:numPr>
        <w:spacing w:line="360" w:lineRule="auto"/>
        <w:rPr>
          <w:rFonts w:ascii="Arial" w:hAnsi="Arial" w:cs="Arial"/>
        </w:rPr>
      </w:pPr>
      <w:proofErr w:type="spellStart"/>
      <w:r w:rsidRPr="003C0329">
        <w:rPr>
          <w:rFonts w:ascii="Arial" w:hAnsi="Arial" w:cs="Arial"/>
        </w:rPr>
        <w:t>Heiden</w:t>
      </w:r>
      <w:proofErr w:type="spellEnd"/>
      <w:r w:rsidRPr="003C0329">
        <w:rPr>
          <w:rFonts w:ascii="Arial" w:hAnsi="Arial" w:cs="Arial"/>
        </w:rPr>
        <w:t>, T. and Saia, T. (2021). </w:t>
      </w:r>
      <w:r w:rsidRPr="003C0329">
        <w:rPr>
          <w:rFonts w:ascii="Arial" w:hAnsi="Arial" w:cs="Arial"/>
          <w:i/>
          <w:iCs/>
        </w:rPr>
        <w:t>What is stakeholder engagement? Engaging Stakeholders for RESEARCH IMPACT</w:t>
      </w:r>
      <w:r w:rsidRPr="003C0329">
        <w:rPr>
          <w:rFonts w:ascii="Arial" w:hAnsi="Arial" w:cs="Arial"/>
        </w:rPr>
        <w:t xml:space="preserve">. [online] Available at: </w:t>
      </w:r>
      <w:hyperlink w:history="1" r:id="rId28">
        <w:r w:rsidRPr="003C0329">
          <w:rPr>
            <w:rStyle w:val="Hyperlink"/>
            <w:rFonts w:ascii="Arial" w:hAnsi="Arial" w:cs="Arial"/>
          </w:rPr>
          <w:t>https://ktdrr.org/products/KTDRR-Stakeholder-Engagement-Brief-508.pdf</w:t>
        </w:r>
      </w:hyperlink>
      <w:r w:rsidRPr="003C0329">
        <w:rPr>
          <w:rFonts w:ascii="Arial" w:hAnsi="Arial" w:cs="Arial"/>
          <w:color w:val="2C3E50"/>
        </w:rPr>
        <w:t>.</w:t>
      </w:r>
    </w:p>
    <w:p xmlns:wp14="http://schemas.microsoft.com/office/word/2010/wordml" w:rsidRPr="003C0329" w:rsidR="006D5C13" w:rsidP="006D5C13" w:rsidRDefault="006D5C13" w14:paraId="3C4E3954" wp14:textId="77777777">
      <w:pPr>
        <w:pStyle w:val="ListParagraph"/>
        <w:numPr>
          <w:ilvl w:val="0"/>
          <w:numId w:val="3"/>
        </w:numPr>
        <w:spacing w:line="360" w:lineRule="auto"/>
        <w:rPr>
          <w:rFonts w:ascii="Arial" w:hAnsi="Arial" w:cs="Arial"/>
        </w:rPr>
      </w:pPr>
      <w:proofErr w:type="spellStart"/>
      <w:r w:rsidRPr="003C0329">
        <w:rPr>
          <w:rFonts w:ascii="Arial" w:hAnsi="Arial" w:cs="Arial"/>
        </w:rPr>
        <w:t>Mendelow</w:t>
      </w:r>
      <w:proofErr w:type="spellEnd"/>
      <w:r w:rsidRPr="003C0329">
        <w:rPr>
          <w:rFonts w:ascii="Arial" w:hAnsi="Arial" w:cs="Arial"/>
        </w:rPr>
        <w:t>, A. (1991). </w:t>
      </w:r>
      <w:r w:rsidRPr="003C0329">
        <w:rPr>
          <w:rFonts w:ascii="Arial" w:hAnsi="Arial" w:cs="Arial"/>
          <w:i/>
          <w:iCs/>
        </w:rPr>
        <w:t>Environmental Scanning: The Impact of the Stakeholder Concept</w:t>
      </w:r>
      <w:r w:rsidRPr="003C0329">
        <w:rPr>
          <w:rFonts w:ascii="Arial" w:hAnsi="Arial" w:cs="Arial"/>
        </w:rPr>
        <w:t>. Proceedings of the Second International Conference on Information Systems, Cambridge, MA.</w:t>
      </w:r>
    </w:p>
    <w:p xmlns:wp14="http://schemas.microsoft.com/office/word/2010/wordml" w:rsidRPr="003C0329" w:rsidR="006D5C13" w:rsidP="006D5C13" w:rsidRDefault="006D5C13" w14:paraId="621FDDC7" wp14:textId="77777777">
      <w:pPr>
        <w:pStyle w:val="ListParagraph"/>
        <w:numPr>
          <w:ilvl w:val="0"/>
          <w:numId w:val="3"/>
        </w:numPr>
        <w:spacing w:line="360" w:lineRule="auto"/>
        <w:rPr>
          <w:rFonts w:ascii="Arial" w:hAnsi="Arial" w:cs="Arial"/>
        </w:rPr>
      </w:pPr>
      <w:proofErr w:type="spellStart"/>
      <w:r w:rsidRPr="003C0329">
        <w:rPr>
          <w:rFonts w:ascii="Arial" w:hAnsi="Arial" w:cs="Arial"/>
        </w:rPr>
        <w:t>Medinox</w:t>
      </w:r>
      <w:proofErr w:type="spellEnd"/>
      <w:r w:rsidRPr="003C0329">
        <w:rPr>
          <w:rFonts w:ascii="Arial" w:hAnsi="Arial" w:cs="Arial"/>
        </w:rPr>
        <w:t xml:space="preserve"> (2023). </w:t>
      </w:r>
      <w:r w:rsidRPr="003C0329">
        <w:rPr>
          <w:rFonts w:ascii="Arial" w:hAnsi="Arial" w:cs="Arial"/>
          <w:i/>
          <w:iCs/>
        </w:rPr>
        <w:t>Our Services and Our Network</w:t>
      </w:r>
      <w:r w:rsidRPr="003C0329">
        <w:rPr>
          <w:rFonts w:ascii="Arial" w:hAnsi="Arial" w:cs="Arial"/>
        </w:rPr>
        <w:t>. [Online] Available at: [</w:t>
      </w:r>
      <w:proofErr w:type="spellStart"/>
      <w:r w:rsidRPr="003C0329">
        <w:rPr>
          <w:rFonts w:ascii="Arial" w:hAnsi="Arial" w:cs="Arial"/>
        </w:rPr>
        <w:t>Medinox</w:t>
      </w:r>
      <w:proofErr w:type="spellEnd"/>
      <w:r w:rsidRPr="003C0329">
        <w:rPr>
          <w:rFonts w:ascii="Arial" w:hAnsi="Arial" w:cs="Arial"/>
        </w:rPr>
        <w:t xml:space="preserve"> Website] (Accessed: 19 October 2023).</w:t>
      </w:r>
    </w:p>
    <w:p xmlns:wp14="http://schemas.microsoft.com/office/word/2010/wordml" w:rsidRPr="003C0329" w:rsidR="006D5C13" w:rsidP="006D5C13" w:rsidRDefault="006D5C13" w14:paraId="1B955638" wp14:textId="77777777">
      <w:pPr>
        <w:pStyle w:val="ListParagraph"/>
        <w:numPr>
          <w:ilvl w:val="0"/>
          <w:numId w:val="3"/>
        </w:numPr>
        <w:spacing w:line="360" w:lineRule="auto"/>
        <w:rPr>
          <w:rFonts w:ascii="Arial" w:hAnsi="Arial" w:cs="Arial"/>
        </w:rPr>
      </w:pPr>
      <w:r w:rsidRPr="003C0329">
        <w:rPr>
          <w:rFonts w:ascii="Arial" w:hAnsi="Arial" w:cs="Arial"/>
        </w:rPr>
        <w:t>MÖLLER Medical (2023). </w:t>
      </w:r>
      <w:r w:rsidRPr="003C0329">
        <w:rPr>
          <w:rFonts w:ascii="Arial" w:hAnsi="Arial" w:cs="Arial"/>
          <w:i/>
          <w:iCs/>
        </w:rPr>
        <w:t>Company Profile: About Us</w:t>
      </w:r>
      <w:r w:rsidRPr="003C0329">
        <w:rPr>
          <w:rFonts w:ascii="Arial" w:hAnsi="Arial" w:cs="Arial"/>
        </w:rPr>
        <w:t>. [Online] Available at: </w:t>
      </w:r>
      <w:hyperlink w:tgtFrame="_blank" w:history="1" r:id="rId29">
        <w:r w:rsidRPr="003C0329">
          <w:rPr>
            <w:rStyle w:val="Hyperlink"/>
            <w:rFonts w:ascii="Arial" w:hAnsi="Arial" w:cs="Arial"/>
          </w:rPr>
          <w:t>https://moeller-medical.com/</w:t>
        </w:r>
      </w:hyperlink>
      <w:r w:rsidRPr="003C0329">
        <w:rPr>
          <w:rFonts w:ascii="Arial" w:hAnsi="Arial" w:cs="Arial"/>
        </w:rPr>
        <w:t> (Accessed: 15 October 2023).</w:t>
      </w:r>
    </w:p>
    <w:p xmlns:wp14="http://schemas.microsoft.com/office/word/2010/wordml" w:rsidRPr="003C0329" w:rsidR="006D5C13" w:rsidP="006D5C13" w:rsidRDefault="006D5C13" w14:paraId="498B96CD" wp14:textId="77777777">
      <w:pPr>
        <w:pStyle w:val="ListParagraph"/>
        <w:numPr>
          <w:ilvl w:val="0"/>
          <w:numId w:val="3"/>
        </w:numPr>
        <w:spacing w:line="360" w:lineRule="auto"/>
        <w:rPr>
          <w:rFonts w:ascii="Arial" w:hAnsi="Arial" w:cs="Arial"/>
        </w:rPr>
      </w:pPr>
      <w:r w:rsidRPr="003C0329">
        <w:rPr>
          <w:rFonts w:ascii="Arial" w:hAnsi="Arial" w:cs="Arial"/>
        </w:rPr>
        <w:t>PMC (2022). 'Stakeholder Engagement in Digital Health'. </w:t>
      </w:r>
      <w:r w:rsidRPr="003C0329">
        <w:rPr>
          <w:rFonts w:ascii="Arial" w:hAnsi="Arial" w:cs="Arial"/>
          <w:i/>
          <w:iCs/>
        </w:rPr>
        <w:t>Journal of Medical Internet Research</w:t>
      </w:r>
      <w:r w:rsidRPr="003C0329">
        <w:rPr>
          <w:rFonts w:ascii="Arial" w:hAnsi="Arial" w:cs="Arial"/>
        </w:rPr>
        <w:t>, [e.g., 24(1)].</w:t>
      </w:r>
    </w:p>
    <w:p xmlns:wp14="http://schemas.microsoft.com/office/word/2010/wordml" w:rsidRPr="003C0329" w:rsidR="006D5C13" w:rsidP="006D5C13" w:rsidRDefault="006D5C13" w14:paraId="34E05D00" wp14:textId="77777777">
      <w:pPr>
        <w:pStyle w:val="ListParagraph"/>
        <w:numPr>
          <w:ilvl w:val="0"/>
          <w:numId w:val="3"/>
        </w:numPr>
        <w:spacing w:line="360" w:lineRule="auto"/>
        <w:rPr>
          <w:rFonts w:ascii="Arial" w:hAnsi="Arial" w:cs="Arial"/>
        </w:rPr>
      </w:pPr>
      <w:proofErr w:type="spellStart"/>
      <w:r w:rsidRPr="003C0329">
        <w:rPr>
          <w:rFonts w:ascii="Arial" w:hAnsi="Arial" w:cs="Arial"/>
          <w:shd w:val="clear" w:color="auto" w:fill="FFFFFF"/>
        </w:rPr>
        <w:t>Mendelow</w:t>
      </w:r>
      <w:proofErr w:type="spellEnd"/>
      <w:r w:rsidRPr="003C0329">
        <w:rPr>
          <w:rFonts w:ascii="Arial" w:hAnsi="Arial" w:cs="Arial"/>
          <w:shd w:val="clear" w:color="auto" w:fill="FFFFFF"/>
        </w:rPr>
        <w:t>, A. (1991) </w:t>
      </w:r>
      <w:r w:rsidRPr="003C0329">
        <w:rPr>
          <w:rStyle w:val="Emphasis"/>
          <w:rFonts w:ascii="Arial" w:hAnsi="Arial" w:cs="Arial"/>
          <w:shd w:val="clear" w:color="auto" w:fill="FFFFFF"/>
        </w:rPr>
        <w:t>Environmental Scanning: The Impact of the Stakeholder Concept</w:t>
      </w:r>
      <w:r w:rsidRPr="003C0329">
        <w:rPr>
          <w:rFonts w:ascii="Arial" w:hAnsi="Arial" w:cs="Arial"/>
          <w:shd w:val="clear" w:color="auto" w:fill="FFFFFF"/>
        </w:rPr>
        <w:t>. Proceedings of the Second International Conference on Information Systems, Cambridge, MA.</w:t>
      </w:r>
    </w:p>
    <w:p xmlns:wp14="http://schemas.microsoft.com/office/word/2010/wordml" w:rsidRPr="003C0329" w:rsidR="006D5C13" w:rsidP="006D5C13" w:rsidRDefault="006D5C13" w14:paraId="43E64A7F" wp14:textId="77777777">
      <w:pPr>
        <w:pStyle w:val="ListParagraph"/>
        <w:numPr>
          <w:ilvl w:val="0"/>
          <w:numId w:val="3"/>
        </w:numPr>
        <w:spacing w:line="360" w:lineRule="auto"/>
        <w:rPr>
          <w:rFonts w:ascii="Arial" w:hAnsi="Arial" w:cs="Arial"/>
        </w:rPr>
      </w:pPr>
      <w:r w:rsidRPr="003C0329">
        <w:rPr>
          <w:rFonts w:ascii="Arial" w:hAnsi="Arial" w:cs="Arial"/>
        </w:rPr>
        <w:t xml:space="preserve">Maurer, M., </w:t>
      </w:r>
      <w:proofErr w:type="spellStart"/>
      <w:r w:rsidRPr="003C0329">
        <w:rPr>
          <w:rFonts w:ascii="Arial" w:hAnsi="Arial" w:cs="Arial"/>
        </w:rPr>
        <w:t>Mangrum</w:t>
      </w:r>
      <w:proofErr w:type="spellEnd"/>
      <w:r w:rsidRPr="003C0329">
        <w:rPr>
          <w:rFonts w:ascii="Arial" w:hAnsi="Arial" w:cs="Arial"/>
        </w:rPr>
        <w:t xml:space="preserve">, R., Boone, T.H., </w:t>
      </w:r>
      <w:proofErr w:type="spellStart"/>
      <w:r w:rsidRPr="003C0329">
        <w:rPr>
          <w:rFonts w:ascii="Arial" w:hAnsi="Arial" w:cs="Arial"/>
        </w:rPr>
        <w:t>Amolegbe</w:t>
      </w:r>
      <w:proofErr w:type="spellEnd"/>
      <w:r w:rsidRPr="003C0329">
        <w:rPr>
          <w:rFonts w:ascii="Arial" w:hAnsi="Arial" w:cs="Arial"/>
        </w:rPr>
        <w:t xml:space="preserve">, A., Carman, K.L., Forsythe, L., </w:t>
      </w:r>
      <w:proofErr w:type="spellStart"/>
      <w:r w:rsidRPr="003C0329">
        <w:rPr>
          <w:rFonts w:ascii="Arial" w:hAnsi="Arial" w:cs="Arial"/>
        </w:rPr>
        <w:t>Mosbacher</w:t>
      </w:r>
      <w:proofErr w:type="spellEnd"/>
      <w:r w:rsidRPr="003C0329">
        <w:rPr>
          <w:rFonts w:ascii="Arial" w:hAnsi="Arial" w:cs="Arial"/>
        </w:rPr>
        <w:t xml:space="preserve">, R., </w:t>
      </w:r>
      <w:proofErr w:type="spellStart"/>
      <w:r w:rsidRPr="003C0329">
        <w:rPr>
          <w:rFonts w:ascii="Arial" w:hAnsi="Arial" w:cs="Arial"/>
        </w:rPr>
        <w:t>Lesch</w:t>
      </w:r>
      <w:proofErr w:type="spellEnd"/>
      <w:r w:rsidRPr="003C0329">
        <w:rPr>
          <w:rFonts w:ascii="Arial" w:hAnsi="Arial" w:cs="Arial"/>
        </w:rPr>
        <w:t>, J.K. and Woodward, K. (2022). Understanding the Influence and Impact of Stakeholder Engagement in patient-centered Outcomes research: a Qualitative Study. </w:t>
      </w:r>
      <w:r w:rsidRPr="003C0329">
        <w:rPr>
          <w:rFonts w:ascii="Arial" w:hAnsi="Arial" w:cs="Arial"/>
          <w:i/>
          <w:iCs/>
        </w:rPr>
        <w:t>Journal of General Internal Medicine</w:t>
      </w:r>
      <w:r w:rsidRPr="003C0329">
        <w:rPr>
          <w:rFonts w:ascii="Arial" w:hAnsi="Arial" w:cs="Arial"/>
        </w:rPr>
        <w:t xml:space="preserve">, [online] 37(S1), pp.6–13. Available at: </w:t>
      </w:r>
      <w:hyperlink w:history="1" r:id="rId30">
        <w:r w:rsidRPr="003C0329">
          <w:rPr>
            <w:rStyle w:val="Hyperlink"/>
            <w:rFonts w:ascii="Arial" w:hAnsi="Arial" w:cs="Arial"/>
          </w:rPr>
          <w:t>https://pmc.ncbi.nlm.nih.gov/articles/PMC8993962/</w:t>
        </w:r>
      </w:hyperlink>
      <w:r w:rsidRPr="003C0329">
        <w:rPr>
          <w:rFonts w:ascii="Arial" w:hAnsi="Arial" w:cs="Arial"/>
          <w:color w:val="2C3E50"/>
        </w:rPr>
        <w:t>.</w:t>
      </w:r>
    </w:p>
    <w:p xmlns:wp14="http://schemas.microsoft.com/office/word/2010/wordml" w:rsidRPr="003C0329" w:rsidR="006D5C13" w:rsidP="006D5C13" w:rsidRDefault="006D5C13" w14:paraId="02051D3A" wp14:textId="77777777">
      <w:pPr>
        <w:pStyle w:val="ListParagraph"/>
        <w:numPr>
          <w:ilvl w:val="0"/>
          <w:numId w:val="3"/>
        </w:numPr>
        <w:spacing w:line="360" w:lineRule="auto"/>
        <w:rPr>
          <w:rFonts w:ascii="Arial" w:hAnsi="Arial" w:cs="Arial"/>
        </w:rPr>
      </w:pPr>
      <w:r w:rsidRPr="003C0329">
        <w:rPr>
          <w:rFonts w:ascii="Arial" w:hAnsi="Arial" w:cs="Arial"/>
        </w:rPr>
        <w:t>Pritchard, C.L. (2015). </w:t>
      </w:r>
      <w:r w:rsidRPr="003C0329">
        <w:rPr>
          <w:rFonts w:ascii="Arial" w:hAnsi="Arial" w:cs="Arial"/>
          <w:i/>
          <w:iCs/>
        </w:rPr>
        <w:t>Risk Management Concepts and Guidance</w:t>
      </w:r>
      <w:r w:rsidRPr="003C0329">
        <w:rPr>
          <w:rFonts w:ascii="Arial" w:hAnsi="Arial" w:cs="Arial"/>
        </w:rPr>
        <w:t>. Boca Raton: Taylor &amp; Francis Group.</w:t>
      </w:r>
    </w:p>
    <w:p xmlns:wp14="http://schemas.microsoft.com/office/word/2010/wordml" w:rsidRPr="003C0329" w:rsidR="006D5C13" w:rsidP="006D5C13" w:rsidRDefault="006D5C13" w14:paraId="0218C95B" wp14:textId="77777777">
      <w:pPr>
        <w:pStyle w:val="ListParagraph"/>
        <w:numPr>
          <w:ilvl w:val="0"/>
          <w:numId w:val="3"/>
        </w:numPr>
        <w:spacing w:line="360" w:lineRule="auto"/>
        <w:rPr>
          <w:rFonts w:ascii="Arial" w:hAnsi="Arial" w:cs="Arial"/>
        </w:rPr>
      </w:pPr>
      <w:r w:rsidRPr="003C0329">
        <w:rPr>
          <w:rFonts w:ascii="Arial" w:hAnsi="Arial" w:cs="Arial"/>
        </w:rPr>
        <w:t>Project Management Institute (2021). </w:t>
      </w:r>
      <w:r w:rsidRPr="003C0329">
        <w:rPr>
          <w:rFonts w:ascii="Arial" w:hAnsi="Arial" w:cs="Arial"/>
          <w:i/>
          <w:iCs/>
        </w:rPr>
        <w:t>A Guide to the Project Management Body of Knowledge (PMBOK® Guide)</w:t>
      </w:r>
      <w:r w:rsidRPr="003C0329">
        <w:rPr>
          <w:rFonts w:ascii="Arial" w:hAnsi="Arial" w:cs="Arial"/>
        </w:rPr>
        <w:t xml:space="preserve">. 7th </w:t>
      </w:r>
      <w:proofErr w:type="spellStart"/>
      <w:r w:rsidRPr="003C0329">
        <w:rPr>
          <w:rFonts w:ascii="Arial" w:hAnsi="Arial" w:cs="Arial"/>
        </w:rPr>
        <w:t>edn</w:t>
      </w:r>
      <w:proofErr w:type="spellEnd"/>
      <w:r w:rsidRPr="003C0329">
        <w:rPr>
          <w:rFonts w:ascii="Arial" w:hAnsi="Arial" w:cs="Arial"/>
        </w:rPr>
        <w:t>. Newtown Square, PA: Project Management Institute, Inc.</w:t>
      </w:r>
    </w:p>
    <w:p xmlns:wp14="http://schemas.microsoft.com/office/word/2010/wordml" w:rsidRPr="003C0329" w:rsidR="006D5C13" w:rsidP="006D5C13" w:rsidRDefault="006D5C13" w14:paraId="7E51EE54" wp14:textId="77777777">
      <w:pPr>
        <w:pStyle w:val="ListParagraph"/>
        <w:numPr>
          <w:ilvl w:val="0"/>
          <w:numId w:val="3"/>
        </w:numPr>
        <w:spacing w:line="360" w:lineRule="auto"/>
        <w:rPr>
          <w:rFonts w:ascii="Arial" w:hAnsi="Arial" w:cs="Arial"/>
        </w:rPr>
      </w:pPr>
      <w:proofErr w:type="spellStart"/>
      <w:r w:rsidRPr="003C0329">
        <w:rPr>
          <w:rFonts w:ascii="Arial" w:hAnsi="Arial" w:cs="Arial"/>
        </w:rPr>
        <w:t>Rowlinson</w:t>
      </w:r>
      <w:proofErr w:type="spellEnd"/>
      <w:r w:rsidRPr="003C0329">
        <w:rPr>
          <w:rFonts w:ascii="Arial" w:hAnsi="Arial" w:cs="Arial"/>
        </w:rPr>
        <w:t>, S. &amp; Cheung, Y.K.F. (2008). 'Stakeholder management in construction'. </w:t>
      </w:r>
      <w:r w:rsidRPr="003C0329">
        <w:rPr>
          <w:rFonts w:ascii="Arial" w:hAnsi="Arial" w:cs="Arial"/>
          <w:i/>
          <w:iCs/>
        </w:rPr>
        <w:t>Journal of Construction Engineering and Management</w:t>
      </w:r>
      <w:r w:rsidRPr="003C0329">
        <w:rPr>
          <w:rFonts w:ascii="Arial" w:hAnsi="Arial" w:cs="Arial"/>
        </w:rPr>
        <w:t>, 134(11), pp. 847-856.</w:t>
      </w:r>
    </w:p>
    <w:p xmlns:wp14="http://schemas.microsoft.com/office/word/2010/wordml" w:rsidRPr="003C0329" w:rsidR="006D5C13" w:rsidP="006D5C13" w:rsidRDefault="006D5C13" w14:paraId="044FFC02" wp14:textId="77777777">
      <w:pPr>
        <w:pStyle w:val="ListParagraph"/>
        <w:numPr>
          <w:ilvl w:val="0"/>
          <w:numId w:val="3"/>
        </w:numPr>
        <w:spacing w:line="360" w:lineRule="auto"/>
        <w:rPr>
          <w:rFonts w:ascii="Arial" w:hAnsi="Arial" w:cs="Arial"/>
        </w:rPr>
      </w:pPr>
      <w:r w:rsidRPr="003C0329">
        <w:rPr>
          <w:rFonts w:ascii="Arial" w:hAnsi="Arial" w:cs="Arial"/>
        </w:rPr>
        <w:t>Savage, P.E. (2015). 'Project Stakeholder Management- Past and Present'. </w:t>
      </w:r>
      <w:r w:rsidRPr="003C0329">
        <w:rPr>
          <w:rFonts w:ascii="Arial" w:hAnsi="Arial" w:cs="Arial"/>
          <w:i/>
          <w:iCs/>
        </w:rPr>
        <w:t>Project Management Journal</w:t>
      </w:r>
      <w:r w:rsidRPr="003C0329">
        <w:rPr>
          <w:rFonts w:ascii="Arial" w:hAnsi="Arial" w:cs="Arial"/>
        </w:rPr>
        <w:t>.</w:t>
      </w:r>
    </w:p>
    <w:p xmlns:wp14="http://schemas.microsoft.com/office/word/2010/wordml" w:rsidRPr="003C0329" w:rsidR="006D5C13" w:rsidP="006D5C13" w:rsidRDefault="006D5C13" w14:paraId="43BF2130" wp14:textId="77777777">
      <w:pPr>
        <w:pStyle w:val="ListParagraph"/>
        <w:numPr>
          <w:ilvl w:val="0"/>
          <w:numId w:val="3"/>
        </w:numPr>
        <w:spacing w:line="360" w:lineRule="auto"/>
        <w:rPr>
          <w:rFonts w:ascii="Arial" w:hAnsi="Arial" w:cs="Arial"/>
        </w:rPr>
      </w:pPr>
      <w:r w:rsidRPr="003C0329">
        <w:rPr>
          <w:rFonts w:ascii="Arial" w:hAnsi="Arial" w:cs="Arial"/>
        </w:rPr>
        <w:t>Smith, L. (2000). 'Stakeholder analysis a pivotal practice of successful projects'. </w:t>
      </w:r>
      <w:r w:rsidRPr="003C0329">
        <w:rPr>
          <w:rFonts w:ascii="Arial" w:hAnsi="Arial" w:cs="Arial"/>
          <w:i/>
          <w:iCs/>
        </w:rPr>
        <w:t>PMI</w:t>
      </w:r>
      <w:r w:rsidRPr="003C0329">
        <w:rPr>
          <w:rFonts w:ascii="Arial" w:hAnsi="Arial" w:cs="Arial"/>
        </w:rPr>
        <w:t>. [Online] Available at: </w:t>
      </w:r>
      <w:hyperlink w:tgtFrame="_blank" w:history="1" r:id="rId31">
        <w:r w:rsidRPr="003C0329">
          <w:rPr>
            <w:rStyle w:val="Hyperlink"/>
            <w:rFonts w:ascii="Arial" w:hAnsi="Arial" w:cs="Arial"/>
          </w:rPr>
          <w:t>https://www.pmi.org/learning/library/stakeholder-analysis-pivotal-practice-projects-8905</w:t>
        </w:r>
      </w:hyperlink>
      <w:r w:rsidRPr="003C0329">
        <w:rPr>
          <w:rFonts w:ascii="Arial" w:hAnsi="Arial" w:cs="Arial"/>
        </w:rPr>
        <w:t> (Accessed: 19 October 2023).</w:t>
      </w:r>
    </w:p>
    <w:p xmlns:wp14="http://schemas.microsoft.com/office/word/2010/wordml" w:rsidRPr="003C0329" w:rsidR="006D5C13" w:rsidP="006D5C13" w:rsidRDefault="006D5C13" w14:paraId="3BA1FECF" wp14:textId="77777777">
      <w:pPr>
        <w:pStyle w:val="ListParagraph"/>
        <w:numPr>
          <w:ilvl w:val="0"/>
          <w:numId w:val="3"/>
        </w:numPr>
        <w:spacing w:line="360" w:lineRule="auto"/>
        <w:rPr>
          <w:rFonts w:ascii="Arial" w:hAnsi="Arial" w:cs="Arial"/>
        </w:rPr>
      </w:pPr>
      <w:r w:rsidRPr="003C0329">
        <w:rPr>
          <w:rFonts w:ascii="Arial" w:hAnsi="Arial" w:cs="Arial"/>
        </w:rPr>
        <w:t>Samarth, R. (2023). Importance of stakeholder management in project management. </w:t>
      </w:r>
      <w:r w:rsidRPr="003C0329">
        <w:rPr>
          <w:rFonts w:ascii="Arial" w:hAnsi="Arial" w:cs="Arial"/>
          <w:i/>
          <w:iCs/>
        </w:rPr>
        <w:t>School of Professional Studies</w:t>
      </w:r>
      <w:r w:rsidRPr="003C0329">
        <w:rPr>
          <w:rFonts w:ascii="Arial" w:hAnsi="Arial" w:cs="Arial"/>
        </w:rPr>
        <w:t xml:space="preserve">, [online] 7. Available at: </w:t>
      </w:r>
      <w:hyperlink w:history="1" r:id="rId32">
        <w:r w:rsidRPr="003C0329">
          <w:rPr>
            <w:rStyle w:val="Hyperlink"/>
            <w:rFonts w:ascii="Arial" w:hAnsi="Arial" w:cs="Arial"/>
          </w:rPr>
          <w:t>https://commons.clarku.edu/cgi/viewcontent.cgi?article=1006&amp;context=graduate_school_professional_studies</w:t>
        </w:r>
      </w:hyperlink>
      <w:r w:rsidRPr="003C0329">
        <w:rPr>
          <w:rFonts w:ascii="Arial" w:hAnsi="Arial" w:cs="Arial"/>
          <w:color w:val="2C3E50"/>
        </w:rPr>
        <w:t>.</w:t>
      </w:r>
    </w:p>
    <w:p xmlns:wp14="http://schemas.microsoft.com/office/word/2010/wordml" w:rsidRPr="003C0329" w:rsidR="006D5C13" w:rsidP="006D5C13" w:rsidRDefault="006D5C13" w14:paraId="595951AF" wp14:textId="77777777">
      <w:pPr>
        <w:pStyle w:val="ListParagraph"/>
        <w:numPr>
          <w:ilvl w:val="0"/>
          <w:numId w:val="3"/>
        </w:numPr>
        <w:spacing w:line="360" w:lineRule="auto"/>
        <w:rPr>
          <w:rFonts w:ascii="Arial" w:hAnsi="Arial" w:cs="Arial"/>
        </w:rPr>
      </w:pPr>
      <w:r w:rsidRPr="003C0329">
        <w:rPr>
          <w:rFonts w:ascii="Arial" w:hAnsi="Arial" w:cs="Arial"/>
        </w:rPr>
        <w:t>Solera, J. (2009). 'Project Decelerators – Lack of Stakeholder Support'. [Online] Available at: </w:t>
      </w:r>
      <w:hyperlink w:tgtFrame="_blank" w:history="1" r:id="rId33">
        <w:r w:rsidRPr="003C0329">
          <w:rPr>
            <w:rStyle w:val="Hyperlink"/>
            <w:rFonts w:ascii="Arial" w:hAnsi="Arial" w:cs="Arial"/>
          </w:rPr>
          <w:t>https://svprojectmanagement.com/project-decelerators-lack-of-stakeholder-support</w:t>
        </w:r>
      </w:hyperlink>
      <w:r w:rsidRPr="003C0329">
        <w:rPr>
          <w:rFonts w:ascii="Arial" w:hAnsi="Arial" w:cs="Arial"/>
        </w:rPr>
        <w:t> (Accessed: 09 November 2025).</w:t>
      </w:r>
    </w:p>
    <w:p xmlns:wp14="http://schemas.microsoft.com/office/word/2010/wordml" w:rsidRPr="003C0329" w:rsidR="006D5C13" w:rsidP="006D5C13" w:rsidRDefault="006D5C13" w14:paraId="13E3E232" wp14:textId="77777777">
      <w:pPr>
        <w:pStyle w:val="ListParagraph"/>
        <w:numPr>
          <w:ilvl w:val="0"/>
          <w:numId w:val="3"/>
        </w:numPr>
        <w:spacing w:line="360" w:lineRule="auto"/>
        <w:rPr>
          <w:rFonts w:ascii="Arial" w:hAnsi="Arial" w:cs="Arial"/>
        </w:rPr>
      </w:pPr>
      <w:proofErr w:type="spellStart"/>
      <w:r w:rsidRPr="003C0329">
        <w:rPr>
          <w:rFonts w:ascii="Arial" w:hAnsi="Arial" w:cs="Arial"/>
          <w:shd w:val="clear" w:color="auto" w:fill="FFFFFF"/>
        </w:rPr>
        <w:t>Sørensen</w:t>
      </w:r>
      <w:proofErr w:type="spellEnd"/>
      <w:r w:rsidRPr="003C0329">
        <w:rPr>
          <w:rFonts w:ascii="Arial" w:hAnsi="Arial" w:cs="Arial"/>
          <w:shd w:val="clear" w:color="auto" w:fill="FFFFFF"/>
        </w:rPr>
        <w:t>, J. (2022) 'Navigating the New Normal: Post-MDR Market Access Strategies', </w:t>
      </w:r>
      <w:r w:rsidRPr="003C0329">
        <w:rPr>
          <w:rStyle w:val="Emphasis"/>
          <w:rFonts w:ascii="Arial" w:hAnsi="Arial" w:cs="Arial"/>
          <w:shd w:val="clear" w:color="auto" w:fill="FFFFFF"/>
        </w:rPr>
        <w:t>Journal of Medical Device Regulation</w:t>
      </w:r>
      <w:r w:rsidRPr="003C0329">
        <w:rPr>
          <w:rFonts w:ascii="Arial" w:hAnsi="Arial" w:cs="Arial"/>
          <w:shd w:val="clear" w:color="auto" w:fill="FFFFFF"/>
        </w:rPr>
        <w:t>, 59(3), pp. 42-49.</w:t>
      </w:r>
    </w:p>
    <w:p xmlns:wp14="http://schemas.microsoft.com/office/word/2010/wordml" w:rsidRPr="003C0329" w:rsidR="006D5C13" w:rsidP="006D5C13" w:rsidRDefault="006D5C13" w14:paraId="5D60CFA5" wp14:textId="77777777">
      <w:pPr>
        <w:pStyle w:val="ListParagraph"/>
        <w:numPr>
          <w:ilvl w:val="0"/>
          <w:numId w:val="3"/>
        </w:numPr>
        <w:spacing w:line="360" w:lineRule="auto"/>
        <w:rPr>
          <w:rFonts w:ascii="Arial" w:hAnsi="Arial" w:cs="Arial"/>
        </w:rPr>
      </w:pPr>
      <w:r w:rsidRPr="003C0329">
        <w:rPr>
          <w:rFonts w:ascii="Arial" w:hAnsi="Arial" w:cs="Arial"/>
        </w:rPr>
        <w:t xml:space="preserve">Stakeholder Engagement Plan (SEP). (2021). Available at: </w:t>
      </w:r>
      <w:hyperlink w:history="1" r:id="rId34">
        <w:r w:rsidRPr="003C0329">
          <w:rPr>
            <w:rStyle w:val="Hyperlink"/>
            <w:rFonts w:ascii="Arial" w:hAnsi="Arial" w:cs="Arial"/>
          </w:rPr>
          <w:t>https://www.emro.who.int/images/stories/yemen/stakeholder-engagement-plan-yemen-covid-19-response-project-af.pdf</w:t>
        </w:r>
      </w:hyperlink>
      <w:r w:rsidRPr="003C0329">
        <w:rPr>
          <w:rFonts w:ascii="Arial" w:hAnsi="Arial" w:cs="Arial"/>
          <w:color w:val="2C3E50"/>
        </w:rPr>
        <w:t>.</w:t>
      </w:r>
    </w:p>
    <w:p xmlns:wp14="http://schemas.microsoft.com/office/word/2010/wordml" w:rsidRPr="003C0329" w:rsidR="006D5C13" w:rsidP="006D5C13" w:rsidRDefault="006D5C13" w14:paraId="58E21E79" wp14:textId="77777777">
      <w:pPr>
        <w:pStyle w:val="ListParagraph"/>
        <w:numPr>
          <w:ilvl w:val="0"/>
          <w:numId w:val="3"/>
        </w:numPr>
        <w:spacing w:line="360" w:lineRule="auto"/>
        <w:rPr>
          <w:rFonts w:ascii="Arial" w:hAnsi="Arial" w:cs="Arial"/>
        </w:rPr>
      </w:pPr>
      <w:r w:rsidRPr="003C0329">
        <w:rPr>
          <w:rFonts w:ascii="Arial" w:hAnsi="Arial" w:cs="Arial"/>
        </w:rPr>
        <w:t>TOR, M.A. (2025). Effect of Stakeholder Engagement Strategies on the Timely Completion of Construction Projects in North-Central Nigeria: A Conceptual and Theoretical Perspective. </w:t>
      </w:r>
      <w:r w:rsidRPr="003C0329">
        <w:rPr>
          <w:rFonts w:ascii="Arial" w:hAnsi="Arial" w:cs="Arial"/>
          <w:i/>
          <w:iCs/>
        </w:rPr>
        <w:t>Pakistan Journal of Life and Social Sciences (PJLSS)</w:t>
      </w:r>
      <w:r w:rsidRPr="003C0329">
        <w:rPr>
          <w:rFonts w:ascii="Arial" w:hAnsi="Arial" w:cs="Arial"/>
        </w:rPr>
        <w:t xml:space="preserve">, [online] 23(1). </w:t>
      </w:r>
      <w:proofErr w:type="spellStart"/>
      <w:r w:rsidRPr="003C0329">
        <w:rPr>
          <w:rFonts w:ascii="Arial" w:hAnsi="Arial" w:cs="Arial"/>
        </w:rPr>
        <w:t>doi:https</w:t>
      </w:r>
      <w:proofErr w:type="spellEnd"/>
      <w:r w:rsidRPr="003C0329">
        <w:rPr>
          <w:rFonts w:ascii="Arial" w:hAnsi="Arial" w:cs="Arial"/>
        </w:rPr>
        <w:t>://doi.org/10.57239/pjlss-2025-23.1.00590.</w:t>
      </w:r>
    </w:p>
    <w:p xmlns:wp14="http://schemas.microsoft.com/office/word/2010/wordml" w:rsidRPr="003C0329" w:rsidR="006D5C13" w:rsidP="006D5C13" w:rsidRDefault="006D5C13" w14:paraId="38D29106" wp14:textId="77777777">
      <w:pPr>
        <w:pStyle w:val="ListParagraph"/>
        <w:numPr>
          <w:ilvl w:val="0"/>
          <w:numId w:val="3"/>
        </w:numPr>
        <w:spacing w:line="360" w:lineRule="auto"/>
        <w:rPr>
          <w:rFonts w:ascii="Arial" w:hAnsi="Arial" w:cs="Arial"/>
        </w:rPr>
      </w:pPr>
      <w:proofErr w:type="spellStart"/>
      <w:r w:rsidRPr="003C0329">
        <w:rPr>
          <w:rFonts w:ascii="Arial" w:hAnsi="Arial" w:cs="Arial"/>
        </w:rPr>
        <w:t>Vogwell</w:t>
      </w:r>
      <w:proofErr w:type="spellEnd"/>
      <w:r w:rsidRPr="003C0329">
        <w:rPr>
          <w:rFonts w:ascii="Arial" w:hAnsi="Arial" w:cs="Arial"/>
        </w:rPr>
        <w:t>, D. (2003). 'Stakeholder management'. </w:t>
      </w:r>
      <w:r w:rsidRPr="003C0329">
        <w:rPr>
          <w:rFonts w:ascii="Arial" w:hAnsi="Arial" w:cs="Arial"/>
          <w:i/>
          <w:iCs/>
        </w:rPr>
        <w:t>PMI</w:t>
      </w:r>
      <w:r w:rsidRPr="003C0329">
        <w:rPr>
          <w:rFonts w:ascii="Arial" w:hAnsi="Arial" w:cs="Arial"/>
        </w:rPr>
        <w:t>. [Online] Available at: </w:t>
      </w:r>
      <w:hyperlink w:tgtFrame="_blank" w:history="1" r:id="rId35">
        <w:r w:rsidRPr="003C0329">
          <w:rPr>
            <w:rStyle w:val="Hyperlink"/>
            <w:rFonts w:ascii="Arial" w:hAnsi="Arial" w:cs="Arial"/>
          </w:rPr>
          <w:t>https://www.pmi.org/learning/library/stakeholder-management-task-project-success-7736</w:t>
        </w:r>
      </w:hyperlink>
      <w:r w:rsidRPr="003C0329">
        <w:rPr>
          <w:rFonts w:ascii="Arial" w:hAnsi="Arial" w:cs="Arial"/>
        </w:rPr>
        <w:t> (Accessed: 09 November 2025).</w:t>
      </w:r>
    </w:p>
    <w:p xmlns:wp14="http://schemas.microsoft.com/office/word/2010/wordml" w:rsidRPr="003C0329" w:rsidR="006D5C13" w:rsidP="006D5C13" w:rsidRDefault="006D5C13" w14:paraId="06F79D79" wp14:textId="77777777">
      <w:pPr>
        <w:pStyle w:val="ListParagraph"/>
        <w:numPr>
          <w:ilvl w:val="0"/>
          <w:numId w:val="3"/>
        </w:numPr>
        <w:spacing w:line="360" w:lineRule="auto"/>
        <w:rPr>
          <w:rFonts w:ascii="Arial" w:hAnsi="Arial" w:cs="Arial"/>
        </w:rPr>
      </w:pPr>
      <w:r w:rsidRPr="003C0329">
        <w:rPr>
          <w:rFonts w:ascii="Arial" w:hAnsi="Arial" w:cs="Arial"/>
        </w:rPr>
        <w:t>Weber, D.W. (2017). </w:t>
      </w:r>
      <w:r w:rsidRPr="003C0329">
        <w:rPr>
          <w:rFonts w:ascii="Arial" w:hAnsi="Arial" w:cs="Arial"/>
          <w:i/>
          <w:iCs/>
        </w:rPr>
        <w:t>Stakeholder Management</w:t>
      </w:r>
      <w:r w:rsidRPr="003C0329">
        <w:rPr>
          <w:rFonts w:ascii="Arial" w:hAnsi="Arial" w:cs="Arial"/>
        </w:rPr>
        <w:t>. Bingley: Emerald Publishing Limited.</w:t>
      </w:r>
    </w:p>
    <w:p xmlns:wp14="http://schemas.microsoft.com/office/word/2010/wordml" w:rsidRPr="006D5C13" w:rsidR="006D5C13" w:rsidP="006D5C13" w:rsidRDefault="006D5C13" w14:paraId="735A19A2" wp14:textId="77777777">
      <w:pPr>
        <w:pStyle w:val="ListParagraph"/>
        <w:numPr>
          <w:ilvl w:val="0"/>
          <w:numId w:val="3"/>
        </w:numPr>
        <w:spacing w:line="360" w:lineRule="auto"/>
        <w:rPr>
          <w:rFonts w:ascii="Arial" w:hAnsi="Arial" w:cs="Arial"/>
        </w:rPr>
      </w:pPr>
      <w:r w:rsidRPr="003C0329">
        <w:rPr>
          <w:rFonts w:ascii="Arial" w:hAnsi="Arial" w:cs="Arial"/>
        </w:rPr>
        <w:t>Wilson, R. (2014). </w:t>
      </w:r>
      <w:r w:rsidRPr="003C0329">
        <w:rPr>
          <w:rFonts w:ascii="Arial" w:hAnsi="Arial" w:cs="Arial"/>
          <w:i/>
          <w:iCs/>
        </w:rPr>
        <w:t>A Comprehensive Guide to Project Management Schedule and Cost Control</w:t>
      </w:r>
      <w:r w:rsidRPr="003C0329">
        <w:rPr>
          <w:rFonts w:ascii="Arial" w:hAnsi="Arial" w:cs="Arial"/>
        </w:rPr>
        <w:t>. Upper Saddle River: Pearson Education LTD.</w:t>
      </w:r>
    </w:p>
    <w:sectPr w:rsidRPr="006D5C13" w:rsidR="006D5C13" w:rsidSect="00E351A9">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E30BD0" w:rsidP="00E351A9" w:rsidRDefault="00E30BD0" w14:paraId="5630AD66" wp14:textId="77777777">
      <w:pPr>
        <w:spacing w:after="0" w:line="240" w:lineRule="auto"/>
      </w:pPr>
      <w:r>
        <w:separator/>
      </w:r>
    </w:p>
  </w:endnote>
  <w:endnote w:type="continuationSeparator" w:id="0">
    <w:p xmlns:wp14="http://schemas.microsoft.com/office/word/2010/wordml" w:rsidR="00E30BD0" w:rsidP="00E351A9" w:rsidRDefault="00E30BD0" w14:paraId="6182907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43FFF" w:rsidRDefault="00343FFF" w14:paraId="680A4E5D" wp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538672"/>
      <w:docPartObj>
        <w:docPartGallery w:val="Page Numbers (Bottom of Page)"/>
        <w:docPartUnique/>
      </w:docPartObj>
    </w:sdtPr>
    <w:sdtEndPr>
      <w:rPr>
        <w:noProof/>
      </w:rPr>
    </w:sdtEndPr>
    <w:sdtContent>
      <w:p xmlns:wp14="http://schemas.microsoft.com/office/word/2010/wordml" w:rsidR="00E351A9" w:rsidRDefault="00E351A9" w14:paraId="032D0113" wp14:textId="77777777">
        <w:pPr>
          <w:pStyle w:val="Footer"/>
          <w:jc w:val="center"/>
        </w:pPr>
        <w:r>
          <w:fldChar w:fldCharType="begin"/>
        </w:r>
        <w:r>
          <w:instrText xml:space="preserve"> PAGE   \* MERGEFORMAT </w:instrText>
        </w:r>
        <w:r>
          <w:fldChar w:fldCharType="separate"/>
        </w:r>
        <w:r w:rsidR="00A8620B">
          <w:rPr>
            <w:noProof/>
          </w:rPr>
          <w:t>II</w:t>
        </w:r>
        <w:r>
          <w:rPr>
            <w:noProof/>
          </w:rPr>
          <w:fldChar w:fldCharType="end"/>
        </w:r>
      </w:p>
    </w:sdtContent>
  </w:sdt>
  <w:p xmlns:wp14="http://schemas.microsoft.com/office/word/2010/wordml" w:rsidR="00E351A9" w:rsidRDefault="00E351A9" w14:paraId="02F2C34E" wp14:textId="77777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43FFF" w:rsidRDefault="00343FFF" w14:paraId="2DBF0D7D"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E30BD0" w:rsidP="00E351A9" w:rsidRDefault="00E30BD0" w14:paraId="17AD93B2" wp14:textId="77777777">
      <w:pPr>
        <w:spacing w:after="0" w:line="240" w:lineRule="auto"/>
      </w:pPr>
      <w:r>
        <w:separator/>
      </w:r>
    </w:p>
  </w:footnote>
  <w:footnote w:type="continuationSeparator" w:id="0">
    <w:p xmlns:wp14="http://schemas.microsoft.com/office/word/2010/wordml" w:rsidR="00E30BD0" w:rsidP="00E351A9" w:rsidRDefault="00E30BD0" w14:paraId="0DE4B5B7"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43FFF" w:rsidRDefault="00343FFF" w14:paraId="66204FF1"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43FFF" w:rsidRDefault="00343FFF" w14:paraId="2BA226A1" wp14:textId="7777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43FFF" w:rsidRDefault="00343FFF" w14:paraId="6B62F1B3" wp14:textId="77777777">
    <w:pPr>
      <w:pStyle w:val="Header"/>
    </w:pPr>
  </w:p>
</w:hdr>
</file>

<file path=word/intelligence2.xml><?xml version="1.0" encoding="utf-8"?>
<int2:intelligence xmlns:int2="http://schemas.microsoft.com/office/intelligence/2020/intelligence">
  <int2:observations>
    <int2:textHash int2:hashCode="l4I6190vKcvp7p" int2:id="DdsLusII">
      <int2:state int2:type="spell" int2:value="Rejected"/>
    </int2:textHash>
    <int2:textHash int2:hashCode="0P5FI1eZj17uJU" int2:id="8MQRePfc">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22168"/>
    <w:multiLevelType w:val="multilevel"/>
    <w:tmpl w:val="BAF27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5496A02"/>
    <w:multiLevelType w:val="hybridMultilevel"/>
    <w:tmpl w:val="2040A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2B1225"/>
    <w:multiLevelType w:val="multilevel"/>
    <w:tmpl w:val="78781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655FBF"/>
    <w:multiLevelType w:val="multilevel"/>
    <w:tmpl w:val="B754AC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2A5111ED"/>
    <w:multiLevelType w:val="multilevel"/>
    <w:tmpl w:val="37BEE36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2F91772A"/>
    <w:multiLevelType w:val="multilevel"/>
    <w:tmpl w:val="C3147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FF140E"/>
    <w:multiLevelType w:val="hybridMultilevel"/>
    <w:tmpl w:val="56D0F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0146D7"/>
    <w:multiLevelType w:val="hybridMultilevel"/>
    <w:tmpl w:val="CC904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3A6EF0"/>
    <w:multiLevelType w:val="multilevel"/>
    <w:tmpl w:val="6EAC1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CC25942"/>
    <w:multiLevelType w:val="multilevel"/>
    <w:tmpl w:val="1428B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nsid w:val="6D466BFF"/>
    <w:multiLevelType w:val="hybridMultilevel"/>
    <w:tmpl w:val="54F83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6"/>
  </w:num>
  <w:num w:numId="5">
    <w:abstractNumId w:val="10"/>
  </w:num>
  <w:num w:numId="6">
    <w:abstractNumId w:val="1"/>
  </w:num>
  <w:num w:numId="7">
    <w:abstractNumId w:val="9"/>
  </w:num>
  <w:num w:numId="8">
    <w:abstractNumId w:val="0"/>
  </w:num>
  <w:num w:numId="9">
    <w:abstractNumId w:val="3"/>
  </w:num>
  <w:num w:numId="10">
    <w:abstractNumId w:val="8"/>
  </w:num>
  <w:num w:numId="11">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removePersonalInformation/>
  <w:removeDateAndTime/>
  <w:doNotDisplayPageBoundaries/>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263"/>
    <w:rsid w:val="0001499F"/>
    <w:rsid w:val="00014FB2"/>
    <w:rsid w:val="00021E6C"/>
    <w:rsid w:val="0005219E"/>
    <w:rsid w:val="00057711"/>
    <w:rsid w:val="00072D7D"/>
    <w:rsid w:val="00074EB6"/>
    <w:rsid w:val="00076047"/>
    <w:rsid w:val="00076B49"/>
    <w:rsid w:val="000B1868"/>
    <w:rsid w:val="000B30AB"/>
    <w:rsid w:val="000C5446"/>
    <w:rsid w:val="000E4E11"/>
    <w:rsid w:val="0010778F"/>
    <w:rsid w:val="001100F7"/>
    <w:rsid w:val="00117BD6"/>
    <w:rsid w:val="001537E3"/>
    <w:rsid w:val="00163856"/>
    <w:rsid w:val="00185F15"/>
    <w:rsid w:val="00195AFA"/>
    <w:rsid w:val="0019618C"/>
    <w:rsid w:val="001C6FE0"/>
    <w:rsid w:val="001E1D3E"/>
    <w:rsid w:val="001F0931"/>
    <w:rsid w:val="001F1D4D"/>
    <w:rsid w:val="002031BC"/>
    <w:rsid w:val="00227599"/>
    <w:rsid w:val="00233693"/>
    <w:rsid w:val="00243263"/>
    <w:rsid w:val="0024611C"/>
    <w:rsid w:val="00250112"/>
    <w:rsid w:val="002509DD"/>
    <w:rsid w:val="002608AB"/>
    <w:rsid w:val="00267065"/>
    <w:rsid w:val="002831E7"/>
    <w:rsid w:val="00284ECD"/>
    <w:rsid w:val="00296F03"/>
    <w:rsid w:val="002D3C1E"/>
    <w:rsid w:val="002D5455"/>
    <w:rsid w:val="002E17E3"/>
    <w:rsid w:val="002F0DA2"/>
    <w:rsid w:val="003015CD"/>
    <w:rsid w:val="003240D4"/>
    <w:rsid w:val="00327B47"/>
    <w:rsid w:val="00343FFF"/>
    <w:rsid w:val="00354572"/>
    <w:rsid w:val="003575E7"/>
    <w:rsid w:val="0036194B"/>
    <w:rsid w:val="0037780E"/>
    <w:rsid w:val="003950E2"/>
    <w:rsid w:val="00395CB4"/>
    <w:rsid w:val="003F35A1"/>
    <w:rsid w:val="00420C05"/>
    <w:rsid w:val="004230E8"/>
    <w:rsid w:val="00454480"/>
    <w:rsid w:val="00460B9C"/>
    <w:rsid w:val="004A22D0"/>
    <w:rsid w:val="004B5756"/>
    <w:rsid w:val="004C23B7"/>
    <w:rsid w:val="00500F90"/>
    <w:rsid w:val="00506EBD"/>
    <w:rsid w:val="00511EF9"/>
    <w:rsid w:val="0051398B"/>
    <w:rsid w:val="00526C35"/>
    <w:rsid w:val="00527714"/>
    <w:rsid w:val="00555896"/>
    <w:rsid w:val="00561989"/>
    <w:rsid w:val="0061219C"/>
    <w:rsid w:val="0062460C"/>
    <w:rsid w:val="0063049F"/>
    <w:rsid w:val="00662A53"/>
    <w:rsid w:val="00670053"/>
    <w:rsid w:val="006B3DAA"/>
    <w:rsid w:val="006D25DD"/>
    <w:rsid w:val="006D310F"/>
    <w:rsid w:val="006D5C13"/>
    <w:rsid w:val="006D7312"/>
    <w:rsid w:val="006E47A7"/>
    <w:rsid w:val="006E7A79"/>
    <w:rsid w:val="006F31BC"/>
    <w:rsid w:val="006F6F67"/>
    <w:rsid w:val="0070397A"/>
    <w:rsid w:val="007539BE"/>
    <w:rsid w:val="00762947"/>
    <w:rsid w:val="00776305"/>
    <w:rsid w:val="007C3147"/>
    <w:rsid w:val="007F71E0"/>
    <w:rsid w:val="008344D3"/>
    <w:rsid w:val="00854483"/>
    <w:rsid w:val="008559D0"/>
    <w:rsid w:val="00860958"/>
    <w:rsid w:val="008C3B4E"/>
    <w:rsid w:val="008C564F"/>
    <w:rsid w:val="008D3741"/>
    <w:rsid w:val="008D63E5"/>
    <w:rsid w:val="008E6BCD"/>
    <w:rsid w:val="008F14BB"/>
    <w:rsid w:val="008F610D"/>
    <w:rsid w:val="00903EFF"/>
    <w:rsid w:val="00932063"/>
    <w:rsid w:val="009372C1"/>
    <w:rsid w:val="009561E2"/>
    <w:rsid w:val="009E5C22"/>
    <w:rsid w:val="009F1BCE"/>
    <w:rsid w:val="00A27093"/>
    <w:rsid w:val="00A3022E"/>
    <w:rsid w:val="00A50199"/>
    <w:rsid w:val="00A568FA"/>
    <w:rsid w:val="00A81790"/>
    <w:rsid w:val="00A8620B"/>
    <w:rsid w:val="00AA1ABF"/>
    <w:rsid w:val="00AF6400"/>
    <w:rsid w:val="00B42A34"/>
    <w:rsid w:val="00B52623"/>
    <w:rsid w:val="00B600A7"/>
    <w:rsid w:val="00BA409C"/>
    <w:rsid w:val="00BA4453"/>
    <w:rsid w:val="00BB027F"/>
    <w:rsid w:val="00BB67B9"/>
    <w:rsid w:val="00BE7521"/>
    <w:rsid w:val="00BF0C4D"/>
    <w:rsid w:val="00BF7A0A"/>
    <w:rsid w:val="00C0504B"/>
    <w:rsid w:val="00C23921"/>
    <w:rsid w:val="00C34DEE"/>
    <w:rsid w:val="00C57BF1"/>
    <w:rsid w:val="00C6719F"/>
    <w:rsid w:val="00C837A3"/>
    <w:rsid w:val="00CC0F66"/>
    <w:rsid w:val="00CC170E"/>
    <w:rsid w:val="00CC4F1B"/>
    <w:rsid w:val="00CF3D80"/>
    <w:rsid w:val="00D020FF"/>
    <w:rsid w:val="00D62433"/>
    <w:rsid w:val="00D64235"/>
    <w:rsid w:val="00D66950"/>
    <w:rsid w:val="00DC329F"/>
    <w:rsid w:val="00DD0392"/>
    <w:rsid w:val="00DE627A"/>
    <w:rsid w:val="00DF1F09"/>
    <w:rsid w:val="00DF45F7"/>
    <w:rsid w:val="00DF799E"/>
    <w:rsid w:val="00E12C96"/>
    <w:rsid w:val="00E30BD0"/>
    <w:rsid w:val="00E351A9"/>
    <w:rsid w:val="00E366CA"/>
    <w:rsid w:val="00E44631"/>
    <w:rsid w:val="00E50A0D"/>
    <w:rsid w:val="00E65ECD"/>
    <w:rsid w:val="00E91363"/>
    <w:rsid w:val="00E91E1D"/>
    <w:rsid w:val="00E97001"/>
    <w:rsid w:val="00EA7D93"/>
    <w:rsid w:val="00EE38FE"/>
    <w:rsid w:val="00F1154F"/>
    <w:rsid w:val="00F16DFC"/>
    <w:rsid w:val="00F3569C"/>
    <w:rsid w:val="00F56263"/>
    <w:rsid w:val="00F576D1"/>
    <w:rsid w:val="00F7452A"/>
    <w:rsid w:val="00FD5046"/>
    <w:rsid w:val="00FE30EE"/>
    <w:rsid w:val="00FF5B14"/>
    <w:rsid w:val="05DAEF73"/>
    <w:rsid w:val="09FA409D"/>
    <w:rsid w:val="0E5A6DCC"/>
    <w:rsid w:val="109023BD"/>
    <w:rsid w:val="12FD61AE"/>
    <w:rsid w:val="130F6161"/>
    <w:rsid w:val="1424A1B9"/>
    <w:rsid w:val="14C5D414"/>
    <w:rsid w:val="14D3A5DD"/>
    <w:rsid w:val="15313ECC"/>
    <w:rsid w:val="16624952"/>
    <w:rsid w:val="1793DBD9"/>
    <w:rsid w:val="17943370"/>
    <w:rsid w:val="17FED3AA"/>
    <w:rsid w:val="18BD52C8"/>
    <w:rsid w:val="1C40041B"/>
    <w:rsid w:val="1CB9C688"/>
    <w:rsid w:val="1DFBAC28"/>
    <w:rsid w:val="1E91B144"/>
    <w:rsid w:val="1ECFE185"/>
    <w:rsid w:val="1F5C4F41"/>
    <w:rsid w:val="2331B470"/>
    <w:rsid w:val="238885CE"/>
    <w:rsid w:val="239B6584"/>
    <w:rsid w:val="24044A78"/>
    <w:rsid w:val="264063CC"/>
    <w:rsid w:val="29A187B5"/>
    <w:rsid w:val="2B62AC43"/>
    <w:rsid w:val="2CF1315D"/>
    <w:rsid w:val="2DCBA4CB"/>
    <w:rsid w:val="2FFF0415"/>
    <w:rsid w:val="31B54572"/>
    <w:rsid w:val="3291F98B"/>
    <w:rsid w:val="32BAF020"/>
    <w:rsid w:val="32D72B7F"/>
    <w:rsid w:val="36D45C00"/>
    <w:rsid w:val="3720E95D"/>
    <w:rsid w:val="3775DFF1"/>
    <w:rsid w:val="385903F1"/>
    <w:rsid w:val="386FA81D"/>
    <w:rsid w:val="3983DA79"/>
    <w:rsid w:val="3A0B5BBD"/>
    <w:rsid w:val="3B60B426"/>
    <w:rsid w:val="3C42F8D5"/>
    <w:rsid w:val="3CB41B6C"/>
    <w:rsid w:val="3FA01DA6"/>
    <w:rsid w:val="40C0F9D4"/>
    <w:rsid w:val="4444C3B5"/>
    <w:rsid w:val="451421E7"/>
    <w:rsid w:val="454CA0FF"/>
    <w:rsid w:val="45877278"/>
    <w:rsid w:val="46952203"/>
    <w:rsid w:val="471F7580"/>
    <w:rsid w:val="4951C831"/>
    <w:rsid w:val="49EFB0B0"/>
    <w:rsid w:val="4B0DD78F"/>
    <w:rsid w:val="4BF39517"/>
    <w:rsid w:val="4E4DC276"/>
    <w:rsid w:val="4F20711D"/>
    <w:rsid w:val="517FD9D9"/>
    <w:rsid w:val="5231CB94"/>
    <w:rsid w:val="533C57CF"/>
    <w:rsid w:val="5564414F"/>
    <w:rsid w:val="564CB803"/>
    <w:rsid w:val="57D4CC39"/>
    <w:rsid w:val="5A06DAA7"/>
    <w:rsid w:val="5AC5365D"/>
    <w:rsid w:val="5BEAADAC"/>
    <w:rsid w:val="5C66C80D"/>
    <w:rsid w:val="5CB66D4A"/>
    <w:rsid w:val="5E59CE6F"/>
    <w:rsid w:val="5EE63641"/>
    <w:rsid w:val="5F1DE5C5"/>
    <w:rsid w:val="62E7BE10"/>
    <w:rsid w:val="632EEF2D"/>
    <w:rsid w:val="640BA88D"/>
    <w:rsid w:val="667FD660"/>
    <w:rsid w:val="681E89CB"/>
    <w:rsid w:val="6B6D3C45"/>
    <w:rsid w:val="6E0BB07E"/>
    <w:rsid w:val="71DDCA0B"/>
    <w:rsid w:val="71DF0E97"/>
    <w:rsid w:val="7317413C"/>
    <w:rsid w:val="73C2C644"/>
    <w:rsid w:val="75F6F0F9"/>
    <w:rsid w:val="78C56234"/>
    <w:rsid w:val="7A5A22BF"/>
    <w:rsid w:val="7C98E5BA"/>
    <w:rsid w:val="7CE2A6DB"/>
    <w:rsid w:val="7D84C4C5"/>
    <w:rsid w:val="7E1A36E3"/>
    <w:rsid w:val="7EEA7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42725"/>
  <w15:docId w15:val="{0E41016B-0011-49A8-B714-2F9093C02A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243263"/>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3263"/>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0778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6F6F67"/>
    <w:pPr>
      <w:keepNext/>
      <w:keepLines/>
      <w:spacing w:before="200" w:after="0"/>
      <w:outlineLvl w:val="3"/>
    </w:pPr>
    <w:rPr>
      <w:rFonts w:asciiTheme="majorHAnsi" w:hAnsiTheme="majorHAnsi" w:eastAsiaTheme="majorEastAsia" w:cstheme="majorBidi"/>
      <w:b/>
      <w:bCs/>
      <w:i/>
      <w:i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3263"/>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243263"/>
    <w:rPr>
      <w:rFonts w:asciiTheme="majorHAnsi" w:hAnsiTheme="majorHAnsi" w:eastAsiaTheme="majorEastAsia" w:cstheme="majorBidi"/>
      <w:b/>
      <w:bCs/>
      <w:color w:val="4F81BD" w:themeColor="accent1"/>
      <w:sz w:val="26"/>
      <w:szCs w:val="26"/>
    </w:rPr>
  </w:style>
  <w:style w:type="character" w:styleId="Hyperlink">
    <w:name w:val="Hyperlink"/>
    <w:basedOn w:val="DefaultParagraphFont"/>
    <w:uiPriority w:val="99"/>
    <w:unhideWhenUsed/>
    <w:rsid w:val="003575E7"/>
    <w:rPr>
      <w:color w:val="0000FF" w:themeColor="hyperlink"/>
      <w:u w:val="single"/>
    </w:rPr>
  </w:style>
  <w:style w:type="paragraph" w:styleId="TOCHeading">
    <w:name w:val="TOC Heading"/>
    <w:basedOn w:val="Heading1"/>
    <w:next w:val="Normal"/>
    <w:uiPriority w:val="39"/>
    <w:semiHidden/>
    <w:unhideWhenUsed/>
    <w:qFormat/>
    <w:rsid w:val="00EA7D93"/>
    <w:pPr>
      <w:outlineLvl w:val="9"/>
    </w:pPr>
    <w:rPr>
      <w:lang w:eastAsia="ja-JP"/>
    </w:rPr>
  </w:style>
  <w:style w:type="paragraph" w:styleId="TOC1">
    <w:name w:val="toc 1"/>
    <w:basedOn w:val="Normal"/>
    <w:next w:val="Normal"/>
    <w:autoRedefine/>
    <w:uiPriority w:val="39"/>
    <w:unhideWhenUsed/>
    <w:rsid w:val="00EA7D93"/>
    <w:pPr>
      <w:spacing w:after="100"/>
    </w:pPr>
  </w:style>
  <w:style w:type="paragraph" w:styleId="TOC2">
    <w:name w:val="toc 2"/>
    <w:basedOn w:val="Normal"/>
    <w:next w:val="Normal"/>
    <w:autoRedefine/>
    <w:uiPriority w:val="39"/>
    <w:unhideWhenUsed/>
    <w:rsid w:val="00EA7D93"/>
    <w:pPr>
      <w:spacing w:after="100"/>
      <w:ind w:left="220"/>
    </w:pPr>
  </w:style>
  <w:style w:type="paragraph" w:styleId="BalloonText">
    <w:name w:val="Balloon Text"/>
    <w:basedOn w:val="Normal"/>
    <w:link w:val="BalloonTextChar"/>
    <w:uiPriority w:val="99"/>
    <w:semiHidden/>
    <w:unhideWhenUsed/>
    <w:rsid w:val="00EA7D9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A7D93"/>
    <w:rPr>
      <w:rFonts w:ascii="Tahoma" w:hAnsi="Tahoma" w:cs="Tahoma"/>
      <w:sz w:val="16"/>
      <w:szCs w:val="16"/>
    </w:rPr>
  </w:style>
  <w:style w:type="paragraph" w:styleId="Header">
    <w:name w:val="header"/>
    <w:basedOn w:val="Normal"/>
    <w:link w:val="HeaderChar"/>
    <w:uiPriority w:val="99"/>
    <w:unhideWhenUsed/>
    <w:rsid w:val="00E351A9"/>
    <w:pPr>
      <w:tabs>
        <w:tab w:val="center" w:pos="4680"/>
        <w:tab w:val="right" w:pos="9360"/>
      </w:tabs>
      <w:spacing w:after="0" w:line="240" w:lineRule="auto"/>
    </w:pPr>
  </w:style>
  <w:style w:type="character" w:styleId="HeaderChar" w:customStyle="1">
    <w:name w:val="Header Char"/>
    <w:basedOn w:val="DefaultParagraphFont"/>
    <w:link w:val="Header"/>
    <w:uiPriority w:val="99"/>
    <w:rsid w:val="00E351A9"/>
  </w:style>
  <w:style w:type="paragraph" w:styleId="Footer">
    <w:name w:val="footer"/>
    <w:basedOn w:val="Normal"/>
    <w:link w:val="FooterChar"/>
    <w:uiPriority w:val="99"/>
    <w:unhideWhenUsed/>
    <w:rsid w:val="00E351A9"/>
    <w:pPr>
      <w:tabs>
        <w:tab w:val="center" w:pos="4680"/>
        <w:tab w:val="right" w:pos="9360"/>
      </w:tabs>
      <w:spacing w:after="0" w:line="240" w:lineRule="auto"/>
    </w:pPr>
  </w:style>
  <w:style w:type="character" w:styleId="FooterChar" w:customStyle="1">
    <w:name w:val="Footer Char"/>
    <w:basedOn w:val="DefaultParagraphFont"/>
    <w:link w:val="Footer"/>
    <w:uiPriority w:val="99"/>
    <w:rsid w:val="00E351A9"/>
  </w:style>
  <w:style w:type="paragraph" w:styleId="ListParagraph">
    <w:name w:val="List Paragraph"/>
    <w:basedOn w:val="Normal"/>
    <w:uiPriority w:val="34"/>
    <w:qFormat/>
    <w:rsid w:val="00227599"/>
    <w:pPr>
      <w:ind w:left="720"/>
      <w:contextualSpacing/>
    </w:pPr>
  </w:style>
  <w:style w:type="paragraph" w:styleId="NormalWeb">
    <w:name w:val="Normal (Web)"/>
    <w:basedOn w:val="Normal"/>
    <w:uiPriority w:val="99"/>
    <w:unhideWhenUsed/>
    <w:rsid w:val="00227599"/>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227599"/>
    <w:rPr>
      <w:b/>
      <w:bCs/>
    </w:rPr>
  </w:style>
  <w:style w:type="character" w:styleId="Emphasis">
    <w:name w:val="Emphasis"/>
    <w:basedOn w:val="DefaultParagraphFont"/>
    <w:uiPriority w:val="20"/>
    <w:qFormat/>
    <w:rsid w:val="00227599"/>
    <w:rPr>
      <w:i/>
      <w:iCs/>
    </w:rPr>
  </w:style>
  <w:style w:type="character" w:styleId="Heading4Char" w:customStyle="1">
    <w:name w:val="Heading 4 Char"/>
    <w:basedOn w:val="DefaultParagraphFont"/>
    <w:link w:val="Heading4"/>
    <w:uiPriority w:val="9"/>
    <w:semiHidden/>
    <w:rsid w:val="006F6F67"/>
    <w:rPr>
      <w:rFonts w:asciiTheme="majorHAnsi" w:hAnsiTheme="majorHAnsi" w:eastAsiaTheme="majorEastAsia" w:cstheme="majorBidi"/>
      <w:b/>
      <w:bCs/>
      <w:i/>
      <w:iCs/>
      <w:color w:val="4F81BD" w:themeColor="accent1"/>
    </w:rPr>
  </w:style>
  <w:style w:type="character" w:styleId="Heading3Char" w:customStyle="1">
    <w:name w:val="Heading 3 Char"/>
    <w:basedOn w:val="DefaultParagraphFont"/>
    <w:link w:val="Heading3"/>
    <w:uiPriority w:val="9"/>
    <w:semiHidden/>
    <w:rsid w:val="0010778F"/>
    <w:rPr>
      <w:rFonts w:asciiTheme="majorHAnsi" w:hAnsiTheme="majorHAnsi" w:eastAsiaTheme="majorEastAsia" w:cstheme="majorBidi"/>
      <w:b/>
      <w:bCs/>
      <w:color w:val="4F81BD" w:themeColor="accent1"/>
    </w:rPr>
  </w:style>
  <w:style w:type="table" w:styleId="TableGrid">
    <w:name w:val="Table Grid"/>
    <w:basedOn w:val="TableNormal"/>
    <w:uiPriority w:val="59"/>
    <w:rsid w:val="00CC17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32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32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077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F6F6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26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4326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3575E7"/>
    <w:rPr>
      <w:color w:val="0000FF" w:themeColor="hyperlink"/>
      <w:u w:val="single"/>
    </w:rPr>
  </w:style>
  <w:style w:type="paragraph" w:styleId="TOCHeading">
    <w:name w:val="TOC Heading"/>
    <w:basedOn w:val="Heading1"/>
    <w:next w:val="Normal"/>
    <w:uiPriority w:val="39"/>
    <w:semiHidden/>
    <w:unhideWhenUsed/>
    <w:qFormat/>
    <w:rsid w:val="00EA7D93"/>
    <w:pPr>
      <w:outlineLvl w:val="9"/>
    </w:pPr>
    <w:rPr>
      <w:lang w:eastAsia="ja-JP"/>
    </w:rPr>
  </w:style>
  <w:style w:type="paragraph" w:styleId="TOC1">
    <w:name w:val="toc 1"/>
    <w:basedOn w:val="Normal"/>
    <w:next w:val="Normal"/>
    <w:autoRedefine/>
    <w:uiPriority w:val="39"/>
    <w:unhideWhenUsed/>
    <w:rsid w:val="00EA7D93"/>
    <w:pPr>
      <w:spacing w:after="100"/>
    </w:pPr>
  </w:style>
  <w:style w:type="paragraph" w:styleId="TOC2">
    <w:name w:val="toc 2"/>
    <w:basedOn w:val="Normal"/>
    <w:next w:val="Normal"/>
    <w:autoRedefine/>
    <w:uiPriority w:val="39"/>
    <w:unhideWhenUsed/>
    <w:rsid w:val="00EA7D93"/>
    <w:pPr>
      <w:spacing w:after="100"/>
      <w:ind w:left="220"/>
    </w:pPr>
  </w:style>
  <w:style w:type="paragraph" w:styleId="BalloonText">
    <w:name w:val="Balloon Text"/>
    <w:basedOn w:val="Normal"/>
    <w:link w:val="BalloonTextChar"/>
    <w:uiPriority w:val="99"/>
    <w:semiHidden/>
    <w:unhideWhenUsed/>
    <w:rsid w:val="00EA7D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D93"/>
    <w:rPr>
      <w:rFonts w:ascii="Tahoma" w:hAnsi="Tahoma" w:cs="Tahoma"/>
      <w:sz w:val="16"/>
      <w:szCs w:val="16"/>
    </w:rPr>
  </w:style>
  <w:style w:type="paragraph" w:styleId="Header">
    <w:name w:val="header"/>
    <w:basedOn w:val="Normal"/>
    <w:link w:val="HeaderChar"/>
    <w:uiPriority w:val="99"/>
    <w:unhideWhenUsed/>
    <w:rsid w:val="00E351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1A9"/>
  </w:style>
  <w:style w:type="paragraph" w:styleId="Footer">
    <w:name w:val="footer"/>
    <w:basedOn w:val="Normal"/>
    <w:link w:val="FooterChar"/>
    <w:uiPriority w:val="99"/>
    <w:unhideWhenUsed/>
    <w:rsid w:val="00E351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1A9"/>
  </w:style>
  <w:style w:type="paragraph" w:styleId="ListParagraph">
    <w:name w:val="List Paragraph"/>
    <w:basedOn w:val="Normal"/>
    <w:uiPriority w:val="34"/>
    <w:qFormat/>
    <w:rsid w:val="00227599"/>
    <w:pPr>
      <w:ind w:left="720"/>
      <w:contextualSpacing/>
    </w:pPr>
  </w:style>
  <w:style w:type="paragraph" w:styleId="NormalWeb">
    <w:name w:val="Normal (Web)"/>
    <w:basedOn w:val="Normal"/>
    <w:uiPriority w:val="99"/>
    <w:unhideWhenUsed/>
    <w:rsid w:val="002275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7599"/>
    <w:rPr>
      <w:b/>
      <w:bCs/>
    </w:rPr>
  </w:style>
  <w:style w:type="character" w:styleId="Emphasis">
    <w:name w:val="Emphasis"/>
    <w:basedOn w:val="DefaultParagraphFont"/>
    <w:uiPriority w:val="20"/>
    <w:qFormat/>
    <w:rsid w:val="00227599"/>
    <w:rPr>
      <w:i/>
      <w:iCs/>
    </w:rPr>
  </w:style>
  <w:style w:type="character" w:customStyle="1" w:styleId="Heading4Char">
    <w:name w:val="Heading 4 Char"/>
    <w:basedOn w:val="DefaultParagraphFont"/>
    <w:link w:val="Heading4"/>
    <w:uiPriority w:val="9"/>
    <w:semiHidden/>
    <w:rsid w:val="006F6F67"/>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10778F"/>
    <w:rPr>
      <w:rFonts w:asciiTheme="majorHAnsi" w:eastAsiaTheme="majorEastAsia" w:hAnsiTheme="majorHAnsi" w:cstheme="majorBidi"/>
      <w:b/>
      <w:bCs/>
      <w:color w:val="4F81BD" w:themeColor="accent1"/>
    </w:rPr>
  </w:style>
  <w:style w:type="table" w:styleId="TableGrid">
    <w:name w:val="Table Grid"/>
    <w:basedOn w:val="TableNormal"/>
    <w:uiPriority w:val="59"/>
    <w:rsid w:val="00CC1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1098">
      <w:bodyDiv w:val="1"/>
      <w:marLeft w:val="0"/>
      <w:marRight w:val="0"/>
      <w:marTop w:val="0"/>
      <w:marBottom w:val="0"/>
      <w:divBdr>
        <w:top w:val="none" w:sz="0" w:space="0" w:color="auto"/>
        <w:left w:val="none" w:sz="0" w:space="0" w:color="auto"/>
        <w:bottom w:val="none" w:sz="0" w:space="0" w:color="auto"/>
        <w:right w:val="none" w:sz="0" w:space="0" w:color="auto"/>
      </w:divBdr>
    </w:div>
    <w:div w:id="51274161">
      <w:bodyDiv w:val="1"/>
      <w:marLeft w:val="0"/>
      <w:marRight w:val="0"/>
      <w:marTop w:val="0"/>
      <w:marBottom w:val="0"/>
      <w:divBdr>
        <w:top w:val="none" w:sz="0" w:space="0" w:color="auto"/>
        <w:left w:val="none" w:sz="0" w:space="0" w:color="auto"/>
        <w:bottom w:val="none" w:sz="0" w:space="0" w:color="auto"/>
        <w:right w:val="none" w:sz="0" w:space="0" w:color="auto"/>
      </w:divBdr>
    </w:div>
    <w:div w:id="98575655">
      <w:bodyDiv w:val="1"/>
      <w:marLeft w:val="0"/>
      <w:marRight w:val="0"/>
      <w:marTop w:val="0"/>
      <w:marBottom w:val="0"/>
      <w:divBdr>
        <w:top w:val="none" w:sz="0" w:space="0" w:color="auto"/>
        <w:left w:val="none" w:sz="0" w:space="0" w:color="auto"/>
        <w:bottom w:val="none" w:sz="0" w:space="0" w:color="auto"/>
        <w:right w:val="none" w:sz="0" w:space="0" w:color="auto"/>
      </w:divBdr>
    </w:div>
    <w:div w:id="177357267">
      <w:bodyDiv w:val="1"/>
      <w:marLeft w:val="0"/>
      <w:marRight w:val="0"/>
      <w:marTop w:val="0"/>
      <w:marBottom w:val="0"/>
      <w:divBdr>
        <w:top w:val="none" w:sz="0" w:space="0" w:color="auto"/>
        <w:left w:val="none" w:sz="0" w:space="0" w:color="auto"/>
        <w:bottom w:val="none" w:sz="0" w:space="0" w:color="auto"/>
        <w:right w:val="none" w:sz="0" w:space="0" w:color="auto"/>
      </w:divBdr>
    </w:div>
    <w:div w:id="248853307">
      <w:bodyDiv w:val="1"/>
      <w:marLeft w:val="0"/>
      <w:marRight w:val="0"/>
      <w:marTop w:val="0"/>
      <w:marBottom w:val="0"/>
      <w:divBdr>
        <w:top w:val="none" w:sz="0" w:space="0" w:color="auto"/>
        <w:left w:val="none" w:sz="0" w:space="0" w:color="auto"/>
        <w:bottom w:val="none" w:sz="0" w:space="0" w:color="auto"/>
        <w:right w:val="none" w:sz="0" w:space="0" w:color="auto"/>
      </w:divBdr>
    </w:div>
    <w:div w:id="430472822">
      <w:bodyDiv w:val="1"/>
      <w:marLeft w:val="0"/>
      <w:marRight w:val="0"/>
      <w:marTop w:val="0"/>
      <w:marBottom w:val="0"/>
      <w:divBdr>
        <w:top w:val="none" w:sz="0" w:space="0" w:color="auto"/>
        <w:left w:val="none" w:sz="0" w:space="0" w:color="auto"/>
        <w:bottom w:val="none" w:sz="0" w:space="0" w:color="auto"/>
        <w:right w:val="none" w:sz="0" w:space="0" w:color="auto"/>
      </w:divBdr>
    </w:div>
    <w:div w:id="507258798">
      <w:bodyDiv w:val="1"/>
      <w:marLeft w:val="0"/>
      <w:marRight w:val="0"/>
      <w:marTop w:val="0"/>
      <w:marBottom w:val="0"/>
      <w:divBdr>
        <w:top w:val="none" w:sz="0" w:space="0" w:color="auto"/>
        <w:left w:val="none" w:sz="0" w:space="0" w:color="auto"/>
        <w:bottom w:val="none" w:sz="0" w:space="0" w:color="auto"/>
        <w:right w:val="none" w:sz="0" w:space="0" w:color="auto"/>
      </w:divBdr>
    </w:div>
    <w:div w:id="612059402">
      <w:bodyDiv w:val="1"/>
      <w:marLeft w:val="0"/>
      <w:marRight w:val="0"/>
      <w:marTop w:val="0"/>
      <w:marBottom w:val="0"/>
      <w:divBdr>
        <w:top w:val="none" w:sz="0" w:space="0" w:color="auto"/>
        <w:left w:val="none" w:sz="0" w:space="0" w:color="auto"/>
        <w:bottom w:val="none" w:sz="0" w:space="0" w:color="auto"/>
        <w:right w:val="none" w:sz="0" w:space="0" w:color="auto"/>
      </w:divBdr>
    </w:div>
    <w:div w:id="686098283">
      <w:bodyDiv w:val="1"/>
      <w:marLeft w:val="0"/>
      <w:marRight w:val="0"/>
      <w:marTop w:val="0"/>
      <w:marBottom w:val="0"/>
      <w:divBdr>
        <w:top w:val="none" w:sz="0" w:space="0" w:color="auto"/>
        <w:left w:val="none" w:sz="0" w:space="0" w:color="auto"/>
        <w:bottom w:val="none" w:sz="0" w:space="0" w:color="auto"/>
        <w:right w:val="none" w:sz="0" w:space="0" w:color="auto"/>
      </w:divBdr>
    </w:div>
    <w:div w:id="694845116">
      <w:bodyDiv w:val="1"/>
      <w:marLeft w:val="0"/>
      <w:marRight w:val="0"/>
      <w:marTop w:val="0"/>
      <w:marBottom w:val="0"/>
      <w:divBdr>
        <w:top w:val="none" w:sz="0" w:space="0" w:color="auto"/>
        <w:left w:val="none" w:sz="0" w:space="0" w:color="auto"/>
        <w:bottom w:val="none" w:sz="0" w:space="0" w:color="auto"/>
        <w:right w:val="none" w:sz="0" w:space="0" w:color="auto"/>
      </w:divBdr>
    </w:div>
    <w:div w:id="723649105">
      <w:bodyDiv w:val="1"/>
      <w:marLeft w:val="0"/>
      <w:marRight w:val="0"/>
      <w:marTop w:val="0"/>
      <w:marBottom w:val="0"/>
      <w:divBdr>
        <w:top w:val="none" w:sz="0" w:space="0" w:color="auto"/>
        <w:left w:val="none" w:sz="0" w:space="0" w:color="auto"/>
        <w:bottom w:val="none" w:sz="0" w:space="0" w:color="auto"/>
        <w:right w:val="none" w:sz="0" w:space="0" w:color="auto"/>
      </w:divBdr>
      <w:divsChild>
        <w:div w:id="212162933">
          <w:marLeft w:val="0"/>
          <w:marRight w:val="0"/>
          <w:marTop w:val="0"/>
          <w:marBottom w:val="0"/>
          <w:divBdr>
            <w:top w:val="none" w:sz="0" w:space="0" w:color="auto"/>
            <w:left w:val="none" w:sz="0" w:space="0" w:color="auto"/>
            <w:bottom w:val="none" w:sz="0" w:space="0" w:color="auto"/>
            <w:right w:val="none" w:sz="0" w:space="0" w:color="auto"/>
          </w:divBdr>
        </w:div>
        <w:div w:id="659162919">
          <w:marLeft w:val="0"/>
          <w:marRight w:val="0"/>
          <w:marTop w:val="0"/>
          <w:marBottom w:val="0"/>
          <w:divBdr>
            <w:top w:val="none" w:sz="0" w:space="0" w:color="auto"/>
            <w:left w:val="none" w:sz="0" w:space="0" w:color="auto"/>
            <w:bottom w:val="none" w:sz="0" w:space="0" w:color="auto"/>
            <w:right w:val="none" w:sz="0" w:space="0" w:color="auto"/>
          </w:divBdr>
        </w:div>
        <w:div w:id="686755432">
          <w:marLeft w:val="0"/>
          <w:marRight w:val="0"/>
          <w:marTop w:val="0"/>
          <w:marBottom w:val="0"/>
          <w:divBdr>
            <w:top w:val="none" w:sz="0" w:space="0" w:color="auto"/>
            <w:left w:val="none" w:sz="0" w:space="0" w:color="auto"/>
            <w:bottom w:val="none" w:sz="0" w:space="0" w:color="auto"/>
            <w:right w:val="none" w:sz="0" w:space="0" w:color="auto"/>
          </w:divBdr>
        </w:div>
        <w:div w:id="459610335">
          <w:marLeft w:val="0"/>
          <w:marRight w:val="0"/>
          <w:marTop w:val="0"/>
          <w:marBottom w:val="0"/>
          <w:divBdr>
            <w:top w:val="none" w:sz="0" w:space="0" w:color="auto"/>
            <w:left w:val="none" w:sz="0" w:space="0" w:color="auto"/>
            <w:bottom w:val="none" w:sz="0" w:space="0" w:color="auto"/>
            <w:right w:val="none" w:sz="0" w:space="0" w:color="auto"/>
          </w:divBdr>
        </w:div>
      </w:divsChild>
    </w:div>
    <w:div w:id="837354373">
      <w:bodyDiv w:val="1"/>
      <w:marLeft w:val="0"/>
      <w:marRight w:val="0"/>
      <w:marTop w:val="0"/>
      <w:marBottom w:val="0"/>
      <w:divBdr>
        <w:top w:val="none" w:sz="0" w:space="0" w:color="auto"/>
        <w:left w:val="none" w:sz="0" w:space="0" w:color="auto"/>
        <w:bottom w:val="none" w:sz="0" w:space="0" w:color="auto"/>
        <w:right w:val="none" w:sz="0" w:space="0" w:color="auto"/>
      </w:divBdr>
    </w:div>
    <w:div w:id="944187408">
      <w:bodyDiv w:val="1"/>
      <w:marLeft w:val="0"/>
      <w:marRight w:val="0"/>
      <w:marTop w:val="0"/>
      <w:marBottom w:val="0"/>
      <w:divBdr>
        <w:top w:val="none" w:sz="0" w:space="0" w:color="auto"/>
        <w:left w:val="none" w:sz="0" w:space="0" w:color="auto"/>
        <w:bottom w:val="none" w:sz="0" w:space="0" w:color="auto"/>
        <w:right w:val="none" w:sz="0" w:space="0" w:color="auto"/>
      </w:divBdr>
    </w:div>
    <w:div w:id="947928991">
      <w:bodyDiv w:val="1"/>
      <w:marLeft w:val="0"/>
      <w:marRight w:val="0"/>
      <w:marTop w:val="0"/>
      <w:marBottom w:val="0"/>
      <w:divBdr>
        <w:top w:val="none" w:sz="0" w:space="0" w:color="auto"/>
        <w:left w:val="none" w:sz="0" w:space="0" w:color="auto"/>
        <w:bottom w:val="none" w:sz="0" w:space="0" w:color="auto"/>
        <w:right w:val="none" w:sz="0" w:space="0" w:color="auto"/>
      </w:divBdr>
    </w:div>
    <w:div w:id="1004547855">
      <w:bodyDiv w:val="1"/>
      <w:marLeft w:val="0"/>
      <w:marRight w:val="0"/>
      <w:marTop w:val="0"/>
      <w:marBottom w:val="0"/>
      <w:divBdr>
        <w:top w:val="none" w:sz="0" w:space="0" w:color="auto"/>
        <w:left w:val="none" w:sz="0" w:space="0" w:color="auto"/>
        <w:bottom w:val="none" w:sz="0" w:space="0" w:color="auto"/>
        <w:right w:val="none" w:sz="0" w:space="0" w:color="auto"/>
      </w:divBdr>
    </w:div>
    <w:div w:id="1233420230">
      <w:bodyDiv w:val="1"/>
      <w:marLeft w:val="0"/>
      <w:marRight w:val="0"/>
      <w:marTop w:val="0"/>
      <w:marBottom w:val="0"/>
      <w:divBdr>
        <w:top w:val="none" w:sz="0" w:space="0" w:color="auto"/>
        <w:left w:val="none" w:sz="0" w:space="0" w:color="auto"/>
        <w:bottom w:val="none" w:sz="0" w:space="0" w:color="auto"/>
        <w:right w:val="none" w:sz="0" w:space="0" w:color="auto"/>
      </w:divBdr>
    </w:div>
    <w:div w:id="1292859720">
      <w:bodyDiv w:val="1"/>
      <w:marLeft w:val="0"/>
      <w:marRight w:val="0"/>
      <w:marTop w:val="0"/>
      <w:marBottom w:val="0"/>
      <w:divBdr>
        <w:top w:val="none" w:sz="0" w:space="0" w:color="auto"/>
        <w:left w:val="none" w:sz="0" w:space="0" w:color="auto"/>
        <w:bottom w:val="none" w:sz="0" w:space="0" w:color="auto"/>
        <w:right w:val="none" w:sz="0" w:space="0" w:color="auto"/>
      </w:divBdr>
    </w:div>
    <w:div w:id="1458571435">
      <w:bodyDiv w:val="1"/>
      <w:marLeft w:val="0"/>
      <w:marRight w:val="0"/>
      <w:marTop w:val="0"/>
      <w:marBottom w:val="0"/>
      <w:divBdr>
        <w:top w:val="none" w:sz="0" w:space="0" w:color="auto"/>
        <w:left w:val="none" w:sz="0" w:space="0" w:color="auto"/>
        <w:bottom w:val="none" w:sz="0" w:space="0" w:color="auto"/>
        <w:right w:val="none" w:sz="0" w:space="0" w:color="auto"/>
      </w:divBdr>
    </w:div>
    <w:div w:id="1516000554">
      <w:bodyDiv w:val="1"/>
      <w:marLeft w:val="0"/>
      <w:marRight w:val="0"/>
      <w:marTop w:val="0"/>
      <w:marBottom w:val="0"/>
      <w:divBdr>
        <w:top w:val="none" w:sz="0" w:space="0" w:color="auto"/>
        <w:left w:val="none" w:sz="0" w:space="0" w:color="auto"/>
        <w:bottom w:val="none" w:sz="0" w:space="0" w:color="auto"/>
        <w:right w:val="none" w:sz="0" w:space="0" w:color="auto"/>
      </w:divBdr>
      <w:divsChild>
        <w:div w:id="1074353467">
          <w:marLeft w:val="0"/>
          <w:marRight w:val="0"/>
          <w:marTop w:val="0"/>
          <w:marBottom w:val="0"/>
          <w:divBdr>
            <w:top w:val="none" w:sz="0" w:space="0" w:color="auto"/>
            <w:left w:val="none" w:sz="0" w:space="0" w:color="auto"/>
            <w:bottom w:val="none" w:sz="0" w:space="0" w:color="auto"/>
            <w:right w:val="none" w:sz="0" w:space="0" w:color="auto"/>
          </w:divBdr>
        </w:div>
        <w:div w:id="32967419">
          <w:marLeft w:val="0"/>
          <w:marRight w:val="0"/>
          <w:marTop w:val="0"/>
          <w:marBottom w:val="0"/>
          <w:divBdr>
            <w:top w:val="none" w:sz="0" w:space="0" w:color="auto"/>
            <w:left w:val="none" w:sz="0" w:space="0" w:color="auto"/>
            <w:bottom w:val="none" w:sz="0" w:space="0" w:color="auto"/>
            <w:right w:val="none" w:sz="0" w:space="0" w:color="auto"/>
          </w:divBdr>
        </w:div>
      </w:divsChild>
    </w:div>
    <w:div w:id="1526943676">
      <w:bodyDiv w:val="1"/>
      <w:marLeft w:val="0"/>
      <w:marRight w:val="0"/>
      <w:marTop w:val="0"/>
      <w:marBottom w:val="0"/>
      <w:divBdr>
        <w:top w:val="none" w:sz="0" w:space="0" w:color="auto"/>
        <w:left w:val="none" w:sz="0" w:space="0" w:color="auto"/>
        <w:bottom w:val="none" w:sz="0" w:space="0" w:color="auto"/>
        <w:right w:val="none" w:sz="0" w:space="0" w:color="auto"/>
      </w:divBdr>
    </w:div>
    <w:div w:id="1954285293">
      <w:bodyDiv w:val="1"/>
      <w:marLeft w:val="0"/>
      <w:marRight w:val="0"/>
      <w:marTop w:val="0"/>
      <w:marBottom w:val="0"/>
      <w:divBdr>
        <w:top w:val="none" w:sz="0" w:space="0" w:color="auto"/>
        <w:left w:val="none" w:sz="0" w:space="0" w:color="auto"/>
        <w:bottom w:val="none" w:sz="0" w:space="0" w:color="auto"/>
        <w:right w:val="none" w:sz="0" w:space="0" w:color="auto"/>
      </w:divBdr>
    </w:div>
    <w:div w:id="2017682527">
      <w:bodyDiv w:val="1"/>
      <w:marLeft w:val="0"/>
      <w:marRight w:val="0"/>
      <w:marTop w:val="0"/>
      <w:marBottom w:val="0"/>
      <w:divBdr>
        <w:top w:val="none" w:sz="0" w:space="0" w:color="auto"/>
        <w:left w:val="none" w:sz="0" w:space="0" w:color="auto"/>
        <w:bottom w:val="none" w:sz="0" w:space="0" w:color="auto"/>
        <w:right w:val="none" w:sz="0" w:space="0" w:color="auto"/>
      </w:divBdr>
    </w:div>
    <w:div w:id="205115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2.xml" Id="rId13" /><Relationship Type="http://schemas.openxmlformats.org/officeDocument/2006/relationships/image" Target="media/image4.png" Id="rId18" /><Relationship Type="http://schemas.openxmlformats.org/officeDocument/2006/relationships/hyperlink" Target="https://www.hiqa.ie/sites/default/files/2017-01/HTA-Guidelines-Stakeholder-Engagement.pdf" TargetMode="External" Id="rId26" /><Relationship Type="http://schemas.openxmlformats.org/officeDocument/2006/relationships/styles" Target="styles.xml" Id="rId3" /><Relationship Type="http://schemas.openxmlformats.org/officeDocument/2006/relationships/image" Target="media/image7.emf" Id="rId21" /><Relationship Type="http://schemas.openxmlformats.org/officeDocument/2006/relationships/hyperlink" Target="https://www.emro.who.int/images/stories/yemen/stakeholder-engagement-plan-yemen-covid-19-response-project-af.pdf" TargetMode="External" Id="rId34"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yperlink" Target="https://www.researchgate.net/publication/385654752_Effective_Strategies_for_Stakeholder_Engagement_in_Healthcare_Nanotechnology_Project" TargetMode="External" Id="rId25" /><Relationship Type="http://schemas.openxmlformats.org/officeDocument/2006/relationships/hyperlink" Target="https://svprojectmanagement.com/project-decelerators-lack-of-stakeholder-support" TargetMode="External" Id="rId33"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image" Target="media/image6.emf" Id="rId20" /><Relationship Type="http://schemas.openxmlformats.org/officeDocument/2006/relationships/hyperlink" Target="https://moeller-medical.com/" TargetMode="Externa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image" Target="media/image10.png" Id="rId24" /><Relationship Type="http://schemas.openxmlformats.org/officeDocument/2006/relationships/hyperlink" Target="https://commons.clarku.edu/cgi/viewcontent.cgi?article=1006&amp;context=graduate_school_professional_studies" TargetMode="External" Id="rId32" /><Relationship Type="http://schemas.openxmlformats.org/officeDocument/2006/relationships/theme" Target="theme/theme1.xml" Id="rId37" /><Relationship Type="http://schemas.openxmlformats.org/officeDocument/2006/relationships/settings" Target="settings.xml" Id="rId5" /><Relationship Type="http://schemas.openxmlformats.org/officeDocument/2006/relationships/footer" Target="footer2.xml" Id="rId15" /><Relationship Type="http://schemas.openxmlformats.org/officeDocument/2006/relationships/image" Target="media/image9.png" Id="rId23" /><Relationship Type="http://schemas.openxmlformats.org/officeDocument/2006/relationships/hyperlink" Target="https://ktdrr.org/products/KTDRR-Stakeholder-Engagement-Brief-508.pdf" TargetMode="External" Id="rId28" /><Relationship Type="http://schemas.openxmlformats.org/officeDocument/2006/relationships/fontTable" Target="fontTable.xml" Id="rId36" /><Relationship Type="http://schemas.openxmlformats.org/officeDocument/2006/relationships/image" Target="media/image2.png" Id="rId10" /><Relationship Type="http://schemas.openxmlformats.org/officeDocument/2006/relationships/image" Target="media/image5.png" Id="rId19" /><Relationship Type="http://schemas.openxmlformats.org/officeDocument/2006/relationships/hyperlink" Target="https://www.pmi.org/learning/library/stakeholder-analysis-pivotal-practice-projects-8905" TargetMode="External" Id="rId31"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footer" Target="footer1.xml" Id="rId14" /><Relationship Type="http://schemas.openxmlformats.org/officeDocument/2006/relationships/image" Target="media/image8.png" Id="rId22" /><Relationship Type="http://schemas.openxmlformats.org/officeDocument/2006/relationships/hyperlink" Target="https://www.hiqa.ie/sites/default/files/2017-01/HTA-Guidelines-Stakeholder-Engagement.pdf" TargetMode="External" Id="rId27" /><Relationship Type="http://schemas.openxmlformats.org/officeDocument/2006/relationships/hyperlink" Target="https://pmc.ncbi.nlm.nih.gov/articles/PMC8993962/" TargetMode="External" Id="rId30" /><Relationship Type="http://schemas.openxmlformats.org/officeDocument/2006/relationships/hyperlink" Target="https://www.pmi.org/learning/library/stakeholder-management-task-project-success-7736" TargetMode="External" Id="rId35" /><Relationship Type="http://schemas.microsoft.com/office/2020/10/relationships/intelligence" Target="intelligence2.xml" Id="Rdef101b90c9c4d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E25AA-F231-48B1-9478-7CCCE100655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Samia Kousar (2211601)</lastModifiedBy>
  <revision>3</revision>
  <dcterms:created xsi:type="dcterms:W3CDTF">2025-11-14T17:27:00.0000000Z</dcterms:created>
  <dcterms:modified xsi:type="dcterms:W3CDTF">2025-11-20T12:40:51.0339552Z</dcterms:modified>
</coreProperties>
</file>