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C69B0C7" w:rsidP="2E9D0212" w:rsidRDefault="7C69B0C7" w14:paraId="4EC6C41E" w14:textId="287739DB">
      <w:pPr>
        <w:pStyle w:val="Normal"/>
        <w:suppressLineNumbers w:val="0"/>
        <w:bidi w:val="0"/>
        <w:spacing w:before="0" w:beforeAutospacing="off" w:after="120" w:afterAutospacing="off" w:line="360" w:lineRule="auto"/>
        <w:ind w:left="0" w:right="0"/>
        <w:jc w:val="center"/>
        <w:rPr>
          <w:rFonts w:ascii="Arial" w:hAnsi="Arial" w:eastAsia="Arial" w:cs="Arial"/>
          <w:b w:val="1"/>
          <w:bCs w:val="1"/>
          <w:i w:val="0"/>
          <w:iCs w:val="0"/>
          <w:caps w:val="0"/>
          <w:smallCaps w:val="0"/>
          <w:noProof w:val="0"/>
          <w:color w:val="1D2125"/>
          <w:sz w:val="40"/>
          <w:szCs w:val="40"/>
          <w:lang w:val="en-GB"/>
        </w:rPr>
      </w:pPr>
      <w:r w:rsidRPr="2E9D0212" w:rsidR="7C69B0C7">
        <w:rPr>
          <w:rFonts w:ascii="Arial" w:hAnsi="Arial" w:eastAsia="Arial" w:cs="Arial"/>
          <w:b w:val="1"/>
          <w:bCs w:val="1"/>
          <w:i w:val="0"/>
          <w:iCs w:val="0"/>
          <w:caps w:val="0"/>
          <w:smallCaps w:val="0"/>
          <w:noProof w:val="0"/>
          <w:color w:val="1D2125"/>
          <w:sz w:val="48"/>
          <w:szCs w:val="48"/>
          <w:lang w:val="en-GB"/>
        </w:rPr>
        <w:t xml:space="preserve">Digital Transformation in Health and </w:t>
      </w:r>
      <w:r w:rsidRPr="2E9D0212" w:rsidR="7C69B0C7">
        <w:rPr>
          <w:rFonts w:ascii="Arial" w:hAnsi="Arial" w:eastAsia="Arial" w:cs="Arial"/>
          <w:b w:val="1"/>
          <w:bCs w:val="1"/>
          <w:i w:val="0"/>
          <w:iCs w:val="0"/>
          <w:caps w:val="0"/>
          <w:smallCaps w:val="0"/>
          <w:noProof w:val="0"/>
          <w:color w:val="1D2125"/>
          <w:sz w:val="48"/>
          <w:szCs w:val="48"/>
          <w:lang w:val="en-GB"/>
        </w:rPr>
        <w:t xml:space="preserve">care </w:t>
      </w:r>
      <w:r w:rsidRPr="2E9D0212" w:rsidR="75543093">
        <w:rPr>
          <w:rFonts w:ascii="Arial" w:hAnsi="Arial" w:eastAsia="Arial" w:cs="Arial"/>
          <w:b w:val="1"/>
          <w:bCs w:val="1"/>
          <w:i w:val="0"/>
          <w:iCs w:val="0"/>
          <w:caps w:val="0"/>
          <w:smallCaps w:val="0"/>
          <w:noProof w:val="0"/>
          <w:color w:val="1D2125"/>
          <w:sz w:val="48"/>
          <w:szCs w:val="48"/>
          <w:lang w:val="en-GB"/>
        </w:rPr>
        <w:t>Professions</w:t>
      </w:r>
    </w:p>
    <w:p w:rsidR="1C4B3E47" w:rsidP="2E9D0212" w:rsidRDefault="1C4B3E47" w14:paraId="6DB4B9D4" w14:textId="0C77174E">
      <w:pPr>
        <w:pStyle w:val="Normal"/>
        <w:jc w:val="center"/>
        <w:rPr>
          <w:rFonts w:ascii="Arial" w:hAnsi="Arial" w:eastAsia="Arial" w:cs="Arial"/>
          <w:b w:val="1"/>
          <w:bCs w:val="1"/>
          <w:noProof w:val="0"/>
          <w:sz w:val="48"/>
          <w:szCs w:val="48"/>
          <w:lang w:val="en-GB"/>
        </w:rPr>
      </w:pPr>
      <w:r w:rsidRPr="2E9D0212" w:rsidR="1C4B3E47">
        <w:rPr>
          <w:rFonts w:ascii="Arial" w:hAnsi="Arial" w:eastAsia="Arial" w:cs="Arial"/>
          <w:b w:val="1"/>
          <w:bCs w:val="1"/>
          <w:sz w:val="48"/>
          <w:szCs w:val="48"/>
        </w:rPr>
        <w:t xml:space="preserve"> </w:t>
      </w:r>
      <w:r w:rsidRPr="2E9D0212" w:rsidR="53334AC3">
        <w:rPr>
          <w:rFonts w:ascii="Arial" w:hAnsi="Arial" w:eastAsia="Arial" w:cs="Arial"/>
          <w:b w:val="1"/>
          <w:bCs w:val="1"/>
          <w:sz w:val="48"/>
          <w:szCs w:val="48"/>
        </w:rPr>
        <w:t>Freestyle</w:t>
      </w:r>
      <w:r w:rsidRPr="2E9D0212" w:rsidR="1C4B3E47">
        <w:rPr>
          <w:rFonts w:ascii="Arial" w:hAnsi="Arial" w:eastAsia="Arial" w:cs="Arial"/>
          <w:b w:val="1"/>
          <w:bCs w:val="1"/>
          <w:sz w:val="48"/>
          <w:szCs w:val="48"/>
        </w:rPr>
        <w:t xml:space="preserve"> Libre flash glucose </w:t>
      </w:r>
      <w:r w:rsidRPr="2E9D0212" w:rsidR="01250D0D">
        <w:rPr>
          <w:rFonts w:ascii="Arial" w:hAnsi="Arial" w:eastAsia="Arial" w:cs="Arial"/>
          <w:b w:val="1"/>
          <w:bCs w:val="1"/>
          <w:i w:val="0"/>
          <w:iCs w:val="0"/>
          <w:caps w:val="0"/>
          <w:smallCaps w:val="0"/>
          <w:strike w:val="0"/>
          <w:dstrike w:val="0"/>
          <w:noProof w:val="0"/>
          <w:color w:val="1F2329"/>
          <w:sz w:val="48"/>
          <w:szCs w:val="48"/>
          <w:u w:val="none"/>
          <w:lang w:val="en-GB"/>
        </w:rPr>
        <w:t>Monitoring in UK Healthcare</w:t>
      </w:r>
    </w:p>
    <w:p w:rsidR="002892D5" w:rsidP="2E9D0212" w:rsidRDefault="002892D5" w14:paraId="140FEC71" w14:textId="0DF54A7A">
      <w:pPr>
        <w:pStyle w:val="Normal"/>
        <w:jc w:val="center"/>
      </w:pPr>
      <w:r w:rsidR="002892D5">
        <w:drawing>
          <wp:inline wp14:editId="76D803A2" wp14:anchorId="05F394C2">
            <wp:extent cx="5981700" cy="3409950"/>
            <wp:effectExtent l="0" t="0" r="0" b="0"/>
            <wp:docPr id="1994864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4864212" name="Picture 1994864212"/>
                    <pic:cNvPicPr/>
                  </pic:nvPicPr>
                  <pic:blipFill>
                    <a:blip xmlns:r="http://schemas.openxmlformats.org/officeDocument/2006/relationships" r:embed="rId951891599">
                      <a:extLst>
                        <a:ext uri="{28A0092B-C50C-407E-A947-70E740481C1C}">
                          <a14:useLocalDpi xmlns:a14="http://schemas.microsoft.com/office/drawing/2010/main"/>
                        </a:ext>
                      </a:extLst>
                    </a:blip>
                    <a:stretch>
                      <a:fillRect/>
                    </a:stretch>
                  </pic:blipFill>
                  <pic:spPr>
                    <a:xfrm>
                      <a:off x="0" y="0"/>
                      <a:ext cx="5981700" cy="3409950"/>
                    </a:xfrm>
                    <a:prstGeom prst="rect">
                      <a:avLst/>
                    </a:prstGeom>
                  </pic:spPr>
                </pic:pic>
              </a:graphicData>
            </a:graphic>
          </wp:inline>
        </w:drawing>
      </w:r>
    </w:p>
    <w:p w:rsidR="3A057DA7" w:rsidP="2E9D0212" w:rsidRDefault="3A057DA7" w14:paraId="49C0587D" w14:textId="3520CA5C">
      <w:pPr>
        <w:pStyle w:val="Normal"/>
        <w:jc w:val="center"/>
        <w:rPr>
          <w:rFonts w:ascii="Arial" w:hAnsi="Arial" w:eastAsia="Arial" w:cs="Arial"/>
          <w:b w:val="1"/>
          <w:bCs w:val="1"/>
          <w:noProof w:val="0"/>
          <w:sz w:val="28"/>
          <w:szCs w:val="28"/>
          <w:lang w:val="en-GB"/>
        </w:rPr>
      </w:pPr>
      <w:r w:rsidRPr="2E9D0212" w:rsidR="3A057DA7">
        <w:rPr>
          <w:rFonts w:ascii="Arial" w:hAnsi="Arial" w:eastAsia="Arial" w:cs="Arial"/>
          <w:b w:val="1"/>
          <w:bCs w:val="1"/>
          <w:i w:val="0"/>
          <w:iCs w:val="0"/>
          <w:caps w:val="0"/>
          <w:smallCaps w:val="0"/>
          <w:noProof w:val="0"/>
          <w:color w:val="1D2125"/>
          <w:sz w:val="40"/>
          <w:szCs w:val="40"/>
          <w:lang w:val="en-GB"/>
        </w:rPr>
        <w:t>Zakiyyah Ahmed</w:t>
      </w:r>
    </w:p>
    <w:p w:rsidR="4EEF850C" w:rsidP="2E9D0212" w:rsidRDefault="4EEF850C" w14:paraId="087B77D3" w14:textId="52FFA211">
      <w:pPr>
        <w:jc w:val="center"/>
      </w:pPr>
      <w:r w:rsidRPr="2E9D0212" w:rsidR="4EEF850C">
        <w:rPr>
          <w:b w:val="1"/>
          <w:bCs w:val="1"/>
          <w:sz w:val="28"/>
          <w:szCs w:val="28"/>
        </w:rPr>
        <w:t>BMHP6026_BIRM</w:t>
      </w:r>
    </w:p>
    <w:p w:rsidR="2E9D0212" w:rsidP="2E9D0212" w:rsidRDefault="2E9D0212" w14:paraId="70699E61" w14:textId="3889226E">
      <w:pPr>
        <w:pStyle w:val="Normal"/>
        <w:jc w:val="center"/>
        <w:rPr>
          <w:sz w:val="36"/>
          <w:szCs w:val="36"/>
        </w:rPr>
      </w:pPr>
    </w:p>
    <w:p w:rsidR="4EEF850C" w:rsidP="2E9D0212" w:rsidRDefault="4EEF850C" w14:paraId="1F8908F7" w14:textId="707A10BC">
      <w:pPr>
        <w:pStyle w:val="Normal"/>
        <w:suppressLineNumbers w:val="0"/>
        <w:bidi w:val="0"/>
        <w:spacing w:before="0" w:beforeAutospacing="off" w:after="120" w:afterAutospacing="off" w:line="360" w:lineRule="auto"/>
        <w:ind w:left="0" w:right="0"/>
        <w:jc w:val="left"/>
        <w:rPr>
          <w:sz w:val="28"/>
          <w:szCs w:val="28"/>
        </w:rPr>
      </w:pPr>
      <w:r w:rsidRPr="2E9D0212" w:rsidR="4EEF850C">
        <w:rPr>
          <w:sz w:val="28"/>
          <w:szCs w:val="28"/>
        </w:rPr>
        <w:t>Student Name: Nashwa Elbouhy</w:t>
      </w:r>
    </w:p>
    <w:p w:rsidR="4EEF850C" w:rsidP="2E9D0212" w:rsidRDefault="4EEF850C" w14:paraId="2B7BDD09" w14:textId="31DB5ACF">
      <w:pPr>
        <w:pStyle w:val="Normal"/>
        <w:suppressLineNumbers w:val="0"/>
        <w:bidi w:val="0"/>
        <w:spacing w:before="0" w:beforeAutospacing="off" w:after="120" w:afterAutospacing="off" w:line="360" w:lineRule="auto"/>
        <w:ind w:left="0" w:right="0"/>
        <w:jc w:val="left"/>
        <w:rPr>
          <w:sz w:val="28"/>
          <w:szCs w:val="28"/>
        </w:rPr>
      </w:pPr>
      <w:r w:rsidRPr="2E9D0212" w:rsidR="4EEF850C">
        <w:rPr>
          <w:sz w:val="28"/>
          <w:szCs w:val="28"/>
        </w:rPr>
        <w:t>Student Number: 240830</w:t>
      </w:r>
      <w:r w:rsidRPr="2E9D0212" w:rsidR="4081CBC1">
        <w:rPr>
          <w:sz w:val="28"/>
          <w:szCs w:val="28"/>
        </w:rPr>
        <w:t>0</w:t>
      </w:r>
    </w:p>
    <w:p w:rsidR="16E2809D" w:rsidP="2E9D0212" w:rsidRDefault="16E2809D" w14:paraId="3F59BB9F" w14:textId="54EA6729">
      <w:pPr>
        <w:pStyle w:val="Heading2"/>
        <w:spacing w:before="0" w:beforeAutospacing="off" w:after="0" w:afterAutospacing="off" w:line="360" w:lineRule="auto"/>
        <w:jc w:val="left"/>
        <w:rPr>
          <w:rFonts w:ascii="Arial" w:hAnsi="Arial" w:eastAsia="Arial" w:cs="Arial"/>
          <w:b w:val="1"/>
          <w:bCs w:val="1"/>
          <w:noProof w:val="0"/>
          <w:color w:val="1F2329"/>
          <w:sz w:val="22"/>
          <w:szCs w:val="22"/>
          <w:lang w:val="en-GB"/>
        </w:rPr>
      </w:pPr>
      <w:r w:rsidRPr="2E9D0212" w:rsidR="16E2809D">
        <w:rPr>
          <w:rFonts w:ascii="Arial" w:hAnsi="Arial" w:eastAsia="Arial" w:cs="Arial"/>
          <w:b w:val="1"/>
          <w:bCs w:val="1"/>
          <w:noProof w:val="0"/>
          <w:color w:val="1F2329"/>
          <w:sz w:val="22"/>
          <w:szCs w:val="22"/>
          <w:lang w:val="en-GB"/>
        </w:rPr>
        <w:t>INTRODUCTION</w:t>
      </w:r>
    </w:p>
    <w:p w:rsidR="16E2809D" w:rsidP="2E9D0212" w:rsidRDefault="16E2809D" w14:paraId="7B3481A0" w14:textId="49EEA36D">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Digital transformation is reshaping health and social care across the United Kingdom, with national policy placing technology at the very heart of a more personalised, efficient, and connected system (DHSC &amp; NHS England, 2022). To truly understand what the FreeStyle Libre represents, we must first look back at what came before it — and what people living with diabetes endured for so long.</w:t>
      </w:r>
    </w:p>
    <w:p w:rsidR="16E2809D" w:rsidP="2E9D0212" w:rsidRDefault="16E2809D" w14:paraId="694A8E93" w14:textId="1449D71D">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For generations, checking blood sugar was a crude, uncertain process. Patients would collect a urine sample in a test tube, heat it over a flame or stove, and watch for a colour change on specially treated strips. Each shade offered nothing more than a rough, delayed estimate — no instant reading, no way of seeing trends, and no warning if levels shifted quickly. As medicine advanced, urine tests gave way to finger-prick meters, which were more accurate but brought their own burden: repeated, painful pricks, four to ten times a day, every day. For children especially, this routine became a source of fear, embarrassment, and anxiety. Devices grew smaller and faster over the years, yet they still offered only isolated snapshots — single readings taken minutes apart — rather than a continuous picture of what was happening inside the body.</w:t>
      </w:r>
    </w:p>
    <w:p w:rsidR="16E2809D" w:rsidP="2E9D0212" w:rsidRDefault="16E2809D" w14:paraId="22184E6F" w14:textId="7AB9CD20">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 xml:space="preserve">Against this backdrop of slow, steady progress, one innovation has stood out as truly transformative: the </w:t>
      </w:r>
      <w:r w:rsidRPr="2E9D0212" w:rsidR="4168C367">
        <w:rPr>
          <w:rFonts w:ascii="Arial" w:hAnsi="Arial" w:eastAsia="Arial" w:cs="Arial"/>
          <w:b w:val="0"/>
          <w:bCs w:val="0"/>
          <w:noProof w:val="0"/>
          <w:color w:val="1F2329"/>
          <w:sz w:val="22"/>
          <w:szCs w:val="22"/>
          <w:lang w:val="en-GB"/>
        </w:rPr>
        <w:t>Freestyle</w:t>
      </w:r>
      <w:r w:rsidRPr="2E9D0212" w:rsidR="16E2809D">
        <w:rPr>
          <w:rFonts w:ascii="Arial" w:hAnsi="Arial" w:eastAsia="Arial" w:cs="Arial"/>
          <w:b w:val="0"/>
          <w:bCs w:val="0"/>
          <w:noProof w:val="0"/>
          <w:color w:val="1F2329"/>
          <w:sz w:val="22"/>
          <w:szCs w:val="22"/>
          <w:lang w:val="en-GB"/>
        </w:rPr>
        <w:t xml:space="preserve"> Libre, also known as intermittently scanned continuous glucose monitoring (</w:t>
      </w:r>
      <w:r w:rsidRPr="2E9D0212" w:rsidR="16E2809D">
        <w:rPr>
          <w:rFonts w:ascii="Arial" w:hAnsi="Arial" w:eastAsia="Arial" w:cs="Arial"/>
          <w:b w:val="0"/>
          <w:bCs w:val="0"/>
          <w:noProof w:val="0"/>
          <w:color w:val="1F2329"/>
          <w:sz w:val="22"/>
          <w:szCs w:val="22"/>
          <w:lang w:val="en-GB"/>
        </w:rPr>
        <w:t>isCGM</w:t>
      </w:r>
      <w:r w:rsidRPr="2E9D0212" w:rsidR="16E2809D">
        <w:rPr>
          <w:rFonts w:ascii="Arial" w:hAnsi="Arial" w:eastAsia="Arial" w:cs="Arial"/>
          <w:b w:val="0"/>
          <w:bCs w:val="0"/>
          <w:noProof w:val="0"/>
          <w:color w:val="1F2329"/>
          <w:sz w:val="22"/>
          <w:szCs w:val="22"/>
          <w:lang w:val="en-GB"/>
        </w:rPr>
        <w:t xml:space="preserve">). Worn discreetly on the upper arm for up to 14 days, the sensor measures glucose levels continuously in the fluid between cells. A quick scan with a reader or smartphone displays the current level, directional arrows showing where things are heading, and eight hours of stored history — </w:t>
      </w:r>
      <w:r w:rsidRPr="2E9D0212" w:rsidR="16E2809D">
        <w:rPr>
          <w:rFonts w:ascii="Arial" w:hAnsi="Arial" w:eastAsia="Arial" w:cs="Arial"/>
          <w:b w:val="0"/>
          <w:bCs w:val="0"/>
          <w:noProof w:val="0"/>
          <w:color w:val="1F2329"/>
          <w:sz w:val="22"/>
          <w:szCs w:val="22"/>
          <w:lang w:val="en-GB"/>
        </w:rPr>
        <w:t>largely replacing</w:t>
      </w:r>
      <w:r w:rsidRPr="2E9D0212" w:rsidR="16E2809D">
        <w:rPr>
          <w:rFonts w:ascii="Arial" w:hAnsi="Arial" w:eastAsia="Arial" w:cs="Arial"/>
          <w:b w:val="0"/>
          <w:bCs w:val="0"/>
          <w:noProof w:val="0"/>
          <w:color w:val="1F2329"/>
          <w:sz w:val="22"/>
          <w:szCs w:val="22"/>
          <w:lang w:val="en-GB"/>
        </w:rPr>
        <w:t xml:space="preserve"> the need for traditional finger-prick testing (Yadegarfar et al., 2020).</w:t>
      </w:r>
    </w:p>
    <w:p w:rsidR="16E2809D" w:rsidP="2E9D0212" w:rsidRDefault="16E2809D" w14:paraId="3F55495F" w14:textId="069FA5C7">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The system was added to the NHS Drug Tariff in November 2017. By 2020, more than 30% of adults living with Type 1 diabetes in England were using it — surpassing the NHS Long Term Plan’s target of 20% coverage by March 2021 well ahead of schedule. In 2022, NICE guidance NG17 was updated to recommend flash or real-time continuous glucose monitoring for all people with Type 1 diabetes, both adults and children (NHS England, 2022; NICE, 2022).</w:t>
      </w:r>
    </w:p>
    <w:p w:rsidR="16E2809D" w:rsidP="2E9D0212" w:rsidRDefault="16E2809D" w14:paraId="4BDDD87F" w14:textId="6FC75DF5">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 xml:space="preserve">This report evaluates the impact across three key areas — clinical outcomes, patient experience, workforce practice, and service resources — with a dedicated focus on how this technology has reshaped daily life for children and young people. It concludes that while the </w:t>
      </w:r>
      <w:r w:rsidRPr="2E9D0212" w:rsidR="2DF043D6">
        <w:rPr>
          <w:rFonts w:ascii="Arial" w:hAnsi="Arial" w:eastAsia="Arial" w:cs="Arial"/>
          <w:b w:val="0"/>
          <w:bCs w:val="0"/>
          <w:noProof w:val="0"/>
          <w:color w:val="1F2329"/>
          <w:sz w:val="22"/>
          <w:szCs w:val="22"/>
          <w:lang w:val="en-GB"/>
        </w:rPr>
        <w:t>Freestyle</w:t>
      </w:r>
      <w:r w:rsidRPr="2E9D0212" w:rsidR="16E2809D">
        <w:rPr>
          <w:rFonts w:ascii="Arial" w:hAnsi="Arial" w:eastAsia="Arial" w:cs="Arial"/>
          <w:b w:val="0"/>
          <w:bCs w:val="0"/>
          <w:noProof w:val="0"/>
          <w:color w:val="1F2329"/>
          <w:sz w:val="22"/>
          <w:szCs w:val="22"/>
          <w:lang w:val="en-GB"/>
        </w:rPr>
        <w:t xml:space="preserve"> Libre is genuinely transformative, its benefits are not automatic: they depend on fair access, thoughtful implementation, and honest recognition of where the technology still falls short.</w:t>
      </w:r>
    </w:p>
    <w:p w:rsidR="2E9D0212" w:rsidP="2E9D0212" w:rsidRDefault="2E9D0212" w14:paraId="106A65F6" w14:textId="7F3BC015">
      <w:pPr>
        <w:spacing w:line="360" w:lineRule="auto"/>
        <w:jc w:val="center"/>
        <w:rPr>
          <w:rFonts w:ascii="Arial" w:hAnsi="Arial" w:eastAsia="Arial" w:cs="Arial"/>
          <w:sz w:val="22"/>
          <w:szCs w:val="22"/>
        </w:rPr>
      </w:pPr>
    </w:p>
    <w:p w:rsidR="16E2809D" w:rsidP="2E9D0212" w:rsidRDefault="16E2809D" w14:paraId="0199DF0E" w14:textId="2E709FBA">
      <w:pPr>
        <w:pStyle w:val="Heading2"/>
        <w:spacing w:before="0" w:beforeAutospacing="off" w:after="0" w:afterAutospacing="off" w:line="360" w:lineRule="auto"/>
        <w:jc w:val="left"/>
        <w:rPr>
          <w:rFonts w:ascii="Arial" w:hAnsi="Arial" w:eastAsia="Arial" w:cs="Arial"/>
          <w:b w:val="1"/>
          <w:bCs w:val="1"/>
          <w:noProof w:val="0"/>
          <w:color w:val="1F2329"/>
          <w:sz w:val="22"/>
          <w:szCs w:val="22"/>
          <w:lang w:val="en-GB"/>
        </w:rPr>
      </w:pPr>
      <w:r w:rsidRPr="2E9D0212" w:rsidR="16E2809D">
        <w:rPr>
          <w:rFonts w:ascii="Arial" w:hAnsi="Arial" w:eastAsia="Arial" w:cs="Arial"/>
          <w:b w:val="1"/>
          <w:bCs w:val="1"/>
          <w:noProof w:val="0"/>
          <w:color w:val="1F2329"/>
          <w:sz w:val="22"/>
          <w:szCs w:val="22"/>
          <w:lang w:val="en-GB"/>
        </w:rPr>
        <w:t xml:space="preserve"> IMPACT ON PATIENTS AND SERVICE USERS</w:t>
      </w:r>
    </w:p>
    <w:p w:rsidR="16E2809D" w:rsidP="2E9D0212" w:rsidRDefault="16E2809D" w14:paraId="49302A3B" w14:textId="0845913C">
      <w:pPr>
        <w:pStyle w:val="Heading3"/>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1"/>
          <w:bCs w:val="1"/>
          <w:noProof w:val="0"/>
          <w:color w:val="1F2329"/>
          <w:sz w:val="22"/>
          <w:szCs w:val="22"/>
          <w:lang w:val="en-GB"/>
        </w:rPr>
        <w:t xml:space="preserve"> Clinical Effectiveness and Glycaemic Control</w:t>
      </w:r>
    </w:p>
    <w:p w:rsidR="16E2809D" w:rsidP="2E9D0212" w:rsidRDefault="16E2809D" w14:paraId="4063FA7B" w14:textId="412F4AEC">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The clinical improvements are clear and compelling. In Eastern Cheshire, where every patient received one-to-one education and support from a Diabetes Specialist Nurse, average HbA1c fell from 83.0 mmol/mol at baseline to 72.3 mmol/mol at three months, and to 66.9 mmol/mol at six months — a highly significant reduction (p &lt; 0.0001). Most notably, the number of people in the highest-risk group (HbA1c ≥ 80 mmol/mol) dropped from 24 to just 7 (Yadegarfar et al., 2020).</w:t>
      </w:r>
    </w:p>
    <w:p w:rsidR="16E2809D" w:rsidP="2E9D0212" w:rsidRDefault="16E2809D" w14:paraId="14A46ABF" w14:textId="4C114F40">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A nationwide audit confirmed the pattern: an overall HbA1c reduction of 0.5%, rising to 1.2% among those starting with poorer control — meaning the greatest gains appeared where clinical need was greatest (Blissett et al., 2022).</w:t>
      </w:r>
    </w:p>
    <w:p w:rsidR="16E2809D" w:rsidP="2E9D0212" w:rsidRDefault="16E2809D" w14:paraId="75EBF213" w14:textId="16D5AC29">
      <w:p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Acute events fell dramatically:</w:t>
      </w:r>
    </w:p>
    <w:tbl>
      <w:tblPr>
        <w:tblStyle w:val="TableNormal"/>
        <w:bidiVisual w:val="0"/>
        <w:tblW w:w="0" w:type="auto"/>
        <w:tblInd w:w="-150" w:type="dxa"/>
        <w:tblLook w:val="0000" w:firstRow="0" w:lastRow="0" w:firstColumn="0" w:lastColumn="0" w:noHBand="0" w:noVBand="0"/>
      </w:tblPr>
      <w:tblGrid>
        <w:gridCol w:w="4154"/>
        <w:gridCol w:w="2474"/>
        <w:gridCol w:w="2370"/>
        <w:gridCol w:w="1965"/>
      </w:tblGrid>
      <w:tr w:rsidR="2E9D0212" w:rsidTr="2E9D0212" w14:paraId="1FA0033D">
        <w:trPr>
          <w:trHeight w:val="300"/>
        </w:trPr>
        <w:tc>
          <w:tcPr>
            <w:tcW w:w="4154"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4BACC6" w:themeFill="accent5"/>
            <w:tcMar>
              <w:left w:w="105" w:type="dxa"/>
              <w:right w:w="105" w:type="dxa"/>
            </w:tcMar>
            <w:vAlign w:val="top"/>
          </w:tcPr>
          <w:p w:rsidR="2E9D0212" w:rsidP="2E9D0212" w:rsidRDefault="2E9D0212" w14:paraId="37AB91BB" w14:textId="307B01CF">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1"/>
                <w:bCs w:val="1"/>
                <w:i w:val="0"/>
                <w:iCs w:val="0"/>
                <w:caps w:val="0"/>
                <w:smallCaps w:val="0"/>
                <w:color w:val="1F2329"/>
                <w:sz w:val="22"/>
                <w:szCs w:val="22"/>
                <w:lang w:val="en-GB"/>
              </w:rPr>
              <w:t>Metric / Dimension</w:t>
            </w:r>
          </w:p>
        </w:tc>
        <w:tc>
          <w:tcPr>
            <w:tcW w:w="2474"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4BACC6" w:themeFill="accent5"/>
            <w:tcMar>
              <w:left w:w="105" w:type="dxa"/>
              <w:right w:w="105" w:type="dxa"/>
            </w:tcMar>
            <w:vAlign w:val="top"/>
          </w:tcPr>
          <w:p w:rsidR="2E9D0212" w:rsidP="2E9D0212" w:rsidRDefault="2E9D0212" w14:paraId="5C82A8F9" w14:textId="669663BA">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1"/>
                <w:bCs w:val="1"/>
                <w:i w:val="0"/>
                <w:iCs w:val="0"/>
                <w:caps w:val="0"/>
                <w:smallCaps w:val="0"/>
                <w:color w:val="1F2329"/>
                <w:sz w:val="22"/>
                <w:szCs w:val="22"/>
                <w:lang w:val="en-GB"/>
              </w:rPr>
              <w:t>SMBG (Baseline)</w:t>
            </w:r>
          </w:p>
        </w:tc>
        <w:tc>
          <w:tcPr>
            <w:tcW w:w="2370"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4BACC6" w:themeFill="accent5"/>
            <w:tcMar>
              <w:left w:w="105" w:type="dxa"/>
              <w:right w:w="105" w:type="dxa"/>
            </w:tcMar>
            <w:vAlign w:val="top"/>
          </w:tcPr>
          <w:p w:rsidR="2E9D0212" w:rsidP="2E9D0212" w:rsidRDefault="2E9D0212" w14:paraId="4B611301" w14:textId="6319FC6A">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1"/>
                <w:bCs w:val="1"/>
                <w:i w:val="0"/>
                <w:iCs w:val="0"/>
                <w:caps w:val="0"/>
                <w:smallCaps w:val="0"/>
                <w:color w:val="1F2329"/>
                <w:sz w:val="22"/>
                <w:szCs w:val="22"/>
                <w:lang w:val="en-GB"/>
              </w:rPr>
              <w:t>Freestyle Libre</w:t>
            </w:r>
          </w:p>
        </w:tc>
        <w:tc>
          <w:tcPr>
            <w:tcW w:w="1965" w:type="dxa"/>
            <w:tcBorders>
              <w:top w:val="single" w:color="FFFFFF" w:themeColor="background1" w:sz="6"/>
              <w:left w:val="single" w:color="FFFFFF" w:themeColor="background1" w:sz="6"/>
              <w:bottom w:val="single" w:color="FFFFFF" w:themeColor="background1" w:sz="24"/>
              <w:right w:val="single" w:color="FFFFFF" w:themeColor="background1" w:sz="6"/>
            </w:tcBorders>
            <w:shd w:val="clear" w:color="auto" w:fill="4BACC6" w:themeFill="accent5"/>
            <w:tcMar>
              <w:left w:w="105" w:type="dxa"/>
              <w:right w:w="105" w:type="dxa"/>
            </w:tcMar>
            <w:vAlign w:val="top"/>
          </w:tcPr>
          <w:p w:rsidR="2E9D0212" w:rsidP="2E9D0212" w:rsidRDefault="2E9D0212" w14:paraId="14767CA4" w14:textId="06DE2E2F">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1"/>
                <w:bCs w:val="1"/>
                <w:i w:val="0"/>
                <w:iCs w:val="0"/>
                <w:caps w:val="0"/>
                <w:smallCaps w:val="0"/>
                <w:color w:val="1F2329"/>
                <w:sz w:val="22"/>
                <w:szCs w:val="22"/>
                <w:lang w:val="en-GB"/>
              </w:rPr>
              <w:t>Percentage Change</w:t>
            </w:r>
          </w:p>
        </w:tc>
      </w:tr>
      <w:tr w:rsidR="2E9D0212" w:rsidTr="2E9D0212" w14:paraId="3BC2520F">
        <w:trPr>
          <w:trHeight w:val="300"/>
        </w:trPr>
        <w:tc>
          <w:tcPr>
            <w:tcW w:w="4154" w:type="dxa"/>
            <w:tcBorders>
              <w:top w:val="single" w:color="FFFFFF" w:themeColor="background1" w:sz="24"/>
              <w:left w:val="single" w:color="FFFFFF" w:themeColor="background1" w:sz="6"/>
              <w:bottom w:val="nil"/>
              <w:right w:val="single" w:color="FFFFFF" w:themeColor="background1" w:sz="24"/>
            </w:tcBorders>
            <w:shd w:val="clear" w:color="auto" w:fill="4BACC6" w:themeFill="accent5"/>
            <w:tcMar>
              <w:left w:w="105" w:type="dxa"/>
              <w:right w:w="105" w:type="dxa"/>
            </w:tcMar>
            <w:vAlign w:val="top"/>
          </w:tcPr>
          <w:p w:rsidR="2E9D0212" w:rsidP="2E9D0212" w:rsidRDefault="2E9D0212" w14:paraId="5AAEB24B" w14:textId="60DEAE93">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Severe hypoglycaemic admissions</w:t>
            </w:r>
          </w:p>
        </w:tc>
        <w:tc>
          <w:tcPr>
            <w:tcW w:w="247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5B489749" w14:textId="707A2619">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6.9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23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09B62F54" w14:textId="7D86E372">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3.5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19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27062132" w14:textId="5552AC95">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−49.3 %</w:t>
            </w:r>
          </w:p>
        </w:tc>
      </w:tr>
      <w:tr w:rsidR="2E9D0212" w:rsidTr="2E9D0212" w14:paraId="7D76C42E">
        <w:trPr>
          <w:trHeight w:val="300"/>
        </w:trPr>
        <w:tc>
          <w:tcPr>
            <w:tcW w:w="4154" w:type="dxa"/>
            <w:tcBorders>
              <w:top w:val="nil"/>
              <w:left w:val="single" w:color="FFFFFF" w:themeColor="background1" w:sz="6"/>
              <w:bottom w:val="nil"/>
              <w:right w:val="single" w:color="FFFFFF" w:themeColor="background1" w:sz="24"/>
            </w:tcBorders>
            <w:shd w:val="clear" w:color="auto" w:fill="4BACC6" w:themeFill="accent5"/>
            <w:tcMar>
              <w:left w:w="105" w:type="dxa"/>
              <w:right w:w="105" w:type="dxa"/>
            </w:tcMar>
            <w:vAlign w:val="top"/>
          </w:tcPr>
          <w:p w:rsidR="2E9D0212" w:rsidP="2E9D0212" w:rsidRDefault="2E9D0212" w14:paraId="45CD4D3A" w14:textId="44D4A89C">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Paramedic callouts (severe hypoglycaemia)</w:t>
            </w:r>
          </w:p>
        </w:tc>
        <w:tc>
          <w:tcPr>
            <w:tcW w:w="247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1C94C071" w14:textId="661A67F6">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13.1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23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1D064318" w14:textId="07395E4E">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2.3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19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60D5237A" w14:textId="033E0BA7">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−82.4 %</w:t>
            </w:r>
          </w:p>
        </w:tc>
      </w:tr>
      <w:tr w:rsidR="2E9D0212" w:rsidTr="2E9D0212" w14:paraId="26F86CFC">
        <w:trPr>
          <w:trHeight w:val="300"/>
        </w:trPr>
        <w:tc>
          <w:tcPr>
            <w:tcW w:w="4154" w:type="dxa"/>
            <w:tcBorders>
              <w:top w:val="nil"/>
              <w:left w:val="single" w:color="FFFFFF" w:themeColor="background1" w:sz="6"/>
              <w:bottom w:val="single" w:color="FFFFFF" w:themeColor="background1" w:sz="6"/>
              <w:right w:val="single" w:color="FFFFFF" w:themeColor="background1" w:sz="24"/>
            </w:tcBorders>
            <w:shd w:val="clear" w:color="auto" w:fill="4BACC6" w:themeFill="accent5"/>
            <w:tcMar>
              <w:left w:w="105" w:type="dxa"/>
              <w:right w:w="105" w:type="dxa"/>
            </w:tcMar>
            <w:vAlign w:val="top"/>
          </w:tcPr>
          <w:p w:rsidR="2E9D0212" w:rsidP="2E9D0212" w:rsidRDefault="2E9D0212" w14:paraId="08B454BF" w14:textId="44CB67F9">
            <w:pPr>
              <w:spacing w:before="0" w:beforeAutospacing="off" w:after="0" w:afterAutospacing="off" w:line="360" w:lineRule="auto"/>
              <w:jc w:val="left"/>
              <w:rPr>
                <w:rFonts w:ascii="Arial" w:hAnsi="Arial" w:eastAsia="Arial" w:cs="Arial"/>
                <w:b w:val="1"/>
                <w:bCs w:val="1"/>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DKA / hyperglycaemic admissions</w:t>
            </w:r>
          </w:p>
        </w:tc>
        <w:tc>
          <w:tcPr>
            <w:tcW w:w="247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5C2839A4" w14:textId="1E456B49">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9.6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23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4E6A9727" w14:textId="16B1BA80">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5.4 per 100 person</w:t>
            </w:r>
            <w:r>
              <w:noBreakHyphen/>
            </w:r>
            <w:r w:rsidRPr="2E9D0212" w:rsidR="2E9D0212">
              <w:rPr>
                <w:rFonts w:ascii="Arial" w:hAnsi="Arial" w:eastAsia="Arial" w:cs="Arial"/>
                <w:b w:val="0"/>
                <w:bCs w:val="0"/>
                <w:i w:val="0"/>
                <w:iCs w:val="0"/>
                <w:caps w:val="0"/>
                <w:smallCaps w:val="0"/>
                <w:color w:val="1F2329"/>
                <w:sz w:val="22"/>
                <w:szCs w:val="22"/>
                <w:lang w:val="en-GB"/>
              </w:rPr>
              <w:t>years</w:t>
            </w:r>
          </w:p>
        </w:tc>
        <w:tc>
          <w:tcPr>
            <w:tcW w:w="19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2EAF1"/>
            <w:tcMar>
              <w:left w:w="105" w:type="dxa"/>
              <w:right w:w="105" w:type="dxa"/>
            </w:tcMar>
            <w:vAlign w:val="top"/>
          </w:tcPr>
          <w:p w:rsidR="2E9D0212" w:rsidP="2E9D0212" w:rsidRDefault="2E9D0212" w14:paraId="1CE4C1BE" w14:textId="6CD38FAC">
            <w:pPr>
              <w:spacing w:before="0" w:beforeAutospacing="off" w:after="0" w:afterAutospacing="off" w:line="360" w:lineRule="auto"/>
              <w:jc w:val="left"/>
              <w:rPr>
                <w:rFonts w:ascii="Arial" w:hAnsi="Arial" w:eastAsia="Arial" w:cs="Arial"/>
                <w:b w:val="0"/>
                <w:bCs w:val="0"/>
                <w:i w:val="0"/>
                <w:iCs w:val="0"/>
                <w:caps w:val="0"/>
                <w:smallCaps w:val="0"/>
                <w:color w:val="1F2329"/>
                <w:sz w:val="22"/>
                <w:szCs w:val="22"/>
                <w:lang w:val="en-US"/>
              </w:rPr>
            </w:pPr>
            <w:r w:rsidRPr="2E9D0212" w:rsidR="2E9D0212">
              <w:rPr>
                <w:rFonts w:ascii="Arial" w:hAnsi="Arial" w:eastAsia="Arial" w:cs="Arial"/>
                <w:b w:val="0"/>
                <w:bCs w:val="0"/>
                <w:i w:val="0"/>
                <w:iCs w:val="0"/>
                <w:caps w:val="0"/>
                <w:smallCaps w:val="0"/>
                <w:color w:val="1F2329"/>
                <w:sz w:val="22"/>
                <w:szCs w:val="22"/>
                <w:lang w:val="en-GB"/>
              </w:rPr>
              <w:t>−43.8 %</w:t>
            </w:r>
          </w:p>
        </w:tc>
      </w:tr>
    </w:tbl>
    <w:p w:rsidR="2E9D0212" w:rsidP="2E9D0212" w:rsidRDefault="2E9D0212" w14:paraId="3AF191CD" w14:textId="51FE229A">
      <w:pPr>
        <w:spacing w:before="0" w:beforeAutospacing="off" w:after="0" w:afterAutospacing="off" w:line="360" w:lineRule="auto"/>
        <w:jc w:val="left"/>
        <w:rPr>
          <w:rFonts w:ascii="Arial" w:hAnsi="Arial" w:eastAsia="Arial" w:cs="Arial"/>
          <w:b w:val="0"/>
          <w:bCs w:val="0"/>
          <w:noProof w:val="0"/>
          <w:color w:val="1F2329"/>
          <w:sz w:val="22"/>
          <w:szCs w:val="22"/>
          <w:lang w:val="en-GB"/>
        </w:rPr>
      </w:pPr>
    </w:p>
    <w:p w:rsidR="16E2809D" w:rsidP="2E9D0212" w:rsidRDefault="16E2809D" w14:paraId="49D40374" w14:textId="7262F920">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These figures matter deeply — they represent fewer late-night emergencies, fewer hospital stays, and a real reduction in the constant fear of severe hypoglycaemia. That said, the evidence must be interpreted thoughtfully. UK studies are observational and lack control groups; some of the improvement may stem from the extra attention and education patients received rather than the device alone. The IMPACT randomised trial, which recruited people who were already well-controlled, found no significant change in HbA1c — reminding us that benefits are not identical for everyone (Bailey et al., 2016; Blissett et al., 2022).</w:t>
      </w:r>
    </w:p>
    <w:p w:rsidR="2E9D0212" w:rsidP="2E9D0212" w:rsidRDefault="2E9D0212" w14:paraId="32D2D562" w14:textId="5465B396">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p>
    <w:p w:rsidR="16E2809D" w:rsidP="2E9D0212" w:rsidRDefault="16E2809D" w14:paraId="42CF1F6F" w14:textId="0C42B8AC">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1"/>
          <w:bCs w:val="1"/>
          <w:noProof w:val="0"/>
          <w:color w:val="1F2329"/>
          <w:sz w:val="22"/>
          <w:szCs w:val="22"/>
          <w:lang w:val="en-GB"/>
        </w:rPr>
        <w:t xml:space="preserve"> Children and Young People: When Daily Pain Disappears</w:t>
      </w:r>
    </w:p>
    <w:p w:rsidR="5C69B7A1" w:rsidP="2E9D0212" w:rsidRDefault="5C69B7A1" w14:paraId="13280E4F" w14:textId="17A66F54">
      <w:pPr>
        <w:pStyle w:val="Normal"/>
        <w:suppressLineNumbers w:val="0"/>
        <w:bidi w:val="0"/>
        <w:spacing w:before="0" w:beforeAutospacing="off" w:after="120" w:afterAutospacing="off" w:line="360" w:lineRule="auto"/>
        <w:ind w:left="0" w:right="0"/>
        <w:jc w:val="both"/>
        <w:rPr>
          <w:rFonts w:ascii="Arial" w:hAnsi="Arial" w:eastAsia="Arial" w:cs="Arial"/>
          <w:noProof w:val="0"/>
          <w:sz w:val="22"/>
          <w:szCs w:val="22"/>
          <w:lang w:val="en-GB"/>
        </w:rPr>
      </w:pPr>
      <w:r w:rsidRPr="2E9D0212" w:rsidR="5C69B7A1">
        <w:rPr>
          <w:rFonts w:ascii="Arial" w:hAnsi="Arial" w:eastAsia="Arial" w:cs="Arial"/>
          <w:noProof w:val="0"/>
          <w:sz w:val="22"/>
          <w:szCs w:val="22"/>
          <w:lang w:val="en-GB"/>
        </w:rPr>
        <w:t>T</w:t>
      </w:r>
      <w:r w:rsidRPr="2E9D0212" w:rsidR="57762EF5">
        <w:rPr>
          <w:rFonts w:ascii="Arial" w:hAnsi="Arial" w:eastAsia="Arial" w:cs="Arial"/>
          <w:noProof w:val="0"/>
          <w:sz w:val="22"/>
          <w:szCs w:val="22"/>
          <w:lang w:val="en-GB"/>
        </w:rPr>
        <w:t xml:space="preserve">he difference is striking for adults, it is life-changing for children and teenagers. For decades, a child with Type 1 diabetes faced </w:t>
      </w:r>
      <w:r w:rsidRPr="2E9D0212" w:rsidR="57762EF5">
        <w:rPr>
          <w:rFonts w:ascii="Arial" w:hAnsi="Arial" w:eastAsia="Arial" w:cs="Arial"/>
          <w:b w:val="0"/>
          <w:bCs w:val="0"/>
          <w:noProof w:val="0"/>
          <w:color w:val="1F2329"/>
          <w:sz w:val="22"/>
          <w:szCs w:val="22"/>
          <w:lang w:val="en-GB"/>
        </w:rPr>
        <w:t>4 to 10 painful finger pricks every day</w:t>
      </w:r>
      <w:r w:rsidRPr="2E9D0212" w:rsidR="57762EF5">
        <w:rPr>
          <w:rFonts w:ascii="Arial" w:hAnsi="Arial" w:eastAsia="Arial" w:cs="Arial"/>
          <w:noProof w:val="0"/>
          <w:sz w:val="22"/>
          <w:szCs w:val="22"/>
          <w:lang w:val="en-GB"/>
        </w:rPr>
        <w:t xml:space="preserve"> — before meals, after sport, at bedtime, and often through the night. This routine meant fear, embarrassment at school, and constant worry for families. The Freestyle Libre transformed that experience:</w:t>
      </w:r>
    </w:p>
    <w:p w:rsidR="5FA68988" w:rsidP="2E9D0212" w:rsidRDefault="5FA68988" w14:paraId="30DFF88B" w14:textId="03E556EA">
      <w:pPr>
        <w:pStyle w:val="Normal"/>
        <w:bidi w:val="0"/>
        <w:spacing w:before="0" w:beforeAutospacing="off" w:after="0" w:afterAutospacing="off" w:line="360" w:lineRule="auto"/>
        <w:jc w:val="left"/>
        <w:rPr>
          <w:rFonts w:ascii="Arial" w:hAnsi="Arial" w:eastAsia="Arial" w:cs="Arial"/>
          <w:sz w:val="22"/>
          <w:szCs w:val="22"/>
        </w:rPr>
      </w:pPr>
      <w:r w:rsidR="5FA68988">
        <w:drawing>
          <wp:inline wp14:editId="125C8B15" wp14:anchorId="090BD3AE">
            <wp:extent cx="2835711" cy="1868632"/>
            <wp:effectExtent l="0" t="0" r="0" b="0"/>
            <wp:docPr id="218815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0978402" name="Picture 290978402"/>
                    <pic:cNvPicPr/>
                  </pic:nvPicPr>
                  <pic:blipFill>
                    <a:blip xmlns:r="http://schemas.openxmlformats.org/officeDocument/2006/relationships" r:embed="rId1851491439">
                      <a:extLst>
                        <a:ext uri="{28A0092B-C50C-407E-A947-70E740481C1C}">
                          <a14:useLocalDpi xmlns:a14="http://schemas.microsoft.com/office/drawing/2010/main"/>
                        </a:ext>
                      </a:extLst>
                    </a:blip>
                    <a:stretch>
                      <a:fillRect/>
                    </a:stretch>
                  </pic:blipFill>
                  <pic:spPr>
                    <a:xfrm rot="0">
                      <a:off x="0" y="0"/>
                      <a:ext cx="2835711" cy="1868632"/>
                    </a:xfrm>
                    <a:prstGeom prst="rect">
                      <a:avLst/>
                    </a:prstGeom>
                  </pic:spPr>
                </pic:pic>
              </a:graphicData>
            </a:graphic>
          </wp:inline>
        </w:drawing>
      </w:r>
      <w:r w:rsidRPr="2E9D0212" w:rsidR="5FA68988">
        <w:rPr>
          <w:rFonts w:ascii="Arial" w:hAnsi="Arial" w:eastAsia="Arial" w:cs="Arial"/>
          <w:sz w:val="22"/>
          <w:szCs w:val="22"/>
        </w:rPr>
        <w:t xml:space="preserve">       </w:t>
      </w:r>
      <w:r w:rsidR="5FA68988">
        <w:drawing>
          <wp:inline wp14:editId="1815FAAC" wp14:anchorId="30CB4412">
            <wp:extent cx="2740612" cy="1873794"/>
            <wp:effectExtent l="0" t="0" r="0" b="0"/>
            <wp:docPr id="11349909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7784556" name="Picture 2017784556"/>
                    <pic:cNvPicPr/>
                  </pic:nvPicPr>
                  <pic:blipFill>
                    <a:blip xmlns:r="http://schemas.openxmlformats.org/officeDocument/2006/relationships" r:embed="rId899143345">
                      <a:extLst>
                        <a:ext uri="{28A0092B-C50C-407E-A947-70E740481C1C}">
                          <a14:useLocalDpi xmlns:a14="http://schemas.microsoft.com/office/drawing/2010/main"/>
                        </a:ext>
                      </a:extLst>
                    </a:blip>
                    <a:srcRect l="0" t="0" r="0" b="8578"/>
                    <a:stretch>
                      <a:fillRect/>
                    </a:stretch>
                  </pic:blipFill>
                  <pic:spPr>
                    <a:xfrm rot="0">
                      <a:off x="0" y="0"/>
                      <a:ext cx="2740612" cy="1873794"/>
                    </a:xfrm>
                    <a:prstGeom prst="rect">
                      <a:avLst/>
                    </a:prstGeom>
                  </pic:spPr>
                </pic:pic>
              </a:graphicData>
            </a:graphic>
          </wp:inline>
        </w:drawing>
      </w:r>
    </w:p>
    <w:tbl>
      <w:tblPr>
        <w:tblStyle w:val="MediumGrid1"/>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4773"/>
        <w:gridCol w:w="4972"/>
      </w:tblGrid>
      <w:tr w:rsidR="2E9D0212" w:rsidTr="2E9D0212" w14:paraId="4876AE37">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50977D4B" w14:textId="0F6B1177">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2E9D0212">
              <w:rPr>
                <w:rFonts w:ascii="Arial" w:hAnsi="Arial" w:eastAsia="Arial" w:cs="Arial"/>
                <w:b w:val="1"/>
                <w:bCs w:val="1"/>
                <w:color w:val="1F2329"/>
                <w:sz w:val="22"/>
                <w:szCs w:val="22"/>
              </w:rPr>
              <w:t xml:space="preserve">Before </w:t>
            </w:r>
            <w:r w:rsidRPr="2E9D0212" w:rsidR="2E9D0212">
              <w:rPr>
                <w:rFonts w:ascii="Arial" w:hAnsi="Arial" w:eastAsia="Arial" w:cs="Arial"/>
                <w:b w:val="1"/>
                <w:bCs w:val="1"/>
                <w:color w:val="1F2329"/>
                <w:sz w:val="22"/>
                <w:szCs w:val="22"/>
              </w:rPr>
              <w:t>Freestyle</w:t>
            </w:r>
            <w:r w:rsidRPr="2E9D0212" w:rsidR="2E9D0212">
              <w:rPr>
                <w:rFonts w:ascii="Arial" w:hAnsi="Arial" w:eastAsia="Arial" w:cs="Arial"/>
                <w:b w:val="1"/>
                <w:bCs w:val="1"/>
                <w:color w:val="1F2329"/>
                <w:sz w:val="22"/>
                <w:szCs w:val="22"/>
              </w:rPr>
              <w:t xml:space="preserve"> Libre (SMBG)</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6BBC15CE" w14:textId="03ABF404">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2E9D0212">
              <w:rPr>
                <w:rFonts w:ascii="Arial" w:hAnsi="Arial" w:eastAsia="Arial" w:cs="Arial"/>
                <w:b w:val="1"/>
                <w:bCs w:val="1"/>
                <w:color w:val="1F2329"/>
                <w:sz w:val="22"/>
                <w:szCs w:val="22"/>
              </w:rPr>
              <w:t xml:space="preserve">After </w:t>
            </w:r>
            <w:r w:rsidRPr="2E9D0212" w:rsidR="2E9D0212">
              <w:rPr>
                <w:rFonts w:ascii="Arial" w:hAnsi="Arial" w:eastAsia="Arial" w:cs="Arial"/>
                <w:b w:val="1"/>
                <w:bCs w:val="1"/>
                <w:color w:val="1F2329"/>
                <w:sz w:val="22"/>
                <w:szCs w:val="22"/>
              </w:rPr>
              <w:t>Freestyle</w:t>
            </w:r>
            <w:r w:rsidRPr="2E9D0212" w:rsidR="2E9D0212">
              <w:rPr>
                <w:rFonts w:ascii="Arial" w:hAnsi="Arial" w:eastAsia="Arial" w:cs="Arial"/>
                <w:b w:val="1"/>
                <w:bCs w:val="1"/>
                <w:color w:val="1F2329"/>
                <w:sz w:val="22"/>
                <w:szCs w:val="22"/>
              </w:rPr>
              <w:t xml:space="preserve"> Libre</w:t>
            </w:r>
          </w:p>
        </w:tc>
      </w:tr>
      <w:tr w:rsidR="2E9D0212" w:rsidTr="2E9D0212" w14:paraId="24821A4D">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56D582F0" w14:textId="3CC035B7">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 xml:space="preserve">Painful </w:t>
            </w:r>
            <w:r w:rsidRPr="2E9D0212" w:rsidR="2E9D0212">
              <w:rPr>
                <w:rFonts w:ascii="Arial" w:hAnsi="Arial" w:eastAsia="Arial" w:cs="Arial"/>
                <w:b w:val="0"/>
                <w:bCs w:val="0"/>
                <w:color w:val="1F2329"/>
                <w:sz w:val="22"/>
                <w:szCs w:val="22"/>
              </w:rPr>
              <w:t>needles</w:t>
            </w:r>
            <w:r w:rsidRPr="2E9D0212" w:rsidR="2E9D0212">
              <w:rPr>
                <w:rFonts w:ascii="Arial" w:hAnsi="Arial" w:eastAsia="Arial" w:cs="Arial"/>
                <w:b w:val="0"/>
                <w:bCs w:val="0"/>
                <w:color w:val="1F2329"/>
                <w:sz w:val="22"/>
                <w:szCs w:val="22"/>
              </w:rPr>
              <w:t xml:space="preserve"> prick each time</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7AA59DC8" w14:textId="31B1E70E">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Quick, painless scan</w:t>
            </w:r>
          </w:p>
        </w:tc>
      </w:tr>
      <w:tr w:rsidR="2E9D0212" w:rsidTr="2E9D0212" w14:paraId="57D3F3AC">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3F292CE0" w14:textId="75554B31">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4–10 tests per day → hundreds of pricks annually</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4442E9D3" w14:textId="72ADCC2F">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Scans as often as needed — no additional pain</w:t>
            </w:r>
          </w:p>
        </w:tc>
      </w:tr>
      <w:tr w:rsidR="2E9D0212" w:rsidTr="2E9D0212" w14:paraId="530A4ECB">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699D6C0F" w14:textId="7AE39182">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Must remember to carry meter, strips, lancet</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3C2EE35A" w14:textId="567E82FA">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Sensor worn continuously for 14 days</w:t>
            </w:r>
          </w:p>
        </w:tc>
      </w:tr>
      <w:tr w:rsidR="2E9D0212" w:rsidTr="2E9D0212" w14:paraId="433AAE05">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1B87A765" w14:textId="7EAF514D">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Only one reading at a time</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0F259975" w14:textId="0B513F08">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Real</w:t>
            </w:r>
            <w:r>
              <w:noBreakHyphen/>
            </w:r>
            <w:r w:rsidRPr="2E9D0212" w:rsidR="2E9D0212">
              <w:rPr>
                <w:rFonts w:ascii="Arial" w:hAnsi="Arial" w:eastAsia="Arial" w:cs="Arial"/>
                <w:b w:val="0"/>
                <w:bCs w:val="0"/>
                <w:color w:val="1F2329"/>
                <w:sz w:val="22"/>
                <w:szCs w:val="22"/>
              </w:rPr>
              <w:t>time reading + trend arrow + 8</w:t>
            </w:r>
            <w:r>
              <w:noBreakHyphen/>
            </w:r>
            <w:r w:rsidRPr="2E9D0212" w:rsidR="2E9D0212">
              <w:rPr>
                <w:rFonts w:ascii="Arial" w:hAnsi="Arial" w:eastAsia="Arial" w:cs="Arial"/>
                <w:b w:val="0"/>
                <w:bCs w:val="0"/>
                <w:color w:val="1F2329"/>
                <w:sz w:val="22"/>
                <w:szCs w:val="22"/>
              </w:rPr>
              <w:t>hour history</w:t>
            </w:r>
          </w:p>
        </w:tc>
      </w:tr>
      <w:tr w:rsidR="2E9D0212" w:rsidTr="2E9D0212" w14:paraId="18A6D77C">
        <w:trPr>
          <w:trHeight w:val="300"/>
        </w:trPr>
        <w:tc>
          <w:tcPr>
            <w:cnfStyle w:val="001000000000" w:firstRow="0" w:lastRow="0" w:firstColumn="1" w:lastColumn="0" w:oddVBand="0" w:evenVBand="0" w:oddHBand="0" w:evenHBand="0" w:firstRowFirstColumn="0" w:firstRowLastColumn="0" w:lastRowFirstColumn="0" w:lastRowLastColumn="0"/>
            <w:tcW w:w="4773" w:type="dxa"/>
            <w:shd w:val="clear" w:color="auto" w:fill="9BBB59" w:themeFill="accent3"/>
            <w:tcMar/>
          </w:tcPr>
          <w:p w:rsidR="2E9D0212" w:rsidP="2E9D0212" w:rsidRDefault="2E9D0212" w14:paraId="23DF77EF" w14:textId="514BD36D">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Parents cannot check during school or sleep</w:t>
            </w:r>
          </w:p>
        </w:tc>
        <w:tc>
          <w:tcPr>
            <w:cnfStyle w:val="000000000000" w:firstRow="0" w:lastRow="0" w:firstColumn="0" w:lastColumn="0" w:oddVBand="0" w:evenVBand="0" w:oddHBand="0" w:evenHBand="0" w:firstRowFirstColumn="0" w:firstRowLastColumn="0" w:lastRowFirstColumn="0" w:lastRowLastColumn="0"/>
            <w:tcW w:w="4972" w:type="dxa"/>
            <w:shd w:val="clear" w:color="auto" w:fill="FFFF00"/>
            <w:tcMar/>
          </w:tcPr>
          <w:p w:rsidR="2E9D0212" w:rsidP="2E9D0212" w:rsidRDefault="2E9D0212" w14:paraId="71026572" w14:textId="2743D319">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Libre Linkup</w:t>
            </w:r>
            <w:r w:rsidRPr="2E9D0212" w:rsidR="2E9D0212">
              <w:rPr>
                <w:rFonts w:ascii="Arial" w:hAnsi="Arial" w:eastAsia="Arial" w:cs="Arial"/>
                <w:b w:val="0"/>
                <w:bCs w:val="0"/>
                <w:color w:val="1F2329"/>
                <w:sz w:val="22"/>
                <w:szCs w:val="22"/>
              </w:rPr>
              <w:t xml:space="preserve"> app lets parents see readings remotely</w:t>
            </w:r>
          </w:p>
        </w:tc>
      </w:tr>
    </w:tbl>
    <w:p w:rsidR="2E9D0212" w:rsidP="2E9D0212" w:rsidRDefault="2E9D0212" w14:paraId="55B9792C" w14:textId="70440D6C">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p>
    <w:p w:rsidR="7A4D7517" w:rsidP="2E9D0212" w:rsidRDefault="7A4D7517" w14:paraId="4139D4FD" w14:textId="5FBDD6A3">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7A4D7517">
        <w:rPr>
          <w:rFonts w:ascii="Arial" w:hAnsi="Arial" w:eastAsia="Arial" w:cs="Arial"/>
          <w:b w:val="0"/>
          <w:bCs w:val="0"/>
          <w:noProof w:val="0"/>
          <w:color w:val="1F2329"/>
          <w:sz w:val="22"/>
          <w:szCs w:val="22"/>
          <w:lang w:val="en-GB"/>
        </w:rPr>
        <w:t>key</w:t>
      </w:r>
      <w:r w:rsidRPr="2E9D0212" w:rsidR="5BBD3EEA">
        <w:rPr>
          <w:rFonts w:ascii="Arial" w:hAnsi="Arial" w:eastAsia="Arial" w:cs="Arial"/>
          <w:b w:val="0"/>
          <w:bCs w:val="0"/>
          <w:noProof w:val="0"/>
          <w:color w:val="1F2329"/>
          <w:sz w:val="22"/>
          <w:szCs w:val="22"/>
          <w:lang w:val="en-GB"/>
        </w:rPr>
        <w:t xml:space="preserve"> Benefits</w:t>
      </w:r>
    </w:p>
    <w:p w:rsidR="5BBD3EEA" w:rsidP="2E9D0212" w:rsidRDefault="5BBD3EEA" w14:paraId="57FD322B" w14:textId="17848B18">
      <w:pPr>
        <w:pStyle w:val="ListParagraph"/>
        <w:numPr>
          <w:ilvl w:val="0"/>
          <w:numId w:val="23"/>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Waterproof → swimming, sports, and daily activities without disruption</w:t>
      </w:r>
    </w:p>
    <w:p w:rsidR="5BBD3EEA" w:rsidP="2E9D0212" w:rsidRDefault="5BBD3EEA" w14:paraId="6480DFC7" w14:textId="1F1E06F9">
      <w:pPr>
        <w:pStyle w:val="ListParagraph"/>
        <w:numPr>
          <w:ilvl w:val="0"/>
          <w:numId w:val="23"/>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Discreet → children scan anywhere, unnoticed, restoring confidence and normality</w:t>
      </w:r>
    </w:p>
    <w:p w:rsidR="5BBD3EEA" w:rsidP="2E9D0212" w:rsidRDefault="5BBD3EEA" w14:paraId="6892D02E" w14:textId="614B2F4A">
      <w:pPr>
        <w:pStyle w:val="ListParagraph"/>
        <w:numPr>
          <w:ilvl w:val="0"/>
          <w:numId w:val="23"/>
        </w:numPr>
        <w:bidi w:val="0"/>
        <w:spacing w:before="0" w:beforeAutospacing="off" w:after="0" w:afterAutospacing="off" w:line="360" w:lineRule="auto"/>
        <w:jc w:val="left"/>
        <w:rPr>
          <w:rFonts w:ascii="Arial" w:hAnsi="Arial" w:eastAsia="Arial" w:cs="Arial"/>
          <w:b w:val="0"/>
          <w:bCs w:val="0"/>
          <w:i w:val="1"/>
          <w:iCs w:val="1"/>
          <w:noProof w:val="0"/>
          <w:color w:val="1F2329"/>
          <w:sz w:val="22"/>
          <w:szCs w:val="22"/>
          <w:lang w:val="en-GB"/>
        </w:rPr>
      </w:pPr>
      <w:r w:rsidRPr="2E9D0212" w:rsidR="5BBD3EEA">
        <w:rPr>
          <w:rFonts w:ascii="Arial" w:hAnsi="Arial" w:eastAsia="Arial" w:cs="Arial"/>
          <w:b w:val="0"/>
          <w:bCs w:val="0"/>
          <w:noProof w:val="0"/>
          <w:color w:val="1F2329"/>
          <w:sz w:val="22"/>
          <w:szCs w:val="22"/>
          <w:lang w:val="en-GB"/>
        </w:rPr>
        <w:t xml:space="preserve">Remote monitoring gives </w:t>
      </w:r>
      <w:r w:rsidRPr="2E9D0212" w:rsidR="704AF6FE">
        <w:rPr>
          <w:rFonts w:ascii="Arial" w:hAnsi="Arial" w:eastAsia="Arial" w:cs="Arial"/>
          <w:b w:val="0"/>
          <w:bCs w:val="0"/>
          <w:noProof w:val="0"/>
          <w:color w:val="1F2329"/>
          <w:sz w:val="22"/>
          <w:szCs w:val="22"/>
          <w:lang w:val="en-GB"/>
        </w:rPr>
        <w:t>family's</w:t>
      </w:r>
      <w:r w:rsidRPr="2E9D0212" w:rsidR="5BBD3EEA">
        <w:rPr>
          <w:rFonts w:ascii="Arial" w:hAnsi="Arial" w:eastAsia="Arial" w:cs="Arial"/>
          <w:b w:val="0"/>
          <w:bCs w:val="0"/>
          <w:noProof w:val="0"/>
          <w:color w:val="1F2329"/>
          <w:sz w:val="22"/>
          <w:szCs w:val="22"/>
          <w:lang w:val="en-GB"/>
        </w:rPr>
        <w:t xml:space="preserve"> peace of mind — one parent said: </w:t>
      </w:r>
      <w:r w:rsidRPr="2E9D0212" w:rsidR="5BBD3EEA">
        <w:rPr>
          <w:rFonts w:ascii="Arial" w:hAnsi="Arial" w:eastAsia="Arial" w:cs="Arial"/>
          <w:b w:val="0"/>
          <w:bCs w:val="0"/>
          <w:i w:val="1"/>
          <w:iCs w:val="1"/>
          <w:noProof w:val="0"/>
          <w:color w:val="1F2329"/>
          <w:sz w:val="22"/>
          <w:szCs w:val="22"/>
          <w:lang w:val="en-GB"/>
        </w:rPr>
        <w:t>“He’s just a kid again.”</w:t>
      </w:r>
    </w:p>
    <w:p w:rsidR="5BBD3EEA" w:rsidP="2E9D0212" w:rsidRDefault="5BBD3EEA" w14:paraId="2FE3C61C" w14:textId="3906781A">
      <w:pPr>
        <w:pStyle w:val="ListParagraph"/>
        <w:numPr>
          <w:ilvl w:val="0"/>
          <w:numId w:val="23"/>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Paediatric data confirms fewer tests, better sleep, greater independence, and more stable glucose levels</w:t>
      </w:r>
    </w:p>
    <w:p w:rsidR="5BBD3EEA" w:rsidP="2E9D0212" w:rsidRDefault="5BBD3EEA" w14:paraId="47D5C6BB" w14:textId="6AC1A3C3">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Important Limitations &amp; Practical Realities</w:t>
      </w:r>
    </w:p>
    <w:p w:rsidR="5BBD3EEA" w:rsidP="2E9D0212" w:rsidRDefault="5BBD3EEA" w14:paraId="45F534B4" w14:textId="452B1E8E">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No built</w:t>
      </w:r>
      <w:r>
        <w:noBreakHyphen/>
      </w:r>
      <w:r w:rsidRPr="2E9D0212" w:rsidR="5BBD3EEA">
        <w:rPr>
          <w:rFonts w:ascii="Arial" w:hAnsi="Arial" w:eastAsia="Arial" w:cs="Arial"/>
          <w:b w:val="0"/>
          <w:bCs w:val="0"/>
          <w:noProof w:val="0"/>
          <w:color w:val="1F2329"/>
          <w:sz w:val="22"/>
          <w:szCs w:val="22"/>
          <w:lang w:val="en-GB"/>
        </w:rPr>
        <w:t>in alarms on original version → nighttime lows may still be missed unless actively scanned</w:t>
      </w:r>
    </w:p>
    <w:p w:rsidR="5BBD3EEA" w:rsidP="2E9D0212" w:rsidRDefault="5BBD3EEA" w14:paraId="416CA823" w14:textId="261B338F">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60</w:t>
      </w:r>
      <w:r>
        <w:noBreakHyphen/>
      </w:r>
      <w:r w:rsidRPr="2E9D0212" w:rsidR="5BBD3EEA">
        <w:rPr>
          <w:rFonts w:ascii="Arial" w:hAnsi="Arial" w:eastAsia="Arial" w:cs="Arial"/>
          <w:b w:val="0"/>
          <w:bCs w:val="0"/>
          <w:noProof w:val="0"/>
          <w:color w:val="1F2329"/>
          <w:sz w:val="22"/>
          <w:szCs w:val="22"/>
          <w:lang w:val="en-GB"/>
        </w:rPr>
        <w:t>minute warm</w:t>
      </w:r>
      <w:r>
        <w:noBreakHyphen/>
      </w:r>
      <w:r w:rsidRPr="2E9D0212" w:rsidR="5BBD3EEA">
        <w:rPr>
          <w:rFonts w:ascii="Arial" w:hAnsi="Arial" w:eastAsia="Arial" w:cs="Arial"/>
          <w:b w:val="0"/>
          <w:bCs w:val="0"/>
          <w:noProof w:val="0"/>
          <w:color w:val="1F2329"/>
          <w:sz w:val="22"/>
          <w:szCs w:val="22"/>
          <w:lang w:val="en-GB"/>
        </w:rPr>
        <w:t>up after application before the first reading is available — cannot use immediately</w:t>
      </w:r>
    </w:p>
    <w:p w:rsidR="5BBD3EEA" w:rsidP="2E9D0212" w:rsidRDefault="5BBD3EEA" w14:paraId="37F8428B" w14:textId="37627CB1">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Sensor may not activate properly if the needle damages small blood vessels during fitting, requiring replacement</w:t>
      </w:r>
    </w:p>
    <w:p w:rsidR="5BBD3EEA" w:rsidP="2E9D0212" w:rsidRDefault="5BBD3EEA" w14:paraId="561B6625" w14:textId="4F9A6A6D">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Can detach prematurely before the full 14</w:t>
      </w:r>
      <w:r>
        <w:noBreakHyphen/>
      </w:r>
      <w:r w:rsidRPr="2E9D0212" w:rsidR="5BBD3EEA">
        <w:rPr>
          <w:rFonts w:ascii="Arial" w:hAnsi="Arial" w:eastAsia="Arial" w:cs="Arial"/>
          <w:b w:val="0"/>
          <w:bCs w:val="0"/>
          <w:noProof w:val="0"/>
          <w:color w:val="1F2329"/>
          <w:sz w:val="22"/>
          <w:szCs w:val="22"/>
          <w:lang w:val="en-GB"/>
        </w:rPr>
        <w:t>day wear time</w:t>
      </w:r>
    </w:p>
    <w:p w:rsidR="27E29C79" w:rsidP="2E9D0212" w:rsidRDefault="27E29C79" w14:paraId="6BF417ED" w14:textId="4D6D2866">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27E29C79">
        <w:rPr>
          <w:rFonts w:ascii="Arial" w:hAnsi="Arial" w:eastAsia="Arial" w:cs="Arial"/>
          <w:b w:val="0"/>
          <w:bCs w:val="0"/>
          <w:noProof w:val="0"/>
          <w:color w:val="1F2329"/>
          <w:sz w:val="22"/>
          <w:szCs w:val="22"/>
          <w:lang w:val="en-GB"/>
        </w:rPr>
        <w:t>Fingerpick</w:t>
      </w:r>
      <w:r w:rsidRPr="2E9D0212" w:rsidR="5BBD3EEA">
        <w:rPr>
          <w:rFonts w:ascii="Arial" w:hAnsi="Arial" w:eastAsia="Arial" w:cs="Arial"/>
          <w:b w:val="0"/>
          <w:bCs w:val="0"/>
          <w:noProof w:val="0"/>
          <w:color w:val="1F2329"/>
          <w:sz w:val="22"/>
          <w:szCs w:val="22"/>
          <w:lang w:val="en-GB"/>
        </w:rPr>
        <w:t xml:space="preserve"> testing </w:t>
      </w:r>
      <w:r w:rsidRPr="2E9D0212" w:rsidR="5BBD3EEA">
        <w:rPr>
          <w:rFonts w:ascii="Arial" w:hAnsi="Arial" w:eastAsia="Arial" w:cs="Arial"/>
          <w:b w:val="0"/>
          <w:bCs w:val="0"/>
          <w:noProof w:val="0"/>
          <w:color w:val="1F2329"/>
          <w:sz w:val="22"/>
          <w:szCs w:val="22"/>
          <w:lang w:val="en-GB"/>
        </w:rPr>
        <w:t>remains</w:t>
      </w:r>
      <w:r w:rsidRPr="2E9D0212" w:rsidR="5BBD3EEA">
        <w:rPr>
          <w:rFonts w:ascii="Arial" w:hAnsi="Arial" w:eastAsia="Arial" w:cs="Arial"/>
          <w:b w:val="0"/>
          <w:bCs w:val="0"/>
          <w:noProof w:val="0"/>
          <w:color w:val="1F2329"/>
          <w:sz w:val="22"/>
          <w:szCs w:val="22"/>
          <w:lang w:val="en-GB"/>
        </w:rPr>
        <w:t xml:space="preserve"> legally required before driving and for confirmation during illness</w:t>
      </w:r>
    </w:p>
    <w:p w:rsidR="5BBD3EEA" w:rsidP="2E9D0212" w:rsidRDefault="5BBD3EEA" w14:paraId="452B7F53" w14:textId="65D5999F">
      <w:pPr>
        <w:pStyle w:val="ListParagraph"/>
        <w:numPr>
          <w:ilvl w:val="0"/>
          <w:numId w:val="24"/>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BBD3EEA">
        <w:rPr>
          <w:rFonts w:ascii="Arial" w:hAnsi="Arial" w:eastAsia="Arial" w:cs="Arial"/>
          <w:b w:val="0"/>
          <w:bCs w:val="0"/>
          <w:noProof w:val="0"/>
          <w:color w:val="1F2329"/>
          <w:sz w:val="22"/>
          <w:szCs w:val="22"/>
          <w:lang w:val="en-GB"/>
        </w:rPr>
        <w:t>A small number of children develop skin irritation at the sensor site</w:t>
      </w:r>
    </w:p>
    <w:p w:rsidR="2E9D0212" w:rsidP="2E9D0212" w:rsidRDefault="2E9D0212" w14:paraId="5B4C5756" w14:textId="49FDEDDB">
      <w:pPr>
        <w:bidi w:val="0"/>
        <w:spacing w:before="0" w:beforeAutospacing="off" w:after="0" w:afterAutospacing="off" w:line="360" w:lineRule="auto"/>
        <w:jc w:val="left"/>
        <w:rPr>
          <w:rFonts w:ascii="Arial" w:hAnsi="Arial" w:eastAsia="Arial" w:cs="Arial"/>
          <w:b w:val="1"/>
          <w:bCs w:val="1"/>
          <w:noProof w:val="0"/>
          <w:color w:val="1F2329"/>
          <w:sz w:val="22"/>
          <w:szCs w:val="22"/>
          <w:lang w:val="en-GB"/>
        </w:rPr>
      </w:pPr>
    </w:p>
    <w:p w:rsidR="16E2809D" w:rsidP="2E9D0212" w:rsidRDefault="16E2809D" w14:paraId="32A91FA6" w14:textId="26BC1922">
      <w:pPr>
        <w:pStyle w:val="Heading3"/>
        <w:bidi w:val="0"/>
        <w:spacing w:before="0" w:beforeAutospacing="off" w:after="0" w:afterAutospacing="off" w:line="360" w:lineRule="auto"/>
        <w:jc w:val="left"/>
        <w:rPr>
          <w:rFonts w:ascii="Arial" w:hAnsi="Arial" w:eastAsia="Arial" w:cs="Arial"/>
          <w:b w:val="1"/>
          <w:bCs w:val="1"/>
          <w:noProof w:val="0"/>
          <w:color w:val="1F2329"/>
          <w:sz w:val="22"/>
          <w:szCs w:val="22"/>
          <w:lang w:val="en-GB"/>
        </w:rPr>
      </w:pPr>
      <w:r w:rsidRPr="2E9D0212" w:rsidR="16E2809D">
        <w:rPr>
          <w:rFonts w:ascii="Arial" w:hAnsi="Arial" w:eastAsia="Arial" w:cs="Arial"/>
          <w:b w:val="1"/>
          <w:bCs w:val="1"/>
          <w:noProof w:val="0"/>
          <w:color w:val="1F2329"/>
          <w:sz w:val="22"/>
          <w:szCs w:val="22"/>
          <w:lang w:val="en-GB"/>
        </w:rPr>
        <w:t xml:space="preserve"> Safety, Limitations, and Acceptability</w:t>
      </w:r>
    </w:p>
    <w:p w:rsidR="16E2809D" w:rsidP="2E9D0212" w:rsidRDefault="16E2809D" w14:paraId="3D28DBDD" w14:textId="282BCFD1">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The device is not without genuine shortcomings. The first-generation version has no alarms and requires active scanning — meaning hypoglycaemia can still go unnoticed, particularly overnight. Libre 2 adds optional alerts, a step forward but not a complete solution. Finger-prick testing remains legally required before driving under DVLA rules, so traditional methods have not been entirely replaced (Yadegarfar et al., 2020). A small minority of users find the sensor uncomfortable or develop persistent skin reactions, showing it is not the right fit for everyone (Asarani et al., 2020).</w:t>
      </w:r>
    </w:p>
    <w:p w:rsidR="2E9D0212" w:rsidP="2E9D0212" w:rsidRDefault="2E9D0212" w14:paraId="20777E51" w14:textId="6EE147AA">
      <w:pPr>
        <w:bidi w:val="0"/>
        <w:spacing w:before="0" w:beforeAutospacing="off" w:after="0" w:afterAutospacing="off" w:line="360" w:lineRule="auto"/>
        <w:jc w:val="left"/>
        <w:rPr>
          <w:rFonts w:ascii="Arial" w:hAnsi="Arial" w:eastAsia="Arial" w:cs="Arial"/>
          <w:b w:val="1"/>
          <w:bCs w:val="1"/>
          <w:noProof w:val="0"/>
          <w:color w:val="1F2329"/>
          <w:sz w:val="22"/>
          <w:szCs w:val="22"/>
          <w:lang w:val="en-GB"/>
        </w:rPr>
      </w:pPr>
    </w:p>
    <w:p w:rsidR="16E2809D" w:rsidP="2E9D0212" w:rsidRDefault="16E2809D" w14:paraId="2FF81B3D" w14:textId="7ED77E29">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1"/>
          <w:bCs w:val="1"/>
          <w:noProof w:val="0"/>
          <w:color w:val="1F2329"/>
          <w:sz w:val="22"/>
          <w:szCs w:val="22"/>
          <w:lang w:val="en-GB"/>
        </w:rPr>
        <w:t xml:space="preserve"> Equity, Inclusion, and the Digital Divide</w:t>
      </w:r>
    </w:p>
    <w:p w:rsidR="16E2809D" w:rsidP="2E9D0212" w:rsidRDefault="16E2809D" w14:paraId="4A76A3C7" w14:textId="06FED022">
      <w:pPr>
        <w:bidi w:val="0"/>
        <w:spacing w:before="0" w:beforeAutospacing="off" w:after="0" w:afterAutospacing="off" w:line="360" w:lineRule="auto"/>
        <w:jc w:val="left"/>
      </w:pPr>
      <w:r w:rsidRPr="2E9D0212" w:rsidR="16E2809D">
        <w:rPr>
          <w:rFonts w:ascii="Arial" w:hAnsi="Arial" w:eastAsia="Arial" w:cs="Arial"/>
          <w:b w:val="0"/>
          <w:bCs w:val="0"/>
          <w:noProof w:val="0"/>
          <w:color w:val="1F2329"/>
          <w:sz w:val="22"/>
          <w:szCs w:val="22"/>
          <w:lang w:val="en-GB"/>
        </w:rPr>
        <w:t>Perhaps the most important concern is fairness. National audit data shows that people in more deprived areas and some ethnic groups are less likely to be using flash monitoring (NHS Digital, 2024). Effective use demands digital confidence, a suitable smartphone, and the physical ability to apply and scan the sensor — barriers that may exclude older adults, those with limited education, or anyone less familiar with everyday technology. Unless actively addressed, a tool designed to standardise care could end up widening existing gaps (Fallon et al., 2022).</w:t>
      </w:r>
    </w:p>
    <w:p w:rsidR="2E9D0212" w:rsidP="2E9D0212" w:rsidRDefault="2E9D0212" w14:paraId="104F6959" w14:textId="19E35CB2">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p>
    <w:p w:rsidR="16E2809D" w:rsidP="2E9D0212" w:rsidRDefault="16E2809D" w14:paraId="5366E393" w14:textId="2B450855">
      <w:pPr>
        <w:pStyle w:val="Heading3"/>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 xml:space="preserve"> </w:t>
      </w:r>
      <w:r w:rsidRPr="2E9D0212" w:rsidR="16E2809D">
        <w:rPr>
          <w:rFonts w:ascii="Arial" w:hAnsi="Arial" w:eastAsia="Arial" w:cs="Arial"/>
          <w:b w:val="1"/>
          <w:bCs w:val="1"/>
          <w:noProof w:val="0"/>
          <w:color w:val="1F2329"/>
          <w:sz w:val="22"/>
          <w:szCs w:val="22"/>
          <w:lang w:val="en-GB"/>
        </w:rPr>
        <w:t>Information Governance and Privacy</w:t>
      </w:r>
    </w:p>
    <w:p w:rsidR="16E2809D" w:rsidP="2E9D0212" w:rsidRDefault="16E2809D" w14:paraId="0909F37D" w14:textId="5C4681DD">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16E2809D">
        <w:rPr>
          <w:rFonts w:ascii="Arial" w:hAnsi="Arial" w:eastAsia="Arial" w:cs="Arial"/>
          <w:b w:val="0"/>
          <w:bCs w:val="0"/>
          <w:noProof w:val="0"/>
          <w:color w:val="1F2329"/>
          <w:sz w:val="22"/>
          <w:szCs w:val="22"/>
          <w:lang w:val="en-GB"/>
        </w:rPr>
        <w:t xml:space="preserve">Data uploaded to cloud platforms such as </w:t>
      </w:r>
      <w:r w:rsidRPr="2E9D0212" w:rsidR="7653856C">
        <w:rPr>
          <w:rFonts w:ascii="Arial" w:hAnsi="Arial" w:eastAsia="Arial" w:cs="Arial"/>
          <w:b w:val="0"/>
          <w:bCs w:val="0"/>
          <w:noProof w:val="0"/>
          <w:color w:val="1F2329"/>
          <w:sz w:val="22"/>
          <w:szCs w:val="22"/>
          <w:lang w:val="en-GB"/>
        </w:rPr>
        <w:t>Libre View</w:t>
      </w:r>
      <w:r w:rsidRPr="2E9D0212" w:rsidR="16E2809D">
        <w:rPr>
          <w:rFonts w:ascii="Arial" w:hAnsi="Arial" w:eastAsia="Arial" w:cs="Arial"/>
          <w:b w:val="0"/>
          <w:bCs w:val="0"/>
          <w:noProof w:val="0"/>
          <w:color w:val="1F2329"/>
          <w:sz w:val="22"/>
          <w:szCs w:val="22"/>
          <w:lang w:val="en-GB"/>
        </w:rPr>
        <w:t xml:space="preserve"> is </w:t>
      </w:r>
      <w:r w:rsidRPr="2E9D0212" w:rsidR="16E2809D">
        <w:rPr>
          <w:rFonts w:ascii="Arial" w:hAnsi="Arial" w:eastAsia="Arial" w:cs="Arial"/>
          <w:b w:val="0"/>
          <w:bCs w:val="0"/>
          <w:noProof w:val="0"/>
          <w:color w:val="1F2329"/>
          <w:sz w:val="22"/>
          <w:szCs w:val="22"/>
          <w:lang w:val="en-GB"/>
        </w:rPr>
        <w:t>highly sensitive</w:t>
      </w:r>
      <w:r w:rsidRPr="2E9D0212" w:rsidR="16E2809D">
        <w:rPr>
          <w:rFonts w:ascii="Arial" w:hAnsi="Arial" w:eastAsia="Arial" w:cs="Arial"/>
          <w:b w:val="0"/>
          <w:bCs w:val="0"/>
          <w:noProof w:val="0"/>
          <w:color w:val="1F2329"/>
          <w:sz w:val="22"/>
          <w:szCs w:val="22"/>
          <w:lang w:val="en-GB"/>
        </w:rPr>
        <w:t xml:space="preserve"> personal health information, protected by UK GDPR and the Data Protection Act 2018. No major breaches have been reported, but important questions </w:t>
      </w:r>
      <w:r w:rsidRPr="2E9D0212" w:rsidR="16E2809D">
        <w:rPr>
          <w:rFonts w:ascii="Arial" w:hAnsi="Arial" w:eastAsia="Arial" w:cs="Arial"/>
          <w:b w:val="0"/>
          <w:bCs w:val="0"/>
          <w:noProof w:val="0"/>
          <w:color w:val="1F2329"/>
          <w:sz w:val="22"/>
          <w:szCs w:val="22"/>
          <w:lang w:val="en-GB"/>
        </w:rPr>
        <w:t>remain</w:t>
      </w:r>
      <w:r w:rsidRPr="2E9D0212" w:rsidR="16E2809D">
        <w:rPr>
          <w:rFonts w:ascii="Arial" w:hAnsi="Arial" w:eastAsia="Arial" w:cs="Arial"/>
          <w:b w:val="0"/>
          <w:bCs w:val="0"/>
          <w:noProof w:val="0"/>
          <w:color w:val="1F2329"/>
          <w:sz w:val="22"/>
          <w:szCs w:val="22"/>
          <w:lang w:val="en-GB"/>
        </w:rPr>
        <w:t>: do patients fully understand how their data will be used? Who can access it, and for how long? Will it be shared for research or commercial purposes? These questions carry extra weight when the data belongs to children, making transparency and clear consent essential.</w:t>
      </w:r>
    </w:p>
    <w:p w:rsidR="2E9D0212" w:rsidP="2E9D0212" w:rsidRDefault="2E9D0212" w14:paraId="1967C5B9" w14:textId="37B12B0D">
      <w:pPr>
        <w:pStyle w:val="Normal"/>
        <w:bidi w:val="0"/>
        <w:spacing w:before="0" w:beforeAutospacing="off" w:after="0" w:afterAutospacing="off" w:line="360" w:lineRule="auto"/>
        <w:jc w:val="left"/>
        <w:rPr>
          <w:rFonts w:ascii="Arial" w:hAnsi="Arial" w:eastAsia="Arial" w:cs="Arial"/>
          <w:b w:val="0"/>
          <w:bCs w:val="0"/>
          <w:color w:val="1F2329"/>
          <w:sz w:val="22"/>
          <w:szCs w:val="22"/>
        </w:rPr>
      </w:pPr>
    </w:p>
    <w:p w:rsidR="2E9D0212" w:rsidP="2E9D0212" w:rsidRDefault="2E9D0212" w14:paraId="0B16C2C4" w14:textId="38828278">
      <w:pPr>
        <w:bidi w:val="0"/>
        <w:spacing w:line="360" w:lineRule="auto"/>
        <w:jc w:val="center"/>
        <w:rPr>
          <w:rFonts w:ascii="Arial" w:hAnsi="Arial" w:eastAsia="Arial" w:cs="Arial"/>
          <w:b w:val="1"/>
          <w:bCs w:val="1"/>
          <w:sz w:val="22"/>
          <w:szCs w:val="22"/>
        </w:rPr>
      </w:pPr>
    </w:p>
    <w:p w:rsidR="56E5B7E7" w:rsidP="2E9D0212" w:rsidRDefault="56E5B7E7" w14:paraId="4122318A" w14:textId="2E0E2AB0">
      <w:pPr>
        <w:pStyle w:val="Heading2"/>
        <w:bidi w:val="0"/>
        <w:spacing w:before="0" w:beforeAutospacing="off" w:after="0" w:afterAutospacing="off" w:line="360" w:lineRule="auto"/>
        <w:jc w:val="left"/>
        <w:rPr>
          <w:rFonts w:ascii="Arial" w:hAnsi="Arial" w:eastAsia="Arial" w:cs="Arial"/>
          <w:b w:val="1"/>
          <w:bCs w:val="1"/>
          <w:color w:val="1F2329"/>
          <w:sz w:val="22"/>
          <w:szCs w:val="22"/>
        </w:rPr>
      </w:pPr>
      <w:r w:rsidRPr="2E9D0212" w:rsidR="56E5B7E7">
        <w:rPr>
          <w:rFonts w:ascii="Arial" w:hAnsi="Arial" w:eastAsia="Arial" w:cs="Arial"/>
          <w:b w:val="1"/>
          <w:bCs w:val="1"/>
          <w:color w:val="1F2329"/>
          <w:sz w:val="22"/>
          <w:szCs w:val="22"/>
        </w:rPr>
        <w:t xml:space="preserve"> IMPACT ON THE HEALTHCARE WORKFORCE</w:t>
      </w:r>
    </w:p>
    <w:p w:rsidR="56E5B7E7" w:rsidP="2E9D0212" w:rsidRDefault="56E5B7E7" w14:paraId="462719E5" w14:textId="2D46FDB7">
      <w:pPr>
        <w:pStyle w:val="Heading3"/>
        <w:bidi w:val="0"/>
        <w:spacing w:before="0" w:beforeAutospacing="off" w:after="0" w:afterAutospacing="off" w:line="360" w:lineRule="auto"/>
        <w:jc w:val="left"/>
        <w:rPr>
          <w:rFonts w:ascii="Arial" w:hAnsi="Arial" w:eastAsia="Arial" w:cs="Arial"/>
          <w:b w:val="0"/>
          <w:bCs w:val="0"/>
          <w:color w:val="1F2329"/>
          <w:sz w:val="22"/>
          <w:szCs w:val="22"/>
        </w:rPr>
      </w:pPr>
      <w:r w:rsidRPr="2E9D0212" w:rsidR="56E5B7E7">
        <w:rPr>
          <w:rFonts w:ascii="Arial" w:hAnsi="Arial" w:eastAsia="Arial" w:cs="Arial"/>
          <w:b w:val="1"/>
          <w:bCs w:val="1"/>
          <w:color w:val="1F2329"/>
          <w:sz w:val="22"/>
          <w:szCs w:val="22"/>
        </w:rPr>
        <w:t xml:space="preserve"> Role Evolution and Changing Practice</w:t>
      </w:r>
    </w:p>
    <w:p w:rsidR="667E8FA9" w:rsidP="2E9D0212" w:rsidRDefault="667E8FA9" w14:paraId="2CBE2F83" w14:textId="514CDB6D">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1F2329"/>
          <w:sz w:val="22"/>
          <w:szCs w:val="22"/>
          <w:lang w:val="en-GB"/>
        </w:rPr>
      </w:pPr>
      <w:r w:rsidRPr="2E9D0212" w:rsidR="667E8FA9">
        <w:rPr>
          <w:rFonts w:ascii="Arial" w:hAnsi="Arial" w:eastAsia="Arial" w:cs="Arial"/>
          <w:b w:val="0"/>
          <w:bCs w:val="0"/>
          <w:i w:val="0"/>
          <w:iCs w:val="0"/>
          <w:caps w:val="0"/>
          <w:smallCaps w:val="0"/>
          <w:noProof w:val="0"/>
          <w:color w:val="1F2329"/>
          <w:sz w:val="22"/>
          <w:szCs w:val="22"/>
          <w:lang w:val="en-GB"/>
        </w:rPr>
        <w:t>The FreeStyle Libre has reshaped how diabetes teams work from the ground up. For Diabetes Specialist Nurses, the job has expanded from issuing prescriptions to leading education, building confidence, and guiding families through the technology. Remote review platforms allow staff to see patterns across entire caseloads — identifying who is stable enough for virtual follow-up and who needs closer, in-person support. This capability proved vital during the COVID-19 pandemic and has permanently shifted how clinics operate. Discussions now focus on Time in Range and Glucose Management Indicators rather than single, often outdated HbA1c readings. Care is becoming more collaborative, with primary and secondary care teams working more closely together — aligning with the vision set out in the Topol Review and the What Good Looks Like framework (Health Education England, 2019; NHSX, 2021).</w:t>
      </w:r>
    </w:p>
    <w:p w:rsidR="2E9D0212" w:rsidP="2E9D0212" w:rsidRDefault="2E9D0212" w14:paraId="1A9E9959" w14:textId="65C62839">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1F2329"/>
          <w:sz w:val="22"/>
          <w:szCs w:val="22"/>
          <w:lang w:val="en-GB"/>
        </w:rPr>
      </w:pPr>
    </w:p>
    <w:p w:rsidR="56E5B7E7" w:rsidP="2E9D0212" w:rsidRDefault="56E5B7E7" w14:paraId="5587EF19" w14:textId="37A1F8D4">
      <w:pPr>
        <w:pStyle w:val="Heading3"/>
        <w:bidi w:val="0"/>
        <w:spacing w:before="0" w:beforeAutospacing="off" w:after="0" w:afterAutospacing="off" w:line="360" w:lineRule="auto"/>
        <w:jc w:val="left"/>
        <w:rPr>
          <w:rFonts w:ascii="Arial" w:hAnsi="Arial" w:eastAsia="Arial" w:cs="Arial"/>
          <w:b w:val="0"/>
          <w:bCs w:val="0"/>
          <w:color w:val="1F2329"/>
          <w:sz w:val="22"/>
          <w:szCs w:val="22"/>
        </w:rPr>
      </w:pPr>
      <w:r w:rsidRPr="2E9D0212" w:rsidR="56E5B7E7">
        <w:rPr>
          <w:rFonts w:ascii="Arial" w:hAnsi="Arial" w:eastAsia="Arial" w:cs="Arial"/>
          <w:b w:val="0"/>
          <w:bCs w:val="0"/>
          <w:color w:val="1F2329"/>
          <w:sz w:val="22"/>
          <w:szCs w:val="22"/>
        </w:rPr>
        <w:t xml:space="preserve"> </w:t>
      </w:r>
      <w:r w:rsidRPr="2E9D0212" w:rsidR="56E5B7E7">
        <w:rPr>
          <w:rFonts w:ascii="Arial" w:hAnsi="Arial" w:eastAsia="Arial" w:cs="Arial"/>
          <w:b w:val="1"/>
          <w:bCs w:val="1"/>
          <w:color w:val="1F2329"/>
          <w:sz w:val="22"/>
          <w:szCs w:val="22"/>
        </w:rPr>
        <w:t>Training, Competency, and Workforce Tensions</w:t>
      </w:r>
    </w:p>
    <w:p w:rsidR="686DA173" w:rsidP="2E9D0212" w:rsidRDefault="686DA173" w14:paraId="120B1109" w14:textId="4904B9D1">
      <w:pPr>
        <w:pStyle w:val="Normal"/>
        <w:bidi w:val="0"/>
        <w:spacing w:before="0" w:beforeAutospacing="off" w:after="0" w:afterAutospacing="off" w:line="360" w:lineRule="auto"/>
        <w:jc w:val="left"/>
        <w:rPr>
          <w:rFonts w:ascii="Arial" w:hAnsi="Arial" w:eastAsia="Arial" w:cs="Arial"/>
          <w:noProof w:val="0"/>
          <w:sz w:val="22"/>
          <w:szCs w:val="22"/>
          <w:lang w:val="en-GB"/>
        </w:rPr>
      </w:pPr>
      <w:r w:rsidRPr="2E9D0212" w:rsidR="686DA173">
        <w:rPr>
          <w:rFonts w:ascii="Arial" w:hAnsi="Arial" w:eastAsia="Arial" w:cs="Arial"/>
          <w:noProof w:val="0"/>
          <w:sz w:val="22"/>
          <w:szCs w:val="22"/>
          <w:lang w:val="en-GB"/>
        </w:rPr>
        <w:t xml:space="preserve">The technology has moved faster than the systems supporting it. Staff now need new skills — interpreting complex glucose patterns, running effective remote consultations, troubleshooting device issues — but training has not kept pace. By late 2022, over 200,000 people had been offered devices, yet the number of specialist nurses and protected training time did not rise proportionally (NHS England, 2022). Workload has </w:t>
      </w:r>
      <w:r w:rsidRPr="2E9D0212" w:rsidR="686DA173">
        <w:rPr>
          <w:rFonts w:ascii="Arial" w:hAnsi="Arial" w:eastAsia="Arial" w:cs="Arial"/>
          <w:noProof w:val="0"/>
          <w:sz w:val="22"/>
          <w:szCs w:val="22"/>
          <w:lang w:val="en-GB"/>
        </w:rPr>
        <w:t>grown and</w:t>
      </w:r>
      <w:r w:rsidRPr="2E9D0212" w:rsidR="686DA173">
        <w:rPr>
          <w:rFonts w:ascii="Arial" w:hAnsi="Arial" w:eastAsia="Arial" w:cs="Arial"/>
          <w:noProof w:val="0"/>
          <w:sz w:val="22"/>
          <w:szCs w:val="22"/>
          <w:lang w:val="en-GB"/>
        </w:rPr>
        <w:t xml:space="preserve"> so has the risk of burnout. There is also concern that fewer routine appointments may weaken the trusted relationship between patient and nurse unless teams actively stay connected. Once again, disadvantage compounds: areas with fewer specialists are the very places where structured support is hardest to deliver.</w:t>
      </w:r>
    </w:p>
    <w:p w:rsidR="2E9D0212" w:rsidP="2E9D0212" w:rsidRDefault="2E9D0212" w14:paraId="4E525F81" w14:textId="567A4760">
      <w:pPr>
        <w:bidi w:val="0"/>
        <w:spacing w:line="360" w:lineRule="auto"/>
        <w:jc w:val="center"/>
        <w:rPr>
          <w:rFonts w:ascii="Arial" w:hAnsi="Arial" w:eastAsia="Arial" w:cs="Arial"/>
          <w:sz w:val="22"/>
          <w:szCs w:val="22"/>
        </w:rPr>
      </w:pPr>
    </w:p>
    <w:p w:rsidR="56E5B7E7" w:rsidP="2E9D0212" w:rsidRDefault="56E5B7E7" w14:paraId="42B9F68A" w14:textId="4103E364">
      <w:pPr>
        <w:pStyle w:val="Heading2"/>
        <w:bidi w:val="0"/>
        <w:spacing w:before="0" w:beforeAutospacing="off" w:after="0" w:afterAutospacing="off" w:line="360" w:lineRule="auto"/>
        <w:jc w:val="left"/>
        <w:rPr>
          <w:rFonts w:ascii="Arial" w:hAnsi="Arial" w:eastAsia="Arial" w:cs="Arial"/>
          <w:b w:val="1"/>
          <w:bCs w:val="1"/>
          <w:color w:val="1F2329"/>
          <w:sz w:val="22"/>
          <w:szCs w:val="22"/>
        </w:rPr>
      </w:pPr>
      <w:r w:rsidRPr="2E9D0212" w:rsidR="56E5B7E7">
        <w:rPr>
          <w:rFonts w:ascii="Arial" w:hAnsi="Arial" w:eastAsia="Arial" w:cs="Arial"/>
          <w:b w:val="0"/>
          <w:bCs w:val="0"/>
          <w:color w:val="1F2329"/>
          <w:sz w:val="22"/>
          <w:szCs w:val="22"/>
        </w:rPr>
        <w:t xml:space="preserve"> </w:t>
      </w:r>
      <w:r w:rsidRPr="2E9D0212" w:rsidR="56E5B7E7">
        <w:rPr>
          <w:rFonts w:ascii="Arial" w:hAnsi="Arial" w:eastAsia="Arial" w:cs="Arial"/>
          <w:b w:val="1"/>
          <w:bCs w:val="1"/>
          <w:color w:val="1F2329"/>
          <w:sz w:val="22"/>
          <w:szCs w:val="22"/>
        </w:rPr>
        <w:t xml:space="preserve">IMPACT ON SERVICE </w:t>
      </w:r>
      <w:r w:rsidRPr="2E9D0212" w:rsidR="7386F182">
        <w:rPr>
          <w:rFonts w:ascii="Arial" w:hAnsi="Arial" w:eastAsia="Arial" w:cs="Arial"/>
          <w:b w:val="1"/>
          <w:bCs w:val="1"/>
          <w:color w:val="1F2329"/>
          <w:sz w:val="22"/>
          <w:szCs w:val="22"/>
        </w:rPr>
        <w:t>DELIVERY, Cost,</w:t>
      </w:r>
      <w:r w:rsidRPr="2E9D0212" w:rsidR="56E5B7E7">
        <w:rPr>
          <w:rFonts w:ascii="Arial" w:hAnsi="Arial" w:eastAsia="Arial" w:cs="Arial"/>
          <w:b w:val="1"/>
          <w:bCs w:val="1"/>
          <w:color w:val="1F2329"/>
          <w:sz w:val="22"/>
          <w:szCs w:val="22"/>
        </w:rPr>
        <w:t xml:space="preserve"> AND RESOURCES</w:t>
      </w:r>
    </w:p>
    <w:p w:rsidR="21001FC7" w:rsidP="2E9D0212" w:rsidRDefault="21001FC7" w14:paraId="5FA53BD4" w14:textId="4655049E">
      <w:pPr>
        <w:pStyle w:val="Heading3"/>
        <w:bidi w:val="0"/>
        <w:spacing w:before="0" w:beforeAutospacing="off" w:after="0" w:afterAutospacing="off" w:line="360" w:lineRule="auto"/>
        <w:jc w:val="left"/>
        <w:rPr>
          <w:rFonts w:ascii="Arial" w:hAnsi="Arial" w:eastAsia="Arial" w:cs="Arial"/>
          <w:b w:val="0"/>
          <w:bCs w:val="0"/>
          <w:color w:val="1F2329"/>
          <w:sz w:val="22"/>
          <w:szCs w:val="22"/>
        </w:rPr>
      </w:pPr>
      <w:r w:rsidRPr="2E9D0212" w:rsidR="21001FC7">
        <w:rPr>
          <w:rFonts w:ascii="Arial" w:hAnsi="Arial" w:eastAsia="Arial" w:cs="Arial"/>
          <w:b w:val="1"/>
          <w:bCs w:val="1"/>
          <w:color w:val="1F2329"/>
          <w:sz w:val="22"/>
          <w:szCs w:val="22"/>
        </w:rPr>
        <w:t xml:space="preserve">   </w:t>
      </w:r>
      <w:r w:rsidRPr="2E9D0212" w:rsidR="56E5B7E7">
        <w:rPr>
          <w:rFonts w:ascii="Arial" w:hAnsi="Arial" w:eastAsia="Arial" w:cs="Arial"/>
          <w:b w:val="1"/>
          <w:bCs w:val="1"/>
          <w:color w:val="1F2329"/>
          <w:sz w:val="22"/>
          <w:szCs w:val="22"/>
        </w:rPr>
        <w:t>Budget Impact and Cost Dynam</w:t>
      </w:r>
      <w:r w:rsidRPr="2E9D0212" w:rsidR="56E5B7E7">
        <w:rPr>
          <w:rFonts w:ascii="Arial" w:hAnsi="Arial" w:eastAsia="Arial" w:cs="Arial"/>
          <w:b w:val="1"/>
          <w:bCs w:val="1"/>
          <w:color w:val="1F2329"/>
          <w:sz w:val="22"/>
          <w:szCs w:val="22"/>
        </w:rPr>
        <w:t>ics</w:t>
      </w:r>
    </w:p>
    <w:p w:rsidR="39D54288" w:rsidP="2E9D0212" w:rsidRDefault="39D54288" w14:paraId="76106957" w14:textId="7914B37D">
      <w:pPr>
        <w:pStyle w:val="Normal"/>
        <w:bidi w:val="0"/>
        <w:spacing w:line="360" w:lineRule="auto"/>
        <w:rPr>
          <w:rFonts w:ascii="Arial" w:hAnsi="Arial" w:eastAsia="Arial" w:cs="Arial"/>
          <w:noProof w:val="0"/>
          <w:sz w:val="22"/>
          <w:szCs w:val="22"/>
          <w:lang w:val="en-GB"/>
        </w:rPr>
      </w:pPr>
      <w:r w:rsidRPr="2E9D0212" w:rsidR="39D54288">
        <w:rPr>
          <w:rFonts w:ascii="Arial" w:hAnsi="Arial" w:eastAsia="Arial" w:cs="Arial"/>
          <w:b w:val="0"/>
          <w:bCs w:val="0"/>
          <w:i w:val="0"/>
          <w:iCs w:val="0"/>
          <w:caps w:val="0"/>
          <w:smallCaps w:val="0"/>
          <w:noProof w:val="0"/>
          <w:color w:val="1F2329"/>
          <w:sz w:val="22"/>
          <w:szCs w:val="22"/>
          <w:lang w:val="en-GB"/>
        </w:rPr>
        <w:t>The financial picture is balanced but nuanced. Sensors cost more upfront than test strips, but savings from fewer emergency admissions offset much of the difference:</w:t>
      </w:r>
    </w:p>
    <w:tbl>
      <w:tblPr>
        <w:tblStyle w:val="MediumShading1-Accent6"/>
        <w:bidiVisual w:val="0"/>
        <w:tblW w:w="0" w:type="auto"/>
        <w:tblLook w:val="06A0" w:firstRow="1" w:lastRow="0" w:firstColumn="1" w:lastColumn="0" w:noHBand="1" w:noVBand="1"/>
      </w:tblPr>
      <w:tblGrid>
        <w:gridCol w:w="3058"/>
        <w:gridCol w:w="2569"/>
        <w:gridCol w:w="1598"/>
        <w:gridCol w:w="1062"/>
      </w:tblGrid>
      <w:tr w:rsidR="2E9D0212" w:rsidTr="2E9D0212" w14:paraId="1509E320">
        <w:trPr>
          <w:trHeight w:val="300"/>
        </w:trPr>
        <w:tc>
          <w:tcPr>
            <w:cnfStyle w:val="001000000000" w:firstRow="0" w:lastRow="0" w:firstColumn="1" w:lastColumn="0" w:oddVBand="0" w:evenVBand="0" w:oddHBand="0" w:evenHBand="0" w:firstRowFirstColumn="0" w:firstRowLastColumn="0" w:lastRowFirstColumn="0" w:lastRowLastColumn="0"/>
            <w:tcW w:w="3058" w:type="dxa"/>
            <w:tcMar/>
          </w:tcPr>
          <w:p w:rsidR="2E9D0212" w:rsidP="2E9D0212" w:rsidRDefault="2E9D0212" w14:paraId="214F99D6" w14:textId="30B5A40A">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2E9D0212">
              <w:rPr>
                <w:rFonts w:ascii="Arial" w:hAnsi="Arial" w:eastAsia="Arial" w:cs="Arial"/>
                <w:b w:val="1"/>
                <w:bCs w:val="1"/>
                <w:color w:val="1F2329"/>
                <w:sz w:val="22"/>
                <w:szCs w:val="22"/>
              </w:rPr>
              <w:t>Cost Component</w:t>
            </w:r>
          </w:p>
        </w:tc>
        <w:tc>
          <w:tcPr>
            <w:cnfStyle w:val="000000000000" w:firstRow="0" w:lastRow="0" w:firstColumn="0" w:lastColumn="0" w:oddVBand="0" w:evenVBand="0" w:oddHBand="0" w:evenHBand="0" w:firstRowFirstColumn="0" w:firstRowLastColumn="0" w:lastRowFirstColumn="0" w:lastRowLastColumn="0"/>
            <w:tcW w:w="2569" w:type="dxa"/>
            <w:tcMar/>
          </w:tcPr>
          <w:p w:rsidR="2E9D0212" w:rsidP="2E9D0212" w:rsidRDefault="2E9D0212" w14:paraId="7D1A0475" w14:textId="33027C29">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2E9D0212">
              <w:rPr>
                <w:rFonts w:ascii="Arial" w:hAnsi="Arial" w:eastAsia="Arial" w:cs="Arial"/>
                <w:b w:val="1"/>
                <w:bCs w:val="1"/>
                <w:color w:val="1F2329"/>
                <w:sz w:val="22"/>
                <w:szCs w:val="22"/>
              </w:rPr>
              <w:t>SMBG (per patient/year)</w:t>
            </w:r>
          </w:p>
        </w:tc>
        <w:tc>
          <w:tcPr>
            <w:cnfStyle w:val="000000000000" w:firstRow="0" w:lastRow="0" w:firstColumn="0" w:lastColumn="0" w:oddVBand="0" w:evenVBand="0" w:oddHBand="0" w:evenHBand="0" w:firstRowFirstColumn="0" w:firstRowLastColumn="0" w:lastRowFirstColumn="0" w:lastRowLastColumn="0"/>
            <w:tcW w:w="1598" w:type="dxa"/>
            <w:tcMar/>
          </w:tcPr>
          <w:p w:rsidR="514082AB" w:rsidP="2E9D0212" w:rsidRDefault="514082AB" w14:paraId="43C0837C" w14:textId="226CDAD5">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514082AB">
              <w:rPr>
                <w:rFonts w:ascii="Arial" w:hAnsi="Arial" w:eastAsia="Arial" w:cs="Arial"/>
                <w:b w:val="1"/>
                <w:bCs w:val="1"/>
                <w:color w:val="1F2329"/>
                <w:sz w:val="22"/>
                <w:szCs w:val="22"/>
              </w:rPr>
              <w:t>Freestyle</w:t>
            </w:r>
            <w:r w:rsidRPr="2E9D0212" w:rsidR="2E9D0212">
              <w:rPr>
                <w:rFonts w:ascii="Arial" w:hAnsi="Arial" w:eastAsia="Arial" w:cs="Arial"/>
                <w:b w:val="1"/>
                <w:bCs w:val="1"/>
                <w:color w:val="1F2329"/>
                <w:sz w:val="22"/>
                <w:szCs w:val="22"/>
              </w:rPr>
              <w:t xml:space="preserve"> Libre</w:t>
            </w:r>
          </w:p>
        </w:tc>
        <w:tc>
          <w:tcPr>
            <w:cnfStyle w:val="000000000000" w:firstRow="0" w:lastRow="0" w:firstColumn="0" w:lastColumn="0" w:oddVBand="0" w:evenVBand="0" w:oddHBand="0" w:evenHBand="0" w:firstRowFirstColumn="0" w:firstRowLastColumn="0" w:lastRowFirstColumn="0" w:lastRowLastColumn="0"/>
            <w:tcW w:w="1062" w:type="dxa"/>
            <w:tcMar/>
          </w:tcPr>
          <w:p w:rsidR="2E9D0212" w:rsidP="2E9D0212" w:rsidRDefault="2E9D0212" w14:paraId="65F689DD" w14:textId="56820A5B">
            <w:pPr>
              <w:bidi w:val="0"/>
              <w:spacing w:before="0" w:beforeAutospacing="off" w:after="0" w:afterAutospacing="off" w:line="360" w:lineRule="auto"/>
              <w:jc w:val="left"/>
              <w:rPr>
                <w:rFonts w:ascii="Arial" w:hAnsi="Arial" w:eastAsia="Arial" w:cs="Arial"/>
                <w:b w:val="1"/>
                <w:bCs w:val="1"/>
                <w:color w:val="1F2329"/>
                <w:sz w:val="22"/>
                <w:szCs w:val="22"/>
              </w:rPr>
            </w:pPr>
            <w:r w:rsidRPr="2E9D0212" w:rsidR="2E9D0212">
              <w:rPr>
                <w:rFonts w:ascii="Arial" w:hAnsi="Arial" w:eastAsia="Arial" w:cs="Arial"/>
                <w:b w:val="1"/>
                <w:bCs w:val="1"/>
                <w:color w:val="1F2329"/>
                <w:sz w:val="22"/>
                <w:szCs w:val="22"/>
              </w:rPr>
              <w:t>Difference</w:t>
            </w:r>
          </w:p>
        </w:tc>
      </w:tr>
      <w:tr w:rsidR="2E9D0212" w:rsidTr="2E9D0212" w14:paraId="6983FF61">
        <w:trPr>
          <w:trHeight w:val="300"/>
        </w:trPr>
        <w:tc>
          <w:tcPr>
            <w:cnfStyle w:val="001000000000" w:firstRow="0" w:lastRow="0" w:firstColumn="1" w:lastColumn="0" w:oddVBand="0" w:evenVBand="0" w:oddHBand="0" w:evenHBand="0" w:firstRowFirstColumn="0" w:firstRowLastColumn="0" w:lastRowFirstColumn="0" w:lastRowLastColumn="0"/>
            <w:tcW w:w="3058" w:type="dxa"/>
            <w:tcMar/>
          </w:tcPr>
          <w:p w:rsidR="2E9D0212" w:rsidP="2E9D0212" w:rsidRDefault="2E9D0212" w14:paraId="55547A5A" w14:textId="0876BD1F">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Sensor / strip acquisition</w:t>
            </w:r>
          </w:p>
        </w:tc>
        <w:tc>
          <w:tcPr>
            <w:cnfStyle w:val="000000000000" w:firstRow="0" w:lastRow="0" w:firstColumn="0" w:lastColumn="0" w:oddVBand="0" w:evenVBand="0" w:oddHBand="0" w:evenHBand="0" w:firstRowFirstColumn="0" w:firstRowLastColumn="0" w:lastRowFirstColumn="0" w:lastRowLastColumn="0"/>
            <w:tcW w:w="2569" w:type="dxa"/>
            <w:tcMar/>
          </w:tcPr>
          <w:p w:rsidR="2E9D0212" w:rsidP="2E9D0212" w:rsidRDefault="2E9D0212" w14:paraId="3B8B6ABC" w14:textId="7BA7D5EF">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£552</w:t>
            </w:r>
          </w:p>
        </w:tc>
        <w:tc>
          <w:tcPr>
            <w:cnfStyle w:val="000000000000" w:firstRow="0" w:lastRow="0" w:firstColumn="0" w:lastColumn="0" w:oddVBand="0" w:evenVBand="0" w:oddHBand="0" w:evenHBand="0" w:firstRowFirstColumn="0" w:firstRowLastColumn="0" w:lastRowFirstColumn="0" w:lastRowLastColumn="0"/>
            <w:tcW w:w="1598" w:type="dxa"/>
            <w:tcMar/>
          </w:tcPr>
          <w:p w:rsidR="2E9D0212" w:rsidP="2E9D0212" w:rsidRDefault="2E9D0212" w14:paraId="008E4AEC" w14:textId="27C6ED5C">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£937</w:t>
            </w:r>
          </w:p>
        </w:tc>
        <w:tc>
          <w:tcPr>
            <w:cnfStyle w:val="000000000000" w:firstRow="0" w:lastRow="0" w:firstColumn="0" w:lastColumn="0" w:oddVBand="0" w:evenVBand="0" w:oddHBand="0" w:evenHBand="0" w:firstRowFirstColumn="0" w:firstRowLastColumn="0" w:lastRowFirstColumn="0" w:lastRowLastColumn="0"/>
            <w:tcW w:w="1062" w:type="dxa"/>
            <w:tcMar/>
          </w:tcPr>
          <w:p w:rsidR="2E9D0212" w:rsidP="2E9D0212" w:rsidRDefault="2E9D0212" w14:paraId="2EAD0C35" w14:textId="18489EB9">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+£385</w:t>
            </w:r>
          </w:p>
        </w:tc>
      </w:tr>
      <w:tr w:rsidR="2E9D0212" w:rsidTr="2E9D0212" w14:paraId="04690E4A">
        <w:trPr>
          <w:trHeight w:val="300"/>
        </w:trPr>
        <w:tc>
          <w:tcPr>
            <w:cnfStyle w:val="001000000000" w:firstRow="0" w:lastRow="0" w:firstColumn="1" w:lastColumn="0" w:oddVBand="0" w:evenVBand="0" w:oddHBand="0" w:evenHBand="0" w:firstRowFirstColumn="0" w:firstRowLastColumn="0" w:lastRowFirstColumn="0" w:lastRowLastColumn="0"/>
            <w:tcW w:w="3058" w:type="dxa"/>
            <w:tcMar/>
          </w:tcPr>
          <w:p w:rsidR="2E9D0212" w:rsidP="2E9D0212" w:rsidRDefault="2E9D0212" w14:paraId="0FB1B052" w14:textId="3C696FFB">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Direct healthcare resource costs</w:t>
            </w:r>
          </w:p>
        </w:tc>
        <w:tc>
          <w:tcPr>
            <w:cnfStyle w:val="000000000000" w:firstRow="0" w:lastRow="0" w:firstColumn="0" w:lastColumn="0" w:oddVBand="0" w:evenVBand="0" w:oddHBand="0" w:evenHBand="0" w:firstRowFirstColumn="0" w:firstRowLastColumn="0" w:lastRowFirstColumn="0" w:lastRowLastColumn="0"/>
            <w:tcW w:w="2569" w:type="dxa"/>
            <w:tcMar/>
          </w:tcPr>
          <w:p w:rsidR="2E9D0212" w:rsidP="2E9D0212" w:rsidRDefault="2E9D0212" w14:paraId="0E6F2364" w14:textId="35BC830E">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£396</w:t>
            </w:r>
          </w:p>
        </w:tc>
        <w:tc>
          <w:tcPr>
            <w:cnfStyle w:val="000000000000" w:firstRow="0" w:lastRow="0" w:firstColumn="0" w:lastColumn="0" w:oddVBand="0" w:evenVBand="0" w:oddHBand="0" w:evenHBand="0" w:firstRowFirstColumn="0" w:firstRowLastColumn="0" w:lastRowFirstColumn="0" w:lastRowLastColumn="0"/>
            <w:tcW w:w="1598" w:type="dxa"/>
            <w:tcMar/>
          </w:tcPr>
          <w:p w:rsidR="2E9D0212" w:rsidP="2E9D0212" w:rsidRDefault="2E9D0212" w14:paraId="14CE892E" w14:textId="28BD929B">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£200</w:t>
            </w:r>
          </w:p>
        </w:tc>
        <w:tc>
          <w:tcPr>
            <w:cnfStyle w:val="000000000000" w:firstRow="0" w:lastRow="0" w:firstColumn="0" w:lastColumn="0" w:oddVBand="0" w:evenVBand="0" w:oddHBand="0" w:evenHBand="0" w:firstRowFirstColumn="0" w:firstRowLastColumn="0" w:lastRowFirstColumn="0" w:lastRowLastColumn="0"/>
            <w:tcW w:w="1062" w:type="dxa"/>
            <w:tcMar/>
          </w:tcPr>
          <w:p w:rsidR="2E9D0212" w:rsidP="2E9D0212" w:rsidRDefault="2E9D0212" w14:paraId="772F6487" w14:textId="033D7CD3">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−£196</w:t>
            </w:r>
          </w:p>
        </w:tc>
      </w:tr>
      <w:tr w:rsidR="2E9D0212" w:rsidTr="2E9D0212" w14:paraId="684E1710">
        <w:trPr>
          <w:trHeight w:val="300"/>
        </w:trPr>
        <w:tc>
          <w:tcPr>
            <w:cnfStyle w:val="001000000000" w:firstRow="0" w:lastRow="0" w:firstColumn="1" w:lastColumn="0" w:oddVBand="0" w:evenVBand="0" w:oddHBand="0" w:evenHBand="0" w:firstRowFirstColumn="0" w:firstRowLastColumn="0" w:lastRowFirstColumn="0" w:lastRowLastColumn="0"/>
            <w:tcW w:w="3058" w:type="dxa"/>
            <w:tcMar/>
          </w:tcPr>
          <w:p w:rsidR="2E9D0212" w:rsidP="2E9D0212" w:rsidRDefault="2E9D0212" w14:paraId="2F1A9542" w14:textId="3B1DE1BC">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Further HbA1c</w:t>
            </w:r>
            <w:r>
              <w:noBreakHyphen/>
            </w:r>
            <w:r w:rsidRPr="2E9D0212" w:rsidR="2E9D0212">
              <w:rPr>
                <w:rFonts w:ascii="Arial" w:hAnsi="Arial" w:eastAsia="Arial" w:cs="Arial"/>
                <w:b w:val="0"/>
                <w:bCs w:val="0"/>
                <w:color w:val="1F2329"/>
                <w:sz w:val="22"/>
                <w:szCs w:val="22"/>
              </w:rPr>
              <w:t>related savings</w:t>
            </w:r>
          </w:p>
        </w:tc>
        <w:tc>
          <w:tcPr>
            <w:cnfStyle w:val="000000000000" w:firstRow="0" w:lastRow="0" w:firstColumn="0" w:lastColumn="0" w:oddVBand="0" w:evenVBand="0" w:oddHBand="0" w:evenHBand="0" w:firstRowFirstColumn="0" w:firstRowLastColumn="0" w:lastRowFirstColumn="0" w:lastRowLastColumn="0"/>
            <w:tcW w:w="2569" w:type="dxa"/>
            <w:tcMar/>
          </w:tcPr>
          <w:p w:rsidR="2E9D0212" w:rsidP="2E9D0212" w:rsidRDefault="2E9D0212" w14:paraId="26FD3B2A" w14:textId="562B9D90">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w:t>
            </w:r>
          </w:p>
        </w:tc>
        <w:tc>
          <w:tcPr>
            <w:cnfStyle w:val="000000000000" w:firstRow="0" w:lastRow="0" w:firstColumn="0" w:lastColumn="0" w:oddVBand="0" w:evenVBand="0" w:oddHBand="0" w:evenHBand="0" w:firstRowFirstColumn="0" w:firstRowLastColumn="0" w:lastRowFirstColumn="0" w:lastRowLastColumn="0"/>
            <w:tcW w:w="1598" w:type="dxa"/>
            <w:tcMar/>
          </w:tcPr>
          <w:p w:rsidR="2E9D0212" w:rsidP="2E9D0212" w:rsidRDefault="2E9D0212" w14:paraId="119B79F4" w14:textId="64F2D3F3">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−£21</w:t>
            </w:r>
          </w:p>
        </w:tc>
        <w:tc>
          <w:tcPr>
            <w:cnfStyle w:val="000000000000" w:firstRow="0" w:lastRow="0" w:firstColumn="0" w:lastColumn="0" w:oddVBand="0" w:evenVBand="0" w:oddHBand="0" w:evenHBand="0" w:firstRowFirstColumn="0" w:firstRowLastColumn="0" w:lastRowFirstColumn="0" w:lastRowLastColumn="0"/>
            <w:tcW w:w="1062" w:type="dxa"/>
            <w:tcMar/>
          </w:tcPr>
          <w:p w:rsidR="2E9D0212" w:rsidP="2E9D0212" w:rsidRDefault="2E9D0212" w14:paraId="5F704962" w14:textId="41E4C8E4">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−£21</w:t>
            </w:r>
          </w:p>
        </w:tc>
      </w:tr>
      <w:tr w:rsidR="2E9D0212" w:rsidTr="2E9D0212" w14:paraId="0EAE786F">
        <w:trPr>
          <w:trHeight w:val="300"/>
        </w:trPr>
        <w:tc>
          <w:tcPr>
            <w:cnfStyle w:val="001000000000" w:firstRow="0" w:lastRow="0" w:firstColumn="1" w:lastColumn="0" w:oddVBand="0" w:evenVBand="0" w:oddHBand="0" w:evenHBand="0" w:firstRowFirstColumn="0" w:firstRowLastColumn="0" w:lastRowFirstColumn="0" w:lastRowLastColumn="0"/>
            <w:tcW w:w="3058" w:type="dxa"/>
            <w:tcMar/>
          </w:tcPr>
          <w:p w:rsidR="2E9D0212" w:rsidP="2E9D0212" w:rsidRDefault="2E9D0212" w14:paraId="5CB8A509" w14:textId="541159B3">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Total annual cost</w:t>
            </w:r>
          </w:p>
        </w:tc>
        <w:tc>
          <w:tcPr>
            <w:cnfStyle w:val="000000000000" w:firstRow="0" w:lastRow="0" w:firstColumn="0" w:lastColumn="0" w:oddVBand="0" w:evenVBand="0" w:oddHBand="0" w:evenHBand="0" w:firstRowFirstColumn="0" w:firstRowLastColumn="0" w:lastRowFirstColumn="0" w:lastRowLastColumn="0"/>
            <w:tcW w:w="2569" w:type="dxa"/>
            <w:tcMar/>
          </w:tcPr>
          <w:p w:rsidR="2E9D0212" w:rsidP="2E9D0212" w:rsidRDefault="2E9D0212" w14:paraId="0041C6A5" w14:textId="4CFE8021">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£948</w:t>
            </w:r>
          </w:p>
        </w:tc>
        <w:tc>
          <w:tcPr>
            <w:cnfStyle w:val="000000000000" w:firstRow="0" w:lastRow="0" w:firstColumn="0" w:lastColumn="0" w:oddVBand="0" w:evenVBand="0" w:oddHBand="0" w:evenHBand="0" w:firstRowFirstColumn="0" w:firstRowLastColumn="0" w:lastRowFirstColumn="0" w:lastRowLastColumn="0"/>
            <w:tcW w:w="1598" w:type="dxa"/>
            <w:tcMar/>
          </w:tcPr>
          <w:p w:rsidR="2E9D0212" w:rsidP="2E9D0212" w:rsidRDefault="2E9D0212" w14:paraId="57A17E0C" w14:textId="1BBD5EB4">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£1,116</w:t>
            </w:r>
          </w:p>
        </w:tc>
        <w:tc>
          <w:tcPr>
            <w:cnfStyle w:val="000000000000" w:firstRow="0" w:lastRow="0" w:firstColumn="0" w:lastColumn="0" w:oddVBand="0" w:evenVBand="0" w:oddHBand="0" w:evenHBand="0" w:firstRowFirstColumn="0" w:firstRowLastColumn="0" w:lastRowFirstColumn="0" w:lastRowLastColumn="0"/>
            <w:tcW w:w="1062" w:type="dxa"/>
            <w:tcMar/>
          </w:tcPr>
          <w:p w:rsidR="2E9D0212" w:rsidP="2E9D0212" w:rsidRDefault="2E9D0212" w14:paraId="7AAF342A" w14:textId="7B503E9B">
            <w:pPr>
              <w:bidi w:val="0"/>
              <w:spacing w:before="0" w:beforeAutospacing="off" w:after="0" w:afterAutospacing="off" w:line="360" w:lineRule="auto"/>
              <w:jc w:val="left"/>
              <w:rPr>
                <w:rFonts w:ascii="Arial" w:hAnsi="Arial" w:eastAsia="Arial" w:cs="Arial"/>
                <w:b w:val="0"/>
                <w:bCs w:val="0"/>
                <w:color w:val="1F2329"/>
                <w:sz w:val="22"/>
                <w:szCs w:val="22"/>
              </w:rPr>
            </w:pPr>
            <w:r w:rsidRPr="2E9D0212" w:rsidR="2E9D0212">
              <w:rPr>
                <w:rFonts w:ascii="Arial" w:hAnsi="Arial" w:eastAsia="Arial" w:cs="Arial"/>
                <w:b w:val="0"/>
                <w:bCs w:val="0"/>
                <w:color w:val="1F2329"/>
                <w:sz w:val="22"/>
                <w:szCs w:val="22"/>
              </w:rPr>
              <w:t>+£168</w:t>
            </w:r>
          </w:p>
        </w:tc>
      </w:tr>
    </w:tbl>
    <w:p w:rsidR="56E5B7E7" w:rsidP="2E9D0212" w:rsidRDefault="56E5B7E7" w14:paraId="47746C39" w14:textId="0002B91B">
      <w:pPr>
        <w:bidi w:val="0"/>
        <w:spacing w:before="0" w:beforeAutospacing="off" w:after="0" w:afterAutospacing="off" w:line="360" w:lineRule="auto"/>
        <w:jc w:val="left"/>
        <w:rPr>
          <w:rFonts w:ascii="Arial" w:hAnsi="Arial" w:eastAsia="Arial" w:cs="Arial"/>
          <w:b w:val="0"/>
          <w:bCs w:val="0"/>
          <w:i w:val="1"/>
          <w:iCs w:val="1"/>
          <w:color w:val="1F2329"/>
          <w:sz w:val="22"/>
          <w:szCs w:val="22"/>
        </w:rPr>
      </w:pPr>
      <w:r w:rsidRPr="2E9D0212" w:rsidR="56E5B7E7">
        <w:rPr>
          <w:rFonts w:ascii="Arial" w:hAnsi="Arial" w:eastAsia="Arial" w:cs="Arial"/>
          <w:b w:val="0"/>
          <w:bCs w:val="0"/>
          <w:i w:val="1"/>
          <w:iCs w:val="1"/>
          <w:color w:val="1F2329"/>
          <w:sz w:val="22"/>
          <w:szCs w:val="22"/>
        </w:rPr>
        <w:t>Source: Blissett et al. (2022)</w:t>
      </w:r>
    </w:p>
    <w:p w:rsidR="59E421B3" w:rsidP="2E9D0212" w:rsidRDefault="59E421B3" w14:paraId="46654F9B" w14:textId="17B83F94">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1F2329"/>
          <w:sz w:val="22"/>
          <w:szCs w:val="22"/>
          <w:lang w:val="en-GB"/>
        </w:rPr>
      </w:pPr>
      <w:r w:rsidRPr="2E9D0212" w:rsidR="59E421B3">
        <w:rPr>
          <w:rFonts w:ascii="Arial" w:hAnsi="Arial" w:eastAsia="Arial" w:cs="Arial"/>
          <w:b w:val="0"/>
          <w:bCs w:val="0"/>
          <w:i w:val="0"/>
          <w:iCs w:val="0"/>
          <w:caps w:val="0"/>
          <w:smallCaps w:val="0"/>
          <w:noProof w:val="0"/>
          <w:color w:val="1F2329"/>
          <w:sz w:val="22"/>
          <w:szCs w:val="22"/>
          <w:lang w:val="en-GB"/>
        </w:rPr>
        <w:t>The net increase is approximately £168 per patient per year — falling to just £73 among those with poorest control, where savings in emergency care are greatest. Expanding coverage gradually appears affordable, but there is a timing problem: costs are incurred immediately, while savings from avoided complications appear over years. This creates real pressure on short-term budgets. For children, the value extends beyond money: reduced distress, better school attendance, and earlier prevention of complications represent long-term benefits that are harder to measure but no less real.</w:t>
      </w:r>
    </w:p>
    <w:p w:rsidR="2E9D0212" w:rsidP="2E9D0212" w:rsidRDefault="2E9D0212" w14:paraId="5220FFCF" w14:textId="5C7D6D2F">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1F2329"/>
          <w:sz w:val="22"/>
          <w:szCs w:val="22"/>
          <w:lang w:val="en-GB"/>
        </w:rPr>
      </w:pPr>
    </w:p>
    <w:p w:rsidR="56E5B7E7" w:rsidP="2E9D0212" w:rsidRDefault="56E5B7E7" w14:paraId="362BFA4C" w14:textId="33403CFB">
      <w:pPr>
        <w:pStyle w:val="Heading3"/>
        <w:bidi w:val="0"/>
        <w:spacing w:before="0" w:beforeAutospacing="off" w:after="0" w:afterAutospacing="off" w:line="360" w:lineRule="auto"/>
        <w:jc w:val="left"/>
        <w:rPr>
          <w:rFonts w:ascii="Arial" w:hAnsi="Arial" w:eastAsia="Arial" w:cs="Arial"/>
          <w:b w:val="0"/>
          <w:bCs w:val="0"/>
          <w:color w:val="1F2329"/>
          <w:sz w:val="22"/>
          <w:szCs w:val="22"/>
        </w:rPr>
      </w:pPr>
      <w:r w:rsidRPr="2E9D0212" w:rsidR="56E5B7E7">
        <w:rPr>
          <w:rFonts w:ascii="Arial" w:hAnsi="Arial" w:eastAsia="Arial" w:cs="Arial"/>
          <w:b w:val="0"/>
          <w:bCs w:val="0"/>
          <w:color w:val="1F2329"/>
          <w:sz w:val="22"/>
          <w:szCs w:val="22"/>
        </w:rPr>
        <w:t xml:space="preserve"> </w:t>
      </w:r>
      <w:r w:rsidRPr="2E9D0212" w:rsidR="56E5B7E7">
        <w:rPr>
          <w:rFonts w:ascii="Arial" w:hAnsi="Arial" w:eastAsia="Arial" w:cs="Arial"/>
          <w:b w:val="1"/>
          <w:bCs w:val="1"/>
          <w:color w:val="1F2329"/>
          <w:sz w:val="22"/>
          <w:szCs w:val="22"/>
        </w:rPr>
        <w:t>Service Redesign and Implementation Barriers</w:t>
      </w:r>
    </w:p>
    <w:p w:rsidR="02599E29" w:rsidP="2E9D0212" w:rsidRDefault="02599E29" w14:paraId="75B94918" w14:textId="44223FF9">
      <w:pPr>
        <w:pStyle w:val="Normal"/>
        <w:bidi w:val="0"/>
        <w:spacing w:before="0" w:beforeAutospacing="off" w:after="0" w:afterAutospacing="off" w:line="360" w:lineRule="auto"/>
        <w:jc w:val="left"/>
        <w:rPr>
          <w:rFonts w:ascii="Arial" w:hAnsi="Arial" w:eastAsia="Arial" w:cs="Arial"/>
          <w:noProof w:val="0"/>
          <w:sz w:val="22"/>
          <w:szCs w:val="22"/>
          <w:lang w:val="en-GB"/>
        </w:rPr>
      </w:pPr>
      <w:r w:rsidRPr="2E9D0212" w:rsidR="02599E29">
        <w:rPr>
          <w:rFonts w:ascii="Arial" w:hAnsi="Arial" w:eastAsia="Arial" w:cs="Arial"/>
          <w:b w:val="0"/>
          <w:bCs w:val="0"/>
          <w:i w:val="0"/>
          <w:iCs w:val="0"/>
          <w:caps w:val="0"/>
          <w:smallCaps w:val="0"/>
          <w:noProof w:val="0"/>
          <w:color w:val="1F2329"/>
          <w:sz w:val="22"/>
          <w:szCs w:val="22"/>
          <w:lang w:val="en-GB"/>
        </w:rPr>
        <w:t xml:space="preserve">Flash monitoring has accelerated a shift toward hybrid care — remote review combined with targeted face-to-face support — releasing capacity and helping services remain accessible. However, technical gaps </w:t>
      </w:r>
      <w:r w:rsidRPr="2E9D0212" w:rsidR="68B566F0">
        <w:rPr>
          <w:rFonts w:ascii="Arial" w:hAnsi="Arial" w:eastAsia="Arial" w:cs="Arial"/>
          <w:b w:val="0"/>
          <w:bCs w:val="0"/>
          <w:i w:val="0"/>
          <w:iCs w:val="0"/>
          <w:caps w:val="0"/>
          <w:smallCaps w:val="0"/>
          <w:noProof w:val="0"/>
          <w:color w:val="1F2329"/>
          <w:sz w:val="22"/>
          <w:szCs w:val="22"/>
          <w:lang w:val="en-GB"/>
        </w:rPr>
        <w:t>remain</w:t>
      </w:r>
      <w:r w:rsidRPr="2E9D0212" w:rsidR="02599E29">
        <w:rPr>
          <w:rFonts w:ascii="Arial" w:hAnsi="Arial" w:eastAsia="Arial" w:cs="Arial"/>
          <w:b w:val="0"/>
          <w:bCs w:val="0"/>
          <w:i w:val="0"/>
          <w:iCs w:val="0"/>
          <w:caps w:val="0"/>
          <w:smallCaps w:val="0"/>
          <w:noProof w:val="0"/>
          <w:color w:val="1F2329"/>
          <w:sz w:val="22"/>
          <w:szCs w:val="22"/>
          <w:lang w:val="en-GB"/>
        </w:rPr>
        <w:t xml:space="preserve"> sensor data does not always flow automatically into hospital records, creating extra work. As devices reach more people who are already well-controlled, measurable gains will naturally become smaller. The Freestyle Libre is far cheaper than fully real-time CGM (~£937 vs ~£1,850 per year), but the absence of built-in alarms means it is not an equivalent replacement for everyone (Blissett et al., 2022). Finally, readers should note that the ABCD audit received unrestricted funding from Abbott, the manufacturer — a potential conflict that should be kept in mind when interpreting economic findings.</w:t>
      </w:r>
    </w:p>
    <w:p w:rsidR="2E9D0212" w:rsidP="2E9D0212" w:rsidRDefault="2E9D0212" w14:paraId="2B542B98" w14:textId="065B34B6">
      <w:pPr>
        <w:bidi w:val="0"/>
        <w:spacing w:line="360" w:lineRule="auto"/>
        <w:jc w:val="center"/>
        <w:rPr>
          <w:rFonts w:ascii="Arial" w:hAnsi="Arial" w:eastAsia="Arial" w:cs="Arial"/>
          <w:sz w:val="22"/>
          <w:szCs w:val="22"/>
        </w:rPr>
      </w:pPr>
    </w:p>
    <w:p w:rsidR="56E5B7E7" w:rsidP="2E9D0212" w:rsidRDefault="56E5B7E7" w14:paraId="57C3E72A" w14:textId="041C0B05">
      <w:pPr>
        <w:pStyle w:val="Heading2"/>
        <w:bidi w:val="0"/>
        <w:spacing w:before="0" w:beforeAutospacing="off" w:after="0" w:afterAutospacing="off" w:line="360" w:lineRule="auto"/>
        <w:jc w:val="left"/>
        <w:rPr>
          <w:rFonts w:ascii="Arial" w:hAnsi="Arial" w:eastAsia="Arial" w:cs="Arial"/>
          <w:b w:val="0"/>
          <w:bCs w:val="0"/>
          <w:color w:val="1F2329"/>
          <w:sz w:val="22"/>
          <w:szCs w:val="22"/>
        </w:rPr>
      </w:pPr>
      <w:r w:rsidRPr="2E9D0212" w:rsidR="56E5B7E7">
        <w:rPr>
          <w:rFonts w:ascii="Arial" w:hAnsi="Arial" w:eastAsia="Arial" w:cs="Arial"/>
          <w:b w:val="0"/>
          <w:bCs w:val="0"/>
          <w:color w:val="1F2329"/>
          <w:sz w:val="22"/>
          <w:szCs w:val="22"/>
        </w:rPr>
        <w:t xml:space="preserve"> </w:t>
      </w:r>
      <w:r w:rsidRPr="2E9D0212" w:rsidR="56E5B7E7">
        <w:rPr>
          <w:rFonts w:ascii="Arial" w:hAnsi="Arial" w:eastAsia="Arial" w:cs="Arial"/>
          <w:b w:val="1"/>
          <w:bCs w:val="1"/>
          <w:color w:val="1F2329"/>
          <w:sz w:val="22"/>
          <w:szCs w:val="22"/>
        </w:rPr>
        <w:t>CONCLUSION AND RECOMMENDATIONS</w:t>
      </w:r>
    </w:p>
    <w:p w:rsidR="56E5B7E7" w:rsidP="2E9D0212" w:rsidRDefault="56E5B7E7" w14:paraId="440E80B5" w14:textId="4470F826">
      <w:pPr>
        <w:pStyle w:val="Heading3"/>
        <w:bidi w:val="0"/>
        <w:spacing w:before="0" w:beforeAutospacing="off" w:after="0" w:afterAutospacing="off" w:line="360" w:lineRule="auto"/>
        <w:jc w:val="left"/>
        <w:rPr>
          <w:rFonts w:ascii="Arial" w:hAnsi="Arial" w:eastAsia="Arial" w:cs="Arial"/>
          <w:b w:val="1"/>
          <w:bCs w:val="1"/>
          <w:color w:val="1F2329"/>
          <w:sz w:val="22"/>
          <w:szCs w:val="22"/>
        </w:rPr>
      </w:pPr>
      <w:r w:rsidRPr="2E9D0212" w:rsidR="56E5B7E7">
        <w:rPr>
          <w:rFonts w:ascii="Arial" w:hAnsi="Arial" w:eastAsia="Arial" w:cs="Arial"/>
          <w:b w:val="1"/>
          <w:bCs w:val="1"/>
          <w:color w:val="1F2329"/>
          <w:sz w:val="22"/>
          <w:szCs w:val="22"/>
        </w:rPr>
        <w:t>Conclusion</w:t>
      </w:r>
    </w:p>
    <w:p w:rsidR="2D766507" w:rsidP="2E9D0212" w:rsidRDefault="2D766507" w14:paraId="5A4D79A7" w14:textId="17A18565">
      <w:pPr>
        <w:pStyle w:val="Normal"/>
        <w:bidi w:val="0"/>
        <w:spacing w:before="0" w:beforeAutospacing="off" w:after="0" w:afterAutospacing="off" w:line="360" w:lineRule="auto"/>
        <w:jc w:val="left"/>
        <w:rPr>
          <w:rFonts w:ascii="Arial" w:hAnsi="Arial" w:eastAsia="Arial" w:cs="Arial"/>
          <w:noProof w:val="0"/>
          <w:sz w:val="22"/>
          <w:szCs w:val="22"/>
          <w:lang w:val="en-GB"/>
        </w:rPr>
      </w:pPr>
      <w:r w:rsidRPr="2E9D0212" w:rsidR="2D766507">
        <w:rPr>
          <w:rFonts w:ascii="Arial" w:hAnsi="Arial" w:eastAsia="Arial" w:cs="Arial"/>
          <w:b w:val="0"/>
          <w:bCs w:val="0"/>
          <w:i w:val="0"/>
          <w:iCs w:val="0"/>
          <w:caps w:val="0"/>
          <w:smallCaps w:val="0"/>
          <w:noProof w:val="0"/>
          <w:color w:val="1F2329"/>
          <w:sz w:val="22"/>
          <w:szCs w:val="22"/>
          <w:lang w:val="en-GB"/>
        </w:rPr>
        <w:t xml:space="preserve">The </w:t>
      </w:r>
      <w:r w:rsidRPr="2E9D0212" w:rsidR="2D766507">
        <w:rPr>
          <w:rFonts w:ascii="Arial" w:hAnsi="Arial" w:eastAsia="Arial" w:cs="Arial"/>
          <w:b w:val="0"/>
          <w:bCs w:val="0"/>
          <w:i w:val="0"/>
          <w:iCs w:val="0"/>
          <w:caps w:val="0"/>
          <w:smallCaps w:val="0"/>
          <w:noProof w:val="0"/>
          <w:color w:val="1F2329"/>
          <w:sz w:val="22"/>
          <w:szCs w:val="22"/>
          <w:lang w:val="en-GB"/>
        </w:rPr>
        <w:t>Freestyle</w:t>
      </w:r>
      <w:r w:rsidRPr="2E9D0212" w:rsidR="2D766507">
        <w:rPr>
          <w:rFonts w:ascii="Arial" w:hAnsi="Arial" w:eastAsia="Arial" w:cs="Arial"/>
          <w:b w:val="0"/>
          <w:bCs w:val="0"/>
          <w:i w:val="0"/>
          <w:iCs w:val="0"/>
          <w:caps w:val="0"/>
          <w:smallCaps w:val="0"/>
          <w:noProof w:val="0"/>
          <w:color w:val="1F2329"/>
          <w:sz w:val="22"/>
          <w:szCs w:val="22"/>
          <w:lang w:val="en-GB"/>
        </w:rPr>
        <w:t xml:space="preserve"> Libre is genuinely transformative technology. It has improved glucose control, reduced acute crises, and restored dignity to millions — and for children and young people, the change has been particularly profound: daily pain replaced by discretion, fear replaced by confidence, and isolation replaced by connection. Yet it is not a perfect solution, nor is it a magic cure. The original device lacks alarms, access is uneven, training </w:t>
      </w:r>
      <w:r w:rsidRPr="2E9D0212" w:rsidR="2D766507">
        <w:rPr>
          <w:rFonts w:ascii="Arial" w:hAnsi="Arial" w:eastAsia="Arial" w:cs="Arial"/>
          <w:b w:val="0"/>
          <w:bCs w:val="0"/>
          <w:i w:val="0"/>
          <w:iCs w:val="0"/>
          <w:caps w:val="0"/>
          <w:smallCaps w:val="0"/>
          <w:noProof w:val="0"/>
          <w:color w:val="1F2329"/>
          <w:sz w:val="22"/>
          <w:szCs w:val="22"/>
          <w:lang w:val="en-GB"/>
        </w:rPr>
        <w:t>lags behind</w:t>
      </w:r>
      <w:r w:rsidRPr="2E9D0212" w:rsidR="2D766507">
        <w:rPr>
          <w:rFonts w:ascii="Arial" w:hAnsi="Arial" w:eastAsia="Arial" w:cs="Arial"/>
          <w:b w:val="0"/>
          <w:bCs w:val="0"/>
          <w:i w:val="0"/>
          <w:iCs w:val="0"/>
          <w:caps w:val="0"/>
          <w:smallCaps w:val="0"/>
          <w:noProof w:val="0"/>
          <w:color w:val="1F2329"/>
          <w:sz w:val="22"/>
          <w:szCs w:val="22"/>
          <w:lang w:val="en-GB"/>
        </w:rPr>
        <w:t xml:space="preserve"> rollout, and short-term costs remain higher than traditional methods. Realising the full potential depends not on the device alone, but on how fairly, safely, and thoughtfully it is integrated into care.</w:t>
      </w:r>
    </w:p>
    <w:p w:rsidR="2E9D0212" w:rsidP="2E9D0212" w:rsidRDefault="2E9D0212" w14:paraId="7823AC25" w14:textId="26B5CF5D">
      <w:pPr>
        <w:pStyle w:val="Heading3"/>
        <w:bidi w:val="0"/>
        <w:spacing w:before="0" w:beforeAutospacing="off" w:after="0" w:afterAutospacing="off" w:line="360" w:lineRule="auto"/>
        <w:jc w:val="left"/>
        <w:rPr>
          <w:rFonts w:ascii="Arial" w:hAnsi="Arial" w:eastAsia="Arial" w:cs="Arial"/>
          <w:b w:val="0"/>
          <w:bCs w:val="0"/>
          <w:color w:val="1F2329"/>
          <w:sz w:val="22"/>
          <w:szCs w:val="22"/>
        </w:rPr>
      </w:pPr>
    </w:p>
    <w:p w:rsidR="2E9D0212" w:rsidP="2E9D0212" w:rsidRDefault="2E9D0212" w14:paraId="73D34B81" w14:textId="4AEA94FE">
      <w:pPr>
        <w:pStyle w:val="Normal"/>
        <w:bidi w:val="0"/>
      </w:pPr>
    </w:p>
    <w:p w:rsidR="2E9D0212" w:rsidP="2E9D0212" w:rsidRDefault="2E9D0212" w14:paraId="337F5C61" w14:textId="167241F4">
      <w:pPr>
        <w:pStyle w:val="Normal"/>
        <w:bidi w:val="0"/>
      </w:pPr>
    </w:p>
    <w:p w:rsidR="56E5B7E7" w:rsidP="2E9D0212" w:rsidRDefault="56E5B7E7" w14:paraId="09BB4E77" w14:textId="5F5899B3">
      <w:pPr>
        <w:pStyle w:val="Heading3"/>
        <w:bidi w:val="0"/>
        <w:spacing w:before="0" w:beforeAutospacing="off" w:after="0" w:afterAutospacing="off" w:line="360" w:lineRule="auto"/>
        <w:jc w:val="left"/>
        <w:rPr>
          <w:rFonts w:ascii="Arial" w:hAnsi="Arial" w:eastAsia="Arial" w:cs="Arial"/>
          <w:b w:val="1"/>
          <w:bCs w:val="1"/>
          <w:color w:val="1F2329"/>
          <w:sz w:val="22"/>
          <w:szCs w:val="22"/>
        </w:rPr>
      </w:pPr>
      <w:r w:rsidRPr="2E9D0212" w:rsidR="56E5B7E7">
        <w:rPr>
          <w:rFonts w:ascii="Arial" w:hAnsi="Arial" w:eastAsia="Arial" w:cs="Arial"/>
          <w:b w:val="1"/>
          <w:bCs w:val="1"/>
          <w:color w:val="1F2329"/>
          <w:sz w:val="22"/>
          <w:szCs w:val="22"/>
        </w:rPr>
        <w:t>Recommendations</w:t>
      </w:r>
    </w:p>
    <w:p w:rsidR="35BF8700" w:rsidP="2E9D0212" w:rsidRDefault="35BF8700" w14:paraId="72A3DE86" w14:textId="257DC2E2">
      <w:pPr>
        <w:pStyle w:val="ListParagraph"/>
        <w:numPr>
          <w:ilvl w:val="0"/>
          <w:numId w:val="21"/>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35BF8700">
        <w:rPr>
          <w:rFonts w:ascii="Arial" w:hAnsi="Arial" w:eastAsia="Arial" w:cs="Arial"/>
          <w:b w:val="0"/>
          <w:bCs w:val="0"/>
          <w:noProof w:val="0"/>
          <w:color w:val="1F2329"/>
          <w:sz w:val="22"/>
          <w:szCs w:val="22"/>
          <w:lang w:val="en-GB"/>
        </w:rPr>
        <w:t>Targeted rollout and fair access — Prioritise patients with HbA1c above 8.5% or frequent severe hypoglycaemia, including children. Monitor uptake by area, age, and background to ensure no group is left behind. Provide multi-year funding that accounts for long-term savings, not just immediate expense.</w:t>
      </w:r>
    </w:p>
    <w:p w:rsidR="35BF8700" w:rsidP="2E9D0212" w:rsidRDefault="35BF8700" w14:paraId="13920B83" w14:textId="743F5DCF">
      <w:pPr>
        <w:pStyle w:val="ListParagraph"/>
        <w:numPr>
          <w:ilvl w:val="0"/>
          <w:numId w:val="21"/>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35BF8700">
        <w:rPr>
          <w:rFonts w:ascii="Arial" w:hAnsi="Arial" w:eastAsia="Arial" w:cs="Arial"/>
          <w:b w:val="0"/>
          <w:bCs w:val="0"/>
          <w:noProof w:val="0"/>
          <w:color w:val="1F2329"/>
          <w:sz w:val="22"/>
          <w:szCs w:val="22"/>
          <w:lang w:val="en-GB"/>
        </w:rPr>
        <w:t>Strengthen the workforce — Expand Diabetes Specialist Nurse numbers and update training to include data interpretation, remote consultation, and family support — with specific focus on the needs of children and young people.</w:t>
      </w:r>
    </w:p>
    <w:p w:rsidR="35BF8700" w:rsidP="2E9D0212" w:rsidRDefault="35BF8700" w14:paraId="45B98662" w14:textId="0769C56F">
      <w:pPr>
        <w:pStyle w:val="ListParagraph"/>
        <w:numPr>
          <w:ilvl w:val="0"/>
          <w:numId w:val="21"/>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35BF8700">
        <w:rPr>
          <w:rFonts w:ascii="Arial" w:hAnsi="Arial" w:eastAsia="Arial" w:cs="Arial"/>
          <w:b w:val="0"/>
          <w:bCs w:val="0"/>
          <w:noProof w:val="0"/>
          <w:color w:val="1F2329"/>
          <w:sz w:val="22"/>
          <w:szCs w:val="22"/>
          <w:lang w:val="en-GB"/>
        </w:rPr>
        <w:t>Inclusive design and data governance — Provide accessible guidance and extra support for those less familiar with technology. Mandate system compatibility so data flows smoothly into NHS records. Ensure clear consent processes and strong safeguards, especially where children’s data is concerned.</w:t>
      </w:r>
    </w:p>
    <w:p w:rsidR="35BF8700" w:rsidP="2E9D0212" w:rsidRDefault="35BF8700" w14:paraId="29D100BC" w14:textId="50BB3C7D">
      <w:pPr>
        <w:pStyle w:val="ListParagraph"/>
        <w:numPr>
          <w:ilvl w:val="0"/>
          <w:numId w:val="21"/>
        </w:num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35BF8700">
        <w:rPr>
          <w:rFonts w:ascii="Arial" w:hAnsi="Arial" w:eastAsia="Arial" w:cs="Arial"/>
          <w:b w:val="0"/>
          <w:bCs w:val="0"/>
          <w:noProof w:val="0"/>
          <w:color w:val="1F2329"/>
          <w:sz w:val="22"/>
          <w:szCs w:val="22"/>
          <w:lang w:val="en-GB"/>
        </w:rPr>
        <w:t>Build long-term evidence — Establish a national registry to track outcomes over years, with separate analysis for children and young people. This will help us understand which groups benefit most, where gaps remain, and how best to plan for the next generation of technology.</w:t>
      </w:r>
    </w:p>
    <w:p w:rsidR="35BF8700" w:rsidP="2E9D0212" w:rsidRDefault="35BF8700" w14:paraId="7C9BF2E7" w14:textId="7BC1FBB7">
      <w:pPr>
        <w:bidi w:val="0"/>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35BF8700">
        <w:rPr>
          <w:rFonts w:ascii="Arial" w:hAnsi="Arial" w:eastAsia="Arial" w:cs="Arial"/>
          <w:b w:val="0"/>
          <w:bCs w:val="0"/>
          <w:noProof w:val="0"/>
          <w:color w:val="1F2329"/>
          <w:sz w:val="22"/>
          <w:szCs w:val="22"/>
          <w:lang w:val="en-GB"/>
        </w:rPr>
        <w:t>The future of diabetes care is increasingly digital — but the measure of success will not be how advanced the technology is. It will be how many people it truly reaches.</w:t>
      </w:r>
    </w:p>
    <w:p w:rsidR="2E9D0212" w:rsidP="2E9D0212" w:rsidRDefault="2E9D0212" w14:paraId="0578E950" w14:textId="0F0D401D">
      <w:pPr>
        <w:pStyle w:val="Heading2"/>
        <w:bidi w:val="0"/>
        <w:spacing w:line="360" w:lineRule="auto"/>
        <w:jc w:val="center"/>
        <w:rPr>
          <w:rFonts w:ascii="Arial" w:hAnsi="Arial" w:eastAsia="Arial" w:cs="Arial"/>
          <w:b w:val="1"/>
          <w:bCs w:val="1"/>
          <w:sz w:val="22"/>
          <w:szCs w:val="22"/>
        </w:rPr>
      </w:pPr>
    </w:p>
    <w:p w:rsidR="2E9D0212" w:rsidP="2E9D0212" w:rsidRDefault="2E9D0212" w14:paraId="06105BB0" w14:textId="0DE525FC">
      <w:pPr>
        <w:pStyle w:val="Normal"/>
        <w:bidi w:val="0"/>
      </w:pPr>
    </w:p>
    <w:p w:rsidR="2E9D0212" w:rsidP="2E9D0212" w:rsidRDefault="2E9D0212" w14:paraId="22FE86F4" w14:textId="0690AC98">
      <w:pPr>
        <w:pStyle w:val="Normal"/>
        <w:bidi w:val="0"/>
      </w:pPr>
    </w:p>
    <w:p w:rsidR="2E9D0212" w:rsidP="2E9D0212" w:rsidRDefault="2E9D0212" w14:paraId="1EEF4710" w14:textId="75AF3C79">
      <w:pPr>
        <w:pStyle w:val="Normal"/>
        <w:bidi w:val="0"/>
      </w:pPr>
    </w:p>
    <w:p w:rsidR="2E9D0212" w:rsidP="2E9D0212" w:rsidRDefault="2E9D0212" w14:paraId="2F1C0B2C" w14:textId="66DD8117">
      <w:pPr>
        <w:pStyle w:val="Normal"/>
        <w:bidi w:val="0"/>
      </w:pPr>
    </w:p>
    <w:p w:rsidR="2E9D0212" w:rsidP="2E9D0212" w:rsidRDefault="2E9D0212" w14:paraId="54675BC3" w14:textId="3ADDA919">
      <w:pPr>
        <w:pStyle w:val="Normal"/>
        <w:bidi w:val="0"/>
      </w:pPr>
    </w:p>
    <w:p w:rsidR="2E9D0212" w:rsidP="2E9D0212" w:rsidRDefault="2E9D0212" w14:paraId="01A7D586" w14:textId="0A2FC994">
      <w:pPr>
        <w:pStyle w:val="Normal"/>
        <w:bidi w:val="0"/>
      </w:pPr>
    </w:p>
    <w:p w:rsidR="2E9D0212" w:rsidP="2E9D0212" w:rsidRDefault="2E9D0212" w14:paraId="22AB6453" w14:textId="5AE5E6F2">
      <w:pPr>
        <w:pStyle w:val="Normal"/>
        <w:bidi w:val="0"/>
      </w:pPr>
    </w:p>
    <w:p w:rsidR="2E9D0212" w:rsidP="2E9D0212" w:rsidRDefault="2E9D0212" w14:paraId="3484B940" w14:textId="575D7CDF">
      <w:pPr>
        <w:pStyle w:val="Normal"/>
        <w:bidi w:val="0"/>
      </w:pPr>
    </w:p>
    <w:p w:rsidR="2E9D0212" w:rsidP="2E9D0212" w:rsidRDefault="2E9D0212" w14:paraId="3B339FE0" w14:textId="0FA6294B">
      <w:pPr>
        <w:pStyle w:val="Normal"/>
        <w:bidi w:val="0"/>
      </w:pPr>
    </w:p>
    <w:p w:rsidR="2E9D0212" w:rsidP="2E9D0212" w:rsidRDefault="2E9D0212" w14:paraId="18E16634" w14:textId="4FF27AA3">
      <w:pPr>
        <w:pStyle w:val="Normal"/>
        <w:bidi w:val="0"/>
      </w:pPr>
    </w:p>
    <w:p w:rsidR="2E9D0212" w:rsidP="2E9D0212" w:rsidRDefault="2E9D0212" w14:paraId="7657786D" w14:textId="59ED7D44">
      <w:pPr>
        <w:pStyle w:val="Normal"/>
        <w:bidi w:val="0"/>
      </w:pPr>
    </w:p>
    <w:p w:rsidR="2E9D0212" w:rsidP="2E9D0212" w:rsidRDefault="2E9D0212" w14:paraId="20936494" w14:textId="27DF3598">
      <w:pPr>
        <w:pStyle w:val="Normal"/>
        <w:bidi w:val="0"/>
      </w:pPr>
    </w:p>
    <w:p w:rsidR="2E9D0212" w:rsidP="2E9D0212" w:rsidRDefault="2E9D0212" w14:paraId="1641B222" w14:textId="0BD7651D">
      <w:pPr>
        <w:pStyle w:val="Normal"/>
        <w:bidi w:val="0"/>
      </w:pPr>
    </w:p>
    <w:p w:rsidR="2E9D0212" w:rsidP="2E9D0212" w:rsidRDefault="2E9D0212" w14:paraId="7152D82E" w14:textId="1E4FECFC">
      <w:pPr>
        <w:pStyle w:val="Normal"/>
        <w:bidi w:val="0"/>
      </w:pPr>
    </w:p>
    <w:p w:rsidR="09D625E0" w:rsidP="2E9D0212" w:rsidRDefault="09D625E0" w14:paraId="01A54C6D" w14:textId="1ADFE64B">
      <w:pPr>
        <w:pStyle w:val="Heading2"/>
        <w:spacing w:before="0" w:beforeAutospacing="off" w:after="0" w:afterAutospacing="off" w:line="360" w:lineRule="auto"/>
        <w:jc w:val="left"/>
        <w:rPr>
          <w:rFonts w:ascii="Arial" w:hAnsi="Arial" w:eastAsia="Arial" w:cs="Arial"/>
          <w:b w:val="1"/>
          <w:bCs w:val="1"/>
          <w:noProof w:val="0"/>
          <w:color w:val="1F2329"/>
          <w:sz w:val="22"/>
          <w:szCs w:val="22"/>
          <w:lang w:val="en-GB"/>
        </w:rPr>
      </w:pPr>
      <w:r w:rsidRPr="2E9D0212" w:rsidR="09D625E0">
        <w:rPr>
          <w:rFonts w:ascii="Arial" w:hAnsi="Arial" w:eastAsia="Arial" w:cs="Arial"/>
          <w:b w:val="1"/>
          <w:bCs w:val="1"/>
          <w:noProof w:val="0"/>
          <w:color w:val="1F2329"/>
          <w:sz w:val="22"/>
          <w:szCs w:val="22"/>
          <w:lang w:val="en-GB"/>
        </w:rPr>
        <w:t>REFERENCES</w:t>
      </w:r>
    </w:p>
    <w:p w:rsidR="5FCC902B" w:rsidP="2E9D0212" w:rsidRDefault="5FCC902B" w14:paraId="2F93E59E" w14:textId="338997C8">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5FCC902B">
        <w:rPr>
          <w:rFonts w:ascii="Arial" w:hAnsi="Arial" w:eastAsia="Arial" w:cs="Arial"/>
          <w:b w:val="0"/>
          <w:bCs w:val="0"/>
          <w:noProof w:val="0"/>
          <w:color w:val="1F2329"/>
          <w:sz w:val="22"/>
          <w:szCs w:val="22"/>
          <w:lang w:val="en-GB"/>
        </w:rPr>
        <w:t>Asrani</w:t>
      </w:r>
      <w:r w:rsidRPr="2E9D0212" w:rsidR="09D625E0">
        <w:rPr>
          <w:rFonts w:ascii="Arial" w:hAnsi="Arial" w:eastAsia="Arial" w:cs="Arial"/>
          <w:b w:val="0"/>
          <w:bCs w:val="0"/>
          <w:noProof w:val="0"/>
          <w:color w:val="1F2329"/>
          <w:sz w:val="22"/>
          <w:szCs w:val="22"/>
          <w:lang w:val="en-GB"/>
        </w:rPr>
        <w:t xml:space="preserve">, N.A.M. et al. (2020) ‘Cutaneous complications with continuous or flash glucose monitoring use’, </w:t>
      </w:r>
      <w:r w:rsidRPr="2E9D0212" w:rsidR="09D625E0">
        <w:rPr>
          <w:rFonts w:ascii="Arial" w:hAnsi="Arial" w:eastAsia="Arial" w:cs="Arial"/>
          <w:b w:val="0"/>
          <w:bCs w:val="0"/>
          <w:i w:val="1"/>
          <w:iCs w:val="1"/>
          <w:noProof w:val="0"/>
          <w:color w:val="1F2329"/>
          <w:sz w:val="22"/>
          <w:szCs w:val="22"/>
          <w:lang w:val="en-GB"/>
        </w:rPr>
        <w:t>Journal of Diabetes Science and Technology</w:t>
      </w:r>
      <w:r w:rsidRPr="2E9D0212" w:rsidR="09D625E0">
        <w:rPr>
          <w:rFonts w:ascii="Arial" w:hAnsi="Arial" w:eastAsia="Arial" w:cs="Arial"/>
          <w:b w:val="0"/>
          <w:bCs w:val="0"/>
          <w:noProof w:val="0"/>
          <w:color w:val="1F2329"/>
          <w:sz w:val="22"/>
          <w:szCs w:val="22"/>
          <w:lang w:val="en-GB"/>
        </w:rPr>
        <w:t>, 14(2), pp. 328–337.</w:t>
      </w:r>
    </w:p>
    <w:p w:rsidR="09D625E0" w:rsidP="2E9D0212" w:rsidRDefault="09D625E0" w14:paraId="4FF6D59E" w14:textId="6AB33538">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Bailey, T.S. et al. (2016) ‘Effect of flash glucose monitoring technology on glycaemic control in type 1 diabetes (IMPACT)’, </w:t>
      </w:r>
      <w:r w:rsidRPr="2E9D0212" w:rsidR="09D625E0">
        <w:rPr>
          <w:rFonts w:ascii="Arial" w:hAnsi="Arial" w:eastAsia="Arial" w:cs="Arial"/>
          <w:b w:val="0"/>
          <w:bCs w:val="0"/>
          <w:i w:val="1"/>
          <w:iCs w:val="1"/>
          <w:noProof w:val="0"/>
          <w:color w:val="1F2329"/>
          <w:sz w:val="22"/>
          <w:szCs w:val="22"/>
          <w:lang w:val="en-GB"/>
        </w:rPr>
        <w:t>The Lancet Diabetes &amp; Endocrinology</w:t>
      </w:r>
      <w:r w:rsidRPr="2E9D0212" w:rsidR="09D625E0">
        <w:rPr>
          <w:rFonts w:ascii="Arial" w:hAnsi="Arial" w:eastAsia="Arial" w:cs="Arial"/>
          <w:b w:val="0"/>
          <w:bCs w:val="0"/>
          <w:noProof w:val="0"/>
          <w:color w:val="1F2329"/>
          <w:sz w:val="22"/>
          <w:szCs w:val="22"/>
          <w:lang w:val="en-GB"/>
        </w:rPr>
        <w:t>, 4(12), pp. 961–969.</w:t>
      </w:r>
    </w:p>
    <w:p w:rsidR="09D625E0" w:rsidP="2E9D0212" w:rsidRDefault="09D625E0" w14:paraId="7B7ADA08" w14:textId="08EBC265">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Blissett, R. et al. (2022) ‘</w:t>
      </w:r>
      <w:r w:rsidRPr="2E9D0212" w:rsidR="0D024DC0">
        <w:rPr>
          <w:rFonts w:ascii="Arial" w:hAnsi="Arial" w:eastAsia="Arial" w:cs="Arial"/>
          <w:b w:val="0"/>
          <w:bCs w:val="0"/>
          <w:noProof w:val="0"/>
          <w:color w:val="1F2329"/>
          <w:sz w:val="22"/>
          <w:szCs w:val="22"/>
          <w:lang w:val="en-GB"/>
        </w:rPr>
        <w:t>Freestyle</w:t>
      </w:r>
      <w:r w:rsidRPr="2E9D0212" w:rsidR="09D625E0">
        <w:rPr>
          <w:rFonts w:ascii="Arial" w:hAnsi="Arial" w:eastAsia="Arial" w:cs="Arial"/>
          <w:b w:val="0"/>
          <w:bCs w:val="0"/>
          <w:noProof w:val="0"/>
          <w:color w:val="1F2329"/>
          <w:sz w:val="22"/>
          <w:szCs w:val="22"/>
          <w:lang w:val="en-GB"/>
        </w:rPr>
        <w:t xml:space="preserve"> Libre flash glucose monitoring for people with type 1 diabetes in the UK: a budget impact analysis’, </w:t>
      </w:r>
      <w:r w:rsidRPr="2E9D0212" w:rsidR="09D625E0">
        <w:rPr>
          <w:rFonts w:ascii="Arial" w:hAnsi="Arial" w:eastAsia="Arial" w:cs="Arial"/>
          <w:b w:val="0"/>
          <w:bCs w:val="0"/>
          <w:i w:val="1"/>
          <w:iCs w:val="1"/>
          <w:noProof w:val="0"/>
          <w:color w:val="1F2329"/>
          <w:sz w:val="22"/>
          <w:szCs w:val="22"/>
          <w:lang w:val="en-GB"/>
        </w:rPr>
        <w:t>BMJ Open Diabetes Research &amp; Care</w:t>
      </w:r>
      <w:r w:rsidRPr="2E9D0212" w:rsidR="09D625E0">
        <w:rPr>
          <w:rFonts w:ascii="Arial" w:hAnsi="Arial" w:eastAsia="Arial" w:cs="Arial"/>
          <w:b w:val="0"/>
          <w:bCs w:val="0"/>
          <w:noProof w:val="0"/>
          <w:color w:val="1F2329"/>
          <w:sz w:val="22"/>
          <w:szCs w:val="22"/>
          <w:lang w:val="en-GB"/>
        </w:rPr>
        <w:t>, 10(1), e002580.</w:t>
      </w:r>
    </w:p>
    <w:p w:rsidR="09D625E0" w:rsidP="2E9D0212" w:rsidRDefault="09D625E0" w14:paraId="33D65CED" w14:textId="418F8EC1">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DHSC &amp; NHS England (2022) </w:t>
      </w:r>
      <w:r w:rsidRPr="2E9D0212" w:rsidR="09D625E0">
        <w:rPr>
          <w:rFonts w:ascii="Arial" w:hAnsi="Arial" w:eastAsia="Arial" w:cs="Arial"/>
          <w:b w:val="0"/>
          <w:bCs w:val="0"/>
          <w:i w:val="1"/>
          <w:iCs w:val="1"/>
          <w:noProof w:val="0"/>
          <w:color w:val="1F2329"/>
          <w:sz w:val="22"/>
          <w:szCs w:val="22"/>
          <w:lang w:val="en-GB"/>
        </w:rPr>
        <w:t>A Plan for Digital Health and Social Care</w:t>
      </w:r>
      <w:r w:rsidRPr="2E9D0212" w:rsidR="09D625E0">
        <w:rPr>
          <w:rFonts w:ascii="Arial" w:hAnsi="Arial" w:eastAsia="Arial" w:cs="Arial"/>
          <w:b w:val="0"/>
          <w:bCs w:val="0"/>
          <w:noProof w:val="0"/>
          <w:color w:val="1F2329"/>
          <w:sz w:val="22"/>
          <w:szCs w:val="22"/>
          <w:lang w:val="en-GB"/>
        </w:rPr>
        <w:t>. London: DHSC.</w:t>
      </w:r>
    </w:p>
    <w:p w:rsidR="09D625E0" w:rsidP="2E9D0212" w:rsidRDefault="09D625E0" w14:paraId="16E30AA9" w14:textId="79FE4A71">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Fallon, C. et al. (2022) ‘The impact of socio-economic deprivation on access to diabetes technology’, </w:t>
      </w:r>
      <w:r w:rsidRPr="2E9D0212" w:rsidR="09D625E0">
        <w:rPr>
          <w:rFonts w:ascii="Arial" w:hAnsi="Arial" w:eastAsia="Arial" w:cs="Arial"/>
          <w:b w:val="0"/>
          <w:bCs w:val="0"/>
          <w:i w:val="1"/>
          <w:iCs w:val="1"/>
          <w:noProof w:val="0"/>
          <w:color w:val="1F2329"/>
          <w:sz w:val="22"/>
          <w:szCs w:val="22"/>
          <w:lang w:val="en-GB"/>
        </w:rPr>
        <w:t>Diabetic Medicine</w:t>
      </w:r>
      <w:r w:rsidRPr="2E9D0212" w:rsidR="09D625E0">
        <w:rPr>
          <w:rFonts w:ascii="Arial" w:hAnsi="Arial" w:eastAsia="Arial" w:cs="Arial"/>
          <w:b w:val="0"/>
          <w:bCs w:val="0"/>
          <w:noProof w:val="0"/>
          <w:color w:val="1F2329"/>
          <w:sz w:val="22"/>
          <w:szCs w:val="22"/>
          <w:lang w:val="en-GB"/>
        </w:rPr>
        <w:t>, 39(10), e14906.</w:t>
      </w:r>
    </w:p>
    <w:p w:rsidR="09D625E0" w:rsidP="2E9D0212" w:rsidRDefault="09D625E0" w14:paraId="2CBD88EA" w14:textId="6EBCB68B">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Fokkert, M.J. et al. (2019) ‘Improved well-being and decreased disease burden after 1-year use of flash glucose monitoring (FLARE-NL4)’, </w:t>
      </w:r>
      <w:r w:rsidRPr="2E9D0212" w:rsidR="09D625E0">
        <w:rPr>
          <w:rFonts w:ascii="Arial" w:hAnsi="Arial" w:eastAsia="Arial" w:cs="Arial"/>
          <w:b w:val="0"/>
          <w:bCs w:val="0"/>
          <w:i w:val="1"/>
          <w:iCs w:val="1"/>
          <w:noProof w:val="0"/>
          <w:color w:val="1F2329"/>
          <w:sz w:val="22"/>
          <w:szCs w:val="22"/>
          <w:lang w:val="en-GB"/>
        </w:rPr>
        <w:t>BMJ Open Diabetes Research &amp; Care</w:t>
      </w:r>
      <w:r w:rsidRPr="2E9D0212" w:rsidR="09D625E0">
        <w:rPr>
          <w:rFonts w:ascii="Arial" w:hAnsi="Arial" w:eastAsia="Arial" w:cs="Arial"/>
          <w:b w:val="0"/>
          <w:bCs w:val="0"/>
          <w:noProof w:val="0"/>
          <w:color w:val="1F2329"/>
          <w:sz w:val="22"/>
          <w:szCs w:val="22"/>
          <w:lang w:val="en-GB"/>
        </w:rPr>
        <w:t>, 7(1), e000809.</w:t>
      </w:r>
    </w:p>
    <w:p w:rsidR="09D625E0" w:rsidP="2E9D0212" w:rsidRDefault="09D625E0" w14:paraId="671E6913" w14:textId="11939F2B">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Health Education England (2019) </w:t>
      </w:r>
      <w:r w:rsidRPr="2E9D0212" w:rsidR="09D625E0">
        <w:rPr>
          <w:rFonts w:ascii="Arial" w:hAnsi="Arial" w:eastAsia="Arial" w:cs="Arial"/>
          <w:b w:val="0"/>
          <w:bCs w:val="0"/>
          <w:i w:val="1"/>
          <w:iCs w:val="1"/>
          <w:noProof w:val="0"/>
          <w:color w:val="1F2329"/>
          <w:sz w:val="22"/>
          <w:szCs w:val="22"/>
          <w:lang w:val="en-GB"/>
        </w:rPr>
        <w:t>The Topol Review: Preparing the Healthcare Workforce to Deliver the Digital Future</w:t>
      </w:r>
      <w:r w:rsidRPr="2E9D0212" w:rsidR="09D625E0">
        <w:rPr>
          <w:rFonts w:ascii="Arial" w:hAnsi="Arial" w:eastAsia="Arial" w:cs="Arial"/>
          <w:b w:val="0"/>
          <w:bCs w:val="0"/>
          <w:noProof w:val="0"/>
          <w:color w:val="1F2329"/>
          <w:sz w:val="22"/>
          <w:szCs w:val="22"/>
          <w:lang w:val="en-GB"/>
        </w:rPr>
        <w:t>. London: HEE.</w:t>
      </w:r>
    </w:p>
    <w:p w:rsidR="09D625E0" w:rsidP="2E9D0212" w:rsidRDefault="09D625E0" w14:paraId="2A372751" w14:textId="5A8FE27B">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HM Government (2018) </w:t>
      </w:r>
      <w:r w:rsidRPr="2E9D0212" w:rsidR="09D625E0">
        <w:rPr>
          <w:rFonts w:ascii="Arial" w:hAnsi="Arial" w:eastAsia="Arial" w:cs="Arial"/>
          <w:b w:val="0"/>
          <w:bCs w:val="0"/>
          <w:i w:val="1"/>
          <w:iCs w:val="1"/>
          <w:noProof w:val="0"/>
          <w:color w:val="1F2329"/>
          <w:sz w:val="22"/>
          <w:szCs w:val="22"/>
          <w:lang w:val="en-GB"/>
        </w:rPr>
        <w:t>Data Protection Act 2018</w:t>
      </w:r>
      <w:r w:rsidRPr="2E9D0212" w:rsidR="09D625E0">
        <w:rPr>
          <w:rFonts w:ascii="Arial" w:hAnsi="Arial" w:eastAsia="Arial" w:cs="Arial"/>
          <w:b w:val="0"/>
          <w:bCs w:val="0"/>
          <w:noProof w:val="0"/>
          <w:color w:val="1F2329"/>
          <w:sz w:val="22"/>
          <w:szCs w:val="22"/>
          <w:lang w:val="en-GB"/>
        </w:rPr>
        <w:t>. London: HMSO.</w:t>
      </w:r>
    </w:p>
    <w:p w:rsidR="09D625E0" w:rsidP="2E9D0212" w:rsidRDefault="09D625E0" w14:paraId="42A41951" w14:textId="0EB5D881">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ICO (2023) </w:t>
      </w:r>
      <w:r w:rsidRPr="2E9D0212" w:rsidR="09D625E0">
        <w:rPr>
          <w:rFonts w:ascii="Arial" w:hAnsi="Arial" w:eastAsia="Arial" w:cs="Arial"/>
          <w:b w:val="0"/>
          <w:bCs w:val="0"/>
          <w:i w:val="1"/>
          <w:iCs w:val="1"/>
          <w:noProof w:val="0"/>
          <w:color w:val="1F2329"/>
          <w:sz w:val="22"/>
          <w:szCs w:val="22"/>
          <w:lang w:val="en-GB"/>
        </w:rPr>
        <w:t>Guide to the UK GDPR</w:t>
      </w:r>
      <w:r w:rsidRPr="2E9D0212" w:rsidR="09D625E0">
        <w:rPr>
          <w:rFonts w:ascii="Arial" w:hAnsi="Arial" w:eastAsia="Arial" w:cs="Arial"/>
          <w:b w:val="0"/>
          <w:bCs w:val="0"/>
          <w:noProof w:val="0"/>
          <w:color w:val="1F2329"/>
          <w:sz w:val="22"/>
          <w:szCs w:val="22"/>
          <w:lang w:val="en-GB"/>
        </w:rPr>
        <w:t>. Wilmslow: ICO.</w:t>
      </w:r>
    </w:p>
    <w:p w:rsidR="09D625E0" w:rsidP="2E9D0212" w:rsidRDefault="09D625E0" w14:paraId="0D1B5799" w14:textId="32876DF8">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NICE (2022) </w:t>
      </w:r>
      <w:r w:rsidRPr="2E9D0212" w:rsidR="09D625E0">
        <w:rPr>
          <w:rFonts w:ascii="Arial" w:hAnsi="Arial" w:eastAsia="Arial" w:cs="Arial"/>
          <w:b w:val="0"/>
          <w:bCs w:val="0"/>
          <w:i w:val="1"/>
          <w:iCs w:val="1"/>
          <w:noProof w:val="0"/>
          <w:color w:val="1F2329"/>
          <w:sz w:val="22"/>
          <w:szCs w:val="22"/>
          <w:lang w:val="en-GB"/>
        </w:rPr>
        <w:t>Type 1 Diabetes in Adults and Children: Diagnosis and Management</w:t>
      </w:r>
      <w:r w:rsidRPr="2E9D0212" w:rsidR="09D625E0">
        <w:rPr>
          <w:rFonts w:ascii="Arial" w:hAnsi="Arial" w:eastAsia="Arial" w:cs="Arial"/>
          <w:b w:val="0"/>
          <w:bCs w:val="0"/>
          <w:noProof w:val="0"/>
          <w:color w:val="1F2329"/>
          <w:sz w:val="22"/>
          <w:szCs w:val="22"/>
          <w:lang w:val="en-GB"/>
        </w:rPr>
        <w:t xml:space="preserve"> (NG17). London: NICE.</w:t>
      </w:r>
    </w:p>
    <w:p w:rsidR="09D625E0" w:rsidP="2E9D0212" w:rsidRDefault="09D625E0" w14:paraId="7023910E" w14:textId="37491F94">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NHS Digital (2024) </w:t>
      </w:r>
      <w:r w:rsidRPr="2E9D0212" w:rsidR="09D625E0">
        <w:rPr>
          <w:rFonts w:ascii="Arial" w:hAnsi="Arial" w:eastAsia="Arial" w:cs="Arial"/>
          <w:b w:val="0"/>
          <w:bCs w:val="0"/>
          <w:i w:val="1"/>
          <w:iCs w:val="1"/>
          <w:noProof w:val="0"/>
          <w:color w:val="1F2329"/>
          <w:sz w:val="22"/>
          <w:szCs w:val="22"/>
          <w:lang w:val="en-GB"/>
        </w:rPr>
        <w:t>National Diabetes Audit 2021–22: Type 1 Diabetes Overview</w:t>
      </w:r>
      <w:r w:rsidRPr="2E9D0212" w:rsidR="09D625E0">
        <w:rPr>
          <w:rFonts w:ascii="Arial" w:hAnsi="Arial" w:eastAsia="Arial" w:cs="Arial"/>
          <w:b w:val="0"/>
          <w:bCs w:val="0"/>
          <w:noProof w:val="0"/>
          <w:color w:val="1F2329"/>
          <w:sz w:val="22"/>
          <w:szCs w:val="22"/>
          <w:lang w:val="en-GB"/>
        </w:rPr>
        <w:t>. Leeds: NHS Digital.</w:t>
      </w:r>
    </w:p>
    <w:p w:rsidR="09D625E0" w:rsidP="2E9D0212" w:rsidRDefault="09D625E0" w14:paraId="5DF314A3" w14:textId="298D0DE1">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9D625E0">
        <w:rPr>
          <w:rFonts w:ascii="Arial" w:hAnsi="Arial" w:eastAsia="Arial" w:cs="Arial"/>
          <w:b w:val="0"/>
          <w:bCs w:val="0"/>
          <w:noProof w:val="0"/>
          <w:color w:val="1F2329"/>
          <w:sz w:val="22"/>
          <w:szCs w:val="22"/>
          <w:lang w:val="en-GB"/>
        </w:rPr>
        <w:t xml:space="preserve">NHSX (2021) </w:t>
      </w:r>
      <w:r w:rsidRPr="2E9D0212" w:rsidR="09D625E0">
        <w:rPr>
          <w:rFonts w:ascii="Arial" w:hAnsi="Arial" w:eastAsia="Arial" w:cs="Arial"/>
          <w:b w:val="0"/>
          <w:bCs w:val="0"/>
          <w:i w:val="1"/>
          <w:iCs w:val="1"/>
          <w:noProof w:val="0"/>
          <w:color w:val="1F2329"/>
          <w:sz w:val="22"/>
          <w:szCs w:val="22"/>
          <w:lang w:val="en-GB"/>
        </w:rPr>
        <w:t>What Good Looks Like</w:t>
      </w:r>
      <w:r w:rsidRPr="2E9D0212" w:rsidR="09D625E0">
        <w:rPr>
          <w:rFonts w:ascii="Arial" w:hAnsi="Arial" w:eastAsia="Arial" w:cs="Arial"/>
          <w:b w:val="0"/>
          <w:bCs w:val="0"/>
          <w:noProof w:val="0"/>
          <w:color w:val="1F2329"/>
          <w:sz w:val="22"/>
          <w:szCs w:val="22"/>
          <w:lang w:val="en-GB"/>
        </w:rPr>
        <w:t>. London: NHSX.</w:t>
      </w:r>
    </w:p>
    <w:p w:rsidR="0BA7FAF5" w:rsidP="2E9D0212" w:rsidRDefault="0BA7FAF5" w14:paraId="21D6A155" w14:textId="4995592D">
      <w:pPr>
        <w:pStyle w:val="ListParagraph"/>
        <w:numPr>
          <w:ilvl w:val="0"/>
          <w:numId w:val="22"/>
        </w:numPr>
        <w:spacing w:before="0" w:beforeAutospacing="off" w:after="0" w:afterAutospacing="off" w:line="360" w:lineRule="auto"/>
        <w:jc w:val="left"/>
        <w:rPr>
          <w:rFonts w:ascii="Arial" w:hAnsi="Arial" w:eastAsia="Arial" w:cs="Arial"/>
          <w:b w:val="0"/>
          <w:bCs w:val="0"/>
          <w:noProof w:val="0"/>
          <w:color w:val="1F2329"/>
          <w:sz w:val="22"/>
          <w:szCs w:val="22"/>
          <w:lang w:val="en-GB"/>
        </w:rPr>
      </w:pPr>
      <w:r w:rsidRPr="2E9D0212" w:rsidR="0BA7FAF5">
        <w:rPr>
          <w:rFonts w:ascii="Arial" w:hAnsi="Arial" w:eastAsia="Arial" w:cs="Arial"/>
          <w:b w:val="0"/>
          <w:bCs w:val="0"/>
          <w:noProof w:val="0"/>
          <w:color w:val="1F2329"/>
          <w:sz w:val="22"/>
          <w:szCs w:val="22"/>
          <w:lang w:val="en-GB"/>
        </w:rPr>
        <w:t>Yadegar far</w:t>
      </w:r>
      <w:r w:rsidRPr="2E9D0212" w:rsidR="09D625E0">
        <w:rPr>
          <w:rFonts w:ascii="Arial" w:hAnsi="Arial" w:eastAsia="Arial" w:cs="Arial"/>
          <w:b w:val="0"/>
          <w:bCs w:val="0"/>
          <w:noProof w:val="0"/>
          <w:color w:val="1F2329"/>
          <w:sz w:val="22"/>
          <w:szCs w:val="22"/>
          <w:lang w:val="en-GB"/>
        </w:rPr>
        <w:t xml:space="preserve">, G. et al. (2020) ‘The </w:t>
      </w:r>
      <w:r w:rsidRPr="2E9D0212" w:rsidR="3D671854">
        <w:rPr>
          <w:rFonts w:ascii="Arial" w:hAnsi="Arial" w:eastAsia="Arial" w:cs="Arial"/>
          <w:b w:val="0"/>
          <w:bCs w:val="0"/>
          <w:noProof w:val="0"/>
          <w:color w:val="1F2329"/>
          <w:sz w:val="22"/>
          <w:szCs w:val="22"/>
          <w:lang w:val="en-GB"/>
        </w:rPr>
        <w:t>Freestyle</w:t>
      </w:r>
      <w:r w:rsidRPr="2E9D0212" w:rsidR="09D625E0">
        <w:rPr>
          <w:rFonts w:ascii="Arial" w:hAnsi="Arial" w:eastAsia="Arial" w:cs="Arial"/>
          <w:b w:val="0"/>
          <w:bCs w:val="0"/>
          <w:noProof w:val="0"/>
          <w:color w:val="1F2329"/>
          <w:sz w:val="22"/>
          <w:szCs w:val="22"/>
          <w:lang w:val="en-GB"/>
        </w:rPr>
        <w:t xml:space="preserve"> Libre and glycaemic control in Eastern Cheshire, UK’, </w:t>
      </w:r>
      <w:r w:rsidRPr="2E9D0212" w:rsidR="09D625E0">
        <w:rPr>
          <w:rFonts w:ascii="Arial" w:hAnsi="Arial" w:eastAsia="Arial" w:cs="Arial"/>
          <w:b w:val="0"/>
          <w:bCs w:val="0"/>
          <w:i w:val="1"/>
          <w:iCs w:val="1"/>
          <w:noProof w:val="0"/>
          <w:color w:val="1F2329"/>
          <w:sz w:val="22"/>
          <w:szCs w:val="22"/>
          <w:lang w:val="en-GB"/>
        </w:rPr>
        <w:t>Cardiovascular Endocrinology &amp; Metabolism</w:t>
      </w:r>
      <w:r w:rsidRPr="2E9D0212" w:rsidR="09D625E0">
        <w:rPr>
          <w:rFonts w:ascii="Arial" w:hAnsi="Arial" w:eastAsia="Arial" w:cs="Arial"/>
          <w:b w:val="0"/>
          <w:bCs w:val="0"/>
          <w:noProof w:val="0"/>
          <w:color w:val="1F2329"/>
          <w:sz w:val="22"/>
          <w:szCs w:val="22"/>
          <w:lang w:val="en-GB"/>
        </w:rPr>
        <w:t>, 9(4), pp. 171–176.</w:t>
      </w:r>
    </w:p>
    <w:p w:rsidR="2E9D0212" w:rsidP="2E9D0212" w:rsidRDefault="2E9D0212" w14:paraId="44065AAA" w14:textId="141036F3">
      <w:pPr>
        <w:jc w:val="center"/>
        <w:rPr>
          <w:b w:val="1"/>
          <w:bCs w:val="1"/>
          <w:sz w:val="28"/>
          <w:szCs w:val="28"/>
        </w:rPr>
      </w:pPr>
    </w:p>
    <w:sectPr w:rsidR="00320951" w:rsidSect="00034616">
      <w:footerReference w:type="default" r:id="rId11"/>
      <w:pgSz w:w="12240" w:h="15840" w:orient="portrait"/>
      <w:pgMar w:top="1417" w:right="1417" w:bottom="1417" w:left="1417" w:header="720" w:footer="720" w:gutter="0"/>
      <w:cols w:space="720"/>
      <w:docGrid w:linePitch="360"/>
      <w:headerReference w:type="default" r:id="R3d7a977b877f457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10F5" w:rsidRDefault="001F10F5" w14:paraId="5E640EE6" w14:textId="77777777">
      <w:pPr>
        <w:spacing w:after="0" w:line="240" w:lineRule="auto"/>
      </w:pPr>
      <w:r>
        <w:separator/>
      </w:r>
    </w:p>
  </w:endnote>
  <w:endnote w:type="continuationSeparator" w:id="0">
    <w:p w:rsidR="001F10F5" w:rsidRDefault="001F10F5" w14:paraId="6DC464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20951" w:rsidRDefault="001F10F5" w14:paraId="5E88B83D" w14:textId="77777777">
    <w:pPr>
      <w:pStyle w:val="Footer"/>
      <w:jc w:val="center"/>
    </w:pPr>
    <w:r w:rsidRPr="2E9D0212">
      <w:rPr>
        <w:sz w:val="20"/>
        <w:szCs w:val="20"/>
      </w:rPr>
      <w:fldChar w:fldCharType="begin"/>
    </w:r>
    <w:r w:rsidRPr="2E9D0212">
      <w:rPr>
        <w:sz w:val="20"/>
        <w:szCs w:val="20"/>
      </w:rPr>
      <w:instrText xml:space="preserve">PAGE</w:instrText>
    </w:r>
    <w:r w:rsidRPr="2E9D0212">
      <w:rPr>
        <w:sz w:val="20"/>
        <w:szCs w:val="20"/>
      </w:rPr>
      <w:fldChar w:fldCharType="separate"/>
    </w:r>
    <w:r w:rsidRPr="2E9D0212" w:rsidR="2E9D0212">
      <w:rPr>
        <w:sz w:val="20"/>
        <w:szCs w:val="20"/>
      </w:rPr>
      <w:t>1</w:t>
    </w:r>
    <w:r w:rsidRPr="2E9D0212">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10F5" w:rsidRDefault="001F10F5" w14:paraId="45365D41" w14:textId="77777777">
      <w:pPr>
        <w:spacing w:after="0" w:line="240" w:lineRule="auto"/>
      </w:pPr>
      <w:r>
        <w:separator/>
      </w:r>
    </w:p>
  </w:footnote>
  <w:footnote w:type="continuationSeparator" w:id="0">
    <w:p w:rsidR="001F10F5" w:rsidRDefault="001F10F5" w14:paraId="2B0688F3"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35"/>
      <w:gridCol w:w="3135"/>
      <w:gridCol w:w="3135"/>
    </w:tblGrid>
    <w:tr w:rsidR="2E9D0212" w:rsidTr="2E9D0212" w14:paraId="1723656D">
      <w:trPr>
        <w:trHeight w:val="300"/>
      </w:trPr>
      <w:tc>
        <w:tcPr>
          <w:tcW w:w="3135" w:type="dxa"/>
          <w:tcMar/>
        </w:tcPr>
        <w:p w:rsidR="2E9D0212" w:rsidP="2E9D0212" w:rsidRDefault="2E9D0212" w14:paraId="2881B7A9" w14:textId="6B305085">
          <w:pPr>
            <w:pStyle w:val="Header"/>
            <w:bidi w:val="0"/>
            <w:ind w:left="-115"/>
            <w:jc w:val="left"/>
          </w:pPr>
        </w:p>
      </w:tc>
      <w:tc>
        <w:tcPr>
          <w:tcW w:w="3135" w:type="dxa"/>
          <w:tcMar/>
        </w:tcPr>
        <w:p w:rsidR="2E9D0212" w:rsidP="2E9D0212" w:rsidRDefault="2E9D0212" w14:paraId="0A23FE06" w14:textId="187C5CB0">
          <w:pPr>
            <w:pStyle w:val="Header"/>
            <w:bidi w:val="0"/>
            <w:jc w:val="center"/>
          </w:pPr>
        </w:p>
      </w:tc>
      <w:tc>
        <w:tcPr>
          <w:tcW w:w="3135" w:type="dxa"/>
          <w:tcMar/>
        </w:tcPr>
        <w:p w:rsidR="2E9D0212" w:rsidP="2E9D0212" w:rsidRDefault="2E9D0212" w14:paraId="4AF89DFD" w14:textId="4605DF34">
          <w:pPr>
            <w:pStyle w:val="Header"/>
            <w:bidi w:val="0"/>
            <w:ind w:right="-115"/>
            <w:jc w:val="right"/>
          </w:pPr>
        </w:p>
      </w:tc>
    </w:tr>
  </w:tbl>
  <w:p w:rsidR="2E9D0212" w:rsidP="2E9D0212" w:rsidRDefault="2E9D0212" w14:paraId="588DDF23" w14:textId="242C836B">
    <w:pPr>
      <w:pStyle w:val="Header"/>
      <w:bidi w:val="0"/>
    </w:pPr>
  </w:p>
</w:hdr>
</file>

<file path=word/intelligence2.xml><?xml version="1.0" encoding="utf-8"?>
<int2:intelligence xmlns:int2="http://schemas.microsoft.com/office/intelligence/2020/intelligence">
  <int2:observations>
    <int2:textHash int2:hashCode="A6FLsW0IsxnEeI" int2:id="SJ6dH9CG">
      <int2:state int2:type="spell" int2:value="Rejected"/>
    </int2:textHash>
    <int2:textHash int2:hashCode="ZTcMlY0hHN0k1f" int2:id="5vMlAxTB">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44eeb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2c7a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b892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7e09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8d95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02e03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794b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c223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c4b1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56d06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4c51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2ef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b0b8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16eb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364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968436363">
    <w:abstractNumId w:val="8"/>
  </w:num>
  <w:num w:numId="2" w16cid:durableId="1594632398">
    <w:abstractNumId w:val="6"/>
  </w:num>
  <w:num w:numId="3" w16cid:durableId="1179923836">
    <w:abstractNumId w:val="5"/>
  </w:num>
  <w:num w:numId="4" w16cid:durableId="1003779965">
    <w:abstractNumId w:val="4"/>
  </w:num>
  <w:num w:numId="5" w16cid:durableId="980690699">
    <w:abstractNumId w:val="7"/>
  </w:num>
  <w:num w:numId="6" w16cid:durableId="976379213">
    <w:abstractNumId w:val="3"/>
  </w:num>
  <w:num w:numId="7" w16cid:durableId="860968748">
    <w:abstractNumId w:val="2"/>
  </w:num>
  <w:num w:numId="8" w16cid:durableId="1519540861">
    <w:abstractNumId w:val="1"/>
  </w:num>
  <w:num w:numId="9" w16cid:durableId="1758863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5A6"/>
    <w:rsid w:val="00034616"/>
    <w:rsid w:val="0006063C"/>
    <w:rsid w:val="0015074B"/>
    <w:rsid w:val="001F10F5"/>
    <w:rsid w:val="002892D5"/>
    <w:rsid w:val="0029639D"/>
    <w:rsid w:val="00320951"/>
    <w:rsid w:val="00326F90"/>
    <w:rsid w:val="00658E66"/>
    <w:rsid w:val="006DD7CE"/>
    <w:rsid w:val="00AA1D8D"/>
    <w:rsid w:val="00B47730"/>
    <w:rsid w:val="00CB0664"/>
    <w:rsid w:val="00DD5A4F"/>
    <w:rsid w:val="00FC693F"/>
    <w:rsid w:val="01250D0D"/>
    <w:rsid w:val="02599E29"/>
    <w:rsid w:val="04C72163"/>
    <w:rsid w:val="04D93189"/>
    <w:rsid w:val="052948B2"/>
    <w:rsid w:val="0590CD54"/>
    <w:rsid w:val="0596A37F"/>
    <w:rsid w:val="05C8F6BE"/>
    <w:rsid w:val="0625133C"/>
    <w:rsid w:val="0714D322"/>
    <w:rsid w:val="0714D322"/>
    <w:rsid w:val="083FDFD5"/>
    <w:rsid w:val="09B8AC5B"/>
    <w:rsid w:val="09BCEC30"/>
    <w:rsid w:val="09D625E0"/>
    <w:rsid w:val="0A6A7A3F"/>
    <w:rsid w:val="0A75040E"/>
    <w:rsid w:val="0BA62637"/>
    <w:rsid w:val="0BA7FAF5"/>
    <w:rsid w:val="0C7AC434"/>
    <w:rsid w:val="0D024DC0"/>
    <w:rsid w:val="0D68380E"/>
    <w:rsid w:val="0E23334A"/>
    <w:rsid w:val="0E9981ED"/>
    <w:rsid w:val="0E9981ED"/>
    <w:rsid w:val="0FC5E965"/>
    <w:rsid w:val="117268F4"/>
    <w:rsid w:val="121B04EB"/>
    <w:rsid w:val="127874E1"/>
    <w:rsid w:val="12AE5E09"/>
    <w:rsid w:val="13708B09"/>
    <w:rsid w:val="13708B09"/>
    <w:rsid w:val="13EE3EC1"/>
    <w:rsid w:val="13EE3EC1"/>
    <w:rsid w:val="154AA9E1"/>
    <w:rsid w:val="16E2809D"/>
    <w:rsid w:val="16EEBD12"/>
    <w:rsid w:val="16EEBD12"/>
    <w:rsid w:val="17CDCE4B"/>
    <w:rsid w:val="18221EFC"/>
    <w:rsid w:val="18258E7C"/>
    <w:rsid w:val="1A37EECA"/>
    <w:rsid w:val="1A37EECA"/>
    <w:rsid w:val="1A7C9D9F"/>
    <w:rsid w:val="1C4B3E47"/>
    <w:rsid w:val="1C7DD1DB"/>
    <w:rsid w:val="1C7DD1DB"/>
    <w:rsid w:val="1C8CA679"/>
    <w:rsid w:val="1D101412"/>
    <w:rsid w:val="1DA822B7"/>
    <w:rsid w:val="1DC2F73A"/>
    <w:rsid w:val="2006D757"/>
    <w:rsid w:val="208F0C0A"/>
    <w:rsid w:val="21001FC7"/>
    <w:rsid w:val="23216D24"/>
    <w:rsid w:val="234E52EC"/>
    <w:rsid w:val="26119300"/>
    <w:rsid w:val="26119300"/>
    <w:rsid w:val="26754A26"/>
    <w:rsid w:val="26EF3ECE"/>
    <w:rsid w:val="2752AABB"/>
    <w:rsid w:val="27E29C79"/>
    <w:rsid w:val="29A3BE95"/>
    <w:rsid w:val="2B258BDF"/>
    <w:rsid w:val="2B592F6D"/>
    <w:rsid w:val="2B71FDA7"/>
    <w:rsid w:val="2C04F1DD"/>
    <w:rsid w:val="2C082D30"/>
    <w:rsid w:val="2D349FF2"/>
    <w:rsid w:val="2D766507"/>
    <w:rsid w:val="2D7DFD5E"/>
    <w:rsid w:val="2DF043D6"/>
    <w:rsid w:val="2E3DBAED"/>
    <w:rsid w:val="2E3DBAED"/>
    <w:rsid w:val="2E9D0212"/>
    <w:rsid w:val="2F4676D2"/>
    <w:rsid w:val="2FA775BC"/>
    <w:rsid w:val="3036FCC5"/>
    <w:rsid w:val="32034D50"/>
    <w:rsid w:val="3227B37E"/>
    <w:rsid w:val="3227B37E"/>
    <w:rsid w:val="325D13B2"/>
    <w:rsid w:val="330E12D3"/>
    <w:rsid w:val="337CC83A"/>
    <w:rsid w:val="33C6ABF9"/>
    <w:rsid w:val="3563ADD5"/>
    <w:rsid w:val="35BF8700"/>
    <w:rsid w:val="3615DCE6"/>
    <w:rsid w:val="3615DCE6"/>
    <w:rsid w:val="36713D2D"/>
    <w:rsid w:val="370792DE"/>
    <w:rsid w:val="370792DE"/>
    <w:rsid w:val="370BA0FF"/>
    <w:rsid w:val="386694D5"/>
    <w:rsid w:val="389A3AFB"/>
    <w:rsid w:val="39D54288"/>
    <w:rsid w:val="3A057DA7"/>
    <w:rsid w:val="3AE41228"/>
    <w:rsid w:val="3BCD26A1"/>
    <w:rsid w:val="3CA5B69C"/>
    <w:rsid w:val="3D671854"/>
    <w:rsid w:val="3DB0C77D"/>
    <w:rsid w:val="3E1172B2"/>
    <w:rsid w:val="3E1AAA39"/>
    <w:rsid w:val="3F023A1E"/>
    <w:rsid w:val="3F41F0D2"/>
    <w:rsid w:val="3F41F0D2"/>
    <w:rsid w:val="4013EF16"/>
    <w:rsid w:val="4081CBC1"/>
    <w:rsid w:val="40EBA770"/>
    <w:rsid w:val="4168C367"/>
    <w:rsid w:val="43F4B8CA"/>
    <w:rsid w:val="4482614C"/>
    <w:rsid w:val="44C53D0B"/>
    <w:rsid w:val="45191FA2"/>
    <w:rsid w:val="45191FA2"/>
    <w:rsid w:val="453AE175"/>
    <w:rsid w:val="45C0F183"/>
    <w:rsid w:val="461EFC9D"/>
    <w:rsid w:val="46F2D63E"/>
    <w:rsid w:val="47E6F49E"/>
    <w:rsid w:val="48BB048D"/>
    <w:rsid w:val="48BB048D"/>
    <w:rsid w:val="49D49D79"/>
    <w:rsid w:val="4B144BDF"/>
    <w:rsid w:val="4B144BDF"/>
    <w:rsid w:val="4B21D2EA"/>
    <w:rsid w:val="4B7E835F"/>
    <w:rsid w:val="4C0CA74A"/>
    <w:rsid w:val="4C8C7F69"/>
    <w:rsid w:val="4C8C7F69"/>
    <w:rsid w:val="4C952D61"/>
    <w:rsid w:val="4CE9A8EB"/>
    <w:rsid w:val="4DFB1B33"/>
    <w:rsid w:val="4E3864F1"/>
    <w:rsid w:val="4E7A789D"/>
    <w:rsid w:val="4EEF850C"/>
    <w:rsid w:val="4F50B919"/>
    <w:rsid w:val="5087A4C5"/>
    <w:rsid w:val="514082AB"/>
    <w:rsid w:val="519D0B30"/>
    <w:rsid w:val="51E66632"/>
    <w:rsid w:val="51E66632"/>
    <w:rsid w:val="522571B5"/>
    <w:rsid w:val="52CC08A4"/>
    <w:rsid w:val="53334AC3"/>
    <w:rsid w:val="5353357B"/>
    <w:rsid w:val="55C74581"/>
    <w:rsid w:val="56E5B7E7"/>
    <w:rsid w:val="57762EF5"/>
    <w:rsid w:val="5789555C"/>
    <w:rsid w:val="5789555C"/>
    <w:rsid w:val="578A35AB"/>
    <w:rsid w:val="58037E7B"/>
    <w:rsid w:val="583FF4AF"/>
    <w:rsid w:val="59E421B3"/>
    <w:rsid w:val="5A13A36F"/>
    <w:rsid w:val="5AB810B2"/>
    <w:rsid w:val="5B59C282"/>
    <w:rsid w:val="5B95EF8F"/>
    <w:rsid w:val="5BBD3EEA"/>
    <w:rsid w:val="5C69B7A1"/>
    <w:rsid w:val="5CE0C32C"/>
    <w:rsid w:val="5D885235"/>
    <w:rsid w:val="5D885235"/>
    <w:rsid w:val="5D943536"/>
    <w:rsid w:val="5E2DEDD5"/>
    <w:rsid w:val="5F8F857C"/>
    <w:rsid w:val="5FA68988"/>
    <w:rsid w:val="5FCC902B"/>
    <w:rsid w:val="60E23625"/>
    <w:rsid w:val="61A1DCAF"/>
    <w:rsid w:val="6234BDAA"/>
    <w:rsid w:val="63756509"/>
    <w:rsid w:val="6377BBEF"/>
    <w:rsid w:val="64822B6F"/>
    <w:rsid w:val="64822B6F"/>
    <w:rsid w:val="6570742F"/>
    <w:rsid w:val="667E8FA9"/>
    <w:rsid w:val="674DEB32"/>
    <w:rsid w:val="674DEB32"/>
    <w:rsid w:val="67BA1C62"/>
    <w:rsid w:val="67BA1C62"/>
    <w:rsid w:val="67F7237C"/>
    <w:rsid w:val="6858F786"/>
    <w:rsid w:val="686DA173"/>
    <w:rsid w:val="68B566F0"/>
    <w:rsid w:val="691924EE"/>
    <w:rsid w:val="6A17092D"/>
    <w:rsid w:val="6C466FEA"/>
    <w:rsid w:val="6D8369B2"/>
    <w:rsid w:val="6F603CD1"/>
    <w:rsid w:val="6F693A0C"/>
    <w:rsid w:val="6F89555C"/>
    <w:rsid w:val="70169EB0"/>
    <w:rsid w:val="70169EB0"/>
    <w:rsid w:val="704AF6FE"/>
    <w:rsid w:val="711327D7"/>
    <w:rsid w:val="71C3F049"/>
    <w:rsid w:val="734B545F"/>
    <w:rsid w:val="7353ADC4"/>
    <w:rsid w:val="7353ADC4"/>
    <w:rsid w:val="7386F182"/>
    <w:rsid w:val="74A67B41"/>
    <w:rsid w:val="74EA756B"/>
    <w:rsid w:val="74FF8BAC"/>
    <w:rsid w:val="75543093"/>
    <w:rsid w:val="7653856C"/>
    <w:rsid w:val="7780AC43"/>
    <w:rsid w:val="7780AC43"/>
    <w:rsid w:val="7807046B"/>
    <w:rsid w:val="7807046B"/>
    <w:rsid w:val="7973A6B6"/>
    <w:rsid w:val="7A4D7517"/>
    <w:rsid w:val="7B0C4360"/>
    <w:rsid w:val="7C69B0C7"/>
    <w:rsid w:val="7CB6C538"/>
    <w:rsid w:val="7D25754C"/>
    <w:rsid w:val="7D3755A3"/>
    <w:rsid w:val="7D3755A3"/>
    <w:rsid w:val="7DA64B9C"/>
    <w:rsid w:val="7E089411"/>
    <w:rsid w:val="7E694123"/>
    <w:rsid w:val="7F548016"/>
    <w:rsid w:val="7FBCC1FC"/>
    <w:rsid w:val="7FBCC1FC"/>
    <w:rsid w:val="7FC329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7FA471"/>
  <w14:defaultImageDpi w14:val="300"/>
  <w15:docId w15:val="{7F55906A-0A8C-4C13-92DC-CAD1E771F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2E9D0212"/>
    <w:rPr>
      <w:rFonts w:ascii="Arial" w:hAnsi="Arial" w:eastAsia="Arial"/>
      <w:noProof w:val="0"/>
      <w:lang w:val="en-GB"/>
    </w:rPr>
    <w:pPr>
      <w:spacing w:after="120"/>
      <w:jc w:val="both"/>
    </w:pPr>
  </w:style>
  <w:style w:type="paragraph" w:styleId="Heading1">
    <w:uiPriority w:val="9"/>
    <w:name w:val="heading 1"/>
    <w:basedOn w:val="Normal"/>
    <w:next w:val="Normal"/>
    <w:link w:val="Heading1Char"/>
    <w:qFormat/>
    <w:rsid w:val="2E9D0212"/>
    <w:rPr>
      <w:rFonts w:ascii="Calibri" w:hAnsi="Calibri" w:eastAsia="ＭＳ ゴシック" w:cs="Times New Roman" w:asciiTheme="majorAscii" w:hAnsiTheme="majorAscii" w:eastAsiaTheme="majorEastAsia" w:cstheme="majorBidi"/>
      <w:b w:val="1"/>
      <w:bCs w:val="1"/>
      <w:color w:val="365F91" w:themeColor="accent1" w:themeTint="FF" w:themeShade="BF"/>
      <w:sz w:val="28"/>
      <w:szCs w:val="28"/>
    </w:rPr>
    <w:pPr>
      <w:keepNext w:val="1"/>
      <w:keepLines w:val="1"/>
      <w:spacing w:before="480" w:after="0"/>
      <w:outlineLvl w:val="0"/>
    </w:pPr>
  </w:style>
  <w:style w:type="paragraph" w:styleId="Heading2">
    <w:uiPriority w:val="9"/>
    <w:name w:val="heading 2"/>
    <w:basedOn w:val="Normal"/>
    <w:next w:val="Normal"/>
    <w:unhideWhenUsed/>
    <w:link w:val="Heading2Char"/>
    <w:qFormat/>
    <w:rsid w:val="2E9D0212"/>
    <w:rPr>
      <w:rFonts w:ascii="Calibri" w:hAnsi="Calibri" w:eastAsia="ＭＳ ゴシック" w:cs="Times New Roman" w:asciiTheme="majorAscii" w:hAnsiTheme="majorAscii" w:eastAsiaTheme="majorEastAsia" w:cstheme="majorBidi"/>
      <w:b w:val="1"/>
      <w:bCs w:val="1"/>
      <w:color w:val="4F81BD" w:themeColor="accent1" w:themeTint="FF" w:themeShade="FF"/>
      <w:sz w:val="26"/>
      <w:szCs w:val="26"/>
    </w:rPr>
    <w:pPr>
      <w:keepNext w:val="1"/>
      <w:keepLines w:val="1"/>
      <w:spacing w:before="200" w:after="0"/>
      <w:outlineLvl w:val="1"/>
    </w:pPr>
  </w:style>
  <w:style w:type="paragraph" w:styleId="Heading3">
    <w:uiPriority w:val="9"/>
    <w:name w:val="heading 3"/>
    <w:basedOn w:val="Normal"/>
    <w:next w:val="Normal"/>
    <w:unhideWhenUsed/>
    <w:link w:val="Heading3Char"/>
    <w:qFormat/>
    <w:rsid w:val="2E9D0212"/>
    <w:rPr>
      <w:rFonts w:ascii="Calibri" w:hAnsi="Calibri" w:eastAsia="ＭＳ ゴシック" w:cs="Times New Roman" w:asciiTheme="majorAscii" w:hAnsiTheme="majorAscii" w:eastAsiaTheme="majorEastAsia" w:cstheme="majorBidi"/>
      <w:b w:val="1"/>
      <w:bCs w:val="1"/>
      <w:color w:val="4F81BD" w:themeColor="accent1" w:themeTint="FF" w:themeShade="FF"/>
    </w:rPr>
    <w:pPr>
      <w:keepNext w:val="1"/>
      <w:keepLines w:val="1"/>
      <w:spacing w:before="200" w:after="0"/>
      <w:outlineLvl w:val="2"/>
    </w:pPr>
  </w:style>
  <w:style w:type="paragraph" w:styleId="Heading4">
    <w:uiPriority w:val="9"/>
    <w:name w:val="heading 4"/>
    <w:basedOn w:val="Normal"/>
    <w:next w:val="Normal"/>
    <w:semiHidden/>
    <w:unhideWhenUsed/>
    <w:link w:val="Heading4Char"/>
    <w:qFormat/>
    <w:rsid w:val="2E9D0212"/>
    <w:rPr>
      <w:rFonts w:ascii="Calibri" w:hAnsi="Calibri" w:eastAsia="ＭＳ ゴシック" w:cs="Times New Roman" w:asciiTheme="majorAscii" w:hAnsiTheme="majorAscii" w:eastAsiaTheme="majorEastAsia" w:cstheme="majorBidi"/>
      <w:b w:val="1"/>
      <w:bCs w:val="1"/>
      <w:i w:val="1"/>
      <w:iCs w:val="1"/>
      <w:color w:val="4F81BD" w:themeColor="accent1" w:themeTint="FF" w:themeShade="FF"/>
    </w:rPr>
    <w:pPr>
      <w:keepNext w:val="1"/>
      <w:keepLines w:val="1"/>
      <w:spacing w:before="200" w:after="0"/>
      <w:outlineLvl w:val="3"/>
    </w:pPr>
  </w:style>
  <w:style w:type="paragraph" w:styleId="Heading5">
    <w:uiPriority w:val="9"/>
    <w:name w:val="heading 5"/>
    <w:basedOn w:val="Normal"/>
    <w:next w:val="Normal"/>
    <w:semiHidden/>
    <w:unhideWhenUsed/>
    <w:link w:val="Heading5Char"/>
    <w:qFormat/>
    <w:rsid w:val="2E9D0212"/>
    <w:rPr>
      <w:rFonts w:ascii="Calibri" w:hAnsi="Calibri" w:eastAsia="ＭＳ ゴシック" w:cs="Times New Roman" w:asciiTheme="majorAscii" w:hAnsiTheme="majorAscii" w:eastAsiaTheme="majorEastAsia" w:cstheme="majorBidi"/>
      <w:color w:val="243F60"/>
    </w:rPr>
    <w:pPr>
      <w:keepNext w:val="1"/>
      <w:keepLines w:val="1"/>
      <w:spacing w:before="200" w:after="0"/>
      <w:outlineLvl w:val="4"/>
    </w:pPr>
  </w:style>
  <w:style w:type="paragraph" w:styleId="Heading6">
    <w:uiPriority w:val="9"/>
    <w:name w:val="heading 6"/>
    <w:basedOn w:val="Normal"/>
    <w:next w:val="Normal"/>
    <w:semiHidden/>
    <w:unhideWhenUsed/>
    <w:link w:val="Heading6Char"/>
    <w:qFormat/>
    <w:rsid w:val="2E9D0212"/>
    <w:rPr>
      <w:rFonts w:ascii="Calibri" w:hAnsi="Calibri" w:eastAsia="ＭＳ ゴシック" w:cs="Times New Roman" w:asciiTheme="majorAscii" w:hAnsiTheme="majorAscii" w:eastAsiaTheme="majorEastAsia" w:cstheme="majorBidi"/>
      <w:i w:val="1"/>
      <w:iCs w:val="1"/>
      <w:color w:val="243F60"/>
    </w:rPr>
    <w:pPr>
      <w:keepNext w:val="1"/>
      <w:keepLines w:val="1"/>
      <w:spacing w:before="200" w:after="0"/>
      <w:outlineLvl w:val="5"/>
    </w:pPr>
  </w:style>
  <w:style w:type="paragraph" w:styleId="Heading7">
    <w:uiPriority w:val="9"/>
    <w:name w:val="heading 7"/>
    <w:basedOn w:val="Normal"/>
    <w:next w:val="Normal"/>
    <w:semiHidden/>
    <w:unhideWhenUsed/>
    <w:link w:val="Heading7Char"/>
    <w:qFormat/>
    <w:rsid w:val="2E9D0212"/>
    <w:rPr>
      <w:rFonts w:ascii="Calibri" w:hAnsi="Calibri" w:eastAsia="ＭＳ ゴシック" w:cs="Times New Roman" w:asciiTheme="majorAscii" w:hAnsiTheme="majorAscii" w:eastAsiaTheme="majorEastAsia" w:cstheme="majorBidi"/>
      <w:i w:val="1"/>
      <w:iCs w:val="1"/>
      <w:color w:val="404040" w:themeColor="text1" w:themeTint="BF" w:themeShade="FF"/>
    </w:rPr>
    <w:pPr>
      <w:keepNext w:val="1"/>
      <w:keepLines w:val="1"/>
      <w:spacing w:before="200" w:after="0"/>
      <w:outlineLvl w:val="6"/>
    </w:pPr>
  </w:style>
  <w:style w:type="paragraph" w:styleId="Heading8">
    <w:uiPriority w:val="9"/>
    <w:name w:val="heading 8"/>
    <w:basedOn w:val="Normal"/>
    <w:next w:val="Normal"/>
    <w:semiHidden/>
    <w:unhideWhenUsed/>
    <w:link w:val="Heading8Char"/>
    <w:qFormat/>
    <w:rsid w:val="2E9D0212"/>
    <w:rPr>
      <w:rFonts w:ascii="Calibri" w:hAnsi="Calibri" w:eastAsia="ＭＳ ゴシック" w:cs="Times New Roman" w:asciiTheme="majorAscii" w:hAnsiTheme="majorAscii" w:eastAsiaTheme="majorEastAsia" w:cstheme="majorBidi"/>
      <w:color w:val="4F81BD" w:themeColor="accent1" w:themeTint="FF" w:themeShade="FF"/>
      <w:sz w:val="20"/>
      <w:szCs w:val="20"/>
    </w:rPr>
    <w:pPr>
      <w:keepNext w:val="1"/>
      <w:keepLines w:val="1"/>
      <w:spacing w:before="200" w:after="0"/>
      <w:outlineLvl w:val="7"/>
    </w:pPr>
  </w:style>
  <w:style w:type="paragraph" w:styleId="Heading9">
    <w:uiPriority w:val="9"/>
    <w:name w:val="heading 9"/>
    <w:basedOn w:val="Normal"/>
    <w:next w:val="Normal"/>
    <w:semiHidden/>
    <w:unhideWhenUsed/>
    <w:link w:val="Heading9Char"/>
    <w:qFormat/>
    <w:rsid w:val="2E9D0212"/>
    <w:rPr>
      <w:rFonts w:ascii="Calibri" w:hAnsi="Calibri" w:eastAsia="ＭＳ ゴシック" w:cs="Times New Roman" w:asciiTheme="majorAscii" w:hAnsiTheme="majorAscii" w:eastAsiaTheme="majorEastAsia" w:cstheme="majorBidi"/>
      <w:i w:val="1"/>
      <w:iCs w:val="1"/>
      <w:color w:val="404040" w:themeColor="text1" w:themeTint="BF" w:themeShade="FF"/>
      <w:sz w:val="20"/>
      <w:szCs w:val="20"/>
    </w:rPr>
    <w:pPr>
      <w:keepNext w:val="1"/>
      <w:keepLines w:val="1"/>
      <w:spacing w:before="200"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link w:val="HeaderChar"/>
    <w:rsid w:val="2E9D0212"/>
    <w:pPr>
      <w:tabs>
        <w:tab w:val="center" w:leader="none" w:pos="4680"/>
        <w:tab w:val="right" w:leader="none" w:pos="9360"/>
      </w:tabs>
      <w:spacing w:after="0"/>
    </w:pPr>
  </w:style>
  <w:style w:type="character" w:styleId="HeaderChar" w:customStyle="1">
    <w:name w:val="Header Char"/>
    <w:basedOn w:val="DefaultParagraphFont"/>
    <w:link w:val="Header"/>
    <w:uiPriority w:val="99"/>
    <w:rsid w:val="00E618BF"/>
  </w:style>
  <w:style w:type="paragraph" w:styleId="Footer">
    <w:uiPriority w:val="99"/>
    <w:name w:val="footer"/>
    <w:basedOn w:val="Normal"/>
    <w:unhideWhenUsed/>
    <w:link w:val="FooterChar"/>
    <w:rsid w:val="2E9D0212"/>
    <w:pPr>
      <w:tabs>
        <w:tab w:val="center" w:leader="none" w:pos="4680"/>
        <w:tab w:val="right" w:leader="none" w:pos="9360"/>
      </w:tabs>
      <w:spacing w:after="0"/>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uiPriority w:val="10"/>
    <w:name w:val="Title"/>
    <w:basedOn w:val="Normal"/>
    <w:next w:val="Normal"/>
    <w:link w:val="TitleChar"/>
    <w:qFormat/>
    <w:rsid w:val="2E9D0212"/>
    <w:rPr>
      <w:rFonts w:ascii="Calibri" w:hAnsi="Calibri" w:eastAsia="ＭＳ ゴシック" w:cs="Times New Roman" w:asciiTheme="majorAscii" w:hAnsiTheme="majorAscii" w:eastAsiaTheme="majorEastAsia" w:cstheme="majorBidi"/>
      <w:color w:val="17365D" w:themeColor="text2" w:themeTint="FF" w:themeShade="BF"/>
      <w:sz w:val="52"/>
      <w:szCs w:val="52"/>
    </w:rPr>
    <w:pPr>
      <w:pBdr>
        <w:bottom w:val="single" w:color="4F81BD" w:themeColor="accent1" w:sz="8" w:space="4"/>
      </w:pBdr>
      <w:spacing w:after="300"/>
      <w:contextualSpacing/>
    </w:p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uiPriority w:val="11"/>
    <w:name w:val="Subtitle"/>
    <w:basedOn w:val="Normal"/>
    <w:next w:val="Normal"/>
    <w:link w:val="SubtitleChar"/>
    <w:qFormat/>
    <w:rsid w:val="2E9D0212"/>
    <w:rPr>
      <w:rFonts w:ascii="Calibri" w:hAnsi="Calibri" w:eastAsia="ＭＳ ゴシック" w:cs="Times New Roman" w:asciiTheme="majorAscii" w:hAnsiTheme="majorAscii" w:eastAsiaTheme="majorEastAsia" w:cstheme="majorBidi"/>
      <w:i w:val="1"/>
      <w:iCs w:val="1"/>
      <w:color w:val="4F81BD" w:themeColor="accent1" w:themeTint="FF" w:themeShade="FF"/>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uiPriority w:val="34"/>
    <w:name w:val="List Paragraph"/>
    <w:basedOn w:val="Normal"/>
    <w:qFormat/>
    <w:rsid w:val="2E9D0212"/>
    <w:pPr>
      <w:spacing/>
      <w:ind w:left="720"/>
      <w:contextualSpacing/>
    </w:pPr>
  </w:style>
  <w:style w:type="paragraph" w:styleId="BodyText">
    <w:uiPriority w:val="99"/>
    <w:name w:val="Body Text"/>
    <w:basedOn w:val="Normal"/>
    <w:unhideWhenUsed/>
    <w:link w:val="BodyTextChar"/>
    <w:rsid w:val="2E9D0212"/>
  </w:style>
  <w:style w:type="character" w:styleId="BodyTextChar" w:customStyle="1">
    <w:name w:val="Body Text Char"/>
    <w:basedOn w:val="DefaultParagraphFont"/>
    <w:link w:val="BodyText"/>
    <w:uiPriority w:val="99"/>
    <w:rsid w:val="00AA1D8D"/>
  </w:style>
  <w:style w:type="paragraph" w:styleId="BodyText2">
    <w:uiPriority w:val="99"/>
    <w:name w:val="Body Text 2"/>
    <w:basedOn w:val="Normal"/>
    <w:unhideWhenUsed/>
    <w:link w:val="BodyText2Char"/>
    <w:rsid w:val="2E9D0212"/>
  </w:style>
  <w:style w:type="character" w:styleId="BodyText2Char" w:customStyle="1">
    <w:name w:val="Body Text 2 Char"/>
    <w:basedOn w:val="DefaultParagraphFont"/>
    <w:link w:val="BodyText2"/>
    <w:uiPriority w:val="99"/>
    <w:rsid w:val="00AA1D8D"/>
  </w:style>
  <w:style w:type="paragraph" w:styleId="BodyText3">
    <w:uiPriority w:val="99"/>
    <w:name w:val="Body Text 3"/>
    <w:basedOn w:val="Normal"/>
    <w:unhideWhenUsed/>
    <w:link w:val="BodyText3Char"/>
    <w:rsid w:val="2E9D0212"/>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uiPriority w:val="99"/>
    <w:name w:val="List"/>
    <w:basedOn w:val="Normal"/>
    <w:unhideWhenUsed/>
    <w:rsid w:val="2E9D0212"/>
    <w:pPr>
      <w:spacing/>
      <w:ind w:left="360" w:hanging="360"/>
      <w:contextualSpacing/>
    </w:pPr>
  </w:style>
  <w:style w:type="paragraph" w:styleId="List2">
    <w:uiPriority w:val="99"/>
    <w:name w:val="List 2"/>
    <w:basedOn w:val="Normal"/>
    <w:unhideWhenUsed/>
    <w:rsid w:val="2E9D0212"/>
    <w:pPr>
      <w:spacing/>
      <w:ind w:left="720" w:hanging="360"/>
      <w:contextualSpacing/>
    </w:pPr>
  </w:style>
  <w:style w:type="paragraph" w:styleId="List3">
    <w:uiPriority w:val="99"/>
    <w:name w:val="List 3"/>
    <w:basedOn w:val="Normal"/>
    <w:unhideWhenUsed/>
    <w:rsid w:val="2E9D0212"/>
    <w:pPr>
      <w:spacing/>
      <w:ind w:left="1080" w:hanging="360"/>
      <w:contextualSpacing/>
    </w:pPr>
  </w:style>
  <w:style w:type="paragraph" w:styleId="ListBullet">
    <w:uiPriority w:val="99"/>
    <w:name w:val="List Bullet"/>
    <w:basedOn w:val="Normal"/>
    <w:unhideWhenUsed/>
    <w:rsid w:val="2E9D0212"/>
    <w:pPr>
      <w:numPr>
        <w:numId w:val="1"/>
      </w:numPr>
      <w:spacing/>
      <w:contextualSpacing/>
    </w:pPr>
  </w:style>
  <w:style w:type="paragraph" w:styleId="ListBullet2">
    <w:uiPriority w:val="99"/>
    <w:name w:val="List Bullet 2"/>
    <w:basedOn w:val="Normal"/>
    <w:unhideWhenUsed/>
    <w:rsid w:val="2E9D0212"/>
    <w:pPr>
      <w:numPr>
        <w:numId w:val="2"/>
      </w:numPr>
      <w:spacing/>
      <w:contextualSpacing/>
    </w:pPr>
  </w:style>
  <w:style w:type="paragraph" w:styleId="ListBullet3">
    <w:uiPriority w:val="99"/>
    <w:name w:val="List Bullet 3"/>
    <w:basedOn w:val="Normal"/>
    <w:unhideWhenUsed/>
    <w:rsid w:val="2E9D0212"/>
    <w:pPr>
      <w:numPr>
        <w:numId w:val="3"/>
      </w:numPr>
      <w:spacing/>
      <w:contextualSpacing/>
    </w:pPr>
  </w:style>
  <w:style w:type="paragraph" w:styleId="ListNumber">
    <w:uiPriority w:val="99"/>
    <w:name w:val="List Number"/>
    <w:basedOn w:val="Normal"/>
    <w:unhideWhenUsed/>
    <w:rsid w:val="2E9D0212"/>
    <w:pPr>
      <w:numPr>
        <w:numId w:val="5"/>
      </w:numPr>
      <w:spacing/>
      <w:contextualSpacing/>
    </w:pPr>
  </w:style>
  <w:style w:type="paragraph" w:styleId="ListNumber2">
    <w:uiPriority w:val="99"/>
    <w:name w:val="List Number 2"/>
    <w:basedOn w:val="Normal"/>
    <w:unhideWhenUsed/>
    <w:rsid w:val="2E9D0212"/>
    <w:pPr>
      <w:numPr>
        <w:numId w:val="6"/>
      </w:numPr>
      <w:spacing/>
      <w:contextualSpacing/>
    </w:pPr>
  </w:style>
  <w:style w:type="paragraph" w:styleId="ListNumber3">
    <w:uiPriority w:val="99"/>
    <w:name w:val="List Number 3"/>
    <w:basedOn w:val="Normal"/>
    <w:unhideWhenUsed/>
    <w:rsid w:val="2E9D0212"/>
    <w:pPr>
      <w:numPr>
        <w:numId w:val="7"/>
      </w:numPr>
      <w:spacing/>
      <w:contextualSpacing/>
    </w:pPr>
  </w:style>
  <w:style w:type="paragraph" w:styleId="ListContinue">
    <w:uiPriority w:val="99"/>
    <w:name w:val="List Continue"/>
    <w:basedOn w:val="Normal"/>
    <w:unhideWhenUsed/>
    <w:rsid w:val="2E9D0212"/>
    <w:pPr>
      <w:spacing/>
      <w:ind w:left="360"/>
      <w:contextualSpacing/>
    </w:pPr>
  </w:style>
  <w:style w:type="paragraph" w:styleId="ListContinue2">
    <w:uiPriority w:val="99"/>
    <w:name w:val="List Continue 2"/>
    <w:basedOn w:val="Normal"/>
    <w:unhideWhenUsed/>
    <w:rsid w:val="2E9D0212"/>
    <w:pPr>
      <w:spacing/>
      <w:ind w:left="720"/>
      <w:contextualSpacing/>
    </w:pPr>
  </w:style>
  <w:style w:type="paragraph" w:styleId="ListContinue3">
    <w:uiPriority w:val="99"/>
    <w:name w:val="List Continue 3"/>
    <w:basedOn w:val="Normal"/>
    <w:unhideWhenUsed/>
    <w:rsid w:val="2E9D0212"/>
    <w:pPr>
      <w:spacing/>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uiPriority w:val="29"/>
    <w:name w:val="Quote"/>
    <w:basedOn w:val="Normal"/>
    <w:next w:val="Normal"/>
    <w:link w:val="QuoteChar"/>
    <w:qFormat/>
    <w:rsid w:val="2E9D0212"/>
    <w:rPr>
      <w:i w:val="1"/>
      <w:iCs w:val="1"/>
      <w:color w:val="000000" w:themeColor="text1" w:themeTint="FF" w:themeShade="FF"/>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uiPriority w:val="35"/>
    <w:name w:val="caption"/>
    <w:basedOn w:val="Normal"/>
    <w:next w:val="Normal"/>
    <w:semiHidden/>
    <w:unhideWhenUsed/>
    <w:qFormat/>
    <w:rsid w:val="2E9D0212"/>
    <w:rPr>
      <w:b w:val="1"/>
      <w:bCs w:val="1"/>
      <w:color w:val="4F81BD" w:themeColor="accent1" w:themeTint="FF" w:themeShade="FF"/>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uiPriority w:val="30"/>
    <w:name w:val="Intense Quote"/>
    <w:basedOn w:val="Normal"/>
    <w:next w:val="Normal"/>
    <w:link w:val="IntenseQuoteChar"/>
    <w:qFormat/>
    <w:rsid w:val="2E9D0212"/>
    <w:rPr>
      <w:b w:val="1"/>
      <w:bCs w:val="1"/>
      <w:i w:val="1"/>
      <w:iCs w:val="1"/>
      <w:color w:val="4F81BD" w:themeColor="accent1" w:themeTint="FF" w:themeShade="FF"/>
    </w:rPr>
    <w:pPr>
      <w:pBdr>
        <w:bottom w:val="single" w:color="4F81BD" w:themeColor="accent1" w:sz="4" w:space="4"/>
      </w:pBdr>
      <w:spacing w:before="200" w:after="280"/>
      <w:ind w:left="936" w:right="936"/>
    </w:p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png" Id="rId951891599" /><Relationship Type="http://schemas.openxmlformats.org/officeDocument/2006/relationships/image" Target="/media/image2.png" Id="rId1851491439" /><Relationship Type="http://schemas.openxmlformats.org/officeDocument/2006/relationships/image" Target="/media/image3.png" Id="rId899143345" /><Relationship Type="http://schemas.openxmlformats.org/officeDocument/2006/relationships/header" Target="header.xml" Id="R3d7a977b877f4574" /><Relationship Type="http://schemas.microsoft.com/office/2020/10/relationships/intelligence" Target="intelligence2.xml" Id="R46adc05edc034f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DA73E9CC-EAD2-4DC1-84D6-5EE65F2154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4CC14D-EB12-4C9F-BE1F-6403FD9FB3EF}">
  <ds:schemaRefs>
    <ds:schemaRef ds:uri="http://schemas.microsoft.com/sharepoint/v3/contenttype/forms"/>
  </ds:schemaRefs>
</ds:datastoreItem>
</file>

<file path=customXml/itemProps4.xml><?xml version="1.0" encoding="utf-8"?>
<ds:datastoreItem xmlns:ds="http://schemas.openxmlformats.org/officeDocument/2006/customXml" ds:itemID="{A6D1E11A-ACD0-4BA6-903E-24067DC395C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Nashwa Elbouhy (2408300)</lastModifiedBy>
  <revision>4</revision>
  <dcterms:created xsi:type="dcterms:W3CDTF">2026-10-04T14:41:00.0000000Z</dcterms:created>
  <dcterms:modified xsi:type="dcterms:W3CDTF">2026-10-18T21:23:45.9874934Z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