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78179" w14:textId="7360EBD7" w:rsidR="008D262C" w:rsidRPr="008F4700" w:rsidRDefault="008F4700" w:rsidP="003463B3">
      <w:pPr>
        <w:spacing w:line="360" w:lineRule="auto"/>
        <w:rPr>
          <w:rFonts w:ascii="Arial" w:hAnsi="Arial" w:cs="Arial"/>
          <w:color w:val="7030A0"/>
          <w:sz w:val="24"/>
          <w:szCs w:val="24"/>
        </w:rPr>
      </w:pPr>
      <w:r>
        <w:rPr>
          <w:rFonts w:ascii="Arial" w:hAnsi="Arial" w:cs="Arial"/>
          <w:b/>
          <w:bCs/>
          <w:i/>
          <w:iCs/>
          <w:color w:val="7030A0"/>
          <w:sz w:val="36"/>
          <w:szCs w:val="36"/>
        </w:rPr>
        <w:t xml:space="preserve">PRINCIPLES OF HEALTH AND SOCIAL CARE PRACTICE </w:t>
      </w:r>
    </w:p>
    <w:p w14:paraId="77983405" w14:textId="210ACFFB" w:rsidR="003463B3" w:rsidRDefault="003463B3" w:rsidP="003463B3">
      <w:pPr>
        <w:spacing w:line="360" w:lineRule="auto"/>
        <w:rPr>
          <w:rFonts w:ascii="Arial" w:hAnsi="Arial" w:cs="Arial"/>
          <w:b/>
          <w:bCs/>
          <w:i/>
          <w:iCs/>
          <w:color w:val="7030A0"/>
          <w:sz w:val="36"/>
          <w:szCs w:val="36"/>
        </w:rPr>
      </w:pPr>
      <w:r>
        <w:rPr>
          <w:rFonts w:ascii="Arial" w:hAnsi="Arial" w:cs="Arial"/>
          <w:b/>
          <w:bCs/>
          <w:i/>
          <w:iCs/>
          <w:color w:val="7030A0"/>
          <w:sz w:val="36"/>
          <w:szCs w:val="36"/>
        </w:rPr>
        <w:t>(BMHP5002_LON)</w:t>
      </w:r>
    </w:p>
    <w:p w14:paraId="20B835FB" w14:textId="68AD977F" w:rsidR="003463B3" w:rsidRDefault="003463B3" w:rsidP="003463B3">
      <w:pPr>
        <w:spacing w:line="360" w:lineRule="auto"/>
        <w:rPr>
          <w:rFonts w:ascii="Arial" w:hAnsi="Arial" w:cs="Arial"/>
          <w:b/>
          <w:bCs/>
          <w:i/>
          <w:iCs/>
          <w:color w:val="7030A0"/>
          <w:sz w:val="36"/>
          <w:szCs w:val="36"/>
        </w:rPr>
      </w:pPr>
      <w:r>
        <w:rPr>
          <w:rFonts w:ascii="Arial" w:hAnsi="Arial" w:cs="Arial"/>
          <w:b/>
          <w:bCs/>
          <w:i/>
          <w:iCs/>
          <w:color w:val="7030A0"/>
          <w:sz w:val="36"/>
          <w:szCs w:val="36"/>
        </w:rPr>
        <w:t>ASSESMENT 2</w:t>
      </w:r>
    </w:p>
    <w:p w14:paraId="6699CC8F" w14:textId="3FA6E58E" w:rsidR="003463B3" w:rsidRDefault="003463B3" w:rsidP="003463B3">
      <w:pPr>
        <w:spacing w:line="360" w:lineRule="auto"/>
        <w:rPr>
          <w:rFonts w:ascii="Arial" w:hAnsi="Arial" w:cs="Arial"/>
          <w:b/>
          <w:bCs/>
          <w:i/>
          <w:iCs/>
          <w:color w:val="7030A0"/>
          <w:sz w:val="36"/>
          <w:szCs w:val="36"/>
        </w:rPr>
      </w:pPr>
      <w:r>
        <w:rPr>
          <w:rFonts w:ascii="Arial" w:hAnsi="Arial" w:cs="Arial"/>
          <w:b/>
          <w:bCs/>
          <w:i/>
          <w:iCs/>
          <w:color w:val="7030A0"/>
          <w:sz w:val="36"/>
          <w:szCs w:val="36"/>
        </w:rPr>
        <w:t xml:space="preserve">LECTURER: </w:t>
      </w:r>
      <w:r w:rsidR="007E26C1">
        <w:rPr>
          <w:rFonts w:ascii="Arial" w:hAnsi="Arial" w:cs="Arial"/>
          <w:b/>
          <w:bCs/>
          <w:i/>
          <w:iCs/>
          <w:color w:val="7030A0"/>
          <w:sz w:val="36"/>
          <w:szCs w:val="36"/>
        </w:rPr>
        <w:t>MRS.ADESEWA AJAYI</w:t>
      </w:r>
    </w:p>
    <w:p w14:paraId="00C13DAD" w14:textId="6DBEE28E" w:rsidR="007E26C1" w:rsidRDefault="007E26C1" w:rsidP="003463B3">
      <w:pPr>
        <w:spacing w:line="360" w:lineRule="auto"/>
        <w:rPr>
          <w:rFonts w:ascii="Arial" w:hAnsi="Arial" w:cs="Arial"/>
          <w:b/>
          <w:bCs/>
          <w:i/>
          <w:iCs/>
          <w:color w:val="7030A0"/>
          <w:sz w:val="36"/>
          <w:szCs w:val="36"/>
        </w:rPr>
      </w:pPr>
      <w:r>
        <w:rPr>
          <w:rFonts w:ascii="Arial" w:hAnsi="Arial" w:cs="Arial"/>
          <w:b/>
          <w:bCs/>
          <w:i/>
          <w:iCs/>
          <w:color w:val="7030A0"/>
          <w:sz w:val="36"/>
          <w:szCs w:val="36"/>
        </w:rPr>
        <w:t xml:space="preserve">STUDENT NAME: IOANA IRINA DINU </w:t>
      </w:r>
    </w:p>
    <w:p w14:paraId="66FD10A7" w14:textId="5A88DE08" w:rsidR="007E26C1" w:rsidRDefault="007E26C1" w:rsidP="003463B3">
      <w:pPr>
        <w:spacing w:line="360" w:lineRule="auto"/>
        <w:rPr>
          <w:rFonts w:ascii="Arial" w:hAnsi="Arial" w:cs="Arial"/>
          <w:b/>
          <w:bCs/>
          <w:i/>
          <w:iCs/>
          <w:color w:val="7030A0"/>
          <w:sz w:val="36"/>
          <w:szCs w:val="36"/>
        </w:rPr>
      </w:pPr>
      <w:r>
        <w:rPr>
          <w:rFonts w:ascii="Arial" w:hAnsi="Arial" w:cs="Arial"/>
          <w:b/>
          <w:bCs/>
          <w:i/>
          <w:iCs/>
          <w:color w:val="7030A0"/>
          <w:sz w:val="36"/>
          <w:szCs w:val="36"/>
        </w:rPr>
        <w:t>STUDENT ID: 1914863</w:t>
      </w:r>
    </w:p>
    <w:p w14:paraId="4FBAC1E1" w14:textId="4AACC0EF" w:rsidR="00E47E1C" w:rsidRDefault="00E47E1C" w:rsidP="003463B3">
      <w:pPr>
        <w:spacing w:line="360" w:lineRule="auto"/>
        <w:rPr>
          <w:rFonts w:ascii="Arial" w:hAnsi="Arial" w:cs="Arial"/>
          <w:b/>
          <w:bCs/>
          <w:i/>
          <w:iCs/>
          <w:color w:val="7030A0"/>
          <w:sz w:val="36"/>
          <w:szCs w:val="36"/>
        </w:rPr>
      </w:pPr>
    </w:p>
    <w:p w14:paraId="607275C0" w14:textId="221C3A4B" w:rsidR="00E47E1C" w:rsidRDefault="00E47E1C" w:rsidP="003463B3">
      <w:pPr>
        <w:spacing w:line="360" w:lineRule="auto"/>
        <w:rPr>
          <w:rFonts w:ascii="Arial" w:hAnsi="Arial" w:cs="Arial"/>
          <w:b/>
          <w:bCs/>
          <w:i/>
          <w:iCs/>
          <w:color w:val="7030A0"/>
          <w:sz w:val="36"/>
          <w:szCs w:val="36"/>
        </w:rPr>
      </w:pPr>
    </w:p>
    <w:p w14:paraId="2FF5062B" w14:textId="65FA7EEE" w:rsidR="00E47E1C" w:rsidRDefault="00E47E1C" w:rsidP="003463B3">
      <w:pPr>
        <w:spacing w:line="360" w:lineRule="auto"/>
        <w:rPr>
          <w:rFonts w:ascii="Arial" w:hAnsi="Arial" w:cs="Arial"/>
          <w:b/>
          <w:bCs/>
          <w:i/>
          <w:iCs/>
          <w:color w:val="7030A0"/>
          <w:sz w:val="36"/>
          <w:szCs w:val="36"/>
        </w:rPr>
      </w:pPr>
    </w:p>
    <w:p w14:paraId="55E44C19" w14:textId="32483A8B" w:rsidR="00E47E1C" w:rsidRDefault="00E47E1C" w:rsidP="003463B3">
      <w:pPr>
        <w:spacing w:line="360" w:lineRule="auto"/>
        <w:rPr>
          <w:rFonts w:ascii="Arial" w:hAnsi="Arial" w:cs="Arial"/>
          <w:b/>
          <w:bCs/>
          <w:i/>
          <w:iCs/>
          <w:color w:val="7030A0"/>
          <w:sz w:val="36"/>
          <w:szCs w:val="36"/>
        </w:rPr>
      </w:pPr>
    </w:p>
    <w:p w14:paraId="17FAA9B6" w14:textId="064D5BF9" w:rsidR="00E47E1C" w:rsidRDefault="00E47E1C" w:rsidP="003463B3">
      <w:pPr>
        <w:spacing w:line="360" w:lineRule="auto"/>
        <w:rPr>
          <w:rFonts w:ascii="Arial" w:hAnsi="Arial" w:cs="Arial"/>
          <w:b/>
          <w:bCs/>
          <w:i/>
          <w:iCs/>
          <w:color w:val="7030A0"/>
          <w:sz w:val="36"/>
          <w:szCs w:val="36"/>
        </w:rPr>
      </w:pPr>
    </w:p>
    <w:p w14:paraId="60CE236A" w14:textId="5F31900B" w:rsidR="00E47E1C" w:rsidRDefault="00E47E1C" w:rsidP="003463B3">
      <w:pPr>
        <w:spacing w:line="360" w:lineRule="auto"/>
        <w:rPr>
          <w:rFonts w:ascii="Arial" w:hAnsi="Arial" w:cs="Arial"/>
          <w:b/>
          <w:bCs/>
          <w:i/>
          <w:iCs/>
          <w:color w:val="7030A0"/>
          <w:sz w:val="36"/>
          <w:szCs w:val="36"/>
        </w:rPr>
      </w:pPr>
    </w:p>
    <w:p w14:paraId="0B6FDD7A" w14:textId="5D903EE0" w:rsidR="00E47E1C" w:rsidRDefault="00E47E1C" w:rsidP="003463B3">
      <w:pPr>
        <w:spacing w:line="360" w:lineRule="auto"/>
        <w:rPr>
          <w:rFonts w:ascii="Arial" w:hAnsi="Arial" w:cs="Arial"/>
          <w:b/>
          <w:bCs/>
          <w:i/>
          <w:iCs/>
          <w:color w:val="7030A0"/>
          <w:sz w:val="36"/>
          <w:szCs w:val="36"/>
        </w:rPr>
      </w:pPr>
    </w:p>
    <w:p w14:paraId="01C90201" w14:textId="175E7FB0" w:rsidR="00E47E1C" w:rsidRDefault="00E47E1C" w:rsidP="003463B3">
      <w:pPr>
        <w:spacing w:line="360" w:lineRule="auto"/>
        <w:rPr>
          <w:rFonts w:ascii="Arial" w:hAnsi="Arial" w:cs="Arial"/>
          <w:b/>
          <w:bCs/>
          <w:i/>
          <w:iCs/>
          <w:color w:val="7030A0"/>
          <w:sz w:val="36"/>
          <w:szCs w:val="36"/>
        </w:rPr>
      </w:pPr>
    </w:p>
    <w:p w14:paraId="1F553392" w14:textId="22A82E19" w:rsidR="00E47E1C" w:rsidRDefault="00E47E1C" w:rsidP="003463B3">
      <w:pPr>
        <w:spacing w:line="360" w:lineRule="auto"/>
        <w:rPr>
          <w:rFonts w:ascii="Arial" w:hAnsi="Arial" w:cs="Arial"/>
          <w:b/>
          <w:bCs/>
          <w:i/>
          <w:iCs/>
          <w:color w:val="7030A0"/>
          <w:sz w:val="36"/>
          <w:szCs w:val="36"/>
        </w:rPr>
      </w:pPr>
    </w:p>
    <w:p w14:paraId="28FD488E" w14:textId="17D53067" w:rsidR="00E47E1C" w:rsidRDefault="00E47E1C" w:rsidP="003463B3">
      <w:pPr>
        <w:spacing w:line="360" w:lineRule="auto"/>
        <w:rPr>
          <w:rFonts w:ascii="Arial" w:hAnsi="Arial" w:cs="Arial"/>
          <w:b/>
          <w:bCs/>
          <w:i/>
          <w:iCs/>
          <w:color w:val="7030A0"/>
          <w:sz w:val="36"/>
          <w:szCs w:val="36"/>
        </w:rPr>
      </w:pPr>
    </w:p>
    <w:p w14:paraId="68AE9776" w14:textId="0CF584FA" w:rsidR="00E47E1C" w:rsidRDefault="00E47E1C" w:rsidP="003463B3">
      <w:pPr>
        <w:spacing w:line="360" w:lineRule="auto"/>
        <w:rPr>
          <w:rFonts w:ascii="Arial" w:hAnsi="Arial" w:cs="Arial"/>
          <w:b/>
          <w:bCs/>
          <w:i/>
          <w:iCs/>
          <w:color w:val="7030A0"/>
          <w:sz w:val="36"/>
          <w:szCs w:val="36"/>
        </w:rPr>
      </w:pPr>
    </w:p>
    <w:sdt>
      <w:sdtPr>
        <w:rPr>
          <w:rFonts w:asciiTheme="minorHAnsi" w:eastAsiaTheme="minorHAnsi" w:hAnsiTheme="minorHAnsi" w:cs="Arial"/>
          <w:b w:val="0"/>
          <w:bCs w:val="0"/>
          <w:sz w:val="24"/>
          <w:szCs w:val="22"/>
          <w:lang w:val="en-GB" w:eastAsia="en-US" w:bidi="bn-BD"/>
        </w:rPr>
        <w:id w:val="1843277445"/>
        <w:docPartObj>
          <w:docPartGallery w:val="Table of Contents"/>
          <w:docPartUnique/>
        </w:docPartObj>
      </w:sdtPr>
      <w:sdtEndPr>
        <w:rPr>
          <w:rFonts w:eastAsiaTheme="minorEastAsia"/>
          <w:noProof/>
          <w:sz w:val="22"/>
          <w:lang w:eastAsia="en-GB"/>
        </w:rPr>
      </w:sdtEndPr>
      <w:sdtContent>
        <w:p w14:paraId="2E745DF4" w14:textId="36DDCDF7" w:rsidR="00E47E1C" w:rsidRPr="001975E9" w:rsidRDefault="00E47E1C" w:rsidP="005A0F27">
          <w:pPr>
            <w:pStyle w:val="TOCHeading"/>
            <w:rPr>
              <w:rFonts w:cs="Arial"/>
              <w:color w:val="7030A0"/>
              <w:sz w:val="36"/>
              <w:szCs w:val="36"/>
              <w:lang w:val="en-GB"/>
            </w:rPr>
          </w:pPr>
          <w:r w:rsidRPr="001975E9">
            <w:rPr>
              <w:rFonts w:cs="Arial"/>
              <w:color w:val="7030A0"/>
              <w:sz w:val="36"/>
              <w:szCs w:val="36"/>
              <w:lang w:val="en-GB"/>
            </w:rPr>
            <w:t>Contents</w:t>
          </w:r>
        </w:p>
        <w:p w14:paraId="763359DD" w14:textId="77777777" w:rsidR="001975E9" w:rsidRPr="001975E9" w:rsidRDefault="001975E9" w:rsidP="001975E9">
          <w:pPr>
            <w:rPr>
              <w:lang w:eastAsia="ja-JP"/>
            </w:rPr>
          </w:pPr>
        </w:p>
        <w:p w14:paraId="4145241F" w14:textId="77777777" w:rsidR="00E47E1C" w:rsidRPr="0098196B" w:rsidRDefault="00E47E1C" w:rsidP="00E260ED">
          <w:pPr>
            <w:pStyle w:val="TOC1"/>
            <w:tabs>
              <w:tab w:val="right" w:leader="dot" w:pos="9350"/>
            </w:tabs>
            <w:rPr>
              <w:rFonts w:eastAsiaTheme="minorEastAsia" w:cs="Arial"/>
              <w:noProof/>
              <w:szCs w:val="24"/>
              <w:lang w:val="en-US" w:bidi="ar-SA"/>
            </w:rPr>
          </w:pPr>
          <w:r w:rsidRPr="0098196B">
            <w:rPr>
              <w:rFonts w:cs="Arial"/>
              <w:szCs w:val="24"/>
            </w:rPr>
            <w:fldChar w:fldCharType="begin"/>
          </w:r>
          <w:r w:rsidRPr="0098196B">
            <w:rPr>
              <w:rFonts w:cs="Arial"/>
              <w:szCs w:val="24"/>
            </w:rPr>
            <w:instrText xml:space="preserve"> TOC \o "1-3" \h \z \u </w:instrText>
          </w:r>
          <w:r w:rsidRPr="0098196B">
            <w:rPr>
              <w:rFonts w:cs="Arial"/>
              <w:szCs w:val="24"/>
            </w:rPr>
            <w:fldChar w:fldCharType="separate"/>
          </w:r>
          <w:hyperlink w:anchor="_Toc68630137" w:history="1">
            <w:r w:rsidRPr="0098196B">
              <w:rPr>
                <w:rStyle w:val="Hyperlink"/>
                <w:rFonts w:cs="Arial"/>
                <w:noProof/>
                <w:szCs w:val="24"/>
              </w:rPr>
              <w:t>Introduction</w:t>
            </w:r>
            <w:r w:rsidRPr="0098196B">
              <w:rPr>
                <w:rFonts w:cs="Arial"/>
                <w:noProof/>
                <w:webHidden/>
                <w:szCs w:val="24"/>
              </w:rPr>
              <w:tab/>
            </w:r>
            <w:r w:rsidRPr="0098196B">
              <w:rPr>
                <w:rFonts w:cs="Arial"/>
                <w:noProof/>
                <w:webHidden/>
                <w:szCs w:val="24"/>
              </w:rPr>
              <w:fldChar w:fldCharType="begin"/>
            </w:r>
            <w:r w:rsidRPr="0098196B">
              <w:rPr>
                <w:rFonts w:cs="Arial"/>
                <w:noProof/>
                <w:webHidden/>
                <w:szCs w:val="24"/>
              </w:rPr>
              <w:instrText xml:space="preserve"> PAGEREF _Toc68630137 \h </w:instrText>
            </w:r>
            <w:r w:rsidRPr="0098196B">
              <w:rPr>
                <w:rFonts w:cs="Arial"/>
                <w:noProof/>
                <w:webHidden/>
                <w:szCs w:val="24"/>
              </w:rPr>
            </w:r>
            <w:r w:rsidRPr="0098196B">
              <w:rPr>
                <w:rFonts w:cs="Arial"/>
                <w:noProof/>
                <w:webHidden/>
                <w:szCs w:val="24"/>
              </w:rPr>
              <w:fldChar w:fldCharType="separate"/>
            </w:r>
            <w:r w:rsidRPr="0098196B">
              <w:rPr>
                <w:rFonts w:cs="Arial"/>
                <w:noProof/>
                <w:webHidden/>
                <w:szCs w:val="24"/>
              </w:rPr>
              <w:t>3</w:t>
            </w:r>
            <w:r w:rsidRPr="0098196B">
              <w:rPr>
                <w:rFonts w:cs="Arial"/>
                <w:noProof/>
                <w:webHidden/>
                <w:szCs w:val="24"/>
              </w:rPr>
              <w:fldChar w:fldCharType="end"/>
            </w:r>
          </w:hyperlink>
        </w:p>
        <w:p w14:paraId="148781DF" w14:textId="77777777" w:rsidR="00E47E1C" w:rsidRPr="0098196B" w:rsidRDefault="001D267A" w:rsidP="00E260ED">
          <w:pPr>
            <w:pStyle w:val="TOC1"/>
            <w:tabs>
              <w:tab w:val="right" w:leader="dot" w:pos="9350"/>
            </w:tabs>
            <w:rPr>
              <w:rFonts w:eastAsiaTheme="minorEastAsia" w:cs="Arial"/>
              <w:noProof/>
              <w:szCs w:val="24"/>
              <w:lang w:val="en-US" w:bidi="ar-SA"/>
            </w:rPr>
          </w:pPr>
          <w:hyperlink w:anchor="_Toc68630138" w:history="1">
            <w:r w:rsidR="00E47E1C" w:rsidRPr="0098196B">
              <w:rPr>
                <w:rStyle w:val="Hyperlink"/>
                <w:rFonts w:cs="Arial"/>
                <w:noProof/>
                <w:szCs w:val="24"/>
              </w:rPr>
              <w:t>Main Body</w:t>
            </w:r>
            <w:r w:rsidR="00E47E1C" w:rsidRPr="0098196B">
              <w:rPr>
                <w:rFonts w:cs="Arial"/>
                <w:noProof/>
                <w:webHidden/>
                <w:szCs w:val="24"/>
              </w:rPr>
              <w:tab/>
            </w:r>
            <w:r w:rsidR="00E47E1C" w:rsidRPr="0098196B">
              <w:rPr>
                <w:rFonts w:cs="Arial"/>
                <w:noProof/>
                <w:webHidden/>
                <w:szCs w:val="24"/>
              </w:rPr>
              <w:fldChar w:fldCharType="begin"/>
            </w:r>
            <w:r w:rsidR="00E47E1C" w:rsidRPr="0098196B">
              <w:rPr>
                <w:rFonts w:cs="Arial"/>
                <w:noProof/>
                <w:webHidden/>
                <w:szCs w:val="24"/>
              </w:rPr>
              <w:instrText xml:space="preserve"> PAGEREF _Toc68630138 \h </w:instrText>
            </w:r>
            <w:r w:rsidR="00E47E1C" w:rsidRPr="0098196B">
              <w:rPr>
                <w:rFonts w:cs="Arial"/>
                <w:noProof/>
                <w:webHidden/>
                <w:szCs w:val="24"/>
              </w:rPr>
            </w:r>
            <w:r w:rsidR="00E47E1C" w:rsidRPr="0098196B">
              <w:rPr>
                <w:rFonts w:cs="Arial"/>
                <w:noProof/>
                <w:webHidden/>
                <w:szCs w:val="24"/>
              </w:rPr>
              <w:fldChar w:fldCharType="separate"/>
            </w:r>
            <w:r w:rsidR="00E47E1C" w:rsidRPr="0098196B">
              <w:rPr>
                <w:rFonts w:cs="Arial"/>
                <w:noProof/>
                <w:webHidden/>
                <w:szCs w:val="24"/>
              </w:rPr>
              <w:t>5</w:t>
            </w:r>
            <w:r w:rsidR="00E47E1C" w:rsidRPr="0098196B">
              <w:rPr>
                <w:rFonts w:cs="Arial"/>
                <w:noProof/>
                <w:webHidden/>
                <w:szCs w:val="24"/>
              </w:rPr>
              <w:fldChar w:fldCharType="end"/>
            </w:r>
          </w:hyperlink>
        </w:p>
        <w:p w14:paraId="2D8DFBDD" w14:textId="77777777" w:rsidR="00E47E1C" w:rsidRPr="0098196B" w:rsidRDefault="001D267A" w:rsidP="00E260ED">
          <w:pPr>
            <w:pStyle w:val="TOC1"/>
            <w:tabs>
              <w:tab w:val="right" w:leader="dot" w:pos="9350"/>
            </w:tabs>
            <w:rPr>
              <w:rFonts w:eastAsiaTheme="minorEastAsia" w:cs="Arial"/>
              <w:noProof/>
              <w:szCs w:val="24"/>
              <w:lang w:val="en-US" w:bidi="ar-SA"/>
            </w:rPr>
          </w:pPr>
          <w:hyperlink w:anchor="_Toc68630139" w:history="1">
            <w:r w:rsidR="00E47E1C" w:rsidRPr="0098196B">
              <w:rPr>
                <w:rStyle w:val="Hyperlink"/>
                <w:rFonts w:cs="Arial"/>
                <w:noProof/>
                <w:szCs w:val="24"/>
              </w:rPr>
              <w:t>Conclusion</w:t>
            </w:r>
            <w:r w:rsidR="00E47E1C" w:rsidRPr="0098196B">
              <w:rPr>
                <w:rFonts w:cs="Arial"/>
                <w:noProof/>
                <w:webHidden/>
                <w:szCs w:val="24"/>
              </w:rPr>
              <w:tab/>
            </w:r>
            <w:r w:rsidR="00E47E1C" w:rsidRPr="0098196B">
              <w:rPr>
                <w:rFonts w:cs="Arial"/>
                <w:noProof/>
                <w:webHidden/>
                <w:szCs w:val="24"/>
              </w:rPr>
              <w:fldChar w:fldCharType="begin"/>
            </w:r>
            <w:r w:rsidR="00E47E1C" w:rsidRPr="0098196B">
              <w:rPr>
                <w:rFonts w:cs="Arial"/>
                <w:noProof/>
                <w:webHidden/>
                <w:szCs w:val="24"/>
              </w:rPr>
              <w:instrText xml:space="preserve"> PAGEREF _Toc68630139 \h </w:instrText>
            </w:r>
            <w:r w:rsidR="00E47E1C" w:rsidRPr="0098196B">
              <w:rPr>
                <w:rFonts w:cs="Arial"/>
                <w:noProof/>
                <w:webHidden/>
                <w:szCs w:val="24"/>
              </w:rPr>
            </w:r>
            <w:r w:rsidR="00E47E1C" w:rsidRPr="0098196B">
              <w:rPr>
                <w:rFonts w:cs="Arial"/>
                <w:noProof/>
                <w:webHidden/>
                <w:szCs w:val="24"/>
              </w:rPr>
              <w:fldChar w:fldCharType="separate"/>
            </w:r>
            <w:r w:rsidR="00E47E1C" w:rsidRPr="0098196B">
              <w:rPr>
                <w:rFonts w:cs="Arial"/>
                <w:noProof/>
                <w:webHidden/>
                <w:szCs w:val="24"/>
              </w:rPr>
              <w:t>13</w:t>
            </w:r>
            <w:r w:rsidR="00E47E1C" w:rsidRPr="0098196B">
              <w:rPr>
                <w:rFonts w:cs="Arial"/>
                <w:noProof/>
                <w:webHidden/>
                <w:szCs w:val="24"/>
              </w:rPr>
              <w:fldChar w:fldCharType="end"/>
            </w:r>
          </w:hyperlink>
        </w:p>
        <w:p w14:paraId="3B041B70" w14:textId="77777777" w:rsidR="00E47E1C" w:rsidRPr="0098196B" w:rsidRDefault="001D267A" w:rsidP="00E260ED">
          <w:pPr>
            <w:pStyle w:val="TOC1"/>
            <w:tabs>
              <w:tab w:val="right" w:leader="dot" w:pos="9350"/>
            </w:tabs>
            <w:rPr>
              <w:rFonts w:eastAsiaTheme="minorEastAsia" w:cs="Arial"/>
              <w:noProof/>
              <w:szCs w:val="24"/>
              <w:lang w:val="en-US" w:bidi="ar-SA"/>
            </w:rPr>
          </w:pPr>
          <w:hyperlink w:anchor="_Toc68630140" w:history="1">
            <w:r w:rsidR="00E47E1C" w:rsidRPr="0098196B">
              <w:rPr>
                <w:rStyle w:val="Hyperlink"/>
                <w:rFonts w:cs="Arial"/>
                <w:noProof/>
                <w:szCs w:val="24"/>
              </w:rPr>
              <w:t>References</w:t>
            </w:r>
            <w:r w:rsidR="00E47E1C" w:rsidRPr="0098196B">
              <w:rPr>
                <w:rFonts w:cs="Arial"/>
                <w:noProof/>
                <w:webHidden/>
                <w:szCs w:val="24"/>
              </w:rPr>
              <w:tab/>
            </w:r>
            <w:r w:rsidR="00E47E1C" w:rsidRPr="0098196B">
              <w:rPr>
                <w:rFonts w:cs="Arial"/>
                <w:noProof/>
                <w:webHidden/>
                <w:szCs w:val="24"/>
              </w:rPr>
              <w:fldChar w:fldCharType="begin"/>
            </w:r>
            <w:r w:rsidR="00E47E1C" w:rsidRPr="0098196B">
              <w:rPr>
                <w:rFonts w:cs="Arial"/>
                <w:noProof/>
                <w:webHidden/>
                <w:szCs w:val="24"/>
              </w:rPr>
              <w:instrText xml:space="preserve"> PAGEREF _Toc68630140 \h </w:instrText>
            </w:r>
            <w:r w:rsidR="00E47E1C" w:rsidRPr="0098196B">
              <w:rPr>
                <w:rFonts w:cs="Arial"/>
                <w:noProof/>
                <w:webHidden/>
                <w:szCs w:val="24"/>
              </w:rPr>
            </w:r>
            <w:r w:rsidR="00E47E1C" w:rsidRPr="0098196B">
              <w:rPr>
                <w:rFonts w:cs="Arial"/>
                <w:noProof/>
                <w:webHidden/>
                <w:szCs w:val="24"/>
              </w:rPr>
              <w:fldChar w:fldCharType="separate"/>
            </w:r>
            <w:r w:rsidR="00E47E1C" w:rsidRPr="0098196B">
              <w:rPr>
                <w:rFonts w:cs="Arial"/>
                <w:noProof/>
                <w:webHidden/>
                <w:szCs w:val="24"/>
              </w:rPr>
              <w:t>14</w:t>
            </w:r>
            <w:r w:rsidR="00E47E1C" w:rsidRPr="0098196B">
              <w:rPr>
                <w:rFonts w:cs="Arial"/>
                <w:noProof/>
                <w:webHidden/>
                <w:szCs w:val="24"/>
              </w:rPr>
              <w:fldChar w:fldCharType="end"/>
            </w:r>
          </w:hyperlink>
        </w:p>
        <w:p w14:paraId="279D5C79" w14:textId="77777777" w:rsidR="00E47E1C" w:rsidRPr="00867A28" w:rsidRDefault="00E47E1C" w:rsidP="00E260ED">
          <w:pPr>
            <w:spacing w:line="360" w:lineRule="auto"/>
            <w:rPr>
              <w:rFonts w:cs="Arial"/>
              <w:lang w:bidi="bn-BD"/>
            </w:rPr>
          </w:pPr>
          <w:r w:rsidRPr="0098196B">
            <w:rPr>
              <w:rFonts w:ascii="Arial" w:hAnsi="Arial" w:cs="Arial"/>
              <w:b/>
              <w:bCs/>
              <w:noProof/>
              <w:sz w:val="24"/>
              <w:szCs w:val="24"/>
              <w:lang w:bidi="bn-BD"/>
            </w:rPr>
            <w:fldChar w:fldCharType="end"/>
          </w:r>
        </w:p>
      </w:sdtContent>
    </w:sdt>
    <w:p w14:paraId="5AF15E0E" w14:textId="77777777" w:rsidR="00E47E1C" w:rsidRPr="00867A28" w:rsidRDefault="00E47E1C" w:rsidP="005A0F27">
      <w:pPr>
        <w:rPr>
          <w:rFonts w:cs="Arial"/>
          <w:szCs w:val="24"/>
          <w:lang w:bidi="bn-BD"/>
        </w:rPr>
      </w:pPr>
    </w:p>
    <w:p w14:paraId="78B21F97" w14:textId="77777777" w:rsidR="00E47E1C" w:rsidRPr="00867A28" w:rsidRDefault="00E47E1C" w:rsidP="005A0F27">
      <w:pPr>
        <w:rPr>
          <w:rFonts w:cs="Arial"/>
          <w:szCs w:val="24"/>
          <w:lang w:bidi="bn-BD"/>
        </w:rPr>
      </w:pPr>
    </w:p>
    <w:p w14:paraId="6472E242" w14:textId="77777777" w:rsidR="00E47E1C" w:rsidRPr="00867A28" w:rsidRDefault="00E47E1C" w:rsidP="005A0F27">
      <w:pPr>
        <w:rPr>
          <w:rFonts w:eastAsiaTheme="majorEastAsia" w:cs="Arial"/>
          <w:b/>
          <w:bCs/>
          <w:color w:val="2F5496" w:themeColor="accent1" w:themeShade="BF"/>
          <w:sz w:val="28"/>
          <w:szCs w:val="35"/>
          <w:lang w:bidi="bn-BD"/>
        </w:rPr>
      </w:pPr>
      <w:r w:rsidRPr="00867A28">
        <w:rPr>
          <w:rFonts w:cs="Arial"/>
          <w:lang w:bidi="bn-BD"/>
        </w:rPr>
        <w:br w:type="page"/>
      </w:r>
    </w:p>
    <w:p w14:paraId="265EE84D" w14:textId="4B017291" w:rsidR="00E47E1C" w:rsidRPr="00C71810" w:rsidRDefault="00E47E1C" w:rsidP="005A0F27">
      <w:pPr>
        <w:pStyle w:val="Heading1"/>
        <w:rPr>
          <w:rFonts w:ascii="Arial" w:hAnsi="Arial" w:cs="Arial"/>
          <w:b/>
          <w:bCs/>
          <w:color w:val="7030A0"/>
          <w:lang w:bidi="bn-BD"/>
        </w:rPr>
      </w:pPr>
      <w:bookmarkStart w:id="0" w:name="_Toc68630137"/>
      <w:r w:rsidRPr="00C71810">
        <w:rPr>
          <w:rFonts w:ascii="Arial" w:hAnsi="Arial" w:cs="Arial"/>
          <w:b/>
          <w:bCs/>
          <w:color w:val="7030A0"/>
          <w:lang w:bidi="bn-BD"/>
        </w:rPr>
        <w:lastRenderedPageBreak/>
        <w:t>Introduction</w:t>
      </w:r>
      <w:bookmarkEnd w:id="0"/>
    </w:p>
    <w:p w14:paraId="1194F228" w14:textId="77777777" w:rsidR="0083590E" w:rsidRPr="0083590E" w:rsidRDefault="0083590E" w:rsidP="0083590E">
      <w:pPr>
        <w:rPr>
          <w:lang w:bidi="bn-BD"/>
        </w:rPr>
      </w:pPr>
    </w:p>
    <w:p w14:paraId="2202A226" w14:textId="77777777" w:rsidR="00E47E1C" w:rsidRPr="005E1DC8" w:rsidRDefault="00E47E1C" w:rsidP="0083590E">
      <w:pPr>
        <w:spacing w:line="360" w:lineRule="auto"/>
        <w:rPr>
          <w:rFonts w:ascii="Arial" w:hAnsi="Arial" w:cs="Arial"/>
          <w:sz w:val="24"/>
          <w:szCs w:val="24"/>
          <w:lang w:bidi="bn-BD"/>
        </w:rPr>
      </w:pPr>
      <w:r w:rsidRPr="005E1DC8">
        <w:rPr>
          <w:rFonts w:ascii="Arial" w:hAnsi="Arial" w:cs="Arial"/>
          <w:sz w:val="24"/>
          <w:szCs w:val="24"/>
          <w:lang w:bidi="bn-BD"/>
        </w:rPr>
        <w:t>The following essay is concerned with certain principles of health and social care practices. In this essay, the name of the concerned topic is person-centred care. In the following sections, the discussions are going to be made on the core concept of person-centred care. The different aspects of the person-centred care are going to be done over the selected organisation named, the Institute of Cancer Research. The Institute of Cancer Research is a health care service providing organisation specialised in oncology. In this essay, the concept of person-centred care is going to be underpinned by the theoretical and ethical aspects. The benefits and limitations of practicing person-centred approach are also going to be discussed here. The application of the person-centred care approach over the Institute of Cancer Research is also going to be done in the following section. The essay is also going to include a set of recommendations for the Institute of Cancer Research.</w:t>
      </w:r>
    </w:p>
    <w:p w14:paraId="5A134CEB" w14:textId="77777777" w:rsidR="00E47E1C" w:rsidRPr="005E1DC8" w:rsidRDefault="00E47E1C" w:rsidP="0083590E">
      <w:pPr>
        <w:spacing w:line="360" w:lineRule="auto"/>
        <w:rPr>
          <w:rFonts w:ascii="Arial" w:eastAsiaTheme="majorEastAsia" w:hAnsi="Arial" w:cs="Arial"/>
          <w:b/>
          <w:bCs/>
          <w:sz w:val="24"/>
          <w:szCs w:val="24"/>
          <w:lang w:bidi="bn-BD"/>
        </w:rPr>
      </w:pPr>
      <w:r w:rsidRPr="005E1DC8">
        <w:rPr>
          <w:rFonts w:ascii="Arial" w:hAnsi="Arial" w:cs="Arial"/>
          <w:sz w:val="24"/>
          <w:szCs w:val="24"/>
          <w:lang w:bidi="bn-BD"/>
        </w:rPr>
        <w:br w:type="page"/>
      </w:r>
    </w:p>
    <w:p w14:paraId="317AA74B" w14:textId="77777777" w:rsidR="00E47E1C" w:rsidRPr="00C71810" w:rsidRDefault="00E47E1C" w:rsidP="005A0F27">
      <w:pPr>
        <w:rPr>
          <w:rFonts w:ascii="Arial" w:hAnsi="Arial" w:cs="Arial"/>
          <w:b/>
          <w:color w:val="7030A0"/>
          <w:sz w:val="32"/>
          <w:szCs w:val="32"/>
          <w:u w:val="single"/>
          <w:lang w:bidi="bn-BD"/>
        </w:rPr>
      </w:pPr>
      <w:r w:rsidRPr="00C71810">
        <w:rPr>
          <w:rFonts w:ascii="Arial" w:hAnsi="Arial" w:cs="Arial"/>
          <w:b/>
          <w:color w:val="7030A0"/>
          <w:sz w:val="32"/>
          <w:szCs w:val="32"/>
          <w:u w:val="single"/>
          <w:lang w:bidi="bn-BD"/>
        </w:rPr>
        <w:lastRenderedPageBreak/>
        <w:t>Overview of the Institute of Cancer Research</w:t>
      </w:r>
    </w:p>
    <w:p w14:paraId="4970AC81" w14:textId="77777777" w:rsidR="00E47E1C" w:rsidRPr="008F6B72" w:rsidRDefault="00E47E1C" w:rsidP="005A0F27">
      <w:pPr>
        <w:pStyle w:val="Heading1"/>
        <w:rPr>
          <w:rFonts w:ascii="Arial" w:hAnsi="Arial" w:cs="Arial"/>
          <w:sz w:val="24"/>
          <w:szCs w:val="24"/>
          <w:lang w:bidi="bn-BD"/>
        </w:rPr>
      </w:pPr>
      <w:r w:rsidRPr="008F6B72">
        <w:rPr>
          <w:rFonts w:ascii="Arial" w:hAnsi="Arial" w:cs="Arial"/>
          <w:sz w:val="24"/>
          <w:szCs w:val="24"/>
          <w:lang w:bidi="bn-BD"/>
        </w:rPr>
        <w:tab/>
      </w:r>
    </w:p>
    <w:p w14:paraId="0296BCEA" w14:textId="77777777" w:rsidR="00E47E1C" w:rsidRPr="008F6B72" w:rsidRDefault="00E47E1C" w:rsidP="005A0F27">
      <w:pPr>
        <w:jc w:val="center"/>
        <w:rPr>
          <w:rFonts w:ascii="Arial" w:hAnsi="Arial" w:cs="Arial"/>
          <w:sz w:val="24"/>
          <w:szCs w:val="24"/>
          <w:lang w:bidi="bn-BD"/>
        </w:rPr>
      </w:pPr>
      <w:r w:rsidRPr="008F6B72">
        <w:rPr>
          <w:rFonts w:ascii="Arial" w:hAnsi="Arial" w:cs="Arial"/>
          <w:noProof/>
          <w:sz w:val="24"/>
          <w:szCs w:val="24"/>
          <w:lang w:val="en-US"/>
        </w:rPr>
        <w:drawing>
          <wp:inline distT="0" distB="0" distL="0" distR="0" wp14:anchorId="022993E5" wp14:editId="101B715D">
            <wp:extent cx="2781688" cy="4953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601FC2.tmp"/>
                    <pic:cNvPicPr/>
                  </pic:nvPicPr>
                  <pic:blipFill>
                    <a:blip r:embed="rId4">
                      <a:extLst>
                        <a:ext uri="{28A0092B-C50C-407E-A947-70E740481C1C}">
                          <a14:useLocalDpi xmlns:a14="http://schemas.microsoft.com/office/drawing/2010/main" val="0"/>
                        </a:ext>
                      </a:extLst>
                    </a:blip>
                    <a:stretch>
                      <a:fillRect/>
                    </a:stretch>
                  </pic:blipFill>
                  <pic:spPr>
                    <a:xfrm>
                      <a:off x="0" y="0"/>
                      <a:ext cx="2781688" cy="495369"/>
                    </a:xfrm>
                    <a:prstGeom prst="rect">
                      <a:avLst/>
                    </a:prstGeom>
                  </pic:spPr>
                </pic:pic>
              </a:graphicData>
            </a:graphic>
          </wp:inline>
        </w:drawing>
      </w:r>
    </w:p>
    <w:p w14:paraId="6BDA0DA2" w14:textId="77777777" w:rsidR="00E47E1C" w:rsidRPr="008F6B72" w:rsidRDefault="00E47E1C" w:rsidP="005A0F27">
      <w:pPr>
        <w:jc w:val="center"/>
        <w:rPr>
          <w:rFonts w:ascii="Arial" w:hAnsi="Arial" w:cs="Arial"/>
          <w:sz w:val="24"/>
          <w:szCs w:val="24"/>
          <w:lang w:bidi="bn-BD"/>
        </w:rPr>
      </w:pPr>
      <w:r w:rsidRPr="008F6B72">
        <w:rPr>
          <w:rFonts w:ascii="Arial" w:hAnsi="Arial" w:cs="Arial"/>
          <w:sz w:val="24"/>
          <w:szCs w:val="24"/>
          <w:lang w:bidi="bn-BD"/>
        </w:rPr>
        <w:t>Figure: ICR; Source: (</w:t>
      </w:r>
      <w:proofErr w:type="spellStart"/>
      <w:r w:rsidRPr="008F6B72">
        <w:rPr>
          <w:rFonts w:ascii="Arial" w:hAnsi="Arial" w:cs="Arial"/>
          <w:sz w:val="24"/>
          <w:szCs w:val="24"/>
          <w:lang w:bidi="bn-BD"/>
        </w:rPr>
        <w:t>Hamington</w:t>
      </w:r>
      <w:proofErr w:type="spellEnd"/>
      <w:r w:rsidRPr="008F6B72">
        <w:rPr>
          <w:rFonts w:ascii="Arial" w:hAnsi="Arial" w:cs="Arial"/>
          <w:sz w:val="24"/>
          <w:szCs w:val="24"/>
          <w:lang w:bidi="bn-BD"/>
        </w:rPr>
        <w:t xml:space="preserve"> et al., 2017)</w:t>
      </w:r>
    </w:p>
    <w:p w14:paraId="2749FBA3"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The Institute of Cancer Research is a public institution run for research. This particular research institute is specialised in oncology and works for the cancer patients of the United Kingdom. The core focuses of the Institute of Cancer Research are genetic epidemiology, molecular pathology, and therapeutic development. This particular organisation has obtained several breakthroughs including the core concern behind causing cancer that is the damages in the DNA of the particular individuals. The Institute of Cancer Research is a publicly run organisation operating in the area of the United Kingdom. This particular organisation has 265 students in its undergraduate and postgraduate programs and 1,075 regular administrative employees working in the organisation. The Institute of Cancer Research is aimed at running an oncology programme concerning medical and clinical oncology. According to the available data on cancer, there are more than 424,632 cases of cancer were diagnosed in the year 2020 in the United Kingdom-based on the statistics of incidents and mortality. The habit of smoking and drinking was noted as the biggest reason behind such cancer situation in the population of the United Kingdom.</w:t>
      </w:r>
    </w:p>
    <w:p w14:paraId="5C476977" w14:textId="77777777" w:rsidR="00E47E1C" w:rsidRPr="005E1DC8" w:rsidRDefault="00E47E1C" w:rsidP="00257E19">
      <w:pPr>
        <w:spacing w:line="360" w:lineRule="auto"/>
        <w:rPr>
          <w:rFonts w:ascii="Arial" w:eastAsiaTheme="majorEastAsia" w:hAnsi="Arial" w:cs="Arial"/>
          <w:b/>
          <w:bCs/>
          <w:color w:val="002060"/>
          <w:sz w:val="24"/>
          <w:szCs w:val="24"/>
          <w:lang w:bidi="bn-BD"/>
        </w:rPr>
      </w:pPr>
      <w:r w:rsidRPr="005E1DC8">
        <w:rPr>
          <w:rFonts w:ascii="Arial" w:hAnsi="Arial" w:cs="Arial"/>
          <w:sz w:val="24"/>
          <w:szCs w:val="24"/>
          <w:lang w:bidi="bn-BD"/>
        </w:rPr>
        <w:br w:type="page"/>
      </w:r>
    </w:p>
    <w:p w14:paraId="3AA5DE7C" w14:textId="77777777" w:rsidR="00E47E1C" w:rsidRPr="00C71810" w:rsidRDefault="00E47E1C" w:rsidP="00257E19">
      <w:pPr>
        <w:pStyle w:val="Heading1"/>
        <w:spacing w:line="360" w:lineRule="auto"/>
        <w:rPr>
          <w:rFonts w:ascii="Arial" w:hAnsi="Arial" w:cs="Arial"/>
          <w:b/>
          <w:bCs/>
          <w:color w:val="7030A0"/>
          <w:lang w:bidi="bn-BD"/>
        </w:rPr>
      </w:pPr>
      <w:bookmarkStart w:id="1" w:name="_Toc68630138"/>
      <w:r w:rsidRPr="00C71810">
        <w:rPr>
          <w:rFonts w:ascii="Arial" w:hAnsi="Arial" w:cs="Arial"/>
          <w:b/>
          <w:bCs/>
          <w:color w:val="7030A0"/>
          <w:lang w:bidi="bn-BD"/>
        </w:rPr>
        <w:lastRenderedPageBreak/>
        <w:t>Main Body</w:t>
      </w:r>
      <w:bookmarkEnd w:id="1"/>
    </w:p>
    <w:p w14:paraId="0855163D" w14:textId="77777777" w:rsidR="00E47E1C" w:rsidRPr="000F41B5" w:rsidRDefault="00E47E1C" w:rsidP="00257E19">
      <w:pPr>
        <w:spacing w:line="360" w:lineRule="auto"/>
        <w:rPr>
          <w:rFonts w:ascii="Arial" w:hAnsi="Arial" w:cs="Arial"/>
          <w:b/>
          <w:sz w:val="28"/>
          <w:szCs w:val="28"/>
          <w:u w:val="single"/>
          <w:lang w:bidi="bn-BD"/>
        </w:rPr>
      </w:pPr>
      <w:r w:rsidRPr="000F41B5">
        <w:rPr>
          <w:rFonts w:ascii="Arial" w:hAnsi="Arial" w:cs="Arial"/>
          <w:b/>
          <w:sz w:val="28"/>
          <w:szCs w:val="28"/>
          <w:u w:val="single"/>
          <w:lang w:bidi="bn-BD"/>
        </w:rPr>
        <w:t>Person-centred Care</w:t>
      </w:r>
    </w:p>
    <w:p w14:paraId="4342D7CF" w14:textId="77777777" w:rsidR="00E47E1C" w:rsidRPr="005E1DC8" w:rsidRDefault="00E47E1C" w:rsidP="00257E19">
      <w:pPr>
        <w:spacing w:line="360" w:lineRule="auto"/>
        <w:rPr>
          <w:rFonts w:ascii="Arial" w:eastAsiaTheme="majorEastAsia" w:hAnsi="Arial" w:cs="Arial"/>
          <w:b/>
          <w:bCs/>
          <w:color w:val="002060"/>
          <w:sz w:val="24"/>
          <w:szCs w:val="24"/>
          <w:lang w:bidi="bn-BD"/>
        </w:rPr>
      </w:pPr>
      <w:r w:rsidRPr="005E1DC8">
        <w:rPr>
          <w:rFonts w:ascii="Arial" w:hAnsi="Arial" w:cs="Arial"/>
          <w:sz w:val="24"/>
          <w:szCs w:val="24"/>
          <w:lang w:bidi="bn-BD"/>
        </w:rPr>
        <w:t>The concept of person-centred care is applied in the sectors of health and welfare to improve the overall performance of the health service providing organisations and the quality of the services provided by introducing certain systematic approaches that are used in terms of dealing with the patients or the consumers of the health services of the respective organisations. The term person-centred care is referred to the certain way of providing specific health and social care services that allow the service receivers as well as the service providers in taking parts in terms of planning for the services they are offered, developing those as well as monitoring the entire process; so that, the quality and quantity of the services meet the needs and preferences of the respective receivers (Brooker, 2003). The core objective of the person-centred care is to include people in the process rather than only providing to them. The person-centred care introduces and promotes health and social care services that are both safe and of high quality. This particular approach respects the requirements of certain individuals concerning their health and social aspects responds to their needs accordingly while valuing their preferences. The person-centred care plays a vital role in empowering the people in terms of taking charge of the services they are offered to gain better outcomes from the process while satisfying their personal preferences and needs. In the health service providing organisations, the person-centred care is used to equal partner the patients in the business of healing while personalising and tailoring the process of caregiving as per the suitability of the respective patient.</w:t>
      </w:r>
      <w:r w:rsidRPr="005E1DC8">
        <w:rPr>
          <w:rFonts w:ascii="Arial" w:hAnsi="Arial" w:cs="Arial"/>
          <w:sz w:val="24"/>
          <w:szCs w:val="24"/>
          <w:lang w:bidi="bn-BD"/>
        </w:rPr>
        <w:br w:type="page"/>
      </w:r>
    </w:p>
    <w:p w14:paraId="765DFC22" w14:textId="77777777" w:rsidR="00E47E1C" w:rsidRPr="000F41B5" w:rsidRDefault="00E47E1C" w:rsidP="00257E19">
      <w:pPr>
        <w:spacing w:line="360" w:lineRule="auto"/>
        <w:rPr>
          <w:rFonts w:ascii="Arial" w:hAnsi="Arial" w:cs="Arial"/>
          <w:b/>
          <w:color w:val="7030A0"/>
          <w:sz w:val="32"/>
          <w:szCs w:val="32"/>
          <w:u w:val="single"/>
          <w:lang w:bidi="bn-BD"/>
        </w:rPr>
      </w:pPr>
      <w:r w:rsidRPr="000F41B5">
        <w:rPr>
          <w:rFonts w:ascii="Arial" w:hAnsi="Arial" w:cs="Arial"/>
          <w:b/>
          <w:color w:val="7030A0"/>
          <w:sz w:val="32"/>
          <w:szCs w:val="32"/>
          <w:u w:val="single"/>
          <w:lang w:bidi="bn-BD"/>
        </w:rPr>
        <w:lastRenderedPageBreak/>
        <w:t>Theoretical underpinning of person-centred care</w:t>
      </w:r>
    </w:p>
    <w:p w14:paraId="0E9E9FB0"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The theoretical underpinning of the person-centred care refers to the elements and shreds of evidence that support the core basis of the practices of this certain approach in the health and social care sector. In the practices of nursing, the person-centred care is considered as a particular theory. According to the studies related to nursing, caring is a form of practice that is used to build or form fundamental relationships with the patients by the care providers or healthcare workers (Nolan, 2014). Here, both of the parties included in the process are partners and active participants. The sense of positive self-image, as well as self-efficiency, is promoted by person-centred care. The practice of person-centred care is subjected to proper education and choice of the parties involved in the process. By adopting this certain approach, the health care system is built on a sense of trust among the parties involved and compliances. Person-centred care allows the patients to talk of their mind which also promotes a self-caring attitude among the patients. This particular humanistic concept can be underpinned in the following manner;</w:t>
      </w:r>
    </w:p>
    <w:p w14:paraId="7660D5D0" w14:textId="77777777" w:rsidR="00E47E1C" w:rsidRPr="005E1DC8" w:rsidRDefault="00E47E1C" w:rsidP="00257E19">
      <w:pPr>
        <w:spacing w:line="360" w:lineRule="auto"/>
        <w:rPr>
          <w:rFonts w:ascii="Arial" w:hAnsi="Arial" w:cs="Arial"/>
          <w:sz w:val="24"/>
          <w:szCs w:val="24"/>
        </w:rPr>
      </w:pPr>
      <w:r w:rsidRPr="005E1DC8">
        <w:rPr>
          <w:rFonts w:ascii="Arial" w:hAnsi="Arial" w:cs="Arial"/>
          <w:sz w:val="24"/>
          <w:szCs w:val="24"/>
        </w:rPr>
        <w:t>The service users should be treated as individuals. Their needs, interests, requirements, and preferences should be taken under consideration. The point of view of the service users should be understood while considering the views and fears of the individuals. The assessments of their health should be done while addressing their complications, worries, and actions. The use of the care episodes should be ensured to form and build a sustainable and trustable relationship with the service users. The purpose of the relationship is to ensure that the service users have enough knowledge of the process as well as they are empowered of making required appropriate decisions regarding their health. The service users should be included in the care planning process through proper communication to understand and focus on their needs. The service provider should not focus on the completion of the task in this case, rather be considerate about satisfying the service users and any paternalistic approach should be avoided that does not encourage the participation of the employees.</w:t>
      </w:r>
    </w:p>
    <w:p w14:paraId="7BF77336"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br w:type="page"/>
      </w:r>
    </w:p>
    <w:p w14:paraId="5F0BD920"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lastRenderedPageBreak/>
        <w:t>The person-centred care is based on four particular principles (Prince, 2016). Those are as such;</w:t>
      </w:r>
    </w:p>
    <w:p w14:paraId="649579DD" w14:textId="5596D148"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 xml:space="preserve">The service users should be treated with dignity, respect and compassion. </w:t>
      </w:r>
      <w:r w:rsidR="002F60DE" w:rsidRPr="005E1DC8">
        <w:rPr>
          <w:rFonts w:ascii="Arial" w:hAnsi="Arial" w:cs="Arial"/>
          <w:sz w:val="24"/>
          <w:szCs w:val="24"/>
          <w:lang w:bidi="bn-BD"/>
        </w:rPr>
        <w:t>Personally,</w:t>
      </w:r>
      <w:r w:rsidRPr="005E1DC8">
        <w:rPr>
          <w:rFonts w:ascii="Arial" w:hAnsi="Arial" w:cs="Arial"/>
          <w:sz w:val="24"/>
          <w:szCs w:val="24"/>
          <w:lang w:bidi="bn-BD"/>
        </w:rPr>
        <w:t xml:space="preserve"> tailored care, support and treatment should be offered by the service providers. The care, support and treatment should be coordinated as per the preferences of the individuals and the service users should be enabled of recognising and developing their strengths and capabilities for the purpose of leading a healthy and independent life.</w:t>
      </w:r>
    </w:p>
    <w:p w14:paraId="5570F9F0" w14:textId="5D83774F"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 xml:space="preserve">The core elements concerning with the practices of the person-centred care includes empathy, congruence and unconditional positive regards. Because of empathy the service providers consider understanding the point of views of the service users. </w:t>
      </w:r>
      <w:r w:rsidRPr="005E1DC8">
        <w:rPr>
          <w:rFonts w:ascii="Arial" w:hAnsi="Arial" w:cs="Arial"/>
          <w:iCs/>
          <w:sz w:val="24"/>
          <w:szCs w:val="24"/>
          <w:lang w:bidi="bn-BD"/>
        </w:rPr>
        <w:t>Congruence</w:t>
      </w:r>
      <w:r w:rsidRPr="005E1DC8">
        <w:rPr>
          <w:rFonts w:ascii="Arial" w:hAnsi="Arial" w:cs="Arial"/>
          <w:sz w:val="24"/>
          <w:szCs w:val="24"/>
          <w:lang w:bidi="bn-BD"/>
        </w:rPr>
        <w:t xml:space="preserve"> helps the service provider acts easy to the service users so that they can speak of their mind. </w:t>
      </w:r>
      <w:r w:rsidRPr="005E1DC8">
        <w:rPr>
          <w:rFonts w:ascii="Arial" w:hAnsi="Arial" w:cs="Arial"/>
          <w:iCs/>
          <w:sz w:val="24"/>
          <w:szCs w:val="24"/>
          <w:lang w:bidi="bn-BD"/>
        </w:rPr>
        <w:t>Unconditional positive regards</w:t>
      </w:r>
      <w:r w:rsidRPr="005E1DC8">
        <w:rPr>
          <w:rFonts w:ascii="Arial" w:hAnsi="Arial" w:cs="Arial"/>
          <w:sz w:val="24"/>
          <w:szCs w:val="24"/>
          <w:lang w:bidi="bn-BD"/>
        </w:rPr>
        <w:t xml:space="preserve"> </w:t>
      </w:r>
      <w:r w:rsidR="0016143E" w:rsidRPr="005E1DC8">
        <w:rPr>
          <w:rFonts w:ascii="Arial" w:hAnsi="Arial" w:cs="Arial"/>
          <w:sz w:val="24"/>
          <w:szCs w:val="24"/>
          <w:lang w:bidi="bn-BD"/>
        </w:rPr>
        <w:t>help</w:t>
      </w:r>
      <w:r w:rsidRPr="005E1DC8">
        <w:rPr>
          <w:rFonts w:ascii="Arial" w:hAnsi="Arial" w:cs="Arial"/>
          <w:sz w:val="24"/>
          <w:szCs w:val="24"/>
          <w:lang w:bidi="bn-BD"/>
        </w:rPr>
        <w:t xml:space="preserve"> the service users do not feel judged by the service providers while stating their conditions (Ross, Tod and Clarke, 2015).</w:t>
      </w:r>
    </w:p>
    <w:p w14:paraId="6A31402E"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 xml:space="preserve">The framework of the person-centred care practice includes prerequisites, environment, process and outcome. The prerequisites are a particular domain is concerned with the attributes of the service providers of a certain setting. The environment is concerned with the certain context of care giving. The process is concerned with the set of activities performed in the process of delivering care and the outcome is concerned with the efficiency of the person-centred care process (Santana et al., 2018). </w:t>
      </w:r>
    </w:p>
    <w:p w14:paraId="7E78164C" w14:textId="77777777" w:rsidR="00E47E1C" w:rsidRPr="005E1DC8" w:rsidRDefault="00E47E1C" w:rsidP="00257E19">
      <w:pPr>
        <w:spacing w:line="360" w:lineRule="auto"/>
        <w:rPr>
          <w:rFonts w:ascii="Arial" w:eastAsiaTheme="majorEastAsia" w:hAnsi="Arial" w:cs="Arial"/>
          <w:b/>
          <w:bCs/>
          <w:color w:val="002060"/>
          <w:sz w:val="24"/>
          <w:szCs w:val="24"/>
          <w:lang w:bidi="bn-BD"/>
        </w:rPr>
      </w:pPr>
      <w:r w:rsidRPr="005E1DC8">
        <w:rPr>
          <w:rFonts w:ascii="Arial" w:hAnsi="Arial" w:cs="Arial"/>
          <w:sz w:val="24"/>
          <w:szCs w:val="24"/>
          <w:lang w:bidi="bn-BD"/>
        </w:rPr>
        <w:br w:type="page"/>
      </w:r>
    </w:p>
    <w:p w14:paraId="5FFC6FE6" w14:textId="77777777" w:rsidR="00E47E1C" w:rsidRPr="000F41B5" w:rsidRDefault="00E47E1C" w:rsidP="00257E19">
      <w:pPr>
        <w:spacing w:line="360" w:lineRule="auto"/>
        <w:rPr>
          <w:rFonts w:ascii="Arial" w:hAnsi="Arial" w:cs="Arial"/>
          <w:b/>
          <w:color w:val="7030A0"/>
          <w:sz w:val="32"/>
          <w:szCs w:val="32"/>
          <w:u w:val="single"/>
          <w:lang w:bidi="bn-BD"/>
        </w:rPr>
      </w:pPr>
      <w:r w:rsidRPr="000F41B5">
        <w:rPr>
          <w:rFonts w:ascii="Arial" w:hAnsi="Arial" w:cs="Arial"/>
          <w:b/>
          <w:color w:val="7030A0"/>
          <w:sz w:val="32"/>
          <w:szCs w:val="32"/>
          <w:u w:val="single"/>
          <w:lang w:bidi="bn-BD"/>
        </w:rPr>
        <w:lastRenderedPageBreak/>
        <w:t>Ethical underpinning of person-centred care</w:t>
      </w:r>
    </w:p>
    <w:p w14:paraId="725DA1FE"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Person-centred care practices and conducted based on several particular ethical principles of autonomy. The principles of the service users as per their culture and tradition are also considered from the perspectives of ethics. If any health care decisions or services provided to the service users without their consent that contradict the personal values, preferences, and lifestyles are not considered ethical and might be subjected to punishment. If the service user or the patient is unable of voicing his point of view, the family of the respective individual should be informed and given the right of decision making on behalf of the concerned patient (Ahmed et al., 2014).  </w:t>
      </w:r>
    </w:p>
    <w:p w14:paraId="0D1C8C81" w14:textId="6F08BFF0"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 xml:space="preserve">There are four particularly developed health care ethics are available in the practices of person-centred care (McCormack, Dewing, and </w:t>
      </w:r>
      <w:proofErr w:type="spellStart"/>
      <w:r w:rsidRPr="005E1DC8">
        <w:rPr>
          <w:rFonts w:ascii="Arial" w:hAnsi="Arial" w:cs="Arial"/>
          <w:sz w:val="24"/>
          <w:szCs w:val="24"/>
          <w:lang w:bidi="bn-BD"/>
        </w:rPr>
        <w:t>Mccance</w:t>
      </w:r>
      <w:proofErr w:type="spellEnd"/>
      <w:r w:rsidRPr="005E1DC8">
        <w:rPr>
          <w:rFonts w:ascii="Arial" w:hAnsi="Arial" w:cs="Arial"/>
          <w:sz w:val="24"/>
          <w:szCs w:val="24"/>
          <w:lang w:bidi="bn-BD"/>
        </w:rPr>
        <w:t xml:space="preserve">, 2011). Those include autonomy, beneficence, </w:t>
      </w:r>
      <w:r w:rsidR="002F60DE" w:rsidRPr="005E1DC8">
        <w:rPr>
          <w:rStyle w:val="Strong"/>
          <w:rFonts w:ascii="Arial" w:hAnsi="Arial" w:cs="Arial"/>
          <w:b w:val="0"/>
          <w:bCs w:val="0"/>
          <w:color w:val="0E101A"/>
          <w:sz w:val="24"/>
          <w:szCs w:val="24"/>
          <w:lang w:bidi="bn-BD"/>
        </w:rPr>
        <w:t>non-maleficence</w:t>
      </w:r>
      <w:r w:rsidRPr="005E1DC8">
        <w:rPr>
          <w:rStyle w:val="Strong"/>
          <w:rFonts w:ascii="Arial" w:hAnsi="Arial" w:cs="Arial"/>
          <w:b w:val="0"/>
          <w:bCs w:val="0"/>
          <w:color w:val="0E101A"/>
          <w:sz w:val="24"/>
          <w:szCs w:val="24"/>
          <w:lang w:bidi="bn-BD"/>
        </w:rPr>
        <w:t xml:space="preserve"> and justice. The autonomy is referred </w:t>
      </w:r>
      <w:r w:rsidRPr="005E1DC8">
        <w:rPr>
          <w:rStyle w:val="Strong"/>
          <w:rFonts w:ascii="Arial" w:hAnsi="Arial" w:cs="Arial"/>
          <w:color w:val="0E101A"/>
          <w:sz w:val="24"/>
          <w:szCs w:val="24"/>
          <w:lang w:bidi="bn-BD"/>
        </w:rPr>
        <w:t xml:space="preserve">to </w:t>
      </w:r>
      <w:r w:rsidRPr="005E1DC8">
        <w:rPr>
          <w:rFonts w:ascii="Arial" w:hAnsi="Arial" w:cs="Arial"/>
          <w:sz w:val="24"/>
          <w:szCs w:val="24"/>
          <w:lang w:bidi="bn-BD"/>
        </w:rPr>
        <w:t xml:space="preserve">the particular principle of the authority of the patients that he holds over his own body and body parts. According to this principle of autonomy, it is ethical for a health care service provider to advise and guide his patients as long as he has the consent of his patients. The service provider cannot make his patient forcefully do anything against his given consent or attempt on persuading and coercing them into making involuntary choices. The authority of making decisions should only be entitled to the respective patient. The </w:t>
      </w:r>
      <w:r w:rsidRPr="005E1DC8">
        <w:rPr>
          <w:rFonts w:ascii="Arial" w:hAnsi="Arial" w:cs="Arial"/>
          <w:bCs/>
          <w:sz w:val="24"/>
          <w:szCs w:val="24"/>
          <w:lang w:bidi="bn-BD"/>
        </w:rPr>
        <w:t>beneficence</w:t>
      </w:r>
      <w:r w:rsidRPr="005E1DC8">
        <w:rPr>
          <w:rFonts w:ascii="Arial" w:hAnsi="Arial" w:cs="Arial"/>
          <w:sz w:val="24"/>
          <w:szCs w:val="24"/>
          <w:lang w:bidi="bn-BD"/>
        </w:rPr>
        <w:t xml:space="preserve"> principle is referred to the certain purpose of providing benefits to the patients only regardless of their situations. The service providers should do as much as they can to ensure the comfort of the patients and perform guidance to improve their conditions. According to the principle of beneficence, the intention of the health service provider of person-centred care should only be concerned with the betterment of the service users. To ensure beneficence, the service providers must have adequate knowledge and skills. </w:t>
      </w:r>
    </w:p>
    <w:p w14:paraId="1B46F4D3" w14:textId="77777777" w:rsidR="00E47E1C" w:rsidRPr="005E1DC8" w:rsidRDefault="00E47E1C" w:rsidP="00257E19">
      <w:pPr>
        <w:spacing w:line="360" w:lineRule="auto"/>
        <w:rPr>
          <w:rStyle w:val="Strong"/>
          <w:rFonts w:ascii="Arial" w:hAnsi="Arial" w:cs="Arial"/>
          <w:color w:val="0E101A"/>
          <w:sz w:val="24"/>
          <w:szCs w:val="24"/>
          <w:lang w:bidi="bn-BD"/>
        </w:rPr>
      </w:pPr>
      <w:r w:rsidRPr="005E1DC8">
        <w:rPr>
          <w:rStyle w:val="Strong"/>
          <w:rFonts w:ascii="Arial" w:hAnsi="Arial" w:cs="Arial"/>
          <w:color w:val="0E101A"/>
          <w:sz w:val="24"/>
          <w:szCs w:val="24"/>
          <w:lang w:bidi="bn-BD"/>
        </w:rPr>
        <w:br w:type="page"/>
      </w:r>
    </w:p>
    <w:p w14:paraId="0C2B12D4" w14:textId="159D1316"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lastRenderedPageBreak/>
        <w:t xml:space="preserve">The </w:t>
      </w:r>
      <w:r w:rsidRPr="005E1DC8">
        <w:rPr>
          <w:rStyle w:val="Strong"/>
          <w:rFonts w:ascii="Arial" w:hAnsi="Arial" w:cs="Arial"/>
          <w:b w:val="0"/>
          <w:bCs w:val="0"/>
          <w:color w:val="0E101A"/>
          <w:sz w:val="24"/>
          <w:szCs w:val="24"/>
          <w:lang w:bidi="bn-BD"/>
        </w:rPr>
        <w:t>Non-maleficence</w:t>
      </w:r>
      <w:r w:rsidRPr="005E1DC8">
        <w:rPr>
          <w:rFonts w:ascii="Arial" w:hAnsi="Arial" w:cs="Arial"/>
          <w:sz w:val="24"/>
          <w:szCs w:val="24"/>
          <w:lang w:bidi="bn-BD"/>
        </w:rPr>
        <w:t xml:space="preserve"> principle is the exact opposite of beneficence. The term maleficence means “to not harm”. As per the principle of non-maleficence, the health care service providers intend to do or cause no harm to the service receivers. This is a collective concept where medical professionals give priority to a certain population over an individual and act accordingly to establish social welfare and the principle of </w:t>
      </w:r>
      <w:r w:rsidRPr="001D267A">
        <w:rPr>
          <w:rFonts w:ascii="Arial" w:hAnsi="Arial" w:cs="Arial"/>
          <w:bCs/>
          <w:sz w:val="24"/>
          <w:szCs w:val="24"/>
          <w:lang w:bidi="bn-BD"/>
        </w:rPr>
        <w:t>justice</w:t>
      </w:r>
      <w:r w:rsidRPr="005E1DC8">
        <w:rPr>
          <w:rFonts w:ascii="Arial" w:hAnsi="Arial" w:cs="Arial"/>
          <w:b/>
          <w:sz w:val="24"/>
          <w:szCs w:val="24"/>
          <w:lang w:bidi="bn-BD"/>
        </w:rPr>
        <w:t xml:space="preserve"> </w:t>
      </w:r>
      <w:r w:rsidRPr="005E1DC8">
        <w:rPr>
          <w:rFonts w:ascii="Arial" w:hAnsi="Arial" w:cs="Arial"/>
          <w:sz w:val="24"/>
          <w:szCs w:val="24"/>
          <w:lang w:bidi="bn-BD"/>
        </w:rPr>
        <w:t xml:space="preserve">is referred to the certain fairness practiced and offered by the service providers to clients of all backgrounds. According to the principle of justice, the health and social care service providers are responsible for providing equal benefits and distributing an equal </w:t>
      </w:r>
      <w:r w:rsidR="000E51FD" w:rsidRPr="005E1DC8">
        <w:rPr>
          <w:rFonts w:ascii="Arial" w:hAnsi="Arial" w:cs="Arial"/>
          <w:sz w:val="24"/>
          <w:szCs w:val="24"/>
          <w:lang w:bidi="bn-BD"/>
        </w:rPr>
        <w:t>number</w:t>
      </w:r>
      <w:r w:rsidRPr="005E1DC8">
        <w:rPr>
          <w:rFonts w:ascii="Arial" w:hAnsi="Arial" w:cs="Arial"/>
          <w:sz w:val="24"/>
          <w:szCs w:val="24"/>
          <w:lang w:bidi="bn-BD"/>
        </w:rPr>
        <w:t xml:space="preserve"> of resources to the service users to comply with the medical laws and regulations and beneficences. </w:t>
      </w:r>
    </w:p>
    <w:p w14:paraId="6B7E1020" w14:textId="77777777" w:rsidR="00E47E1C" w:rsidRPr="000F41B5" w:rsidRDefault="00E47E1C" w:rsidP="00257E19">
      <w:pPr>
        <w:spacing w:line="360" w:lineRule="auto"/>
        <w:rPr>
          <w:rFonts w:ascii="Arial" w:hAnsi="Arial" w:cs="Arial"/>
          <w:b/>
          <w:color w:val="7030A0"/>
          <w:sz w:val="32"/>
          <w:szCs w:val="32"/>
          <w:u w:val="single"/>
          <w:lang w:bidi="bn-BD"/>
        </w:rPr>
      </w:pPr>
      <w:r w:rsidRPr="000F41B5">
        <w:rPr>
          <w:rFonts w:ascii="Arial" w:hAnsi="Arial" w:cs="Arial"/>
          <w:b/>
          <w:color w:val="7030A0"/>
          <w:sz w:val="32"/>
          <w:szCs w:val="32"/>
          <w:u w:val="single"/>
          <w:lang w:bidi="bn-BD"/>
        </w:rPr>
        <w:t>Main benefits and limitations of person-centred care</w:t>
      </w:r>
    </w:p>
    <w:p w14:paraId="5E3D95E8" w14:textId="0949164A" w:rsidR="00E47E1C" w:rsidRPr="005E1DC8" w:rsidRDefault="00E47E1C" w:rsidP="00257E19">
      <w:pPr>
        <w:spacing w:line="360" w:lineRule="auto"/>
        <w:rPr>
          <w:rFonts w:ascii="Arial" w:hAnsi="Arial" w:cs="Arial"/>
          <w:sz w:val="24"/>
          <w:szCs w:val="24"/>
        </w:rPr>
      </w:pPr>
      <w:r w:rsidRPr="005E1DC8">
        <w:rPr>
          <w:rFonts w:ascii="Arial" w:hAnsi="Arial" w:cs="Arial"/>
          <w:sz w:val="24"/>
          <w:szCs w:val="24"/>
        </w:rPr>
        <w:t>In terms of practicing person-centred care in the health service-providing organisations, many aspects of the certain approach can be identified (Manley, Hill, and Marriot, 2011). Similar to any other medical approach, the person-</w:t>
      </w:r>
      <w:r w:rsidR="00C80308" w:rsidRPr="005E1DC8">
        <w:rPr>
          <w:rFonts w:ascii="Arial" w:hAnsi="Arial" w:cs="Arial"/>
          <w:sz w:val="24"/>
          <w:szCs w:val="24"/>
        </w:rPr>
        <w:t>centred</w:t>
      </w:r>
      <w:r w:rsidRPr="005E1DC8">
        <w:rPr>
          <w:rFonts w:ascii="Arial" w:hAnsi="Arial" w:cs="Arial"/>
          <w:sz w:val="24"/>
          <w:szCs w:val="24"/>
        </w:rPr>
        <w:t xml:space="preserve"> care also offers certain benefits and causes several limitations in the process of providing certainty to the respective service users. The benefits of person-centred care approach;</w:t>
      </w:r>
    </w:p>
    <w:p w14:paraId="7BACCFE7" w14:textId="77777777" w:rsidR="00E47E1C" w:rsidRPr="005E1DC8" w:rsidRDefault="00E47E1C" w:rsidP="00257E19">
      <w:pPr>
        <w:spacing w:line="360" w:lineRule="auto"/>
        <w:rPr>
          <w:rFonts w:ascii="Arial" w:hAnsi="Arial" w:cs="Arial"/>
          <w:sz w:val="24"/>
          <w:szCs w:val="24"/>
        </w:rPr>
      </w:pPr>
      <w:r w:rsidRPr="005E1DC8">
        <w:rPr>
          <w:rFonts w:ascii="Arial" w:hAnsi="Arial" w:cs="Arial"/>
          <w:sz w:val="24"/>
          <w:szCs w:val="24"/>
        </w:rPr>
        <w:t>The person-centred care approach makes the service users feel comfortable about the service they are offered and confident about the outcomes. It makes the process of providing health and social to the patients easier. The person-centred care approach helps the service providers in terms of meeting their certain and unique health, mental, emotional, and social needs. This particular benefit helps the service users in terms of leading a profound and healthy life.</w:t>
      </w:r>
    </w:p>
    <w:p w14:paraId="2FB0BCF7" w14:textId="77777777" w:rsidR="00E47E1C" w:rsidRPr="005E1DC8" w:rsidRDefault="00E47E1C" w:rsidP="00257E19">
      <w:pPr>
        <w:spacing w:line="360" w:lineRule="auto"/>
        <w:rPr>
          <w:rFonts w:ascii="Arial" w:hAnsi="Arial" w:cs="Arial"/>
          <w:sz w:val="24"/>
          <w:szCs w:val="24"/>
        </w:rPr>
      </w:pPr>
      <w:r w:rsidRPr="005E1DC8">
        <w:rPr>
          <w:rFonts w:ascii="Arial" w:hAnsi="Arial" w:cs="Arial"/>
          <w:sz w:val="24"/>
          <w:szCs w:val="24"/>
        </w:rPr>
        <w:t>The person-centred care approach encourages and helps the service users speaking of their minds and stating their issues while asking for their preferred treatments. In this case, the service providers act as counsellors and help their patients and it also positively influences the level of independence of the respective patients by including them in the process of making decisions and creating engagements that help them become more confident about themselves and this approach motivates the population in terms of adopting healthier lifestyles and positive health behaviours. The person-centred care is the most cost and time-efficient medical treatment approach of all.</w:t>
      </w:r>
    </w:p>
    <w:p w14:paraId="2A4E26E0"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lastRenderedPageBreak/>
        <w:t>The disadvantages of person-centred care approach are as such;</w:t>
      </w:r>
    </w:p>
    <w:p w14:paraId="13361C5F" w14:textId="77777777"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The person-centred care requires their client to be constantly motivated which is not possible all the time as the patients might have poor communication skills or can even be depressed at times. The person-centred care requires the service users to be open about their issues and problems which is also not possible every time as they might not be comfortable about sharing their issues (Moore et al., 2017). The idea of person-centred care does not include the obligation of providing advices. Issues might arise if the patients or clients start asking for advice from the service providers. The key terms used in the person-centred care might be difficult for the service users to understand as most of the service users are not aware of the regular medical terms.</w:t>
      </w:r>
    </w:p>
    <w:p w14:paraId="1DEB1672" w14:textId="36C480B3" w:rsidR="00E47E1C" w:rsidRPr="005E1DC8" w:rsidRDefault="00E47E1C" w:rsidP="00257E19">
      <w:pPr>
        <w:spacing w:line="360" w:lineRule="auto"/>
        <w:rPr>
          <w:rFonts w:ascii="Arial" w:hAnsi="Arial" w:cs="Arial"/>
          <w:sz w:val="24"/>
          <w:szCs w:val="24"/>
          <w:lang w:bidi="bn-BD"/>
        </w:rPr>
      </w:pPr>
      <w:r w:rsidRPr="005E1DC8">
        <w:rPr>
          <w:rFonts w:ascii="Arial" w:hAnsi="Arial" w:cs="Arial"/>
          <w:sz w:val="24"/>
          <w:szCs w:val="24"/>
          <w:lang w:bidi="bn-BD"/>
        </w:rPr>
        <w:t>These are the most significant benefits and limitations of the person-centred care approach</w:t>
      </w:r>
      <w:r w:rsidR="008F6B72" w:rsidRPr="005E1DC8">
        <w:rPr>
          <w:rFonts w:ascii="Arial" w:hAnsi="Arial" w:cs="Arial"/>
          <w:sz w:val="24"/>
          <w:szCs w:val="24"/>
          <w:lang w:bidi="bn-BD"/>
        </w:rPr>
        <w:t>.</w:t>
      </w:r>
    </w:p>
    <w:p w14:paraId="5EC8D427" w14:textId="77777777" w:rsidR="00E47E1C" w:rsidRPr="005E1DC8" w:rsidRDefault="00E47E1C" w:rsidP="00257E19">
      <w:pPr>
        <w:spacing w:line="360" w:lineRule="auto"/>
        <w:rPr>
          <w:rFonts w:ascii="Arial" w:eastAsiaTheme="majorEastAsia" w:hAnsi="Arial" w:cs="Arial"/>
          <w:b/>
          <w:bCs/>
          <w:color w:val="002060"/>
          <w:sz w:val="24"/>
          <w:szCs w:val="24"/>
          <w:lang w:bidi="bn-BD"/>
        </w:rPr>
      </w:pPr>
      <w:r w:rsidRPr="005E1DC8">
        <w:rPr>
          <w:rFonts w:ascii="Arial" w:hAnsi="Arial" w:cs="Arial"/>
          <w:sz w:val="24"/>
          <w:szCs w:val="24"/>
          <w:lang w:bidi="bn-BD"/>
        </w:rPr>
        <w:br w:type="page"/>
      </w:r>
    </w:p>
    <w:p w14:paraId="597FB39C" w14:textId="77777777" w:rsidR="00E47E1C" w:rsidRPr="00C80308" w:rsidRDefault="00E47E1C" w:rsidP="00257E19">
      <w:pPr>
        <w:spacing w:line="360" w:lineRule="auto"/>
        <w:rPr>
          <w:rFonts w:ascii="Arial" w:hAnsi="Arial" w:cs="Arial"/>
          <w:b/>
          <w:color w:val="7030A0"/>
          <w:sz w:val="32"/>
          <w:szCs w:val="32"/>
          <w:u w:val="single"/>
          <w:lang w:bidi="bn-BD"/>
        </w:rPr>
      </w:pPr>
      <w:r w:rsidRPr="00C80308">
        <w:rPr>
          <w:rFonts w:ascii="Arial" w:hAnsi="Arial" w:cs="Arial"/>
          <w:b/>
          <w:color w:val="7030A0"/>
          <w:sz w:val="32"/>
          <w:szCs w:val="32"/>
          <w:u w:val="single"/>
          <w:lang w:bidi="bn-BD"/>
        </w:rPr>
        <w:lastRenderedPageBreak/>
        <w:t xml:space="preserve">Application of person-centred care in to practice </w:t>
      </w:r>
    </w:p>
    <w:p w14:paraId="131A408A" w14:textId="77777777" w:rsidR="00E47E1C" w:rsidRPr="008F6B72" w:rsidRDefault="00E47E1C" w:rsidP="00257E19">
      <w:pPr>
        <w:spacing w:line="360" w:lineRule="auto"/>
        <w:rPr>
          <w:rFonts w:ascii="Arial" w:eastAsiaTheme="majorEastAsia" w:hAnsi="Arial" w:cs="Arial"/>
          <w:b/>
          <w:bCs/>
          <w:color w:val="2F5496" w:themeColor="accent1" w:themeShade="BF"/>
          <w:sz w:val="24"/>
          <w:szCs w:val="24"/>
          <w:lang w:bidi="bn-BD"/>
        </w:rPr>
      </w:pPr>
      <w:r w:rsidRPr="005E1DC8">
        <w:rPr>
          <w:rFonts w:ascii="Arial" w:hAnsi="Arial" w:cs="Arial"/>
          <w:sz w:val="24"/>
          <w:szCs w:val="24"/>
          <w:lang w:bidi="bn-BD"/>
        </w:rPr>
        <w:t xml:space="preserve">In the Institute of Cancer Research, person-centred care can applied be as follows; the service provider of the Institute of Cancer Research can allow the patients to lead the communication about their health and related concerns without directing them towards a certain direction. The direction does not concern with the guidance provided to them to educate them about cancer and other related concerns. The Institute of Cancer Research can help its patients in terms of building and sustaining certain self-esteem; so that, they can overcome the fear of being judged and be able of speaking about their conditions. The professional medical personals can help its employees to acknowledge their self-concept in comparison with their ideal self that is highly required for the functioning to the optimal level so that the outcomes can also be accurate (Jones and </w:t>
      </w:r>
      <w:proofErr w:type="spellStart"/>
      <w:r w:rsidRPr="005E1DC8">
        <w:rPr>
          <w:rFonts w:ascii="Arial" w:hAnsi="Arial" w:cs="Arial"/>
          <w:sz w:val="24"/>
          <w:szCs w:val="24"/>
          <w:lang w:bidi="bn-BD"/>
        </w:rPr>
        <w:t>Baylin</w:t>
      </w:r>
      <w:proofErr w:type="spellEnd"/>
      <w:r w:rsidRPr="005E1DC8">
        <w:rPr>
          <w:rFonts w:ascii="Arial" w:hAnsi="Arial" w:cs="Arial"/>
          <w:sz w:val="24"/>
          <w:szCs w:val="24"/>
          <w:lang w:bidi="bn-BD"/>
        </w:rPr>
        <w:t>, 2017). Being empathetic towards the patients of the Institute of Cancer Research can help them in terms of becoming more comfortable and confident about the process of health and social care giving. The body language of the service providers should be welcoming according to the personal-centred care; so that, the communication process becomes more efficient. The patients of the Institute of Cancer Research can be asked open-ended questions to learn about certain things from their perspectives, etc.</w:t>
      </w:r>
      <w:r w:rsidRPr="008F6B72">
        <w:rPr>
          <w:rFonts w:ascii="Arial" w:hAnsi="Arial" w:cs="Arial"/>
          <w:sz w:val="24"/>
          <w:szCs w:val="24"/>
          <w:lang w:bidi="bn-BD"/>
        </w:rPr>
        <w:br w:type="page"/>
      </w:r>
    </w:p>
    <w:p w14:paraId="712AB1F1" w14:textId="77777777" w:rsidR="00E47E1C" w:rsidRPr="00C80308" w:rsidRDefault="00E47E1C" w:rsidP="00257E19">
      <w:pPr>
        <w:spacing w:line="360" w:lineRule="auto"/>
        <w:rPr>
          <w:rFonts w:ascii="Arial" w:hAnsi="Arial" w:cs="Arial"/>
          <w:b/>
          <w:color w:val="7030A0"/>
          <w:sz w:val="32"/>
          <w:szCs w:val="32"/>
          <w:u w:val="single"/>
          <w:lang w:bidi="bn-BD"/>
        </w:rPr>
      </w:pPr>
      <w:r w:rsidRPr="00C80308">
        <w:rPr>
          <w:rFonts w:ascii="Arial" w:hAnsi="Arial" w:cs="Arial"/>
          <w:b/>
          <w:color w:val="7030A0"/>
          <w:sz w:val="32"/>
          <w:szCs w:val="32"/>
          <w:u w:val="single"/>
          <w:lang w:bidi="bn-BD"/>
        </w:rPr>
        <w:lastRenderedPageBreak/>
        <w:t>Recommendation for improving person-centred care in the area and operations of the Institution of Cancer Research</w:t>
      </w:r>
    </w:p>
    <w:p w14:paraId="0DF95327" w14:textId="77777777" w:rsidR="00E47E1C" w:rsidRPr="00682EAE" w:rsidRDefault="00E47E1C" w:rsidP="00257E19">
      <w:pPr>
        <w:spacing w:line="360" w:lineRule="auto"/>
        <w:rPr>
          <w:rFonts w:ascii="Arial" w:hAnsi="Arial" w:cs="Arial"/>
          <w:sz w:val="24"/>
          <w:szCs w:val="24"/>
          <w:lang w:bidi="bn-BD"/>
        </w:rPr>
      </w:pPr>
      <w:r w:rsidRPr="00682EAE">
        <w:rPr>
          <w:rFonts w:ascii="Arial" w:hAnsi="Arial" w:cs="Arial"/>
          <w:sz w:val="24"/>
          <w:szCs w:val="24"/>
          <w:lang w:bidi="bn-BD"/>
        </w:rPr>
        <w:t>In the following manner, the Institute of Cancer Research can improve person-centred care in its medical service providing areas;</w:t>
      </w:r>
    </w:p>
    <w:p w14:paraId="30F7C886" w14:textId="77777777" w:rsidR="00E47E1C" w:rsidRPr="00682EAE" w:rsidRDefault="00E47E1C" w:rsidP="00257E19">
      <w:pPr>
        <w:spacing w:line="360" w:lineRule="auto"/>
        <w:rPr>
          <w:rFonts w:ascii="Arial" w:hAnsi="Arial" w:cs="Arial"/>
          <w:sz w:val="24"/>
          <w:szCs w:val="24"/>
          <w:lang w:bidi="bn-BD"/>
        </w:rPr>
      </w:pPr>
      <w:r w:rsidRPr="00682EAE">
        <w:rPr>
          <w:rFonts w:ascii="Arial" w:hAnsi="Arial" w:cs="Arial"/>
          <w:sz w:val="24"/>
          <w:szCs w:val="24"/>
          <w:lang w:bidi="bn-BD"/>
        </w:rPr>
        <w:t xml:space="preserve">The Institute of Cancer Research should invest more time in discussing the experiences of treatment with the previous and existing patients of the organisation. The Institute of Cancer Research should attempt on collecting regular feedbacks from its clients in order to follow up on the performance of the organisation. The organisation can introduce a certain system to provide necessary counselling to the clients regarding the basic queries related to cancer and the organisation should run periodical surveys in order to collect the opinions and thought of the service users of the organisation so that they can identify the areas of improvement. The Institute of Cancer Research should keep its service providers or the medical professionals on check to monitor, evaluate and improve their level of performances. </w:t>
      </w:r>
    </w:p>
    <w:p w14:paraId="2CD48FDA" w14:textId="77777777" w:rsidR="00E47E1C" w:rsidRPr="00682EAE" w:rsidRDefault="00E47E1C" w:rsidP="00257E19">
      <w:pPr>
        <w:spacing w:line="360" w:lineRule="auto"/>
        <w:rPr>
          <w:rFonts w:ascii="Arial" w:hAnsi="Arial" w:cs="Arial"/>
          <w:sz w:val="24"/>
          <w:szCs w:val="24"/>
          <w:lang w:bidi="bn-BD"/>
        </w:rPr>
      </w:pPr>
    </w:p>
    <w:p w14:paraId="719F697F" w14:textId="77777777" w:rsidR="00E47E1C" w:rsidRPr="00682EAE" w:rsidRDefault="00E47E1C" w:rsidP="00257E19">
      <w:pPr>
        <w:spacing w:line="360" w:lineRule="auto"/>
        <w:rPr>
          <w:rFonts w:ascii="Arial" w:hAnsi="Arial" w:cs="Arial"/>
          <w:sz w:val="24"/>
          <w:szCs w:val="24"/>
          <w:lang w:bidi="bn-BD"/>
        </w:rPr>
      </w:pPr>
    </w:p>
    <w:p w14:paraId="0B9F1C09" w14:textId="77777777" w:rsidR="00E47E1C" w:rsidRPr="00682EAE" w:rsidRDefault="00E47E1C" w:rsidP="00257E19">
      <w:pPr>
        <w:spacing w:line="360" w:lineRule="auto"/>
        <w:rPr>
          <w:rFonts w:ascii="Arial" w:hAnsi="Arial" w:cs="Arial"/>
          <w:sz w:val="24"/>
          <w:szCs w:val="24"/>
          <w:lang w:bidi="bn-BD"/>
        </w:rPr>
      </w:pPr>
    </w:p>
    <w:p w14:paraId="72033226" w14:textId="77777777" w:rsidR="00E47E1C" w:rsidRPr="00682EAE" w:rsidRDefault="00E47E1C" w:rsidP="00257E19">
      <w:pPr>
        <w:spacing w:line="360" w:lineRule="auto"/>
        <w:rPr>
          <w:rFonts w:ascii="Arial" w:hAnsi="Arial" w:cs="Arial"/>
          <w:sz w:val="24"/>
          <w:szCs w:val="24"/>
          <w:lang w:bidi="bn-BD"/>
        </w:rPr>
      </w:pPr>
    </w:p>
    <w:p w14:paraId="7FA7D470" w14:textId="77777777" w:rsidR="00E47E1C" w:rsidRPr="00682EAE" w:rsidRDefault="00E47E1C" w:rsidP="00257E19">
      <w:pPr>
        <w:spacing w:line="360" w:lineRule="auto"/>
        <w:rPr>
          <w:rFonts w:ascii="Arial" w:hAnsi="Arial" w:cs="Arial"/>
          <w:sz w:val="24"/>
          <w:szCs w:val="24"/>
          <w:lang w:bidi="bn-BD"/>
        </w:rPr>
      </w:pPr>
    </w:p>
    <w:p w14:paraId="648DB79C" w14:textId="77777777" w:rsidR="00E47E1C" w:rsidRPr="00682EAE" w:rsidRDefault="00E47E1C" w:rsidP="00257E19">
      <w:pPr>
        <w:spacing w:line="360" w:lineRule="auto"/>
        <w:rPr>
          <w:rFonts w:ascii="Arial" w:hAnsi="Arial" w:cs="Arial"/>
          <w:sz w:val="24"/>
          <w:szCs w:val="24"/>
          <w:lang w:bidi="bn-BD"/>
        </w:rPr>
      </w:pPr>
    </w:p>
    <w:p w14:paraId="2BC9BD4E" w14:textId="77777777" w:rsidR="00E47E1C" w:rsidRPr="00682EAE" w:rsidRDefault="00E47E1C" w:rsidP="00257E19">
      <w:pPr>
        <w:spacing w:line="360" w:lineRule="auto"/>
        <w:rPr>
          <w:rFonts w:ascii="Arial" w:hAnsi="Arial" w:cs="Arial"/>
          <w:sz w:val="24"/>
          <w:szCs w:val="24"/>
          <w:lang w:bidi="bn-BD"/>
        </w:rPr>
      </w:pPr>
    </w:p>
    <w:p w14:paraId="757026CF" w14:textId="77777777" w:rsidR="00E47E1C" w:rsidRPr="00682EAE" w:rsidRDefault="00E47E1C" w:rsidP="00257E19">
      <w:pPr>
        <w:spacing w:line="360" w:lineRule="auto"/>
        <w:rPr>
          <w:rFonts w:ascii="Arial" w:hAnsi="Arial" w:cs="Arial"/>
          <w:sz w:val="24"/>
          <w:szCs w:val="24"/>
          <w:lang w:bidi="bn-BD"/>
        </w:rPr>
      </w:pPr>
    </w:p>
    <w:p w14:paraId="6A8DCC5B" w14:textId="77777777" w:rsidR="00E47E1C" w:rsidRPr="00682EAE" w:rsidRDefault="00E47E1C" w:rsidP="00257E19">
      <w:pPr>
        <w:spacing w:line="360" w:lineRule="auto"/>
        <w:rPr>
          <w:rFonts w:ascii="Arial" w:hAnsi="Arial" w:cs="Arial"/>
          <w:sz w:val="24"/>
          <w:szCs w:val="24"/>
          <w:lang w:bidi="bn-BD"/>
        </w:rPr>
      </w:pPr>
    </w:p>
    <w:p w14:paraId="5CE5B452" w14:textId="77777777" w:rsidR="00E47E1C" w:rsidRPr="00682EAE" w:rsidRDefault="00E47E1C" w:rsidP="00257E19">
      <w:pPr>
        <w:spacing w:line="360" w:lineRule="auto"/>
        <w:rPr>
          <w:rFonts w:ascii="Arial" w:eastAsiaTheme="majorEastAsia" w:hAnsi="Arial" w:cs="Arial"/>
          <w:b/>
          <w:bCs/>
          <w:sz w:val="24"/>
          <w:szCs w:val="24"/>
          <w:lang w:bidi="bn-BD"/>
        </w:rPr>
      </w:pPr>
      <w:r w:rsidRPr="00682EAE">
        <w:rPr>
          <w:rFonts w:ascii="Arial" w:hAnsi="Arial" w:cs="Arial"/>
          <w:sz w:val="24"/>
          <w:szCs w:val="24"/>
          <w:lang w:bidi="bn-BD"/>
        </w:rPr>
        <w:br w:type="page"/>
      </w:r>
    </w:p>
    <w:p w14:paraId="734391E4" w14:textId="77777777" w:rsidR="00E47E1C" w:rsidRPr="00C80308" w:rsidRDefault="00E47E1C" w:rsidP="00257E19">
      <w:pPr>
        <w:pStyle w:val="Heading1"/>
        <w:spacing w:line="360" w:lineRule="auto"/>
        <w:rPr>
          <w:rFonts w:ascii="Arial" w:hAnsi="Arial" w:cs="Arial"/>
          <w:b/>
          <w:bCs/>
          <w:color w:val="7030A0"/>
          <w:lang w:bidi="bn-BD"/>
        </w:rPr>
      </w:pPr>
      <w:bookmarkStart w:id="2" w:name="_Toc68630139"/>
      <w:r w:rsidRPr="00C80308">
        <w:rPr>
          <w:rFonts w:ascii="Arial" w:hAnsi="Arial" w:cs="Arial"/>
          <w:b/>
          <w:bCs/>
          <w:color w:val="7030A0"/>
          <w:lang w:bidi="bn-BD"/>
        </w:rPr>
        <w:lastRenderedPageBreak/>
        <w:t>Conclusion</w:t>
      </w:r>
      <w:bookmarkEnd w:id="2"/>
    </w:p>
    <w:p w14:paraId="0240CB72" w14:textId="77777777" w:rsidR="00E47E1C" w:rsidRPr="00682EAE" w:rsidRDefault="00E47E1C" w:rsidP="00257E19">
      <w:pPr>
        <w:spacing w:line="360" w:lineRule="auto"/>
        <w:rPr>
          <w:rFonts w:ascii="Arial" w:hAnsi="Arial" w:cs="Arial"/>
          <w:sz w:val="24"/>
          <w:szCs w:val="24"/>
          <w:lang w:bidi="bn-BD"/>
        </w:rPr>
      </w:pPr>
      <w:r w:rsidRPr="00682EAE">
        <w:rPr>
          <w:rFonts w:ascii="Arial" w:hAnsi="Arial" w:cs="Arial"/>
          <w:sz w:val="24"/>
          <w:szCs w:val="24"/>
          <w:lang w:bidi="bn-BD"/>
        </w:rPr>
        <w:t>In this report, the discussion is made over the concerns regarding person-centred care in the context of the Institute of Cancer Research which is a health care service providing organisation. In this report, the discussions are made on the concept of person-centred care and underpinning the concept from the theoretical and ethical aspects. The benefits and limitations of practicing person-centred approach are also discussed here. The application of the approach in the case of the Institute of Cancer Research is also identified here with a set of recommendations for the organisation.</w:t>
      </w:r>
    </w:p>
    <w:p w14:paraId="0AC99262" w14:textId="77777777" w:rsidR="00E47E1C" w:rsidRPr="00682EAE" w:rsidRDefault="00E47E1C" w:rsidP="00257E19">
      <w:pPr>
        <w:spacing w:line="360" w:lineRule="auto"/>
        <w:rPr>
          <w:rFonts w:ascii="Arial" w:hAnsi="Arial" w:cs="Arial"/>
          <w:sz w:val="24"/>
          <w:szCs w:val="24"/>
          <w:lang w:bidi="bn-BD"/>
        </w:rPr>
      </w:pPr>
    </w:p>
    <w:p w14:paraId="72017565" w14:textId="77777777" w:rsidR="00E47E1C" w:rsidRPr="00682EAE" w:rsidRDefault="00E47E1C" w:rsidP="00257E19">
      <w:pPr>
        <w:spacing w:line="360" w:lineRule="auto"/>
        <w:rPr>
          <w:rFonts w:ascii="Arial" w:hAnsi="Arial" w:cs="Arial"/>
          <w:sz w:val="24"/>
          <w:szCs w:val="24"/>
          <w:lang w:bidi="bn-BD"/>
        </w:rPr>
      </w:pPr>
    </w:p>
    <w:p w14:paraId="3D019294" w14:textId="77777777" w:rsidR="00E47E1C" w:rsidRPr="00682EAE" w:rsidRDefault="00E47E1C" w:rsidP="00257E19">
      <w:pPr>
        <w:spacing w:line="360" w:lineRule="auto"/>
        <w:rPr>
          <w:rFonts w:ascii="Arial" w:hAnsi="Arial" w:cs="Arial"/>
          <w:sz w:val="24"/>
          <w:szCs w:val="24"/>
          <w:lang w:bidi="bn-BD"/>
        </w:rPr>
      </w:pPr>
    </w:p>
    <w:p w14:paraId="0060FBE1" w14:textId="77777777" w:rsidR="00E47E1C" w:rsidRPr="00682EAE" w:rsidRDefault="00E47E1C" w:rsidP="00257E19">
      <w:pPr>
        <w:spacing w:line="360" w:lineRule="auto"/>
        <w:rPr>
          <w:rFonts w:ascii="Arial" w:hAnsi="Arial" w:cs="Arial"/>
          <w:sz w:val="24"/>
          <w:szCs w:val="24"/>
          <w:lang w:bidi="bn-BD"/>
        </w:rPr>
      </w:pPr>
    </w:p>
    <w:p w14:paraId="23AB9E7D" w14:textId="77777777" w:rsidR="00E47E1C" w:rsidRPr="00682EAE" w:rsidRDefault="00E47E1C" w:rsidP="00257E19">
      <w:pPr>
        <w:spacing w:line="360" w:lineRule="auto"/>
        <w:rPr>
          <w:rFonts w:ascii="Arial" w:hAnsi="Arial" w:cs="Arial"/>
          <w:sz w:val="24"/>
          <w:szCs w:val="24"/>
          <w:lang w:bidi="bn-BD"/>
        </w:rPr>
      </w:pPr>
    </w:p>
    <w:p w14:paraId="09EBDA49" w14:textId="77777777" w:rsidR="00E47E1C" w:rsidRPr="00682EAE" w:rsidRDefault="00E47E1C" w:rsidP="00257E19">
      <w:pPr>
        <w:spacing w:line="360" w:lineRule="auto"/>
        <w:rPr>
          <w:rFonts w:ascii="Arial" w:hAnsi="Arial" w:cs="Arial"/>
          <w:sz w:val="24"/>
          <w:szCs w:val="24"/>
          <w:lang w:bidi="bn-BD"/>
        </w:rPr>
      </w:pPr>
    </w:p>
    <w:p w14:paraId="3821DF36" w14:textId="77777777" w:rsidR="00E47E1C" w:rsidRPr="00682EAE" w:rsidRDefault="00E47E1C" w:rsidP="00257E19">
      <w:pPr>
        <w:spacing w:line="360" w:lineRule="auto"/>
        <w:rPr>
          <w:rFonts w:ascii="Arial" w:hAnsi="Arial" w:cs="Arial"/>
          <w:sz w:val="24"/>
          <w:szCs w:val="24"/>
          <w:lang w:bidi="bn-BD"/>
        </w:rPr>
      </w:pPr>
    </w:p>
    <w:p w14:paraId="067CF968" w14:textId="77777777" w:rsidR="00E47E1C" w:rsidRPr="00682EAE" w:rsidRDefault="00E47E1C" w:rsidP="00257E19">
      <w:pPr>
        <w:spacing w:line="360" w:lineRule="auto"/>
        <w:rPr>
          <w:rFonts w:ascii="Arial" w:hAnsi="Arial" w:cs="Arial"/>
          <w:sz w:val="24"/>
          <w:szCs w:val="24"/>
          <w:lang w:bidi="bn-BD"/>
        </w:rPr>
      </w:pPr>
    </w:p>
    <w:p w14:paraId="0378B5A5" w14:textId="77777777" w:rsidR="00E47E1C" w:rsidRPr="00682EAE" w:rsidRDefault="00E47E1C" w:rsidP="00257E19">
      <w:pPr>
        <w:spacing w:line="360" w:lineRule="auto"/>
        <w:rPr>
          <w:rFonts w:ascii="Arial" w:hAnsi="Arial" w:cs="Arial"/>
          <w:sz w:val="24"/>
          <w:szCs w:val="24"/>
          <w:lang w:bidi="bn-BD"/>
        </w:rPr>
      </w:pPr>
    </w:p>
    <w:p w14:paraId="48DD2A85" w14:textId="77777777" w:rsidR="00E47E1C" w:rsidRPr="00682EAE" w:rsidRDefault="00E47E1C" w:rsidP="00257E19">
      <w:pPr>
        <w:spacing w:line="360" w:lineRule="auto"/>
        <w:rPr>
          <w:rFonts w:ascii="Arial" w:hAnsi="Arial" w:cs="Arial"/>
          <w:sz w:val="24"/>
          <w:szCs w:val="24"/>
          <w:lang w:bidi="bn-BD"/>
        </w:rPr>
      </w:pPr>
    </w:p>
    <w:p w14:paraId="67B51744" w14:textId="77777777" w:rsidR="00E47E1C" w:rsidRPr="00682EAE" w:rsidRDefault="00E47E1C" w:rsidP="00257E19">
      <w:pPr>
        <w:spacing w:line="360" w:lineRule="auto"/>
        <w:rPr>
          <w:rFonts w:ascii="Arial" w:hAnsi="Arial" w:cs="Arial"/>
          <w:sz w:val="24"/>
          <w:szCs w:val="24"/>
          <w:lang w:bidi="bn-BD"/>
        </w:rPr>
      </w:pPr>
    </w:p>
    <w:p w14:paraId="294A7B93" w14:textId="77777777" w:rsidR="00E47E1C" w:rsidRPr="00682EAE" w:rsidRDefault="00E47E1C" w:rsidP="00257E19">
      <w:pPr>
        <w:spacing w:line="360" w:lineRule="auto"/>
        <w:rPr>
          <w:rFonts w:ascii="Arial" w:hAnsi="Arial" w:cs="Arial"/>
          <w:sz w:val="24"/>
          <w:szCs w:val="24"/>
          <w:lang w:bidi="bn-BD"/>
        </w:rPr>
      </w:pPr>
    </w:p>
    <w:p w14:paraId="29737126" w14:textId="08D3390F" w:rsidR="00E47E1C" w:rsidRPr="00682EAE" w:rsidRDefault="00E47E1C" w:rsidP="00257E19">
      <w:pPr>
        <w:spacing w:line="360" w:lineRule="auto"/>
        <w:rPr>
          <w:rFonts w:ascii="Arial" w:hAnsi="Arial" w:cs="Arial"/>
          <w:sz w:val="24"/>
          <w:szCs w:val="24"/>
          <w:lang w:bidi="bn-BD"/>
        </w:rPr>
      </w:pPr>
    </w:p>
    <w:p w14:paraId="2A409798" w14:textId="0B045CF7" w:rsidR="00455A86" w:rsidRPr="00682EAE" w:rsidRDefault="00455A86" w:rsidP="00257E19">
      <w:pPr>
        <w:spacing w:line="360" w:lineRule="auto"/>
        <w:rPr>
          <w:rFonts w:ascii="Arial" w:hAnsi="Arial" w:cs="Arial"/>
          <w:sz w:val="24"/>
          <w:szCs w:val="24"/>
          <w:lang w:bidi="bn-BD"/>
        </w:rPr>
      </w:pPr>
    </w:p>
    <w:p w14:paraId="416F32CB" w14:textId="61FC5F06" w:rsidR="00455A86" w:rsidRPr="00682EAE" w:rsidRDefault="00455A86" w:rsidP="00257E19">
      <w:pPr>
        <w:spacing w:line="360" w:lineRule="auto"/>
        <w:rPr>
          <w:rFonts w:ascii="Arial" w:hAnsi="Arial" w:cs="Arial"/>
          <w:sz w:val="24"/>
          <w:szCs w:val="24"/>
          <w:lang w:bidi="bn-BD"/>
        </w:rPr>
      </w:pPr>
    </w:p>
    <w:p w14:paraId="29D65BBF" w14:textId="1F8A7DD0" w:rsidR="00455A86" w:rsidRPr="00682EAE" w:rsidRDefault="00455A86" w:rsidP="00257E19">
      <w:pPr>
        <w:spacing w:line="360" w:lineRule="auto"/>
        <w:rPr>
          <w:rFonts w:ascii="Arial" w:hAnsi="Arial" w:cs="Arial"/>
          <w:sz w:val="24"/>
          <w:szCs w:val="24"/>
          <w:lang w:bidi="bn-BD"/>
        </w:rPr>
      </w:pPr>
    </w:p>
    <w:p w14:paraId="1F095CB9" w14:textId="77777777" w:rsidR="00455A86" w:rsidRPr="00682EAE" w:rsidRDefault="00455A86" w:rsidP="00257E19">
      <w:pPr>
        <w:spacing w:line="360" w:lineRule="auto"/>
        <w:rPr>
          <w:rFonts w:ascii="Arial" w:hAnsi="Arial" w:cs="Arial"/>
          <w:sz w:val="24"/>
          <w:szCs w:val="24"/>
          <w:lang w:bidi="bn-BD"/>
        </w:rPr>
      </w:pPr>
    </w:p>
    <w:p w14:paraId="4CC881DD" w14:textId="77777777" w:rsidR="00E47E1C" w:rsidRPr="00682EAE" w:rsidRDefault="00E47E1C" w:rsidP="00257E19">
      <w:pPr>
        <w:spacing w:line="360" w:lineRule="auto"/>
        <w:rPr>
          <w:rFonts w:ascii="Arial" w:hAnsi="Arial" w:cs="Arial"/>
          <w:sz w:val="24"/>
          <w:szCs w:val="24"/>
          <w:lang w:bidi="bn-BD"/>
        </w:rPr>
      </w:pPr>
    </w:p>
    <w:p w14:paraId="432AEAEE" w14:textId="77777777" w:rsidR="00E47E1C" w:rsidRPr="00C80308" w:rsidRDefault="00E47E1C" w:rsidP="00257E19">
      <w:pPr>
        <w:pStyle w:val="Heading1"/>
        <w:spacing w:line="360" w:lineRule="auto"/>
        <w:rPr>
          <w:rFonts w:ascii="Arial" w:hAnsi="Arial" w:cs="Arial"/>
          <w:b/>
          <w:bCs/>
          <w:color w:val="7030A0"/>
          <w:lang w:bidi="bn-BD"/>
        </w:rPr>
      </w:pPr>
      <w:bookmarkStart w:id="3" w:name="_Toc68630140"/>
      <w:r w:rsidRPr="00C80308">
        <w:rPr>
          <w:rFonts w:ascii="Arial" w:hAnsi="Arial" w:cs="Arial"/>
          <w:b/>
          <w:bCs/>
          <w:color w:val="7030A0"/>
          <w:lang w:bidi="bn-BD"/>
        </w:rPr>
        <w:lastRenderedPageBreak/>
        <w:t>References</w:t>
      </w:r>
      <w:bookmarkEnd w:id="3"/>
    </w:p>
    <w:p w14:paraId="608378A9"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Ahmad, N., </w:t>
      </w:r>
      <w:proofErr w:type="spellStart"/>
      <w:r w:rsidRPr="00682EAE">
        <w:rPr>
          <w:rFonts w:ascii="Arial" w:hAnsi="Arial" w:cs="Arial"/>
          <w:sz w:val="24"/>
          <w:szCs w:val="24"/>
          <w:shd w:val="clear" w:color="auto" w:fill="FFFFFF"/>
          <w:lang w:bidi="bn-BD"/>
        </w:rPr>
        <w:t>Ellins</w:t>
      </w:r>
      <w:proofErr w:type="spellEnd"/>
      <w:r w:rsidRPr="00682EAE">
        <w:rPr>
          <w:rFonts w:ascii="Arial" w:hAnsi="Arial" w:cs="Arial"/>
          <w:sz w:val="24"/>
          <w:szCs w:val="24"/>
          <w:shd w:val="clear" w:color="auto" w:fill="FFFFFF"/>
          <w:lang w:bidi="bn-BD"/>
        </w:rPr>
        <w:t xml:space="preserve">, J., </w:t>
      </w:r>
      <w:proofErr w:type="spellStart"/>
      <w:r w:rsidRPr="00682EAE">
        <w:rPr>
          <w:rFonts w:ascii="Arial" w:hAnsi="Arial" w:cs="Arial"/>
          <w:sz w:val="24"/>
          <w:szCs w:val="24"/>
          <w:shd w:val="clear" w:color="auto" w:fill="FFFFFF"/>
          <w:lang w:bidi="bn-BD"/>
        </w:rPr>
        <w:t>Krelle</w:t>
      </w:r>
      <w:proofErr w:type="spellEnd"/>
      <w:r w:rsidRPr="00682EAE">
        <w:rPr>
          <w:rFonts w:ascii="Arial" w:hAnsi="Arial" w:cs="Arial"/>
          <w:sz w:val="24"/>
          <w:szCs w:val="24"/>
          <w:shd w:val="clear" w:color="auto" w:fill="FFFFFF"/>
          <w:lang w:bidi="bn-BD"/>
        </w:rPr>
        <w:t xml:space="preserve">, H. and </w:t>
      </w:r>
      <w:proofErr w:type="spellStart"/>
      <w:r w:rsidRPr="00682EAE">
        <w:rPr>
          <w:rFonts w:ascii="Arial" w:hAnsi="Arial" w:cs="Arial"/>
          <w:sz w:val="24"/>
          <w:szCs w:val="24"/>
          <w:shd w:val="clear" w:color="auto" w:fill="FFFFFF"/>
          <w:lang w:bidi="bn-BD"/>
        </w:rPr>
        <w:t>Lawrie</w:t>
      </w:r>
      <w:proofErr w:type="spellEnd"/>
      <w:r w:rsidRPr="00682EAE">
        <w:rPr>
          <w:rFonts w:ascii="Arial" w:hAnsi="Arial" w:cs="Arial"/>
          <w:sz w:val="24"/>
          <w:szCs w:val="24"/>
          <w:shd w:val="clear" w:color="auto" w:fill="FFFFFF"/>
          <w:lang w:bidi="bn-BD"/>
        </w:rPr>
        <w:t>, M., 2014. </w:t>
      </w:r>
      <w:r w:rsidRPr="00682EAE">
        <w:rPr>
          <w:rFonts w:ascii="Arial" w:hAnsi="Arial" w:cs="Arial"/>
          <w:i/>
          <w:iCs/>
          <w:sz w:val="24"/>
          <w:szCs w:val="24"/>
          <w:shd w:val="clear" w:color="auto" w:fill="FFFFFF"/>
          <w:lang w:bidi="bn-BD"/>
        </w:rPr>
        <w:t>Person-centred care: from ideas to action</w:t>
      </w:r>
      <w:r w:rsidRPr="00682EAE">
        <w:rPr>
          <w:rFonts w:ascii="Arial" w:hAnsi="Arial" w:cs="Arial"/>
          <w:sz w:val="24"/>
          <w:szCs w:val="24"/>
          <w:shd w:val="clear" w:color="auto" w:fill="FFFFFF"/>
          <w:lang w:bidi="bn-BD"/>
        </w:rPr>
        <w:t>. London: Health Foundation.</w:t>
      </w:r>
    </w:p>
    <w:p w14:paraId="2EB8E12F" w14:textId="1ACE4C22"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Brooker, D., 2003. What is person-centred care in </w:t>
      </w:r>
      <w:r w:rsidR="00997B65" w:rsidRPr="00682EAE">
        <w:rPr>
          <w:rFonts w:ascii="Arial" w:hAnsi="Arial" w:cs="Arial"/>
          <w:sz w:val="24"/>
          <w:szCs w:val="24"/>
          <w:shd w:val="clear" w:color="auto" w:fill="FFFFFF"/>
          <w:lang w:bidi="bn-BD"/>
        </w:rPr>
        <w:t>cancer?</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Reviews in clinical gerontology</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13</w:t>
      </w:r>
      <w:r w:rsidRPr="00682EAE">
        <w:rPr>
          <w:rFonts w:ascii="Arial" w:hAnsi="Arial" w:cs="Arial"/>
          <w:sz w:val="24"/>
          <w:szCs w:val="24"/>
          <w:shd w:val="clear" w:color="auto" w:fill="FFFFFF"/>
          <w:lang w:bidi="bn-BD"/>
        </w:rPr>
        <w:t>(3), pp.215-222.</w:t>
      </w:r>
    </w:p>
    <w:p w14:paraId="05A3903C"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Harrington, K., Hall, E., Hawkins, M., Henry, A., MacKay, R., </w:t>
      </w:r>
      <w:proofErr w:type="spellStart"/>
      <w:r w:rsidRPr="00682EAE">
        <w:rPr>
          <w:rFonts w:ascii="Arial" w:hAnsi="Arial" w:cs="Arial"/>
          <w:sz w:val="24"/>
          <w:szCs w:val="24"/>
          <w:shd w:val="clear" w:color="auto" w:fill="FFFFFF"/>
          <w:lang w:bidi="bn-BD"/>
        </w:rPr>
        <w:t>Maughan</w:t>
      </w:r>
      <w:proofErr w:type="spellEnd"/>
      <w:r w:rsidRPr="00682EAE">
        <w:rPr>
          <w:rFonts w:ascii="Arial" w:hAnsi="Arial" w:cs="Arial"/>
          <w:sz w:val="24"/>
          <w:szCs w:val="24"/>
          <w:shd w:val="clear" w:color="auto" w:fill="FFFFFF"/>
          <w:lang w:bidi="bn-BD"/>
        </w:rPr>
        <w:t xml:space="preserve">, T., McDonald, A., Nutting, C., </w:t>
      </w:r>
      <w:proofErr w:type="spellStart"/>
      <w:r w:rsidRPr="00682EAE">
        <w:rPr>
          <w:rFonts w:ascii="Arial" w:hAnsi="Arial" w:cs="Arial"/>
          <w:sz w:val="24"/>
          <w:szCs w:val="24"/>
          <w:shd w:val="clear" w:color="auto" w:fill="FFFFFF"/>
          <w:lang w:bidi="bn-BD"/>
        </w:rPr>
        <w:t>Oelfke</w:t>
      </w:r>
      <w:proofErr w:type="spellEnd"/>
      <w:r w:rsidRPr="00682EAE">
        <w:rPr>
          <w:rFonts w:ascii="Arial" w:hAnsi="Arial" w:cs="Arial"/>
          <w:sz w:val="24"/>
          <w:szCs w:val="24"/>
          <w:shd w:val="clear" w:color="auto" w:fill="FFFFFF"/>
          <w:lang w:bidi="bn-BD"/>
        </w:rPr>
        <w:t xml:space="preserve">, U., </w:t>
      </w:r>
      <w:proofErr w:type="spellStart"/>
      <w:r w:rsidRPr="00682EAE">
        <w:rPr>
          <w:rFonts w:ascii="Arial" w:hAnsi="Arial" w:cs="Arial"/>
          <w:sz w:val="24"/>
          <w:szCs w:val="24"/>
          <w:shd w:val="clear" w:color="auto" w:fill="FFFFFF"/>
          <w:lang w:bidi="bn-BD"/>
        </w:rPr>
        <w:t>Sebag</w:t>
      </w:r>
      <w:proofErr w:type="spellEnd"/>
      <w:r w:rsidRPr="00682EAE">
        <w:rPr>
          <w:rFonts w:ascii="Arial" w:hAnsi="Arial" w:cs="Arial"/>
          <w:sz w:val="24"/>
          <w:szCs w:val="24"/>
          <w:shd w:val="clear" w:color="auto" w:fill="FFFFFF"/>
          <w:lang w:bidi="bn-BD"/>
        </w:rPr>
        <w:t xml:space="preserve">-Montefiore, D. and Sharma, R.A., 2017. Introducing the cancer research </w:t>
      </w:r>
      <w:proofErr w:type="spellStart"/>
      <w:r w:rsidRPr="00682EAE">
        <w:rPr>
          <w:rFonts w:ascii="Arial" w:hAnsi="Arial" w:cs="Arial"/>
          <w:sz w:val="24"/>
          <w:szCs w:val="24"/>
          <w:shd w:val="clear" w:color="auto" w:fill="FFFFFF"/>
          <w:lang w:bidi="bn-BD"/>
        </w:rPr>
        <w:t>uk</w:t>
      </w:r>
      <w:proofErr w:type="spellEnd"/>
      <w:r w:rsidRPr="00682EAE">
        <w:rPr>
          <w:rFonts w:ascii="Arial" w:hAnsi="Arial" w:cs="Arial"/>
          <w:sz w:val="24"/>
          <w:szCs w:val="24"/>
          <w:shd w:val="clear" w:color="auto" w:fill="FFFFFF"/>
          <w:lang w:bidi="bn-BD"/>
        </w:rPr>
        <w:t xml:space="preserve"> advanced radiotherapy technologies network (ART-NET). </w:t>
      </w:r>
      <w:r w:rsidRPr="00682EAE">
        <w:rPr>
          <w:rFonts w:ascii="Arial" w:hAnsi="Arial" w:cs="Arial"/>
          <w:i/>
          <w:iCs/>
          <w:sz w:val="24"/>
          <w:szCs w:val="24"/>
          <w:shd w:val="clear" w:color="auto" w:fill="FFFFFF"/>
          <w:lang w:bidi="bn-BD"/>
        </w:rPr>
        <w:t>Clinical Oncology</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29</w:t>
      </w:r>
      <w:r w:rsidRPr="00682EAE">
        <w:rPr>
          <w:rFonts w:ascii="Arial" w:hAnsi="Arial" w:cs="Arial"/>
          <w:sz w:val="24"/>
          <w:szCs w:val="24"/>
          <w:shd w:val="clear" w:color="auto" w:fill="FFFFFF"/>
          <w:lang w:bidi="bn-BD"/>
        </w:rPr>
        <w:t>(11), pp.707-710.</w:t>
      </w:r>
    </w:p>
    <w:p w14:paraId="6EE0FE33" w14:textId="77777777" w:rsidR="00E47E1C" w:rsidRPr="00682EAE" w:rsidRDefault="00E47E1C" w:rsidP="00257E19">
      <w:pPr>
        <w:spacing w:line="360" w:lineRule="auto"/>
        <w:rPr>
          <w:rFonts w:ascii="Arial" w:hAnsi="Arial" w:cs="Arial"/>
          <w:sz w:val="24"/>
          <w:szCs w:val="24"/>
          <w:lang w:bidi="bn-BD"/>
        </w:rPr>
      </w:pPr>
      <w:r w:rsidRPr="00682EAE">
        <w:rPr>
          <w:rFonts w:ascii="Arial" w:hAnsi="Arial" w:cs="Arial"/>
          <w:sz w:val="24"/>
          <w:szCs w:val="24"/>
          <w:shd w:val="clear" w:color="auto" w:fill="FFFFFF"/>
          <w:lang w:bidi="bn-BD"/>
        </w:rPr>
        <w:t xml:space="preserve">Jones, P.A. and </w:t>
      </w:r>
      <w:proofErr w:type="spellStart"/>
      <w:r w:rsidRPr="00682EAE">
        <w:rPr>
          <w:rFonts w:ascii="Arial" w:hAnsi="Arial" w:cs="Arial"/>
          <w:sz w:val="24"/>
          <w:szCs w:val="24"/>
          <w:shd w:val="clear" w:color="auto" w:fill="FFFFFF"/>
          <w:lang w:bidi="bn-BD"/>
        </w:rPr>
        <w:t>Baylin</w:t>
      </w:r>
      <w:proofErr w:type="spellEnd"/>
      <w:r w:rsidRPr="00682EAE">
        <w:rPr>
          <w:rFonts w:ascii="Arial" w:hAnsi="Arial" w:cs="Arial"/>
          <w:sz w:val="24"/>
          <w:szCs w:val="24"/>
          <w:shd w:val="clear" w:color="auto" w:fill="FFFFFF"/>
          <w:lang w:bidi="bn-BD"/>
        </w:rPr>
        <w:t xml:space="preserve">, S.B., 2017. The </w:t>
      </w:r>
      <w:proofErr w:type="spellStart"/>
      <w:r w:rsidRPr="00682EAE">
        <w:rPr>
          <w:rFonts w:ascii="Arial" w:hAnsi="Arial" w:cs="Arial"/>
          <w:sz w:val="24"/>
          <w:szCs w:val="24"/>
          <w:shd w:val="clear" w:color="auto" w:fill="FFFFFF"/>
          <w:lang w:bidi="bn-BD"/>
        </w:rPr>
        <w:t>epigenomics</w:t>
      </w:r>
      <w:proofErr w:type="spellEnd"/>
      <w:r w:rsidRPr="00682EAE">
        <w:rPr>
          <w:rFonts w:ascii="Arial" w:hAnsi="Arial" w:cs="Arial"/>
          <w:sz w:val="24"/>
          <w:szCs w:val="24"/>
          <w:shd w:val="clear" w:color="auto" w:fill="FFFFFF"/>
          <w:lang w:bidi="bn-BD"/>
        </w:rPr>
        <w:t xml:space="preserve"> of cancer. </w:t>
      </w:r>
      <w:r w:rsidRPr="00682EAE">
        <w:rPr>
          <w:rFonts w:ascii="Arial" w:hAnsi="Arial" w:cs="Arial"/>
          <w:i/>
          <w:iCs/>
          <w:sz w:val="24"/>
          <w:szCs w:val="24"/>
          <w:shd w:val="clear" w:color="auto" w:fill="FFFFFF"/>
          <w:lang w:bidi="bn-BD"/>
        </w:rPr>
        <w:t>Cell</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128</w:t>
      </w:r>
      <w:r w:rsidRPr="00682EAE">
        <w:rPr>
          <w:rFonts w:ascii="Arial" w:hAnsi="Arial" w:cs="Arial"/>
          <w:sz w:val="24"/>
          <w:szCs w:val="24"/>
          <w:shd w:val="clear" w:color="auto" w:fill="FFFFFF"/>
          <w:lang w:bidi="bn-BD"/>
        </w:rPr>
        <w:t>(4), pp.683-692.</w:t>
      </w:r>
    </w:p>
    <w:p w14:paraId="4884D167"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Manley, K., Hills, V. and Marriot, S., 2011. Person-centred care: principle of nursing practice D. </w:t>
      </w:r>
      <w:r w:rsidRPr="00682EAE">
        <w:rPr>
          <w:rFonts w:ascii="Arial" w:hAnsi="Arial" w:cs="Arial"/>
          <w:i/>
          <w:iCs/>
          <w:sz w:val="24"/>
          <w:szCs w:val="24"/>
          <w:shd w:val="clear" w:color="auto" w:fill="FFFFFF"/>
          <w:lang w:bidi="bn-BD"/>
        </w:rPr>
        <w:t>Nursing Standard</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25</w:t>
      </w:r>
      <w:r w:rsidRPr="00682EAE">
        <w:rPr>
          <w:rFonts w:ascii="Arial" w:hAnsi="Arial" w:cs="Arial"/>
          <w:sz w:val="24"/>
          <w:szCs w:val="24"/>
          <w:shd w:val="clear" w:color="auto" w:fill="FFFFFF"/>
          <w:lang w:bidi="bn-BD"/>
        </w:rPr>
        <w:t>(31), pp.35-38.</w:t>
      </w:r>
    </w:p>
    <w:p w14:paraId="2A624565"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McCormack, B., Dewing, J. and </w:t>
      </w:r>
      <w:proofErr w:type="spellStart"/>
      <w:r w:rsidRPr="00682EAE">
        <w:rPr>
          <w:rFonts w:ascii="Arial" w:hAnsi="Arial" w:cs="Arial"/>
          <w:sz w:val="24"/>
          <w:szCs w:val="24"/>
          <w:shd w:val="clear" w:color="auto" w:fill="FFFFFF"/>
          <w:lang w:bidi="bn-BD"/>
        </w:rPr>
        <w:t>Mccance</w:t>
      </w:r>
      <w:proofErr w:type="spellEnd"/>
      <w:r w:rsidRPr="00682EAE">
        <w:rPr>
          <w:rFonts w:ascii="Arial" w:hAnsi="Arial" w:cs="Arial"/>
          <w:sz w:val="24"/>
          <w:szCs w:val="24"/>
          <w:shd w:val="clear" w:color="auto" w:fill="FFFFFF"/>
          <w:lang w:bidi="bn-BD"/>
        </w:rPr>
        <w:t>, T., 2011. Developing person-centred care: addressing contextual challenges through practice development.</w:t>
      </w:r>
    </w:p>
    <w:p w14:paraId="170CF987"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Moore, L., Britten, N., </w:t>
      </w:r>
      <w:proofErr w:type="spellStart"/>
      <w:r w:rsidRPr="00682EAE">
        <w:rPr>
          <w:rFonts w:ascii="Arial" w:hAnsi="Arial" w:cs="Arial"/>
          <w:sz w:val="24"/>
          <w:szCs w:val="24"/>
          <w:shd w:val="clear" w:color="auto" w:fill="FFFFFF"/>
          <w:lang w:bidi="bn-BD"/>
        </w:rPr>
        <w:t>Lydahl</w:t>
      </w:r>
      <w:proofErr w:type="spellEnd"/>
      <w:r w:rsidRPr="00682EAE">
        <w:rPr>
          <w:rFonts w:ascii="Arial" w:hAnsi="Arial" w:cs="Arial"/>
          <w:sz w:val="24"/>
          <w:szCs w:val="24"/>
          <w:shd w:val="clear" w:color="auto" w:fill="FFFFFF"/>
          <w:lang w:bidi="bn-BD"/>
        </w:rPr>
        <w:t xml:space="preserve">, D., </w:t>
      </w:r>
      <w:proofErr w:type="spellStart"/>
      <w:r w:rsidRPr="00682EAE">
        <w:rPr>
          <w:rFonts w:ascii="Arial" w:hAnsi="Arial" w:cs="Arial"/>
          <w:sz w:val="24"/>
          <w:szCs w:val="24"/>
          <w:shd w:val="clear" w:color="auto" w:fill="FFFFFF"/>
          <w:lang w:bidi="bn-BD"/>
        </w:rPr>
        <w:t>Naldemirci</w:t>
      </w:r>
      <w:proofErr w:type="spellEnd"/>
      <w:r w:rsidRPr="00682EAE">
        <w:rPr>
          <w:rFonts w:ascii="Arial" w:hAnsi="Arial" w:cs="Arial"/>
          <w:sz w:val="24"/>
          <w:szCs w:val="24"/>
          <w:shd w:val="clear" w:color="auto" w:fill="FFFFFF"/>
          <w:lang w:bidi="bn-BD"/>
        </w:rPr>
        <w:t>, Ö., Elam, M. and Wolf, A., 2017. Barriers and facilitators to the implementation of person</w:t>
      </w:r>
      <w:r w:rsidRPr="00682EAE">
        <w:rPr>
          <w:rFonts w:ascii="Cambria Math" w:hAnsi="Cambria Math" w:cs="Cambria Math"/>
          <w:sz w:val="24"/>
          <w:szCs w:val="24"/>
          <w:shd w:val="clear" w:color="auto" w:fill="FFFFFF"/>
          <w:lang w:bidi="bn-BD"/>
        </w:rPr>
        <w:t>‐</w:t>
      </w:r>
      <w:r w:rsidRPr="00682EAE">
        <w:rPr>
          <w:rFonts w:ascii="Arial" w:hAnsi="Arial" w:cs="Arial"/>
          <w:sz w:val="24"/>
          <w:szCs w:val="24"/>
          <w:shd w:val="clear" w:color="auto" w:fill="FFFFFF"/>
          <w:lang w:bidi="bn-BD"/>
        </w:rPr>
        <w:t>centred care in different healthcare contexts. </w:t>
      </w:r>
      <w:r w:rsidRPr="00682EAE">
        <w:rPr>
          <w:rFonts w:ascii="Arial" w:hAnsi="Arial" w:cs="Arial"/>
          <w:i/>
          <w:iCs/>
          <w:sz w:val="24"/>
          <w:szCs w:val="24"/>
          <w:shd w:val="clear" w:color="auto" w:fill="FFFFFF"/>
          <w:lang w:bidi="bn-BD"/>
        </w:rPr>
        <w:t>Scandinavian journal of caring sciences</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31</w:t>
      </w:r>
      <w:r w:rsidRPr="00682EAE">
        <w:rPr>
          <w:rFonts w:ascii="Arial" w:hAnsi="Arial" w:cs="Arial"/>
          <w:sz w:val="24"/>
          <w:szCs w:val="24"/>
          <w:shd w:val="clear" w:color="auto" w:fill="FFFFFF"/>
          <w:lang w:bidi="bn-BD"/>
        </w:rPr>
        <w:t>(4), pp.662-673.</w:t>
      </w:r>
    </w:p>
    <w:p w14:paraId="67CD6E9B"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Nolan, M.R., Davies, S., Brown, J., </w:t>
      </w:r>
      <w:proofErr w:type="spellStart"/>
      <w:r w:rsidRPr="00682EAE">
        <w:rPr>
          <w:rFonts w:ascii="Arial" w:hAnsi="Arial" w:cs="Arial"/>
          <w:sz w:val="24"/>
          <w:szCs w:val="24"/>
          <w:shd w:val="clear" w:color="auto" w:fill="FFFFFF"/>
          <w:lang w:bidi="bn-BD"/>
        </w:rPr>
        <w:t>Keady</w:t>
      </w:r>
      <w:proofErr w:type="spellEnd"/>
      <w:r w:rsidRPr="00682EAE">
        <w:rPr>
          <w:rFonts w:ascii="Arial" w:hAnsi="Arial" w:cs="Arial"/>
          <w:sz w:val="24"/>
          <w:szCs w:val="24"/>
          <w:shd w:val="clear" w:color="auto" w:fill="FFFFFF"/>
          <w:lang w:bidi="bn-BD"/>
        </w:rPr>
        <w:t>, J. and Nolan, J., 2014. Beyond ‘person</w:t>
      </w:r>
      <w:r w:rsidRPr="00682EAE">
        <w:rPr>
          <w:rFonts w:ascii="Cambria Math" w:hAnsi="Cambria Math" w:cs="Cambria Math"/>
          <w:sz w:val="24"/>
          <w:szCs w:val="24"/>
          <w:shd w:val="clear" w:color="auto" w:fill="FFFFFF"/>
          <w:lang w:bidi="bn-BD"/>
        </w:rPr>
        <w:t>‐</w:t>
      </w:r>
      <w:proofErr w:type="spellStart"/>
      <w:r w:rsidRPr="00682EAE">
        <w:rPr>
          <w:rFonts w:ascii="Arial" w:hAnsi="Arial" w:cs="Arial"/>
          <w:sz w:val="24"/>
          <w:szCs w:val="24"/>
          <w:shd w:val="clear" w:color="auto" w:fill="FFFFFF"/>
          <w:lang w:bidi="bn-BD"/>
        </w:rPr>
        <w:t>centred’care</w:t>
      </w:r>
      <w:proofErr w:type="spellEnd"/>
      <w:r w:rsidRPr="00682EAE">
        <w:rPr>
          <w:rFonts w:ascii="Arial" w:hAnsi="Arial" w:cs="Arial"/>
          <w:sz w:val="24"/>
          <w:szCs w:val="24"/>
          <w:shd w:val="clear" w:color="auto" w:fill="FFFFFF"/>
          <w:lang w:bidi="bn-BD"/>
        </w:rPr>
        <w:t xml:space="preserve">: a new vision for </w:t>
      </w:r>
      <w:proofErr w:type="spellStart"/>
      <w:r w:rsidRPr="00682EAE">
        <w:rPr>
          <w:rFonts w:ascii="Arial" w:hAnsi="Arial" w:cs="Arial"/>
          <w:sz w:val="24"/>
          <w:szCs w:val="24"/>
          <w:shd w:val="clear" w:color="auto" w:fill="FFFFFF"/>
          <w:lang w:bidi="bn-BD"/>
        </w:rPr>
        <w:t>gerontological</w:t>
      </w:r>
      <w:proofErr w:type="spellEnd"/>
      <w:r w:rsidRPr="00682EAE">
        <w:rPr>
          <w:rFonts w:ascii="Arial" w:hAnsi="Arial" w:cs="Arial"/>
          <w:sz w:val="24"/>
          <w:szCs w:val="24"/>
          <w:shd w:val="clear" w:color="auto" w:fill="FFFFFF"/>
          <w:lang w:bidi="bn-BD"/>
        </w:rPr>
        <w:t xml:space="preserve"> nursing. </w:t>
      </w:r>
      <w:r w:rsidRPr="00682EAE">
        <w:rPr>
          <w:rFonts w:ascii="Arial" w:hAnsi="Arial" w:cs="Arial"/>
          <w:i/>
          <w:iCs/>
          <w:sz w:val="24"/>
          <w:szCs w:val="24"/>
          <w:shd w:val="clear" w:color="auto" w:fill="FFFFFF"/>
          <w:lang w:bidi="bn-BD"/>
        </w:rPr>
        <w:t>Journal of clinical nursing</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13</w:t>
      </w:r>
      <w:r w:rsidRPr="00682EAE">
        <w:rPr>
          <w:rFonts w:ascii="Arial" w:hAnsi="Arial" w:cs="Arial"/>
          <w:sz w:val="24"/>
          <w:szCs w:val="24"/>
          <w:shd w:val="clear" w:color="auto" w:fill="FFFFFF"/>
          <w:lang w:bidi="bn-BD"/>
        </w:rPr>
        <w:t>, pp.45-53.</w:t>
      </w:r>
    </w:p>
    <w:p w14:paraId="4F1923D9"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Price, B., 2016. Exploring person-centred care. </w:t>
      </w:r>
      <w:r w:rsidRPr="00682EAE">
        <w:rPr>
          <w:rFonts w:ascii="Arial" w:hAnsi="Arial" w:cs="Arial"/>
          <w:i/>
          <w:iCs/>
          <w:sz w:val="24"/>
          <w:szCs w:val="24"/>
          <w:shd w:val="clear" w:color="auto" w:fill="FFFFFF"/>
          <w:lang w:bidi="bn-BD"/>
        </w:rPr>
        <w:t>Nursing Standard</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20</w:t>
      </w:r>
      <w:r w:rsidRPr="00682EAE">
        <w:rPr>
          <w:rFonts w:ascii="Arial" w:hAnsi="Arial" w:cs="Arial"/>
          <w:sz w:val="24"/>
          <w:szCs w:val="24"/>
          <w:shd w:val="clear" w:color="auto" w:fill="FFFFFF"/>
          <w:lang w:bidi="bn-BD"/>
        </w:rPr>
        <w:t>(50).</w:t>
      </w:r>
    </w:p>
    <w:p w14:paraId="1281191F"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Ross, H., Tod, A.M. and Clarke, A., 2015. Understanding and achieving person</w:t>
      </w:r>
      <w:r w:rsidRPr="00682EAE">
        <w:rPr>
          <w:rFonts w:ascii="Cambria Math" w:hAnsi="Cambria Math" w:cs="Cambria Math"/>
          <w:sz w:val="24"/>
          <w:szCs w:val="24"/>
          <w:shd w:val="clear" w:color="auto" w:fill="FFFFFF"/>
          <w:lang w:bidi="bn-BD"/>
        </w:rPr>
        <w:t>‐</w:t>
      </w:r>
      <w:r w:rsidRPr="00682EAE">
        <w:rPr>
          <w:rFonts w:ascii="Arial" w:hAnsi="Arial" w:cs="Arial"/>
          <w:sz w:val="24"/>
          <w:szCs w:val="24"/>
          <w:shd w:val="clear" w:color="auto" w:fill="FFFFFF"/>
          <w:lang w:bidi="bn-BD"/>
        </w:rPr>
        <w:t>centred care: the nurse perspective. </w:t>
      </w:r>
      <w:r w:rsidRPr="00682EAE">
        <w:rPr>
          <w:rFonts w:ascii="Arial" w:hAnsi="Arial" w:cs="Arial"/>
          <w:i/>
          <w:iCs/>
          <w:sz w:val="24"/>
          <w:szCs w:val="24"/>
          <w:shd w:val="clear" w:color="auto" w:fill="FFFFFF"/>
          <w:lang w:bidi="bn-BD"/>
        </w:rPr>
        <w:t>Journal of clinical nursing</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24</w:t>
      </w:r>
      <w:r w:rsidRPr="00682EAE">
        <w:rPr>
          <w:rFonts w:ascii="Arial" w:hAnsi="Arial" w:cs="Arial"/>
          <w:sz w:val="24"/>
          <w:szCs w:val="24"/>
          <w:shd w:val="clear" w:color="auto" w:fill="FFFFFF"/>
          <w:lang w:bidi="bn-BD"/>
        </w:rPr>
        <w:t>(9-10), pp.1223-1233.</w:t>
      </w:r>
    </w:p>
    <w:p w14:paraId="7DAD7334" w14:textId="77777777" w:rsidR="00E47E1C" w:rsidRPr="00682EAE" w:rsidRDefault="00E47E1C" w:rsidP="00257E19">
      <w:pPr>
        <w:spacing w:line="360" w:lineRule="auto"/>
        <w:rPr>
          <w:rFonts w:ascii="Arial" w:hAnsi="Arial" w:cs="Arial"/>
          <w:sz w:val="24"/>
          <w:szCs w:val="24"/>
          <w:shd w:val="clear" w:color="auto" w:fill="FFFFFF"/>
          <w:lang w:bidi="bn-BD"/>
        </w:rPr>
      </w:pPr>
      <w:r w:rsidRPr="00682EAE">
        <w:rPr>
          <w:rFonts w:ascii="Arial" w:hAnsi="Arial" w:cs="Arial"/>
          <w:sz w:val="24"/>
          <w:szCs w:val="24"/>
          <w:shd w:val="clear" w:color="auto" w:fill="FFFFFF"/>
          <w:lang w:bidi="bn-BD"/>
        </w:rPr>
        <w:t xml:space="preserve">Santana, M.J., </w:t>
      </w:r>
      <w:proofErr w:type="spellStart"/>
      <w:r w:rsidRPr="00682EAE">
        <w:rPr>
          <w:rFonts w:ascii="Arial" w:hAnsi="Arial" w:cs="Arial"/>
          <w:sz w:val="24"/>
          <w:szCs w:val="24"/>
          <w:shd w:val="clear" w:color="auto" w:fill="FFFFFF"/>
          <w:lang w:bidi="bn-BD"/>
        </w:rPr>
        <w:t>Manalili</w:t>
      </w:r>
      <w:proofErr w:type="spellEnd"/>
      <w:r w:rsidRPr="00682EAE">
        <w:rPr>
          <w:rFonts w:ascii="Arial" w:hAnsi="Arial" w:cs="Arial"/>
          <w:sz w:val="24"/>
          <w:szCs w:val="24"/>
          <w:shd w:val="clear" w:color="auto" w:fill="FFFFFF"/>
          <w:lang w:bidi="bn-BD"/>
        </w:rPr>
        <w:t xml:space="preserve">, K., Jolley, R.J., </w:t>
      </w:r>
      <w:proofErr w:type="spellStart"/>
      <w:r w:rsidRPr="00682EAE">
        <w:rPr>
          <w:rFonts w:ascii="Arial" w:hAnsi="Arial" w:cs="Arial"/>
          <w:sz w:val="24"/>
          <w:szCs w:val="24"/>
          <w:shd w:val="clear" w:color="auto" w:fill="FFFFFF"/>
          <w:lang w:bidi="bn-BD"/>
        </w:rPr>
        <w:t>Zelinsky</w:t>
      </w:r>
      <w:proofErr w:type="spellEnd"/>
      <w:r w:rsidRPr="00682EAE">
        <w:rPr>
          <w:rFonts w:ascii="Arial" w:hAnsi="Arial" w:cs="Arial"/>
          <w:sz w:val="24"/>
          <w:szCs w:val="24"/>
          <w:shd w:val="clear" w:color="auto" w:fill="FFFFFF"/>
          <w:lang w:bidi="bn-BD"/>
        </w:rPr>
        <w:t xml:space="preserve">, S., </w:t>
      </w:r>
      <w:proofErr w:type="spellStart"/>
      <w:r w:rsidRPr="00682EAE">
        <w:rPr>
          <w:rFonts w:ascii="Arial" w:hAnsi="Arial" w:cs="Arial"/>
          <w:sz w:val="24"/>
          <w:szCs w:val="24"/>
          <w:shd w:val="clear" w:color="auto" w:fill="FFFFFF"/>
          <w:lang w:bidi="bn-BD"/>
        </w:rPr>
        <w:t>Quan</w:t>
      </w:r>
      <w:proofErr w:type="spellEnd"/>
      <w:r w:rsidRPr="00682EAE">
        <w:rPr>
          <w:rFonts w:ascii="Arial" w:hAnsi="Arial" w:cs="Arial"/>
          <w:sz w:val="24"/>
          <w:szCs w:val="24"/>
          <w:shd w:val="clear" w:color="auto" w:fill="FFFFFF"/>
          <w:lang w:bidi="bn-BD"/>
        </w:rPr>
        <w:t>, H. and Lu, M., 2018. How to practice person</w:t>
      </w:r>
      <w:r w:rsidRPr="00682EAE">
        <w:rPr>
          <w:rFonts w:ascii="Cambria Math" w:hAnsi="Cambria Math" w:cs="Cambria Math"/>
          <w:sz w:val="24"/>
          <w:szCs w:val="24"/>
          <w:shd w:val="clear" w:color="auto" w:fill="FFFFFF"/>
          <w:lang w:bidi="bn-BD"/>
        </w:rPr>
        <w:t>‐</w:t>
      </w:r>
      <w:r w:rsidRPr="00682EAE">
        <w:rPr>
          <w:rFonts w:ascii="Arial" w:hAnsi="Arial" w:cs="Arial"/>
          <w:sz w:val="24"/>
          <w:szCs w:val="24"/>
          <w:shd w:val="clear" w:color="auto" w:fill="FFFFFF"/>
          <w:lang w:bidi="bn-BD"/>
        </w:rPr>
        <w:t>centred care: A conceptual framework. </w:t>
      </w:r>
      <w:r w:rsidRPr="00682EAE">
        <w:rPr>
          <w:rFonts w:ascii="Arial" w:hAnsi="Arial" w:cs="Arial"/>
          <w:i/>
          <w:iCs/>
          <w:sz w:val="24"/>
          <w:szCs w:val="24"/>
          <w:shd w:val="clear" w:color="auto" w:fill="FFFFFF"/>
          <w:lang w:bidi="bn-BD"/>
        </w:rPr>
        <w:t>Health Expectations</w:t>
      </w:r>
      <w:r w:rsidRPr="00682EAE">
        <w:rPr>
          <w:rFonts w:ascii="Arial" w:hAnsi="Arial" w:cs="Arial"/>
          <w:sz w:val="24"/>
          <w:szCs w:val="24"/>
          <w:shd w:val="clear" w:color="auto" w:fill="FFFFFF"/>
          <w:lang w:bidi="bn-BD"/>
        </w:rPr>
        <w:t>, </w:t>
      </w:r>
      <w:r w:rsidRPr="00682EAE">
        <w:rPr>
          <w:rFonts w:ascii="Arial" w:hAnsi="Arial" w:cs="Arial"/>
          <w:i/>
          <w:iCs/>
          <w:sz w:val="24"/>
          <w:szCs w:val="24"/>
          <w:shd w:val="clear" w:color="auto" w:fill="FFFFFF"/>
          <w:lang w:bidi="bn-BD"/>
        </w:rPr>
        <w:t>21</w:t>
      </w:r>
      <w:r w:rsidRPr="00682EAE">
        <w:rPr>
          <w:rFonts w:ascii="Arial" w:hAnsi="Arial" w:cs="Arial"/>
          <w:sz w:val="24"/>
          <w:szCs w:val="24"/>
          <w:shd w:val="clear" w:color="auto" w:fill="FFFFFF"/>
          <w:lang w:bidi="bn-BD"/>
        </w:rPr>
        <w:t>(2), pp.429-440.</w:t>
      </w:r>
    </w:p>
    <w:p w14:paraId="2F67B02A" w14:textId="37DE104D" w:rsidR="00E47E1C" w:rsidRPr="00682EAE" w:rsidRDefault="00E47E1C" w:rsidP="00257E19">
      <w:pPr>
        <w:spacing w:line="360" w:lineRule="auto"/>
        <w:rPr>
          <w:rFonts w:ascii="Arial" w:hAnsi="Arial" w:cs="Arial"/>
          <w:b/>
          <w:bCs/>
          <w:color w:val="7030A0"/>
          <w:sz w:val="24"/>
          <w:szCs w:val="24"/>
        </w:rPr>
      </w:pPr>
    </w:p>
    <w:sectPr w:rsidR="00E47E1C" w:rsidRPr="00682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62C"/>
    <w:rsid w:val="000C2C85"/>
    <w:rsid w:val="000E51FD"/>
    <w:rsid w:val="000F41B5"/>
    <w:rsid w:val="0016143E"/>
    <w:rsid w:val="001975E9"/>
    <w:rsid w:val="001D267A"/>
    <w:rsid w:val="00234595"/>
    <w:rsid w:val="00237D40"/>
    <w:rsid w:val="00257E19"/>
    <w:rsid w:val="00274E8B"/>
    <w:rsid w:val="002F60DE"/>
    <w:rsid w:val="003463B3"/>
    <w:rsid w:val="00455A86"/>
    <w:rsid w:val="0048484B"/>
    <w:rsid w:val="005E1DC8"/>
    <w:rsid w:val="00682EAE"/>
    <w:rsid w:val="007E26C1"/>
    <w:rsid w:val="0083590E"/>
    <w:rsid w:val="00881A34"/>
    <w:rsid w:val="008D262C"/>
    <w:rsid w:val="008F4700"/>
    <w:rsid w:val="008F6B72"/>
    <w:rsid w:val="009111FD"/>
    <w:rsid w:val="0098196B"/>
    <w:rsid w:val="00997B65"/>
    <w:rsid w:val="009B5669"/>
    <w:rsid w:val="00C71810"/>
    <w:rsid w:val="00C80308"/>
    <w:rsid w:val="00E260ED"/>
    <w:rsid w:val="00E4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338404"/>
  <w15:chartTrackingRefBased/>
  <w15:docId w15:val="{F2A9D001-79E3-8E4C-A793-4AE00C510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E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E47E1C"/>
    <w:pPr>
      <w:spacing w:before="480" w:line="240" w:lineRule="auto"/>
      <w:jc w:val="both"/>
      <w:outlineLvl w:val="9"/>
    </w:pPr>
    <w:rPr>
      <w:rFonts w:ascii="Arial" w:hAnsi="Arial"/>
      <w:b/>
      <w:bCs/>
      <w:color w:val="auto"/>
      <w:sz w:val="30"/>
      <w:szCs w:val="28"/>
      <w:lang w:val="en-US" w:eastAsia="ja-JP"/>
    </w:rPr>
  </w:style>
  <w:style w:type="paragraph" w:styleId="TOC1">
    <w:name w:val="toc 1"/>
    <w:basedOn w:val="Normal"/>
    <w:next w:val="Normal"/>
    <w:autoRedefine/>
    <w:uiPriority w:val="39"/>
    <w:unhideWhenUsed/>
    <w:rsid w:val="00E47E1C"/>
    <w:pPr>
      <w:spacing w:after="100" w:line="360" w:lineRule="auto"/>
      <w:jc w:val="both"/>
    </w:pPr>
    <w:rPr>
      <w:rFonts w:ascii="Arial" w:eastAsiaTheme="minorHAnsi" w:hAnsi="Arial" w:cstheme="majorBidi"/>
      <w:sz w:val="24"/>
      <w:szCs w:val="28"/>
      <w:lang w:eastAsia="en-US" w:bidi="bn-BD"/>
    </w:rPr>
  </w:style>
  <w:style w:type="character" w:styleId="Hyperlink">
    <w:name w:val="Hyperlink"/>
    <w:basedOn w:val="DefaultParagraphFont"/>
    <w:uiPriority w:val="99"/>
    <w:unhideWhenUsed/>
    <w:rsid w:val="00E47E1C"/>
    <w:rPr>
      <w:color w:val="0563C1" w:themeColor="hyperlink"/>
      <w:u w:val="single"/>
    </w:rPr>
  </w:style>
  <w:style w:type="character" w:styleId="Strong">
    <w:name w:val="Strong"/>
    <w:basedOn w:val="DefaultParagraphFont"/>
    <w:uiPriority w:val="22"/>
    <w:qFormat/>
    <w:rsid w:val="00E47E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tm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14</Pages>
  <Words>2783</Words>
  <Characters>15866</Characters>
  <Application>Microsoft Office Word</Application>
  <DocSecurity>0</DocSecurity>
  <Lines>132</Lines>
  <Paragraphs>37</Paragraphs>
  <ScaleCrop>false</ScaleCrop>
  <Company/>
  <LinksUpToDate>false</LinksUpToDate>
  <CharactersWithSpaces>18612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31</cp:revision>
  <dcterms:created xsi:type="dcterms:W3CDTF">2021-04-26T23:38:00Z</dcterms:created>
  <dcterms:modified xsi:type="dcterms:W3CDTF">2021-04-27T00:01:00Z</dcterms:modified>
</cp:coreProperties>
</file>