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82885" w14:textId="77777777" w:rsidR="00C53DF0" w:rsidRDefault="00C53DF0" w:rsidP="002D28AA">
      <w:pPr>
        <w:pStyle w:val="BodyText"/>
        <w:spacing w:line="360" w:lineRule="auto"/>
        <w:jc w:val="both"/>
        <w:rPr>
          <w:rFonts w:ascii="Times New Roman"/>
        </w:rPr>
      </w:pPr>
    </w:p>
    <w:p w14:paraId="2EB75494" w14:textId="77777777" w:rsidR="00C53DF0" w:rsidRDefault="00C53DF0" w:rsidP="002D28AA">
      <w:pPr>
        <w:pStyle w:val="BodyText"/>
        <w:spacing w:line="360" w:lineRule="auto"/>
        <w:jc w:val="both"/>
        <w:rPr>
          <w:rFonts w:ascii="Times New Roman"/>
        </w:rPr>
      </w:pPr>
    </w:p>
    <w:p w14:paraId="4A347893" w14:textId="77777777" w:rsidR="00C53DF0" w:rsidRDefault="00C53DF0" w:rsidP="002D28AA">
      <w:pPr>
        <w:pStyle w:val="BodyText"/>
        <w:spacing w:line="360" w:lineRule="auto"/>
        <w:jc w:val="both"/>
        <w:rPr>
          <w:rFonts w:ascii="Times New Roman"/>
        </w:rPr>
      </w:pPr>
    </w:p>
    <w:p w14:paraId="5A026BD4" w14:textId="77777777" w:rsidR="00C53DF0" w:rsidRDefault="00C53DF0" w:rsidP="002D28AA">
      <w:pPr>
        <w:pStyle w:val="BodyText"/>
        <w:spacing w:line="360" w:lineRule="auto"/>
        <w:jc w:val="both"/>
        <w:rPr>
          <w:rFonts w:ascii="Times New Roman"/>
        </w:rPr>
      </w:pPr>
    </w:p>
    <w:p w14:paraId="29EF8859" w14:textId="77777777" w:rsidR="00C53DF0" w:rsidRDefault="00C53DF0" w:rsidP="002D28AA">
      <w:pPr>
        <w:pStyle w:val="BodyText"/>
        <w:spacing w:line="360" w:lineRule="auto"/>
        <w:jc w:val="both"/>
        <w:rPr>
          <w:rFonts w:ascii="Times New Roman"/>
        </w:rPr>
      </w:pPr>
    </w:p>
    <w:p w14:paraId="654E7A1F" w14:textId="77777777" w:rsidR="00C53DF0" w:rsidRDefault="00C53DF0" w:rsidP="002D28AA">
      <w:pPr>
        <w:pStyle w:val="BodyText"/>
        <w:spacing w:before="252" w:line="360" w:lineRule="auto"/>
        <w:jc w:val="both"/>
        <w:rPr>
          <w:rFonts w:ascii="Times New Roman"/>
        </w:rPr>
      </w:pPr>
    </w:p>
    <w:p w14:paraId="0EAFF585" w14:textId="77777777" w:rsidR="00C53DF0" w:rsidRDefault="00265074" w:rsidP="002D28AA">
      <w:pPr>
        <w:spacing w:line="360" w:lineRule="auto"/>
        <w:ind w:left="626" w:right="625"/>
        <w:jc w:val="center"/>
        <w:rPr>
          <w:rFonts w:ascii="Arial" w:hAnsi="Arial"/>
          <w:b/>
        </w:rPr>
      </w:pPr>
      <w:r>
        <w:rPr>
          <w:rFonts w:ascii="Arial" w:hAnsi="Arial"/>
          <w:b/>
        </w:rPr>
        <w:t>BMHP5019_BIRM</w:t>
      </w:r>
      <w:r>
        <w:rPr>
          <w:rFonts w:ascii="Arial" w:hAnsi="Arial"/>
          <w:b/>
          <w:spacing w:val="-2"/>
        </w:rPr>
        <w:t xml:space="preserve"> </w:t>
      </w:r>
      <w:r>
        <w:rPr>
          <w:rFonts w:ascii="Arial" w:hAnsi="Arial"/>
          <w:b/>
        </w:rPr>
        <w:t>–</w:t>
      </w:r>
      <w:r>
        <w:rPr>
          <w:rFonts w:ascii="Arial" w:hAnsi="Arial"/>
          <w:b/>
          <w:spacing w:val="-8"/>
        </w:rPr>
        <w:t xml:space="preserve"> </w:t>
      </w:r>
      <w:r>
        <w:rPr>
          <w:rFonts w:ascii="Arial" w:hAnsi="Arial"/>
          <w:b/>
        </w:rPr>
        <w:t>Introduction</w:t>
      </w:r>
      <w:r>
        <w:rPr>
          <w:rFonts w:ascii="Arial" w:hAnsi="Arial"/>
          <w:b/>
          <w:spacing w:val="-7"/>
        </w:rPr>
        <w:t xml:space="preserve"> </w:t>
      </w:r>
      <w:r>
        <w:rPr>
          <w:rFonts w:ascii="Arial" w:hAnsi="Arial"/>
          <w:b/>
        </w:rPr>
        <w:t>to</w:t>
      </w:r>
      <w:r>
        <w:rPr>
          <w:rFonts w:ascii="Arial" w:hAnsi="Arial"/>
          <w:b/>
          <w:spacing w:val="-6"/>
        </w:rPr>
        <w:t xml:space="preserve"> </w:t>
      </w:r>
      <w:r>
        <w:rPr>
          <w:rFonts w:ascii="Arial" w:hAnsi="Arial"/>
          <w:b/>
        </w:rPr>
        <w:t>Independent</w:t>
      </w:r>
      <w:r>
        <w:rPr>
          <w:rFonts w:ascii="Arial" w:hAnsi="Arial"/>
          <w:b/>
          <w:spacing w:val="-3"/>
        </w:rPr>
        <w:t xml:space="preserve"> </w:t>
      </w:r>
      <w:r>
        <w:rPr>
          <w:rFonts w:ascii="Arial" w:hAnsi="Arial"/>
          <w:b/>
        </w:rPr>
        <w:t>Research</w:t>
      </w:r>
      <w:r>
        <w:rPr>
          <w:rFonts w:ascii="Arial" w:hAnsi="Arial"/>
          <w:b/>
          <w:spacing w:val="-6"/>
        </w:rPr>
        <w:t xml:space="preserve"> </w:t>
      </w:r>
      <w:r>
        <w:rPr>
          <w:rFonts w:ascii="Arial" w:hAnsi="Arial"/>
          <w:b/>
        </w:rPr>
        <w:t>Skills Component 1 Template.</w:t>
      </w:r>
    </w:p>
    <w:p w14:paraId="0F6AA545" w14:textId="77777777" w:rsidR="00C53DF0" w:rsidRDefault="00265074" w:rsidP="002D28AA">
      <w:pPr>
        <w:spacing w:line="360" w:lineRule="auto"/>
        <w:ind w:left="626" w:right="625"/>
        <w:jc w:val="center"/>
        <w:rPr>
          <w:rFonts w:ascii="Arial"/>
          <w:b/>
        </w:rPr>
      </w:pPr>
      <w:r>
        <w:rPr>
          <w:rFonts w:ascii="Arial"/>
          <w:b/>
        </w:rPr>
        <w:t>400-word</w:t>
      </w:r>
      <w:r>
        <w:rPr>
          <w:rFonts w:ascii="Arial"/>
          <w:b/>
          <w:spacing w:val="-5"/>
        </w:rPr>
        <w:t xml:space="preserve"> </w:t>
      </w:r>
      <w:r>
        <w:rPr>
          <w:rFonts w:ascii="Arial"/>
          <w:b/>
        </w:rPr>
        <w:t>Scoping</w:t>
      </w:r>
      <w:r>
        <w:rPr>
          <w:rFonts w:ascii="Arial"/>
          <w:b/>
          <w:spacing w:val="-6"/>
        </w:rPr>
        <w:t xml:space="preserve"> </w:t>
      </w:r>
      <w:r>
        <w:rPr>
          <w:rFonts w:ascii="Arial"/>
          <w:b/>
        </w:rPr>
        <w:t>review</w:t>
      </w:r>
      <w:r>
        <w:rPr>
          <w:rFonts w:ascii="Arial"/>
          <w:b/>
          <w:spacing w:val="-4"/>
        </w:rPr>
        <w:t xml:space="preserve"> </w:t>
      </w:r>
      <w:r>
        <w:rPr>
          <w:rFonts w:ascii="Arial"/>
          <w:b/>
          <w:spacing w:val="-2"/>
        </w:rPr>
        <w:t>proposal.</w:t>
      </w:r>
    </w:p>
    <w:p w14:paraId="0952F327" w14:textId="77777777" w:rsidR="00C53DF0" w:rsidRDefault="00C53DF0" w:rsidP="002D28AA">
      <w:pPr>
        <w:pStyle w:val="BodyText"/>
        <w:spacing w:line="360" w:lineRule="auto"/>
        <w:jc w:val="center"/>
        <w:rPr>
          <w:rFonts w:ascii="Arial"/>
          <w:b/>
        </w:rPr>
      </w:pPr>
    </w:p>
    <w:p w14:paraId="4E46E3A7" w14:textId="77777777" w:rsidR="00C53DF0" w:rsidRDefault="00C53DF0" w:rsidP="002D28AA">
      <w:pPr>
        <w:pStyle w:val="BodyText"/>
        <w:spacing w:line="360" w:lineRule="auto"/>
        <w:jc w:val="center"/>
        <w:rPr>
          <w:rFonts w:ascii="Arial"/>
          <w:b/>
        </w:rPr>
      </w:pPr>
    </w:p>
    <w:p w14:paraId="10985842" w14:textId="77777777" w:rsidR="00C53DF0" w:rsidRDefault="00C53DF0" w:rsidP="002D28AA">
      <w:pPr>
        <w:pStyle w:val="BodyText"/>
        <w:spacing w:line="360" w:lineRule="auto"/>
        <w:jc w:val="center"/>
        <w:rPr>
          <w:rFonts w:ascii="Arial"/>
          <w:b/>
        </w:rPr>
      </w:pPr>
    </w:p>
    <w:p w14:paraId="3F7EA69B" w14:textId="77777777" w:rsidR="00C53DF0" w:rsidRDefault="00C53DF0" w:rsidP="002D28AA">
      <w:pPr>
        <w:pStyle w:val="BodyText"/>
        <w:spacing w:before="96" w:line="360" w:lineRule="auto"/>
        <w:jc w:val="center"/>
        <w:rPr>
          <w:rFonts w:ascii="Arial"/>
          <w:b/>
        </w:rPr>
      </w:pPr>
    </w:p>
    <w:p w14:paraId="78CA5ED9" w14:textId="543FB850" w:rsidR="00C53DF0" w:rsidRDefault="00265074" w:rsidP="002D28AA">
      <w:pPr>
        <w:spacing w:line="360" w:lineRule="auto"/>
        <w:ind w:left="627" w:right="625"/>
        <w:jc w:val="center"/>
        <w:rPr>
          <w:rFonts w:ascii="Arial"/>
          <w:b/>
        </w:rPr>
      </w:pPr>
      <w:r>
        <w:rPr>
          <w:rFonts w:ascii="Arial"/>
          <w:b/>
        </w:rPr>
        <w:t>Student</w:t>
      </w:r>
      <w:r>
        <w:rPr>
          <w:rFonts w:ascii="Arial"/>
          <w:b/>
          <w:spacing w:val="-3"/>
        </w:rPr>
        <w:t xml:space="preserve"> </w:t>
      </w:r>
      <w:r>
        <w:rPr>
          <w:rFonts w:ascii="Arial"/>
          <w:b/>
          <w:spacing w:val="-2"/>
        </w:rPr>
        <w:t>Name:</w:t>
      </w:r>
      <w:r w:rsidR="006C449A">
        <w:rPr>
          <w:rFonts w:ascii="Arial"/>
          <w:b/>
          <w:spacing w:val="-2"/>
        </w:rPr>
        <w:t xml:space="preserve"> Nabila Nazam</w:t>
      </w:r>
    </w:p>
    <w:p w14:paraId="06A5A32C" w14:textId="6D10C0C8" w:rsidR="00C53DF0" w:rsidRDefault="00265074" w:rsidP="002D28AA">
      <w:pPr>
        <w:spacing w:before="199" w:line="360" w:lineRule="auto"/>
        <w:ind w:left="4" w:right="4"/>
        <w:jc w:val="center"/>
        <w:rPr>
          <w:rFonts w:ascii="Arial"/>
          <w:b/>
        </w:rPr>
      </w:pPr>
      <w:r>
        <w:rPr>
          <w:rFonts w:ascii="Arial"/>
          <w:b/>
        </w:rPr>
        <w:t>Student</w:t>
      </w:r>
      <w:r>
        <w:rPr>
          <w:rFonts w:ascii="Arial"/>
          <w:b/>
          <w:spacing w:val="-3"/>
        </w:rPr>
        <w:t xml:space="preserve"> </w:t>
      </w:r>
      <w:r>
        <w:rPr>
          <w:rFonts w:ascii="Arial"/>
          <w:b/>
          <w:spacing w:val="-2"/>
        </w:rPr>
        <w:t>Number:</w:t>
      </w:r>
      <w:r w:rsidR="006C449A">
        <w:rPr>
          <w:rFonts w:ascii="Arial"/>
          <w:b/>
          <w:spacing w:val="-2"/>
        </w:rPr>
        <w:t xml:space="preserve"> 2324644</w:t>
      </w:r>
    </w:p>
    <w:p w14:paraId="1B7177AC" w14:textId="77777777" w:rsidR="00C53DF0" w:rsidRDefault="00C53DF0" w:rsidP="002D28AA">
      <w:pPr>
        <w:pStyle w:val="BodyText"/>
        <w:spacing w:line="360" w:lineRule="auto"/>
        <w:jc w:val="center"/>
        <w:rPr>
          <w:rFonts w:ascii="Arial"/>
          <w:b/>
        </w:rPr>
      </w:pPr>
    </w:p>
    <w:p w14:paraId="6B08CD29" w14:textId="77777777" w:rsidR="00C53DF0" w:rsidRDefault="00C53DF0" w:rsidP="002D28AA">
      <w:pPr>
        <w:pStyle w:val="BodyText"/>
        <w:spacing w:line="360" w:lineRule="auto"/>
        <w:jc w:val="center"/>
        <w:rPr>
          <w:rFonts w:ascii="Arial"/>
          <w:b/>
        </w:rPr>
      </w:pPr>
    </w:p>
    <w:p w14:paraId="4BB38944" w14:textId="77777777" w:rsidR="00C53DF0" w:rsidRDefault="00C53DF0" w:rsidP="002D28AA">
      <w:pPr>
        <w:pStyle w:val="BodyText"/>
        <w:spacing w:line="360" w:lineRule="auto"/>
        <w:jc w:val="center"/>
        <w:rPr>
          <w:rFonts w:ascii="Arial"/>
          <w:b/>
        </w:rPr>
      </w:pPr>
    </w:p>
    <w:p w14:paraId="41A5DAC8" w14:textId="77777777" w:rsidR="00C53DF0" w:rsidRDefault="00C53DF0" w:rsidP="002D28AA">
      <w:pPr>
        <w:pStyle w:val="BodyText"/>
        <w:spacing w:line="360" w:lineRule="auto"/>
        <w:jc w:val="center"/>
        <w:rPr>
          <w:rFonts w:ascii="Arial"/>
          <w:b/>
        </w:rPr>
      </w:pPr>
    </w:p>
    <w:p w14:paraId="12C705C6" w14:textId="77777777" w:rsidR="00C53DF0" w:rsidRDefault="00C53DF0" w:rsidP="002D28AA">
      <w:pPr>
        <w:pStyle w:val="BodyText"/>
        <w:spacing w:line="360" w:lineRule="auto"/>
        <w:jc w:val="center"/>
        <w:rPr>
          <w:rFonts w:ascii="Arial"/>
          <w:b/>
        </w:rPr>
      </w:pPr>
    </w:p>
    <w:p w14:paraId="78352B9B" w14:textId="77777777" w:rsidR="00C53DF0" w:rsidRDefault="00C53DF0" w:rsidP="002D28AA">
      <w:pPr>
        <w:pStyle w:val="BodyText"/>
        <w:spacing w:line="360" w:lineRule="auto"/>
        <w:jc w:val="center"/>
        <w:rPr>
          <w:rFonts w:ascii="Arial"/>
          <w:b/>
        </w:rPr>
      </w:pPr>
    </w:p>
    <w:p w14:paraId="2AD6DFBB" w14:textId="77777777" w:rsidR="00C53DF0" w:rsidRDefault="00C53DF0" w:rsidP="002D28AA">
      <w:pPr>
        <w:pStyle w:val="BodyText"/>
        <w:spacing w:before="242" w:line="360" w:lineRule="auto"/>
        <w:jc w:val="center"/>
        <w:rPr>
          <w:rFonts w:ascii="Arial"/>
          <w:b/>
        </w:rPr>
      </w:pPr>
    </w:p>
    <w:p w14:paraId="1051DDAE" w14:textId="77777777" w:rsidR="00C53DF0" w:rsidRDefault="00265074" w:rsidP="002D28AA">
      <w:pPr>
        <w:spacing w:line="360" w:lineRule="auto"/>
        <w:ind w:left="4"/>
        <w:jc w:val="center"/>
        <w:rPr>
          <w:rFonts w:ascii="Arial"/>
          <w:b/>
        </w:rPr>
      </w:pPr>
      <w:r>
        <w:rPr>
          <w:rFonts w:ascii="Arial"/>
          <w:b/>
          <w:spacing w:val="-2"/>
          <w:u w:val="single"/>
        </w:rPr>
        <w:t>Title</w:t>
      </w:r>
    </w:p>
    <w:p w14:paraId="2FB22066" w14:textId="77777777" w:rsidR="00C53DF0" w:rsidRPr="00FB6E5E" w:rsidRDefault="00FB6E5E" w:rsidP="002D28AA">
      <w:pPr>
        <w:pStyle w:val="BodyText"/>
        <w:spacing w:line="360" w:lineRule="auto"/>
        <w:jc w:val="center"/>
        <w:rPr>
          <w:b/>
        </w:rPr>
        <w:sectPr w:rsidR="00C53DF0" w:rsidRPr="00FB6E5E">
          <w:type w:val="continuous"/>
          <w:pgSz w:w="11910" w:h="16840"/>
          <w:pgMar w:top="1920" w:right="1417" w:bottom="280" w:left="1417" w:header="720" w:footer="720" w:gutter="0"/>
          <w:cols w:space="720"/>
        </w:sectPr>
      </w:pPr>
      <w:r w:rsidRPr="00FB6E5E">
        <w:rPr>
          <w:b/>
        </w:rPr>
        <w:t>A Scoping Review of Digital Health Technologies in Improving Patient Care: Identifying Themes Using Aveyard’s Simplified Thematic Analysis</w:t>
      </w:r>
    </w:p>
    <w:p w14:paraId="5F91A7C5" w14:textId="77777777" w:rsidR="00C53DF0" w:rsidRDefault="00265074" w:rsidP="002D28AA">
      <w:pPr>
        <w:pStyle w:val="Heading1"/>
        <w:spacing w:before="64" w:line="360" w:lineRule="auto"/>
        <w:jc w:val="both"/>
      </w:pPr>
      <w:r>
        <w:rPr>
          <w:u w:val="single"/>
        </w:rPr>
        <w:lastRenderedPageBreak/>
        <w:t>Background</w:t>
      </w:r>
      <w:r>
        <w:rPr>
          <w:spacing w:val="-4"/>
          <w:u w:val="single"/>
        </w:rPr>
        <w:t xml:space="preserve"> </w:t>
      </w:r>
      <w:r>
        <w:rPr>
          <w:u w:val="single"/>
        </w:rPr>
        <w:t>and</w:t>
      </w:r>
      <w:r>
        <w:rPr>
          <w:spacing w:val="-3"/>
          <w:u w:val="single"/>
        </w:rPr>
        <w:t xml:space="preserve"> </w:t>
      </w:r>
      <w:r>
        <w:rPr>
          <w:spacing w:val="-2"/>
          <w:u w:val="single"/>
        </w:rPr>
        <w:t>Rationale</w:t>
      </w:r>
    </w:p>
    <w:p w14:paraId="71DE0BAD" w14:textId="77777777" w:rsidR="00C53DF0" w:rsidRDefault="002D28AA" w:rsidP="002D28AA">
      <w:pPr>
        <w:pStyle w:val="BodyText"/>
        <w:spacing w:before="107" w:line="360" w:lineRule="auto"/>
        <w:jc w:val="both"/>
      </w:pPr>
      <w:r w:rsidRPr="002D28AA">
        <w:t>Telemedicine, mobile health applications, and electronic health records are examples of digital health tech</w:t>
      </w:r>
      <w:r w:rsidR="00265074">
        <w:t xml:space="preserve">nologies that have </w:t>
      </w:r>
      <w:proofErr w:type="spellStart"/>
      <w:r w:rsidR="00265074">
        <w:t>revolutionise</w:t>
      </w:r>
      <w:r w:rsidRPr="002D28AA">
        <w:t>d</w:t>
      </w:r>
      <w:proofErr w:type="spellEnd"/>
      <w:r w:rsidRPr="002D28AA">
        <w:t xml:space="preserve"> patient care through increased access and communication as well as self-care (Segur-Ferrer et al., 2024). In spite of their potential, the literature on their use in various patient groups and clinical environments is still fragmented (Fitzpatrick, 2023). The scoping review will help to map the available literature in a systematic manner, find recurring themes, and expose any gaps in evidence through which healthcare practitioners and policymakers will understand. Importantly, existing research is not always based on identical methodological constructs and ethical guidelines, which </w:t>
      </w:r>
      <w:r w:rsidR="00265074">
        <w:t xml:space="preserve">can impair the </w:t>
      </w:r>
      <w:proofErr w:type="spellStart"/>
      <w:r w:rsidR="00265074">
        <w:t>generalis</w:t>
      </w:r>
      <w:r w:rsidRPr="002D28AA">
        <w:t>ability</w:t>
      </w:r>
      <w:proofErr w:type="spellEnd"/>
      <w:r w:rsidRPr="002D28AA">
        <w:t xml:space="preserve"> of the results (Pilbeam et al., 2022). Accordingly, rigorous synthesis and interpretation will be guaranteed with the help of a designed thematic analysis based on Aveyard (Aveyard and Bradbury-Jones, 2019).</w:t>
      </w:r>
    </w:p>
    <w:p w14:paraId="6E72E741" w14:textId="77777777" w:rsidR="00C53DF0" w:rsidRDefault="00265074" w:rsidP="002D28AA">
      <w:pPr>
        <w:pStyle w:val="Heading1"/>
        <w:spacing w:before="1" w:line="360" w:lineRule="auto"/>
        <w:jc w:val="both"/>
      </w:pPr>
      <w:r>
        <w:rPr>
          <w:u w:val="single"/>
        </w:rPr>
        <w:t>Research</w:t>
      </w:r>
      <w:r>
        <w:rPr>
          <w:spacing w:val="-12"/>
          <w:u w:val="single"/>
        </w:rPr>
        <w:t xml:space="preserve"> </w:t>
      </w:r>
      <w:r>
        <w:rPr>
          <w:u w:val="single"/>
        </w:rPr>
        <w:t>Aim</w:t>
      </w:r>
      <w:r>
        <w:rPr>
          <w:spacing w:val="-2"/>
          <w:u w:val="single"/>
        </w:rPr>
        <w:t xml:space="preserve"> </w:t>
      </w:r>
      <w:r>
        <w:rPr>
          <w:u w:val="single"/>
        </w:rPr>
        <w:t>and</w:t>
      </w:r>
      <w:r>
        <w:rPr>
          <w:spacing w:val="-7"/>
          <w:u w:val="single"/>
        </w:rPr>
        <w:t xml:space="preserve"> </w:t>
      </w:r>
      <w:r>
        <w:rPr>
          <w:spacing w:val="-2"/>
          <w:u w:val="single"/>
        </w:rPr>
        <w:t>Objectives</w:t>
      </w:r>
    </w:p>
    <w:p w14:paraId="491E88BF" w14:textId="77777777" w:rsidR="002D28AA" w:rsidRDefault="002D28AA" w:rsidP="002D28AA">
      <w:pPr>
        <w:pStyle w:val="BodyText"/>
        <w:spacing w:line="360" w:lineRule="auto"/>
        <w:jc w:val="both"/>
      </w:pPr>
      <w:r>
        <w:t>This is mainly to conduct a systematic review and mapping of the existing literature on digital health technologies in patient care. This will:</w:t>
      </w:r>
    </w:p>
    <w:p w14:paraId="3370E306" w14:textId="77777777" w:rsidR="002D28AA" w:rsidRDefault="002D28AA" w:rsidP="002D28AA">
      <w:pPr>
        <w:pStyle w:val="BodyText"/>
        <w:numPr>
          <w:ilvl w:val="0"/>
          <w:numId w:val="3"/>
        </w:numPr>
        <w:spacing w:line="360" w:lineRule="auto"/>
        <w:jc w:val="both"/>
      </w:pPr>
      <w:r>
        <w:t>To find and rank important themes in the literature on the use and effect of digital health technologies.</w:t>
      </w:r>
    </w:p>
    <w:p w14:paraId="0CC23CA4" w14:textId="77777777" w:rsidR="002D28AA" w:rsidRDefault="002D28AA" w:rsidP="002D28AA">
      <w:pPr>
        <w:pStyle w:val="BodyText"/>
        <w:numPr>
          <w:ilvl w:val="0"/>
          <w:numId w:val="3"/>
        </w:numPr>
        <w:spacing w:line="360" w:lineRule="auto"/>
        <w:jc w:val="both"/>
      </w:pPr>
      <w:r>
        <w:t>To identify unmet evidence, especially regarding the quality of methodology and ethical aspects.</w:t>
      </w:r>
    </w:p>
    <w:p w14:paraId="129D22CB" w14:textId="77777777" w:rsidR="00C53DF0" w:rsidRDefault="002D28AA" w:rsidP="002D28AA">
      <w:pPr>
        <w:pStyle w:val="BodyText"/>
        <w:numPr>
          <w:ilvl w:val="0"/>
          <w:numId w:val="3"/>
        </w:numPr>
        <w:spacing w:line="360" w:lineRule="auto"/>
        <w:jc w:val="both"/>
      </w:pPr>
      <w:r>
        <w:t>To offer some insight into the practical use and suggestions to use in healthcare settings.</w:t>
      </w:r>
    </w:p>
    <w:p w14:paraId="314C769A" w14:textId="77777777" w:rsidR="00C53DF0" w:rsidRDefault="00265074" w:rsidP="002D28AA">
      <w:pPr>
        <w:pStyle w:val="Heading1"/>
        <w:spacing w:line="360" w:lineRule="auto"/>
        <w:jc w:val="both"/>
      </w:pPr>
      <w:r>
        <w:rPr>
          <w:spacing w:val="-2"/>
          <w:u w:val="single"/>
        </w:rPr>
        <w:t>Methodology</w:t>
      </w:r>
    </w:p>
    <w:p w14:paraId="5D6EB5E7" w14:textId="77777777" w:rsidR="00FB6E5E" w:rsidRPr="00FB6E5E" w:rsidRDefault="002D28AA" w:rsidP="002D28AA">
      <w:pPr>
        <w:pStyle w:val="Heading2"/>
        <w:spacing w:line="360" w:lineRule="auto"/>
        <w:jc w:val="both"/>
      </w:pPr>
      <w:r>
        <w:t>Scoping Review Framework</w:t>
      </w:r>
    </w:p>
    <w:p w14:paraId="7B455574" w14:textId="77777777" w:rsidR="00FB6E5E" w:rsidRDefault="002D28AA" w:rsidP="002D28AA">
      <w:pPr>
        <w:spacing w:line="360" w:lineRule="auto"/>
        <w:jc w:val="both"/>
      </w:pPr>
      <w:r w:rsidRPr="002D28AA">
        <w:t>The systematic scoping review will be based on the framework of Arksey and O’Malley (2005), which involves identifying the relevant studies, sifting the data, tabulation of data, and thematic analysis.</w:t>
      </w:r>
    </w:p>
    <w:p w14:paraId="2DEC2A9E" w14:textId="77777777" w:rsidR="00FB6E5E" w:rsidRPr="00FB6E5E" w:rsidRDefault="00FB6E5E" w:rsidP="002D28AA">
      <w:pPr>
        <w:pStyle w:val="Heading2"/>
        <w:spacing w:line="360" w:lineRule="auto"/>
        <w:jc w:val="both"/>
      </w:pPr>
      <w:r w:rsidRPr="00FB6E5E">
        <w:t>Research Question:</w:t>
      </w:r>
    </w:p>
    <w:p w14:paraId="582BC364" w14:textId="77777777" w:rsidR="00FB6E5E" w:rsidRDefault="002D28AA" w:rsidP="002D28AA">
      <w:pPr>
        <w:spacing w:line="360" w:lineRule="auto"/>
        <w:jc w:val="both"/>
      </w:pPr>
      <w:r w:rsidRPr="002D28AA">
        <w:t>Which are the main themes and gaps in evidence of the use of digital health technologies to enhance patient care as defined by the current peer-reviewed literature?</w:t>
      </w:r>
    </w:p>
    <w:p w14:paraId="21F3C4EC" w14:textId="77777777" w:rsidR="00FB6E5E" w:rsidRPr="00FB6E5E" w:rsidRDefault="00FB6E5E" w:rsidP="002D28AA">
      <w:pPr>
        <w:pStyle w:val="Heading2"/>
        <w:spacing w:line="360" w:lineRule="auto"/>
        <w:jc w:val="both"/>
      </w:pPr>
      <w:r w:rsidRPr="00FB6E5E">
        <w:t>Inclusion and Exclusion Criterion:</w:t>
      </w:r>
    </w:p>
    <w:p w14:paraId="1FD6534D" w14:textId="77777777" w:rsidR="002D28AA" w:rsidRDefault="002D28AA" w:rsidP="002D28AA">
      <w:pPr>
        <w:pStyle w:val="ListParagraph"/>
        <w:numPr>
          <w:ilvl w:val="0"/>
          <w:numId w:val="4"/>
        </w:numPr>
        <w:spacing w:line="360" w:lineRule="auto"/>
        <w:jc w:val="both"/>
      </w:pPr>
      <w:r>
        <w:t>Inclusion: Articles in the English language published within the past 10 years, where the article is about digital health in patient care.</w:t>
      </w:r>
    </w:p>
    <w:p w14:paraId="7C4661F9" w14:textId="77777777" w:rsidR="00FB6E5E" w:rsidRDefault="002D28AA" w:rsidP="002D28AA">
      <w:pPr>
        <w:pStyle w:val="ListParagraph"/>
        <w:numPr>
          <w:ilvl w:val="0"/>
          <w:numId w:val="4"/>
        </w:numPr>
        <w:spacing w:line="360" w:lineRule="auto"/>
        <w:jc w:val="both"/>
      </w:pPr>
      <w:r>
        <w:t>exclusion: Non-peer-reviewed articles, articles not written within the timeframe, and articles not related to patient care</w:t>
      </w:r>
      <w:r w:rsidR="00FB6E5E">
        <w:t>.</w:t>
      </w:r>
    </w:p>
    <w:p w14:paraId="332985B8" w14:textId="77777777" w:rsidR="00C53DF0" w:rsidRDefault="00265074" w:rsidP="002D28AA">
      <w:pPr>
        <w:pStyle w:val="Heading2"/>
        <w:spacing w:line="360" w:lineRule="auto"/>
        <w:jc w:val="both"/>
      </w:pPr>
      <w:r>
        <w:t>Data</w:t>
      </w:r>
      <w:r>
        <w:rPr>
          <w:spacing w:val="-4"/>
        </w:rPr>
        <w:t xml:space="preserve"> </w:t>
      </w:r>
      <w:r>
        <w:t>Collection</w:t>
      </w:r>
      <w:r>
        <w:rPr>
          <w:spacing w:val="-5"/>
        </w:rPr>
        <w:t xml:space="preserve"> </w:t>
      </w:r>
      <w:r>
        <w:t>and</w:t>
      </w:r>
      <w:r>
        <w:rPr>
          <w:spacing w:val="-12"/>
        </w:rPr>
        <w:t xml:space="preserve"> </w:t>
      </w:r>
      <w:r>
        <w:rPr>
          <w:spacing w:val="-2"/>
        </w:rPr>
        <w:t>Analysis</w:t>
      </w:r>
    </w:p>
    <w:p w14:paraId="5AFBABD9" w14:textId="77777777" w:rsidR="002D28AA" w:rsidRPr="002D28AA" w:rsidRDefault="002D28AA" w:rsidP="002D28AA">
      <w:pPr>
        <w:pStyle w:val="ListParagraph"/>
        <w:numPr>
          <w:ilvl w:val="0"/>
          <w:numId w:val="5"/>
        </w:numPr>
        <w:spacing w:line="360" w:lineRule="auto"/>
        <w:jc w:val="both"/>
      </w:pPr>
      <w:r w:rsidRPr="002D28AA">
        <w:t>Search Strategy: The databases (</w:t>
      </w:r>
      <w:proofErr w:type="spellStart"/>
      <w:r w:rsidRPr="002D28AA">
        <w:t>Publ</w:t>
      </w:r>
      <w:proofErr w:type="spellEnd"/>
      <w:r w:rsidRPr="002D28AA">
        <w:t xml:space="preserve"> Med, CINAHL, Scopus) will be searched by keywords: digital health, telemedicine, patient care, health apps.</w:t>
      </w:r>
    </w:p>
    <w:p w14:paraId="03FC9308" w14:textId="77777777" w:rsidR="002D28AA" w:rsidRPr="002D28AA" w:rsidRDefault="002D28AA" w:rsidP="002D28AA">
      <w:pPr>
        <w:pStyle w:val="ListParagraph"/>
        <w:numPr>
          <w:ilvl w:val="0"/>
          <w:numId w:val="5"/>
        </w:numPr>
        <w:spacing w:line="360" w:lineRule="auto"/>
        <w:jc w:val="both"/>
        <w:rPr>
          <w:b/>
          <w:bCs/>
        </w:rPr>
      </w:pPr>
      <w:r w:rsidRPr="002D28AA">
        <w:lastRenderedPageBreak/>
        <w:t>Analysis: The thematic analysis that is simplified by Aveyard will reveal repetitive patterns, themes, and critically assess methodo</w:t>
      </w:r>
      <w:r>
        <w:t>logical strength (Aveyard, 2007</w:t>
      </w:r>
      <w:r w:rsidRPr="002D28AA">
        <w:t>).</w:t>
      </w:r>
    </w:p>
    <w:p w14:paraId="0BA13C4D" w14:textId="77777777" w:rsidR="00C53DF0" w:rsidRDefault="00265074" w:rsidP="002D28AA">
      <w:pPr>
        <w:pStyle w:val="Heading1"/>
        <w:spacing w:line="360" w:lineRule="auto"/>
        <w:jc w:val="both"/>
      </w:pPr>
      <w:r>
        <w:rPr>
          <w:u w:val="single"/>
        </w:rPr>
        <w:t>Expected</w:t>
      </w:r>
      <w:r>
        <w:rPr>
          <w:spacing w:val="-6"/>
          <w:u w:val="single"/>
        </w:rPr>
        <w:t xml:space="preserve"> </w:t>
      </w:r>
      <w:r>
        <w:rPr>
          <w:spacing w:val="-2"/>
          <w:u w:val="single"/>
        </w:rPr>
        <w:t>Outcomes</w:t>
      </w:r>
    </w:p>
    <w:p w14:paraId="439317C3" w14:textId="77777777" w:rsidR="00C53DF0" w:rsidRDefault="00FB6E5E" w:rsidP="002D28AA">
      <w:pPr>
        <w:pStyle w:val="BodyText"/>
        <w:spacing w:line="360" w:lineRule="auto"/>
        <w:jc w:val="both"/>
      </w:pPr>
      <w:r w:rsidRPr="00FB6E5E">
        <w:t>The review should result in the creation of a thematic map that describes the effects of DHTs on patient care and critically determines the methodological limitations of the existing research (Segur-Ferrer et al., 2024).</w:t>
      </w:r>
    </w:p>
    <w:p w14:paraId="7D0359BF" w14:textId="77777777" w:rsidR="00C53DF0" w:rsidRDefault="00265074" w:rsidP="002D28AA">
      <w:pPr>
        <w:pStyle w:val="Heading1"/>
        <w:spacing w:line="360" w:lineRule="auto"/>
        <w:jc w:val="both"/>
      </w:pPr>
      <w:r>
        <w:rPr>
          <w:u w:val="single"/>
        </w:rPr>
        <w:t>Ethical</w:t>
      </w:r>
      <w:r>
        <w:rPr>
          <w:spacing w:val="-4"/>
          <w:u w:val="single"/>
        </w:rPr>
        <w:t xml:space="preserve"> </w:t>
      </w:r>
      <w:r>
        <w:rPr>
          <w:spacing w:val="-2"/>
          <w:u w:val="single"/>
        </w:rPr>
        <w:t>Considerations</w:t>
      </w:r>
    </w:p>
    <w:p w14:paraId="0496E04A" w14:textId="77777777" w:rsidR="00C53DF0" w:rsidRDefault="00FB6E5E" w:rsidP="002D28AA">
      <w:pPr>
        <w:pStyle w:val="BodyText"/>
        <w:spacing w:before="200" w:line="360" w:lineRule="auto"/>
        <w:jc w:val="both"/>
      </w:pPr>
      <w:r w:rsidRPr="00FB6E5E">
        <w:t>Despite the secondary data used in this study, ethical standards will be maintained by means of proper citation and plagiarism prevention. Also, Pilbeam et al. (2022) highlight the significance of integrity and reflexivity in health research, which will inform this review.</w:t>
      </w:r>
    </w:p>
    <w:p w14:paraId="2B271994" w14:textId="77777777" w:rsidR="00FB6E5E" w:rsidRPr="00FB6E5E" w:rsidRDefault="00FB6E5E" w:rsidP="002D28AA">
      <w:pPr>
        <w:spacing w:line="360" w:lineRule="auto"/>
        <w:jc w:val="both"/>
        <w:rPr>
          <w:rFonts w:ascii="Arial" w:eastAsia="Arial" w:hAnsi="Arial" w:cs="Arial"/>
          <w:bCs/>
          <w:spacing w:val="-2"/>
        </w:rPr>
      </w:pPr>
      <w:r w:rsidRPr="00FB6E5E">
        <w:rPr>
          <w:rFonts w:ascii="Arial" w:eastAsia="Arial" w:hAnsi="Arial" w:cs="Arial"/>
          <w:bCs/>
          <w:spacing w:val="-2"/>
        </w:rPr>
        <w:br w:type="page"/>
      </w:r>
    </w:p>
    <w:p w14:paraId="160CFA11" w14:textId="77777777" w:rsidR="00FB6E5E" w:rsidRDefault="00FB6E5E" w:rsidP="002D28AA">
      <w:pPr>
        <w:spacing w:line="360" w:lineRule="auto"/>
        <w:jc w:val="both"/>
        <w:rPr>
          <w:rFonts w:ascii="Arial" w:eastAsia="Arial" w:hAnsi="Arial" w:cs="Arial"/>
          <w:b/>
          <w:bCs/>
          <w:spacing w:val="-2"/>
          <w:u w:val="single"/>
        </w:rPr>
      </w:pPr>
    </w:p>
    <w:p w14:paraId="0AE2139A" w14:textId="77777777" w:rsidR="00C53DF0" w:rsidRDefault="00265074" w:rsidP="002D28AA">
      <w:pPr>
        <w:pStyle w:val="Heading1"/>
        <w:spacing w:line="360" w:lineRule="auto"/>
        <w:jc w:val="both"/>
      </w:pPr>
      <w:r>
        <w:rPr>
          <w:spacing w:val="-2"/>
          <w:u w:val="single"/>
        </w:rPr>
        <w:t>References</w:t>
      </w:r>
    </w:p>
    <w:p w14:paraId="1E16C1FB" w14:textId="77777777" w:rsidR="002D28AA" w:rsidRDefault="002D28AA" w:rsidP="002D28AA">
      <w:pPr>
        <w:pStyle w:val="NormalWeb"/>
        <w:spacing w:line="360" w:lineRule="auto"/>
        <w:ind w:left="720" w:hanging="720"/>
        <w:jc w:val="both"/>
      </w:pPr>
      <w:r>
        <w:t>Arksey, H., &amp; O'Malley, L. (2005). Scoping studies: towards a methodological framework. International Journal of Social Research Methodology, 8(1), 19-32.</w:t>
      </w:r>
    </w:p>
    <w:p w14:paraId="6A1C7526" w14:textId="77777777" w:rsidR="002D28AA" w:rsidRDefault="002D28AA" w:rsidP="002D28AA">
      <w:pPr>
        <w:pStyle w:val="NormalWeb"/>
        <w:spacing w:line="360" w:lineRule="auto"/>
        <w:ind w:left="720" w:hanging="720"/>
        <w:jc w:val="both"/>
      </w:pPr>
      <w:r>
        <w:t>Aveyard, H. &amp; Bradbury-Jones, C. (2019). An analysis of current practices in undertaking literature reviews in nursing: findings from a focused mapping review and synthesis. BMC Medical Research Methodology, 19(1), p.105.</w:t>
      </w:r>
    </w:p>
    <w:p w14:paraId="60C73122" w14:textId="77777777" w:rsidR="002D28AA" w:rsidRDefault="002D28AA" w:rsidP="002D28AA">
      <w:pPr>
        <w:pStyle w:val="NormalWeb"/>
        <w:spacing w:line="360" w:lineRule="auto"/>
        <w:ind w:left="720" w:hanging="720"/>
        <w:jc w:val="both"/>
      </w:pPr>
      <w:r>
        <w:t>Aveyard, H. (2007). Doing a Literature Review in Health and Social Care: A Practical Guide. Open University Press.</w:t>
      </w:r>
    </w:p>
    <w:p w14:paraId="54B4C8A1" w14:textId="77777777" w:rsidR="002D28AA" w:rsidRDefault="002D28AA" w:rsidP="002D28AA">
      <w:pPr>
        <w:pStyle w:val="NormalWeb"/>
        <w:spacing w:line="360" w:lineRule="auto"/>
        <w:ind w:left="720" w:hanging="720"/>
        <w:jc w:val="both"/>
      </w:pPr>
      <w:r>
        <w:t>Fitzpatrick, P.J. (2023). Improving health literacy using the power of digital communications to achieve better health outcomes for patients and practitioners. Frontiers in Digital Health, 5, p.1264780.</w:t>
      </w:r>
    </w:p>
    <w:p w14:paraId="3681BC2E" w14:textId="77777777" w:rsidR="002D28AA" w:rsidRDefault="002D28AA" w:rsidP="002D28AA">
      <w:pPr>
        <w:pStyle w:val="NormalWeb"/>
        <w:spacing w:line="360" w:lineRule="auto"/>
        <w:ind w:left="720" w:hanging="720"/>
        <w:jc w:val="both"/>
      </w:pPr>
      <w:r>
        <w:t xml:space="preserve">Pilbeam, C., </w:t>
      </w:r>
      <w:proofErr w:type="spellStart"/>
      <w:r>
        <w:t>Anthierens</w:t>
      </w:r>
      <w:proofErr w:type="spellEnd"/>
      <w:r>
        <w:t xml:space="preserve">, S., </w:t>
      </w:r>
      <w:proofErr w:type="spellStart"/>
      <w:r>
        <w:t>Vanderslott</w:t>
      </w:r>
      <w:proofErr w:type="spellEnd"/>
      <w:r>
        <w:t>, S., Tonkin-</w:t>
      </w:r>
      <w:proofErr w:type="spellStart"/>
      <w:r>
        <w:t>Crine</w:t>
      </w:r>
      <w:proofErr w:type="spellEnd"/>
      <w:r>
        <w:t>, S., &amp; Wanat, M. (2022). Methodological and ethical considerations when conducting qualitative interview research with healthcare professionals. International Journal of Qualitative Methods, 21, p.16094069221077763.</w:t>
      </w:r>
    </w:p>
    <w:p w14:paraId="2A1CF592" w14:textId="77777777" w:rsidR="002D28AA" w:rsidRDefault="002D28AA" w:rsidP="002D28AA">
      <w:pPr>
        <w:pStyle w:val="NormalWeb"/>
        <w:spacing w:line="360" w:lineRule="auto"/>
        <w:ind w:left="720" w:hanging="720"/>
        <w:jc w:val="both"/>
      </w:pPr>
      <w:r>
        <w:t xml:space="preserve">Segur-Ferrer, J., </w:t>
      </w:r>
      <w:proofErr w:type="spellStart"/>
      <w:r>
        <w:t>Moltó-Puigmartí</w:t>
      </w:r>
      <w:proofErr w:type="spellEnd"/>
      <w:r>
        <w:t>, C., Pastells-Peiró, R., &amp; Vivanco-Hidalgo, R.M. (2024). Methodological frameworks and dimensions to be considered in digital health technology assessment: scoping review and thematic analysis. Journal of Medical Internet Research, 26, p.e48694.</w:t>
      </w:r>
    </w:p>
    <w:sectPr w:rsidR="002D28AA">
      <w:pgSz w:w="11910" w:h="16840"/>
      <w:pgMar w:top="1340" w:right="1417" w:bottom="280" w:left="1417"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25AFE"/>
    <w:multiLevelType w:val="hybridMultilevel"/>
    <w:tmpl w:val="327C3B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6650E5"/>
    <w:multiLevelType w:val="hybridMultilevel"/>
    <w:tmpl w:val="581A48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F37B5E"/>
    <w:multiLevelType w:val="hybridMultilevel"/>
    <w:tmpl w:val="4B00B2E4"/>
    <w:lvl w:ilvl="0" w:tplc="71BE0168">
      <w:start w:val="1"/>
      <w:numFmt w:val="decimal"/>
      <w:lvlText w:val="%1."/>
      <w:lvlJc w:val="left"/>
      <w:pPr>
        <w:ind w:left="743" w:hanging="360"/>
      </w:pPr>
      <w:rPr>
        <w:rFonts w:ascii="Arial MT" w:eastAsia="Arial MT" w:hAnsi="Arial MT" w:cs="Arial MT" w:hint="default"/>
        <w:b w:val="0"/>
        <w:bCs w:val="0"/>
        <w:i w:val="0"/>
        <w:iCs w:val="0"/>
        <w:spacing w:val="-1"/>
        <w:w w:val="100"/>
        <w:sz w:val="22"/>
        <w:szCs w:val="22"/>
        <w:lang w:val="en-US" w:eastAsia="en-US" w:bidi="ar-SA"/>
      </w:rPr>
    </w:lvl>
    <w:lvl w:ilvl="1" w:tplc="2F180F98">
      <w:numFmt w:val="bullet"/>
      <w:lvlText w:val="•"/>
      <w:lvlJc w:val="left"/>
      <w:pPr>
        <w:ind w:left="1573" w:hanging="360"/>
      </w:pPr>
      <w:rPr>
        <w:rFonts w:hint="default"/>
        <w:lang w:val="en-US" w:eastAsia="en-US" w:bidi="ar-SA"/>
      </w:rPr>
    </w:lvl>
    <w:lvl w:ilvl="2" w:tplc="86B65438">
      <w:numFmt w:val="bullet"/>
      <w:lvlText w:val="•"/>
      <w:lvlJc w:val="left"/>
      <w:pPr>
        <w:ind w:left="2406" w:hanging="360"/>
      </w:pPr>
      <w:rPr>
        <w:rFonts w:hint="default"/>
        <w:lang w:val="en-US" w:eastAsia="en-US" w:bidi="ar-SA"/>
      </w:rPr>
    </w:lvl>
    <w:lvl w:ilvl="3" w:tplc="63B6B986">
      <w:numFmt w:val="bullet"/>
      <w:lvlText w:val="•"/>
      <w:lvlJc w:val="left"/>
      <w:pPr>
        <w:ind w:left="3239" w:hanging="360"/>
      </w:pPr>
      <w:rPr>
        <w:rFonts w:hint="default"/>
        <w:lang w:val="en-US" w:eastAsia="en-US" w:bidi="ar-SA"/>
      </w:rPr>
    </w:lvl>
    <w:lvl w:ilvl="4" w:tplc="CB18FC08">
      <w:numFmt w:val="bullet"/>
      <w:lvlText w:val="•"/>
      <w:lvlJc w:val="left"/>
      <w:pPr>
        <w:ind w:left="4072" w:hanging="360"/>
      </w:pPr>
      <w:rPr>
        <w:rFonts w:hint="default"/>
        <w:lang w:val="en-US" w:eastAsia="en-US" w:bidi="ar-SA"/>
      </w:rPr>
    </w:lvl>
    <w:lvl w:ilvl="5" w:tplc="87D0C84A">
      <w:numFmt w:val="bullet"/>
      <w:lvlText w:val="•"/>
      <w:lvlJc w:val="left"/>
      <w:pPr>
        <w:ind w:left="4906" w:hanging="360"/>
      </w:pPr>
      <w:rPr>
        <w:rFonts w:hint="default"/>
        <w:lang w:val="en-US" w:eastAsia="en-US" w:bidi="ar-SA"/>
      </w:rPr>
    </w:lvl>
    <w:lvl w:ilvl="6" w:tplc="6800287C">
      <w:numFmt w:val="bullet"/>
      <w:lvlText w:val="•"/>
      <w:lvlJc w:val="left"/>
      <w:pPr>
        <w:ind w:left="5739" w:hanging="360"/>
      </w:pPr>
      <w:rPr>
        <w:rFonts w:hint="default"/>
        <w:lang w:val="en-US" w:eastAsia="en-US" w:bidi="ar-SA"/>
      </w:rPr>
    </w:lvl>
    <w:lvl w:ilvl="7" w:tplc="61100136">
      <w:numFmt w:val="bullet"/>
      <w:lvlText w:val="•"/>
      <w:lvlJc w:val="left"/>
      <w:pPr>
        <w:ind w:left="6572" w:hanging="360"/>
      </w:pPr>
      <w:rPr>
        <w:rFonts w:hint="default"/>
        <w:lang w:val="en-US" w:eastAsia="en-US" w:bidi="ar-SA"/>
      </w:rPr>
    </w:lvl>
    <w:lvl w:ilvl="8" w:tplc="B122FE00">
      <w:numFmt w:val="bullet"/>
      <w:lvlText w:val="•"/>
      <w:lvlJc w:val="left"/>
      <w:pPr>
        <w:ind w:left="7405" w:hanging="360"/>
      </w:pPr>
      <w:rPr>
        <w:rFonts w:hint="default"/>
        <w:lang w:val="en-US" w:eastAsia="en-US" w:bidi="ar-SA"/>
      </w:rPr>
    </w:lvl>
  </w:abstractNum>
  <w:abstractNum w:abstractNumId="3" w15:restartNumberingAfterBreak="0">
    <w:nsid w:val="380B48F9"/>
    <w:multiLevelType w:val="hybridMultilevel"/>
    <w:tmpl w:val="9DDA2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D895379"/>
    <w:multiLevelType w:val="hybridMultilevel"/>
    <w:tmpl w:val="1ED88FFE"/>
    <w:lvl w:ilvl="0" w:tplc="A63A8A52">
      <w:numFmt w:val="bullet"/>
      <w:lvlText w:val=""/>
      <w:lvlJc w:val="left"/>
      <w:pPr>
        <w:ind w:left="743" w:hanging="360"/>
      </w:pPr>
      <w:rPr>
        <w:rFonts w:ascii="Symbol" w:eastAsia="Symbol" w:hAnsi="Symbol" w:cs="Symbol" w:hint="default"/>
        <w:b w:val="0"/>
        <w:bCs w:val="0"/>
        <w:i w:val="0"/>
        <w:iCs w:val="0"/>
        <w:spacing w:val="0"/>
        <w:w w:val="99"/>
        <w:sz w:val="20"/>
        <w:szCs w:val="20"/>
        <w:lang w:val="en-US" w:eastAsia="en-US" w:bidi="ar-SA"/>
      </w:rPr>
    </w:lvl>
    <w:lvl w:ilvl="1" w:tplc="FA762042">
      <w:numFmt w:val="bullet"/>
      <w:lvlText w:val="o"/>
      <w:lvlJc w:val="left"/>
      <w:pPr>
        <w:ind w:left="1463" w:hanging="360"/>
      </w:pPr>
      <w:rPr>
        <w:rFonts w:ascii="Courier New" w:eastAsia="Courier New" w:hAnsi="Courier New" w:cs="Courier New" w:hint="default"/>
        <w:b w:val="0"/>
        <w:bCs w:val="0"/>
        <w:i w:val="0"/>
        <w:iCs w:val="0"/>
        <w:spacing w:val="0"/>
        <w:w w:val="99"/>
        <w:sz w:val="20"/>
        <w:szCs w:val="20"/>
        <w:lang w:val="en-US" w:eastAsia="en-US" w:bidi="ar-SA"/>
      </w:rPr>
    </w:lvl>
    <w:lvl w:ilvl="2" w:tplc="C4767A16">
      <w:numFmt w:val="bullet"/>
      <w:lvlText w:val="•"/>
      <w:lvlJc w:val="left"/>
      <w:pPr>
        <w:ind w:left="2305" w:hanging="360"/>
      </w:pPr>
      <w:rPr>
        <w:rFonts w:hint="default"/>
        <w:lang w:val="en-US" w:eastAsia="en-US" w:bidi="ar-SA"/>
      </w:rPr>
    </w:lvl>
    <w:lvl w:ilvl="3" w:tplc="009E014E">
      <w:numFmt w:val="bullet"/>
      <w:lvlText w:val="•"/>
      <w:lvlJc w:val="left"/>
      <w:pPr>
        <w:ind w:left="3151" w:hanging="360"/>
      </w:pPr>
      <w:rPr>
        <w:rFonts w:hint="default"/>
        <w:lang w:val="en-US" w:eastAsia="en-US" w:bidi="ar-SA"/>
      </w:rPr>
    </w:lvl>
    <w:lvl w:ilvl="4" w:tplc="563CB664">
      <w:numFmt w:val="bullet"/>
      <w:lvlText w:val="•"/>
      <w:lvlJc w:val="left"/>
      <w:pPr>
        <w:ind w:left="3997" w:hanging="360"/>
      </w:pPr>
      <w:rPr>
        <w:rFonts w:hint="default"/>
        <w:lang w:val="en-US" w:eastAsia="en-US" w:bidi="ar-SA"/>
      </w:rPr>
    </w:lvl>
    <w:lvl w:ilvl="5" w:tplc="94340B6E">
      <w:numFmt w:val="bullet"/>
      <w:lvlText w:val="•"/>
      <w:lvlJc w:val="left"/>
      <w:pPr>
        <w:ind w:left="4843" w:hanging="360"/>
      </w:pPr>
      <w:rPr>
        <w:rFonts w:hint="default"/>
        <w:lang w:val="en-US" w:eastAsia="en-US" w:bidi="ar-SA"/>
      </w:rPr>
    </w:lvl>
    <w:lvl w:ilvl="6" w:tplc="C5B09646">
      <w:numFmt w:val="bullet"/>
      <w:lvlText w:val="•"/>
      <w:lvlJc w:val="left"/>
      <w:pPr>
        <w:ind w:left="5689" w:hanging="360"/>
      </w:pPr>
      <w:rPr>
        <w:rFonts w:hint="default"/>
        <w:lang w:val="en-US" w:eastAsia="en-US" w:bidi="ar-SA"/>
      </w:rPr>
    </w:lvl>
    <w:lvl w:ilvl="7" w:tplc="A34ACD6E">
      <w:numFmt w:val="bullet"/>
      <w:lvlText w:val="•"/>
      <w:lvlJc w:val="left"/>
      <w:pPr>
        <w:ind w:left="6534" w:hanging="360"/>
      </w:pPr>
      <w:rPr>
        <w:rFonts w:hint="default"/>
        <w:lang w:val="en-US" w:eastAsia="en-US" w:bidi="ar-SA"/>
      </w:rPr>
    </w:lvl>
    <w:lvl w:ilvl="8" w:tplc="9D94D2E0">
      <w:numFmt w:val="bullet"/>
      <w:lvlText w:val="•"/>
      <w:lvlJc w:val="left"/>
      <w:pPr>
        <w:ind w:left="7380" w:hanging="360"/>
      </w:pPr>
      <w:rPr>
        <w:rFonts w:hint="default"/>
        <w:lang w:val="en-US" w:eastAsia="en-US" w:bidi="ar-SA"/>
      </w:rPr>
    </w:lvl>
  </w:abstractNum>
  <w:num w:numId="1" w16cid:durableId="1529563522">
    <w:abstractNumId w:val="4"/>
  </w:num>
  <w:num w:numId="2" w16cid:durableId="1109935707">
    <w:abstractNumId w:val="2"/>
  </w:num>
  <w:num w:numId="3" w16cid:durableId="449471660">
    <w:abstractNumId w:val="0"/>
  </w:num>
  <w:num w:numId="4" w16cid:durableId="277563947">
    <w:abstractNumId w:val="1"/>
  </w:num>
  <w:num w:numId="5" w16cid:durableId="1529183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3DF0"/>
    <w:rsid w:val="00161584"/>
    <w:rsid w:val="00265074"/>
    <w:rsid w:val="002D28AA"/>
    <w:rsid w:val="006379C4"/>
    <w:rsid w:val="006C449A"/>
    <w:rsid w:val="00C53DF0"/>
    <w:rsid w:val="00FB6E5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7D177E"/>
  <w15:docId w15:val="{8808FF6A-B0CE-42F0-AAA9-125031BC7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1">
    <w:name w:val="heading 1"/>
    <w:basedOn w:val="Normal"/>
    <w:uiPriority w:val="1"/>
    <w:qFormat/>
    <w:pPr>
      <w:ind w:left="23"/>
      <w:outlineLvl w:val="0"/>
    </w:pPr>
    <w:rPr>
      <w:rFonts w:ascii="Arial" w:eastAsia="Arial" w:hAnsi="Arial" w:cs="Arial"/>
      <w:b/>
      <w:bCs/>
    </w:rPr>
  </w:style>
  <w:style w:type="paragraph" w:styleId="Heading2">
    <w:name w:val="heading 2"/>
    <w:basedOn w:val="Normal"/>
    <w:next w:val="Normal"/>
    <w:link w:val="Heading2Char"/>
    <w:uiPriority w:val="9"/>
    <w:unhideWhenUsed/>
    <w:qFormat/>
    <w:rsid w:val="00FB6E5E"/>
    <w:pPr>
      <w:keepNext/>
      <w:keepLines/>
      <w:spacing w:before="40"/>
      <w:outlineLvl w:val="1"/>
    </w:pPr>
    <w:rPr>
      <w:rFonts w:asciiTheme="majorHAnsi" w:eastAsiaTheme="majorEastAsia" w:hAnsiTheme="majorHAnsi" w:cstheme="majorBidi"/>
      <w:b/>
      <w: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before="155"/>
      <w:ind w:left="743" w:hanging="360"/>
    </w:pPr>
  </w:style>
  <w:style w:type="paragraph" w:customStyle="1" w:styleId="TableParagraph">
    <w:name w:val="Table Paragraph"/>
    <w:basedOn w:val="Normal"/>
    <w:uiPriority w:val="1"/>
    <w:qFormat/>
  </w:style>
  <w:style w:type="paragraph" w:styleId="NormalWeb">
    <w:name w:val="Normal (Web)"/>
    <w:basedOn w:val="Normal"/>
    <w:uiPriority w:val="99"/>
    <w:unhideWhenUsed/>
    <w:rsid w:val="00FB6E5E"/>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Emphasis">
    <w:name w:val="Emphasis"/>
    <w:basedOn w:val="DefaultParagraphFont"/>
    <w:uiPriority w:val="20"/>
    <w:qFormat/>
    <w:rsid w:val="00FB6E5E"/>
    <w:rPr>
      <w:i/>
      <w:iCs/>
    </w:rPr>
  </w:style>
  <w:style w:type="character" w:customStyle="1" w:styleId="Heading2Char">
    <w:name w:val="Heading 2 Char"/>
    <w:basedOn w:val="DefaultParagraphFont"/>
    <w:link w:val="Heading2"/>
    <w:uiPriority w:val="9"/>
    <w:rsid w:val="00FB6E5E"/>
    <w:rPr>
      <w:rFonts w:asciiTheme="majorHAnsi" w:eastAsiaTheme="majorEastAsia" w:hAnsiTheme="majorHAnsi" w:cstheme="majorBidi"/>
      <w:b/>
      <w:i/>
      <w:sz w:val="24"/>
      <w:szCs w:val="2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2690175">
      <w:bodyDiv w:val="1"/>
      <w:marLeft w:val="0"/>
      <w:marRight w:val="0"/>
      <w:marTop w:val="0"/>
      <w:marBottom w:val="0"/>
      <w:divBdr>
        <w:top w:val="none" w:sz="0" w:space="0" w:color="auto"/>
        <w:left w:val="none" w:sz="0" w:space="0" w:color="auto"/>
        <w:bottom w:val="none" w:sz="0" w:space="0" w:color="auto"/>
        <w:right w:val="none" w:sz="0" w:space="0" w:color="auto"/>
      </w:divBdr>
      <w:divsChild>
        <w:div w:id="210577675">
          <w:marLeft w:val="0"/>
          <w:marRight w:val="0"/>
          <w:marTop w:val="0"/>
          <w:marBottom w:val="0"/>
          <w:divBdr>
            <w:top w:val="none" w:sz="0" w:space="0" w:color="auto"/>
            <w:left w:val="none" w:sz="0" w:space="0" w:color="auto"/>
            <w:bottom w:val="none" w:sz="0" w:space="0" w:color="auto"/>
            <w:right w:val="none" w:sz="0" w:space="0" w:color="auto"/>
          </w:divBdr>
          <w:divsChild>
            <w:div w:id="1560168730">
              <w:marLeft w:val="0"/>
              <w:marRight w:val="0"/>
              <w:marTop w:val="0"/>
              <w:marBottom w:val="0"/>
              <w:divBdr>
                <w:top w:val="none" w:sz="0" w:space="0" w:color="auto"/>
                <w:left w:val="none" w:sz="0" w:space="0" w:color="auto"/>
                <w:bottom w:val="none" w:sz="0" w:space="0" w:color="auto"/>
                <w:right w:val="none" w:sz="0" w:space="0" w:color="auto"/>
              </w:divBdr>
              <w:divsChild>
                <w:div w:id="1580559113">
                  <w:marLeft w:val="0"/>
                  <w:marRight w:val="0"/>
                  <w:marTop w:val="0"/>
                  <w:marBottom w:val="0"/>
                  <w:divBdr>
                    <w:top w:val="none" w:sz="0" w:space="0" w:color="auto"/>
                    <w:left w:val="none" w:sz="0" w:space="0" w:color="auto"/>
                    <w:bottom w:val="none" w:sz="0" w:space="0" w:color="auto"/>
                    <w:right w:val="none" w:sz="0" w:space="0" w:color="auto"/>
                  </w:divBdr>
                  <w:divsChild>
                    <w:div w:id="1075207130">
                      <w:marLeft w:val="0"/>
                      <w:marRight w:val="0"/>
                      <w:marTop w:val="0"/>
                      <w:marBottom w:val="0"/>
                      <w:divBdr>
                        <w:top w:val="none" w:sz="0" w:space="0" w:color="auto"/>
                        <w:left w:val="none" w:sz="0" w:space="0" w:color="auto"/>
                        <w:bottom w:val="none" w:sz="0" w:space="0" w:color="auto"/>
                        <w:right w:val="none" w:sz="0" w:space="0" w:color="auto"/>
                      </w:divBdr>
                      <w:divsChild>
                        <w:div w:id="637732683">
                          <w:marLeft w:val="0"/>
                          <w:marRight w:val="0"/>
                          <w:marTop w:val="0"/>
                          <w:marBottom w:val="0"/>
                          <w:divBdr>
                            <w:top w:val="none" w:sz="0" w:space="0" w:color="auto"/>
                            <w:left w:val="none" w:sz="0" w:space="0" w:color="auto"/>
                            <w:bottom w:val="none" w:sz="0" w:space="0" w:color="auto"/>
                            <w:right w:val="none" w:sz="0" w:space="0" w:color="auto"/>
                          </w:divBdr>
                          <w:divsChild>
                            <w:div w:id="99661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22956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4</Pages>
  <Words>694</Words>
  <Characters>3958</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Beau Academic</dc:creator>
  <cp:lastModifiedBy>Nabila Nazam (2324644)</cp:lastModifiedBy>
  <cp:revision>2</cp:revision>
  <dcterms:created xsi:type="dcterms:W3CDTF">2026-02-11T18:33:00Z</dcterms:created>
  <dcterms:modified xsi:type="dcterms:W3CDTF">2026-02-11T18:33:00Z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2025-01-08T00:00:00Z</vt:filetime>
  </property>
  <property fmtid="{D5CDD505-2E9C-101B-9397-08002B2CF9AE}" pid="3" name="Creator">
    <vt:lpwstr>Microsoft® Word for Microsoft 365</vt:lpwstr>
  </property>
  <property fmtid="{D5CDD505-2E9C-101B-9397-08002B2CF9AE}" pid="4" name="LastSaved">
    <vt:filetime>2026-02-09T00:00:00Z</vt:filetime>
  </property>
  <property fmtid="{D5CDD505-2E9C-101B-9397-08002B2CF9AE}" pid="5" name="Producer">
    <vt:lpwstr>Microsoft® Word for Microsoft 365</vt:lpwstr>
  </property>
</Properties>
</file>