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7539087"/>
        <w:docPartObj>
          <w:docPartGallery w:val="Cover Pages"/>
          <w:docPartUnique/>
        </w:docPartObj>
      </w:sdtPr>
      <w:sdtEndPr/>
      <w:sdtContent>
        <w:p w14:paraId="2C739328" w14:textId="4F962E68" w:rsidR="007664AA" w:rsidRDefault="007664AA">
          <w:r>
            <w:rPr>
              <w:noProof/>
            </w:rPr>
            <mc:AlternateContent>
              <mc:Choice Requires="wpg">
                <w:drawing>
                  <wp:anchor distT="0" distB="0" distL="114300" distR="114300" simplePos="0" relativeHeight="251658240" behindDoc="1" locked="0" layoutInCell="1" allowOverlap="1" wp14:anchorId="68E11F39" wp14:editId="1F77C8AB">
                    <wp:simplePos x="0" y="0"/>
                    <wp:positionH relativeFrom="page">
                      <wp:align>center</wp:align>
                    </wp:positionH>
                    <wp:positionV relativeFrom="page">
                      <wp:align>center</wp:align>
                    </wp:positionV>
                    <wp:extent cx="6864824" cy="9123528"/>
                    <wp:effectExtent l="0" t="0" r="2540" b="635"/>
                    <wp:wrapNone/>
                    <wp:docPr id="193" name="Group 198">
                      <a:extLst xmlns:a="http://schemas.openxmlformats.org/drawingml/2006/main">
                        <a:ext uri="{FF2B5EF4-FFF2-40B4-BE49-F238E27FC236}">
                          <a16:creationId xmlns:a16="http://schemas.microsoft.com/office/drawing/2014/main" id="{FEF5BDE9-AA76-460E-8992-2AF626E3F4AB}"/>
                        </a:ext>
                      </a:extLst>
                    </wp:docPr>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6B1703" w14:textId="36F33FEE" w:rsidR="007664AA" w:rsidRDefault="007664AA">
                                      <w:pPr>
                                        <w:pStyle w:val="NoSpacing"/>
                                        <w:spacing w:before="120"/>
                                        <w:jc w:val="center"/>
                                        <w:rPr>
                                          <w:color w:val="FFFFFF" w:themeColor="background1"/>
                                        </w:rPr>
                                      </w:pPr>
                                      <w:r>
                                        <w:rPr>
                                          <w:color w:val="FFFFFF" w:themeColor="background1"/>
                                        </w:rPr>
                                        <w:t>Rubens Malaguti (2501521)</w:t>
                                      </w:r>
                                    </w:p>
                                  </w:sdtContent>
                                </w:sdt>
                                <w:p w14:paraId="6B5E99C4" w14:textId="77777777" w:rsidR="007664AA" w:rsidRDefault="007372E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664AA">
                                        <w:rPr>
                                          <w:caps/>
                                          <w:color w:val="FFFFFF" w:themeColor="background1"/>
                                        </w:rPr>
                                        <w:t>[Company name]</w:t>
                                      </w:r>
                                    </w:sdtContent>
                                  </w:sdt>
                                  <w:r w:rsidR="007664A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664AA">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BB6EF7C" w14:textId="2CF05854" w:rsidR="007664AA" w:rsidRDefault="00DD1941" w:rsidP="00A11E6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Synthesize a solution to a potential real-life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E11F39"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6B1703" w14:textId="36F33FEE" w:rsidR="007664AA" w:rsidRDefault="007664AA">
                                <w:pPr>
                                  <w:pStyle w:val="NoSpacing"/>
                                  <w:spacing w:before="120"/>
                                  <w:jc w:val="center"/>
                                  <w:rPr>
                                    <w:color w:val="FFFFFF" w:themeColor="background1"/>
                                  </w:rPr>
                                </w:pPr>
                                <w:r>
                                  <w:rPr>
                                    <w:color w:val="FFFFFF" w:themeColor="background1"/>
                                  </w:rPr>
                                  <w:t>Rubens Malaguti (2501521)</w:t>
                                </w:r>
                              </w:p>
                            </w:sdtContent>
                          </w:sdt>
                          <w:p w14:paraId="6B5E99C4" w14:textId="77777777" w:rsidR="007664AA" w:rsidRDefault="007372E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664AA">
                                  <w:rPr>
                                    <w:caps/>
                                    <w:color w:val="FFFFFF" w:themeColor="background1"/>
                                  </w:rPr>
                                  <w:t>[Company name]</w:t>
                                </w:r>
                              </w:sdtContent>
                            </w:sdt>
                            <w:r w:rsidR="007664A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664AA">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BB6EF7C" w14:textId="2CF05854" w:rsidR="007664AA" w:rsidRDefault="00DD1941" w:rsidP="00A11E6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Synthesize a solution to a potential real-life scenario</w:t>
                                </w:r>
                              </w:p>
                            </w:sdtContent>
                          </w:sdt>
                        </w:txbxContent>
                      </v:textbox>
                    </v:shape>
                    <w10:wrap anchorx="page" anchory="page"/>
                  </v:group>
                </w:pict>
              </mc:Fallback>
            </mc:AlternateContent>
          </w:r>
        </w:p>
        <w:p w14:paraId="2C078E63" w14:textId="488F5AF5" w:rsidR="00F15711" w:rsidRDefault="007664AA">
          <w:r>
            <w:br w:type="page"/>
          </w:r>
        </w:p>
      </w:sdtContent>
    </w:sdt>
    <w:sdt>
      <w:sdtPr>
        <w:rPr>
          <w:rFonts w:asciiTheme="minorHAnsi" w:eastAsiaTheme="minorEastAsia" w:hAnsiTheme="minorHAnsi" w:cstheme="minorBidi"/>
          <w:color w:val="auto"/>
          <w:sz w:val="24"/>
          <w:szCs w:val="24"/>
          <w:lang w:eastAsia="ja-JP"/>
        </w:rPr>
        <w:id w:val="-1952008914"/>
        <w:docPartObj>
          <w:docPartGallery w:val="Table of Contents"/>
          <w:docPartUnique/>
        </w:docPartObj>
      </w:sdtPr>
      <w:sdtEndPr>
        <w:rPr>
          <w:b/>
          <w:bCs/>
          <w:noProof/>
        </w:rPr>
      </w:sdtEndPr>
      <w:sdtContent>
        <w:p w14:paraId="23BB4FB7" w14:textId="4F713A39" w:rsidR="00A11E65" w:rsidRDefault="00A11E65">
          <w:pPr>
            <w:pStyle w:val="TOCHeading"/>
          </w:pPr>
          <w:r>
            <w:t>Table of Contents</w:t>
          </w:r>
        </w:p>
        <w:p w14:paraId="519A960E" w14:textId="442105A7" w:rsidR="00FD08D6" w:rsidRDefault="00A11E65">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30273978" w:history="1">
            <w:r w:rsidR="00FD08D6" w:rsidRPr="008E69B4">
              <w:rPr>
                <w:rStyle w:val="Hyperlink"/>
                <w:noProof/>
              </w:rPr>
              <w:t>Introduction</w:t>
            </w:r>
            <w:r w:rsidR="00FD08D6">
              <w:rPr>
                <w:noProof/>
                <w:webHidden/>
              </w:rPr>
              <w:tab/>
            </w:r>
            <w:r w:rsidR="00FD08D6">
              <w:rPr>
                <w:noProof/>
                <w:webHidden/>
              </w:rPr>
              <w:fldChar w:fldCharType="begin"/>
            </w:r>
            <w:r w:rsidR="00FD08D6">
              <w:rPr>
                <w:noProof/>
                <w:webHidden/>
              </w:rPr>
              <w:instrText xml:space="preserve"> PAGEREF _Toc230273978 \h </w:instrText>
            </w:r>
            <w:r w:rsidR="00FD08D6">
              <w:rPr>
                <w:noProof/>
                <w:webHidden/>
              </w:rPr>
            </w:r>
            <w:r w:rsidR="00FD08D6">
              <w:rPr>
                <w:noProof/>
                <w:webHidden/>
              </w:rPr>
              <w:fldChar w:fldCharType="separate"/>
            </w:r>
            <w:r w:rsidR="00FD08D6">
              <w:rPr>
                <w:noProof/>
                <w:webHidden/>
              </w:rPr>
              <w:t>2</w:t>
            </w:r>
            <w:r w:rsidR="00FD08D6">
              <w:rPr>
                <w:noProof/>
                <w:webHidden/>
              </w:rPr>
              <w:fldChar w:fldCharType="end"/>
            </w:r>
          </w:hyperlink>
        </w:p>
        <w:p w14:paraId="327B6683" w14:textId="3366FB61" w:rsidR="00FD08D6" w:rsidRDefault="00FD08D6">
          <w:pPr>
            <w:pStyle w:val="TOC1"/>
            <w:tabs>
              <w:tab w:val="right" w:leader="dot" w:pos="9350"/>
            </w:tabs>
            <w:rPr>
              <w:noProof/>
              <w:kern w:val="2"/>
              <w:lang w:val="en-GB" w:eastAsia="en-GB"/>
              <w14:ligatures w14:val="standardContextual"/>
            </w:rPr>
          </w:pPr>
          <w:hyperlink w:anchor="_Toc230273979" w:history="1">
            <w:r w:rsidRPr="008E69B4">
              <w:rPr>
                <w:rStyle w:val="Hyperlink"/>
                <w:noProof/>
                <w:lang w:val="en-GB"/>
              </w:rPr>
              <w:t>Report Main Mody</w:t>
            </w:r>
            <w:r>
              <w:rPr>
                <w:noProof/>
                <w:webHidden/>
              </w:rPr>
              <w:tab/>
            </w:r>
            <w:r>
              <w:rPr>
                <w:noProof/>
                <w:webHidden/>
              </w:rPr>
              <w:fldChar w:fldCharType="begin"/>
            </w:r>
            <w:r>
              <w:rPr>
                <w:noProof/>
                <w:webHidden/>
              </w:rPr>
              <w:instrText xml:space="preserve"> PAGEREF _Toc230273979 \h </w:instrText>
            </w:r>
            <w:r>
              <w:rPr>
                <w:noProof/>
                <w:webHidden/>
              </w:rPr>
            </w:r>
            <w:r>
              <w:rPr>
                <w:noProof/>
                <w:webHidden/>
              </w:rPr>
              <w:fldChar w:fldCharType="separate"/>
            </w:r>
            <w:r>
              <w:rPr>
                <w:noProof/>
                <w:webHidden/>
              </w:rPr>
              <w:t>3</w:t>
            </w:r>
            <w:r>
              <w:rPr>
                <w:noProof/>
                <w:webHidden/>
              </w:rPr>
              <w:fldChar w:fldCharType="end"/>
            </w:r>
          </w:hyperlink>
        </w:p>
        <w:p w14:paraId="431877BF" w14:textId="2AC832FE" w:rsidR="00FD08D6" w:rsidRDefault="00FD08D6">
          <w:pPr>
            <w:pStyle w:val="TOC2"/>
            <w:tabs>
              <w:tab w:val="right" w:leader="dot" w:pos="9350"/>
            </w:tabs>
            <w:rPr>
              <w:noProof/>
              <w:kern w:val="2"/>
              <w:lang w:val="en-GB" w:eastAsia="en-GB"/>
              <w14:ligatures w14:val="standardContextual"/>
            </w:rPr>
          </w:pPr>
          <w:hyperlink w:anchor="_Toc230273980" w:history="1">
            <w:r w:rsidRPr="008E69B4">
              <w:rPr>
                <w:rStyle w:val="Hyperlink"/>
                <w:noProof/>
                <w:lang w:val="en-GB"/>
              </w:rPr>
              <w:t>Identification of modern threat</w:t>
            </w:r>
            <w:r>
              <w:rPr>
                <w:noProof/>
                <w:webHidden/>
              </w:rPr>
              <w:tab/>
            </w:r>
            <w:r>
              <w:rPr>
                <w:noProof/>
                <w:webHidden/>
              </w:rPr>
              <w:fldChar w:fldCharType="begin"/>
            </w:r>
            <w:r>
              <w:rPr>
                <w:noProof/>
                <w:webHidden/>
              </w:rPr>
              <w:instrText xml:space="preserve"> PAGEREF _Toc230273980 \h </w:instrText>
            </w:r>
            <w:r>
              <w:rPr>
                <w:noProof/>
                <w:webHidden/>
              </w:rPr>
            </w:r>
            <w:r>
              <w:rPr>
                <w:noProof/>
                <w:webHidden/>
              </w:rPr>
              <w:fldChar w:fldCharType="separate"/>
            </w:r>
            <w:r>
              <w:rPr>
                <w:noProof/>
                <w:webHidden/>
              </w:rPr>
              <w:t>3</w:t>
            </w:r>
            <w:r>
              <w:rPr>
                <w:noProof/>
                <w:webHidden/>
              </w:rPr>
              <w:fldChar w:fldCharType="end"/>
            </w:r>
          </w:hyperlink>
        </w:p>
        <w:p w14:paraId="1CB6B128" w14:textId="3D377047" w:rsidR="00FD08D6" w:rsidRDefault="00FD08D6">
          <w:pPr>
            <w:pStyle w:val="TOC2"/>
            <w:tabs>
              <w:tab w:val="right" w:leader="dot" w:pos="9350"/>
            </w:tabs>
            <w:rPr>
              <w:noProof/>
              <w:kern w:val="2"/>
              <w:lang w:val="en-GB" w:eastAsia="en-GB"/>
              <w14:ligatures w14:val="standardContextual"/>
            </w:rPr>
          </w:pPr>
          <w:hyperlink w:anchor="_Toc230273981" w:history="1">
            <w:r w:rsidRPr="008E69B4">
              <w:rPr>
                <w:rStyle w:val="Hyperlink"/>
                <w:noProof/>
                <w:lang w:val="en-GB"/>
              </w:rPr>
              <w:t>Modern Security Policies</w:t>
            </w:r>
            <w:r>
              <w:rPr>
                <w:noProof/>
                <w:webHidden/>
              </w:rPr>
              <w:tab/>
            </w:r>
            <w:r>
              <w:rPr>
                <w:noProof/>
                <w:webHidden/>
              </w:rPr>
              <w:fldChar w:fldCharType="begin"/>
            </w:r>
            <w:r>
              <w:rPr>
                <w:noProof/>
                <w:webHidden/>
              </w:rPr>
              <w:instrText xml:space="preserve"> PAGEREF _Toc230273981 \h </w:instrText>
            </w:r>
            <w:r>
              <w:rPr>
                <w:noProof/>
                <w:webHidden/>
              </w:rPr>
            </w:r>
            <w:r>
              <w:rPr>
                <w:noProof/>
                <w:webHidden/>
              </w:rPr>
              <w:fldChar w:fldCharType="separate"/>
            </w:r>
            <w:r>
              <w:rPr>
                <w:noProof/>
                <w:webHidden/>
              </w:rPr>
              <w:t>3</w:t>
            </w:r>
            <w:r>
              <w:rPr>
                <w:noProof/>
                <w:webHidden/>
              </w:rPr>
              <w:fldChar w:fldCharType="end"/>
            </w:r>
          </w:hyperlink>
        </w:p>
        <w:p w14:paraId="27B70C0C" w14:textId="7BC344EB" w:rsidR="00FD08D6" w:rsidRDefault="00FD08D6">
          <w:pPr>
            <w:pStyle w:val="TOC2"/>
            <w:tabs>
              <w:tab w:val="right" w:leader="dot" w:pos="9350"/>
            </w:tabs>
            <w:rPr>
              <w:noProof/>
              <w:kern w:val="2"/>
              <w:lang w:val="en-GB" w:eastAsia="en-GB"/>
              <w14:ligatures w14:val="standardContextual"/>
            </w:rPr>
          </w:pPr>
          <w:hyperlink w:anchor="_Toc230273982" w:history="1">
            <w:r w:rsidRPr="008E69B4">
              <w:rPr>
                <w:rStyle w:val="Hyperlink"/>
                <w:noProof/>
              </w:rPr>
              <w:t>Technical Mitigation Measures</w:t>
            </w:r>
            <w:r>
              <w:rPr>
                <w:noProof/>
                <w:webHidden/>
              </w:rPr>
              <w:tab/>
            </w:r>
            <w:r>
              <w:rPr>
                <w:noProof/>
                <w:webHidden/>
              </w:rPr>
              <w:fldChar w:fldCharType="begin"/>
            </w:r>
            <w:r>
              <w:rPr>
                <w:noProof/>
                <w:webHidden/>
              </w:rPr>
              <w:instrText xml:space="preserve"> PAGEREF _Toc230273982 \h </w:instrText>
            </w:r>
            <w:r>
              <w:rPr>
                <w:noProof/>
                <w:webHidden/>
              </w:rPr>
            </w:r>
            <w:r>
              <w:rPr>
                <w:noProof/>
                <w:webHidden/>
              </w:rPr>
              <w:fldChar w:fldCharType="separate"/>
            </w:r>
            <w:r>
              <w:rPr>
                <w:noProof/>
                <w:webHidden/>
              </w:rPr>
              <w:t>5</w:t>
            </w:r>
            <w:r>
              <w:rPr>
                <w:noProof/>
                <w:webHidden/>
              </w:rPr>
              <w:fldChar w:fldCharType="end"/>
            </w:r>
          </w:hyperlink>
        </w:p>
        <w:p w14:paraId="3455EAE6" w14:textId="35EAB16D" w:rsidR="00FD08D6" w:rsidRDefault="00FD08D6">
          <w:pPr>
            <w:pStyle w:val="TOC2"/>
            <w:tabs>
              <w:tab w:val="right" w:leader="dot" w:pos="9350"/>
            </w:tabs>
            <w:rPr>
              <w:noProof/>
              <w:kern w:val="2"/>
              <w:lang w:val="en-GB" w:eastAsia="en-GB"/>
              <w14:ligatures w14:val="standardContextual"/>
            </w:rPr>
          </w:pPr>
          <w:hyperlink w:anchor="_Toc230273983" w:history="1">
            <w:r w:rsidRPr="008E69B4">
              <w:rPr>
                <w:rStyle w:val="Hyperlink"/>
                <w:noProof/>
                <w:lang w:val="en-GB"/>
              </w:rPr>
              <w:t>Proactive Monitoring and Incident Response</w:t>
            </w:r>
            <w:r>
              <w:rPr>
                <w:noProof/>
                <w:webHidden/>
              </w:rPr>
              <w:tab/>
            </w:r>
            <w:r>
              <w:rPr>
                <w:noProof/>
                <w:webHidden/>
              </w:rPr>
              <w:fldChar w:fldCharType="begin"/>
            </w:r>
            <w:r>
              <w:rPr>
                <w:noProof/>
                <w:webHidden/>
              </w:rPr>
              <w:instrText xml:space="preserve"> PAGEREF _Toc230273983 \h </w:instrText>
            </w:r>
            <w:r>
              <w:rPr>
                <w:noProof/>
                <w:webHidden/>
              </w:rPr>
            </w:r>
            <w:r>
              <w:rPr>
                <w:noProof/>
                <w:webHidden/>
              </w:rPr>
              <w:fldChar w:fldCharType="separate"/>
            </w:r>
            <w:r>
              <w:rPr>
                <w:noProof/>
                <w:webHidden/>
              </w:rPr>
              <w:t>6</w:t>
            </w:r>
            <w:r>
              <w:rPr>
                <w:noProof/>
                <w:webHidden/>
              </w:rPr>
              <w:fldChar w:fldCharType="end"/>
            </w:r>
          </w:hyperlink>
        </w:p>
        <w:p w14:paraId="5F21386B" w14:textId="703F61E7" w:rsidR="00FD08D6" w:rsidRDefault="00FD08D6">
          <w:pPr>
            <w:pStyle w:val="TOC2"/>
            <w:tabs>
              <w:tab w:val="right" w:leader="dot" w:pos="9350"/>
            </w:tabs>
            <w:rPr>
              <w:noProof/>
              <w:kern w:val="2"/>
              <w:lang w:val="en-GB" w:eastAsia="en-GB"/>
              <w14:ligatures w14:val="standardContextual"/>
            </w:rPr>
          </w:pPr>
          <w:hyperlink w:anchor="_Toc230273984" w:history="1">
            <w:r w:rsidRPr="008E69B4">
              <w:rPr>
                <w:rStyle w:val="Hyperlink"/>
                <w:noProof/>
                <w:lang w:val="en-GB"/>
              </w:rPr>
              <w:t>Continuous Training and Awareness</w:t>
            </w:r>
            <w:r>
              <w:rPr>
                <w:noProof/>
                <w:webHidden/>
              </w:rPr>
              <w:tab/>
            </w:r>
            <w:r>
              <w:rPr>
                <w:noProof/>
                <w:webHidden/>
              </w:rPr>
              <w:fldChar w:fldCharType="begin"/>
            </w:r>
            <w:r>
              <w:rPr>
                <w:noProof/>
                <w:webHidden/>
              </w:rPr>
              <w:instrText xml:space="preserve"> PAGEREF _Toc230273984 \h </w:instrText>
            </w:r>
            <w:r>
              <w:rPr>
                <w:noProof/>
                <w:webHidden/>
              </w:rPr>
            </w:r>
            <w:r>
              <w:rPr>
                <w:noProof/>
                <w:webHidden/>
              </w:rPr>
              <w:fldChar w:fldCharType="separate"/>
            </w:r>
            <w:r>
              <w:rPr>
                <w:noProof/>
                <w:webHidden/>
              </w:rPr>
              <w:t>7</w:t>
            </w:r>
            <w:r>
              <w:rPr>
                <w:noProof/>
                <w:webHidden/>
              </w:rPr>
              <w:fldChar w:fldCharType="end"/>
            </w:r>
          </w:hyperlink>
        </w:p>
        <w:p w14:paraId="187E49EC" w14:textId="57716E99" w:rsidR="00FD08D6" w:rsidRDefault="00FD08D6">
          <w:pPr>
            <w:pStyle w:val="TOC1"/>
            <w:tabs>
              <w:tab w:val="right" w:leader="dot" w:pos="9350"/>
            </w:tabs>
            <w:rPr>
              <w:noProof/>
              <w:kern w:val="2"/>
              <w:lang w:val="en-GB" w:eastAsia="en-GB"/>
              <w14:ligatures w14:val="standardContextual"/>
            </w:rPr>
          </w:pPr>
          <w:hyperlink w:anchor="_Toc230273985" w:history="1">
            <w:r w:rsidRPr="008E69B4">
              <w:rPr>
                <w:rStyle w:val="Hyperlink"/>
                <w:noProof/>
                <w:lang w:val="en-GB"/>
              </w:rPr>
              <w:t>Conclusion</w:t>
            </w:r>
            <w:r>
              <w:rPr>
                <w:noProof/>
                <w:webHidden/>
              </w:rPr>
              <w:tab/>
            </w:r>
            <w:r>
              <w:rPr>
                <w:noProof/>
                <w:webHidden/>
              </w:rPr>
              <w:fldChar w:fldCharType="begin"/>
            </w:r>
            <w:r>
              <w:rPr>
                <w:noProof/>
                <w:webHidden/>
              </w:rPr>
              <w:instrText xml:space="preserve"> PAGEREF _Toc230273985 \h </w:instrText>
            </w:r>
            <w:r>
              <w:rPr>
                <w:noProof/>
                <w:webHidden/>
              </w:rPr>
            </w:r>
            <w:r>
              <w:rPr>
                <w:noProof/>
                <w:webHidden/>
              </w:rPr>
              <w:fldChar w:fldCharType="separate"/>
            </w:r>
            <w:r>
              <w:rPr>
                <w:noProof/>
                <w:webHidden/>
              </w:rPr>
              <w:t>8</w:t>
            </w:r>
            <w:r>
              <w:rPr>
                <w:noProof/>
                <w:webHidden/>
              </w:rPr>
              <w:fldChar w:fldCharType="end"/>
            </w:r>
          </w:hyperlink>
        </w:p>
        <w:p w14:paraId="3FE6AF89" w14:textId="3FFCBD9F" w:rsidR="00FD08D6" w:rsidRDefault="00FD08D6">
          <w:pPr>
            <w:pStyle w:val="TOC1"/>
            <w:tabs>
              <w:tab w:val="right" w:leader="dot" w:pos="9350"/>
            </w:tabs>
            <w:rPr>
              <w:noProof/>
              <w:kern w:val="2"/>
              <w:lang w:val="en-GB" w:eastAsia="en-GB"/>
              <w14:ligatures w14:val="standardContextual"/>
            </w:rPr>
          </w:pPr>
          <w:hyperlink w:anchor="_Toc230273986" w:history="1">
            <w:r w:rsidRPr="008E69B4">
              <w:rPr>
                <w:rStyle w:val="Hyperlink"/>
                <w:noProof/>
              </w:rPr>
              <w:t>Appendix powerpoint</w:t>
            </w:r>
            <w:r>
              <w:rPr>
                <w:noProof/>
                <w:webHidden/>
              </w:rPr>
              <w:tab/>
            </w:r>
            <w:r>
              <w:rPr>
                <w:noProof/>
                <w:webHidden/>
              </w:rPr>
              <w:fldChar w:fldCharType="begin"/>
            </w:r>
            <w:r>
              <w:rPr>
                <w:noProof/>
                <w:webHidden/>
              </w:rPr>
              <w:instrText xml:space="preserve"> PAGEREF _Toc230273986 \h </w:instrText>
            </w:r>
            <w:r>
              <w:rPr>
                <w:noProof/>
                <w:webHidden/>
              </w:rPr>
            </w:r>
            <w:r>
              <w:rPr>
                <w:noProof/>
                <w:webHidden/>
              </w:rPr>
              <w:fldChar w:fldCharType="separate"/>
            </w:r>
            <w:r>
              <w:rPr>
                <w:noProof/>
                <w:webHidden/>
              </w:rPr>
              <w:t>9</w:t>
            </w:r>
            <w:r>
              <w:rPr>
                <w:noProof/>
                <w:webHidden/>
              </w:rPr>
              <w:fldChar w:fldCharType="end"/>
            </w:r>
          </w:hyperlink>
        </w:p>
        <w:p w14:paraId="0FE8FB95" w14:textId="3FDF11F9" w:rsidR="00FD08D6" w:rsidRDefault="00FD08D6">
          <w:pPr>
            <w:pStyle w:val="TOC1"/>
            <w:tabs>
              <w:tab w:val="right" w:leader="dot" w:pos="9350"/>
            </w:tabs>
            <w:rPr>
              <w:noProof/>
              <w:kern w:val="2"/>
              <w:lang w:val="en-GB" w:eastAsia="en-GB"/>
              <w14:ligatures w14:val="standardContextual"/>
            </w:rPr>
          </w:pPr>
          <w:hyperlink w:anchor="_Toc230273987" w:history="1">
            <w:r w:rsidRPr="008E69B4">
              <w:rPr>
                <w:rStyle w:val="Hyperlink"/>
                <w:noProof/>
              </w:rPr>
              <w:t>References</w:t>
            </w:r>
            <w:r>
              <w:rPr>
                <w:noProof/>
                <w:webHidden/>
              </w:rPr>
              <w:tab/>
            </w:r>
            <w:r>
              <w:rPr>
                <w:noProof/>
                <w:webHidden/>
              </w:rPr>
              <w:fldChar w:fldCharType="begin"/>
            </w:r>
            <w:r>
              <w:rPr>
                <w:noProof/>
                <w:webHidden/>
              </w:rPr>
              <w:instrText xml:space="preserve"> PAGEREF _Toc230273987 \h </w:instrText>
            </w:r>
            <w:r>
              <w:rPr>
                <w:noProof/>
                <w:webHidden/>
              </w:rPr>
            </w:r>
            <w:r>
              <w:rPr>
                <w:noProof/>
                <w:webHidden/>
              </w:rPr>
              <w:fldChar w:fldCharType="separate"/>
            </w:r>
            <w:r>
              <w:rPr>
                <w:noProof/>
                <w:webHidden/>
              </w:rPr>
              <w:t>14</w:t>
            </w:r>
            <w:r>
              <w:rPr>
                <w:noProof/>
                <w:webHidden/>
              </w:rPr>
              <w:fldChar w:fldCharType="end"/>
            </w:r>
          </w:hyperlink>
        </w:p>
        <w:p w14:paraId="63EDE324" w14:textId="78082A50" w:rsidR="00A11E65" w:rsidRDefault="00A11E65">
          <w:r>
            <w:rPr>
              <w:b/>
              <w:bCs/>
              <w:noProof/>
            </w:rPr>
            <w:fldChar w:fldCharType="end"/>
          </w:r>
        </w:p>
      </w:sdtContent>
    </w:sdt>
    <w:p w14:paraId="5BD4C4D6" w14:textId="77777777" w:rsidR="00A11E65" w:rsidRDefault="00A11E65"/>
    <w:p w14:paraId="1D63F3A5" w14:textId="77777777" w:rsidR="00A11E65" w:rsidRDefault="00A11E65">
      <w:r>
        <w:br w:type="page"/>
      </w:r>
    </w:p>
    <w:p w14:paraId="10A44CBC" w14:textId="587A44AF" w:rsidR="00A11E65" w:rsidRDefault="00547524" w:rsidP="00547524">
      <w:pPr>
        <w:pStyle w:val="Heading1"/>
      </w:pPr>
      <w:bookmarkStart w:id="0" w:name="_Toc230273978"/>
      <w:r>
        <w:lastRenderedPageBreak/>
        <w:t>Introduction</w:t>
      </w:r>
      <w:bookmarkEnd w:id="0"/>
    </w:p>
    <w:p w14:paraId="31E47B3A" w14:textId="5A19326F" w:rsidR="00547524" w:rsidRPr="00547524" w:rsidRDefault="00547524" w:rsidP="00547524">
      <w:pPr>
        <w:rPr>
          <w:lang w:val="en-GB"/>
        </w:rPr>
      </w:pPr>
      <w:r w:rsidRPr="00547524">
        <w:rPr>
          <w:lang w:val="en-GB"/>
        </w:rPr>
        <w:t xml:space="preserve">As the IT Security Manager for Vigilant Trust &amp; Asset Management </w:t>
      </w:r>
      <w:r w:rsidR="00F940B6">
        <w:rPr>
          <w:lang w:val="en-GB"/>
        </w:rPr>
        <w:t xml:space="preserve">or </w:t>
      </w:r>
      <w:r w:rsidRPr="00547524">
        <w:rPr>
          <w:lang w:val="en-GB"/>
        </w:rPr>
        <w:t>VTAM, the recent phishing attempts and sophisticated ransomware attacks have revealed numerous vulnerabilities in traditional perimeter defence mechanisms. Additionally</w:t>
      </w:r>
      <w:r w:rsidR="00F940B6">
        <w:rPr>
          <w:lang w:val="en-GB"/>
        </w:rPr>
        <w:t xml:space="preserve">, </w:t>
      </w:r>
      <w:r w:rsidR="005013F2">
        <w:rPr>
          <w:lang w:val="en-GB"/>
        </w:rPr>
        <w:t>due to hybrid working environments and the increased propensity for Cloud adoption, the Attack Surface has significantly increased, placing VTAM directly in the target of financially motivated threat actors seeking</w:t>
      </w:r>
      <w:r w:rsidRPr="00547524">
        <w:rPr>
          <w:lang w:val="en-GB"/>
        </w:rPr>
        <w:t xml:space="preserve"> to exploit the organisation.  </w:t>
      </w:r>
      <w:r w:rsidR="00DF6165">
        <w:rPr>
          <w:lang w:val="en-GB"/>
        </w:rPr>
        <w:t>T</w:t>
      </w:r>
      <w:r w:rsidRPr="00547524">
        <w:rPr>
          <w:lang w:val="en-GB"/>
        </w:rPr>
        <w:t xml:space="preserve">he Board of Directors has made a formal request </w:t>
      </w:r>
      <w:r w:rsidR="006517EF">
        <w:rPr>
          <w:lang w:val="en-GB"/>
        </w:rPr>
        <w:t xml:space="preserve">that VTAM implement a contemporary Zero Trust Architecture </w:t>
      </w:r>
      <w:r w:rsidR="00DF6165">
        <w:rPr>
          <w:lang w:val="en-GB"/>
        </w:rPr>
        <w:t xml:space="preserve">or </w:t>
      </w:r>
      <w:r w:rsidR="006517EF">
        <w:rPr>
          <w:lang w:val="en-GB"/>
        </w:rPr>
        <w:t>ZTA</w:t>
      </w:r>
      <w:r w:rsidR="00DF6165">
        <w:rPr>
          <w:lang w:val="en-GB"/>
        </w:rPr>
        <w:t>.</w:t>
      </w:r>
    </w:p>
    <w:p w14:paraId="42FAA51A" w14:textId="04679E03" w:rsidR="00547524" w:rsidRPr="00547524" w:rsidRDefault="00547524" w:rsidP="00547524">
      <w:pPr>
        <w:rPr>
          <w:lang w:val="en-GB"/>
        </w:rPr>
      </w:pPr>
      <w:r w:rsidRPr="00547524">
        <w:rPr>
          <w:lang w:val="en-GB"/>
        </w:rPr>
        <w:t xml:space="preserve">This report provides </w:t>
      </w:r>
      <w:r w:rsidR="00412853">
        <w:rPr>
          <w:lang w:val="en-GB"/>
        </w:rPr>
        <w:t xml:space="preserve">a solution that follows </w:t>
      </w:r>
      <w:r w:rsidRPr="00547524">
        <w:rPr>
          <w:lang w:val="en-GB"/>
        </w:rPr>
        <w:t>the NIST Cybersecurity Framework Core Functions, ISO/IEC 27001, and CISA guidelines. There are five elements of this architecture that must be developed</w:t>
      </w:r>
      <w:r w:rsidR="00F12ECD">
        <w:rPr>
          <w:lang w:val="en-GB"/>
        </w:rPr>
        <w:t xml:space="preserve">, and they are </w:t>
      </w:r>
      <w:r w:rsidRPr="00547524">
        <w:rPr>
          <w:lang w:val="en-GB"/>
        </w:rPr>
        <w:t>Identify Modern Threats</w:t>
      </w:r>
      <w:r w:rsidR="00F12ECD">
        <w:rPr>
          <w:lang w:val="en-GB"/>
        </w:rPr>
        <w:t>,</w:t>
      </w:r>
      <w:r w:rsidRPr="00547524">
        <w:rPr>
          <w:lang w:val="en-GB"/>
        </w:rPr>
        <w:t xml:space="preserve"> Develop Security Policies</w:t>
      </w:r>
      <w:r w:rsidR="00F12ECD">
        <w:rPr>
          <w:lang w:val="en-GB"/>
        </w:rPr>
        <w:t>,</w:t>
      </w:r>
      <w:r w:rsidRPr="00547524">
        <w:rPr>
          <w:lang w:val="en-GB"/>
        </w:rPr>
        <w:t xml:space="preserve"> Develop Technical Mitigation Strategies</w:t>
      </w:r>
      <w:r w:rsidR="00F12ECD">
        <w:rPr>
          <w:lang w:val="en-GB"/>
        </w:rPr>
        <w:t>,</w:t>
      </w:r>
      <w:r w:rsidRPr="00547524">
        <w:rPr>
          <w:lang w:val="en-GB"/>
        </w:rPr>
        <w:t xml:space="preserve"> Implement Proactive Monitoring/Incident Response and Provide Ongoing Training and Awareness.</w:t>
      </w:r>
      <w:r w:rsidR="009513BF">
        <w:rPr>
          <w:lang w:val="en-GB"/>
        </w:rPr>
        <w:t xml:space="preserve"> </w:t>
      </w:r>
      <w:r w:rsidRPr="00547524">
        <w:rPr>
          <w:lang w:val="en-GB"/>
        </w:rPr>
        <w:t>By implementing these strategies, VTAM’s security will shift from a reactive to a proactive stance, protecting client assets and enhancing organisational resilience.</w:t>
      </w:r>
    </w:p>
    <w:p w14:paraId="3E9310D3" w14:textId="77777777" w:rsidR="00547524" w:rsidRDefault="00547524"/>
    <w:p w14:paraId="14006441" w14:textId="77777777" w:rsidR="00A11E65" w:rsidRDefault="00A11E65">
      <w:r>
        <w:br w:type="page"/>
      </w:r>
    </w:p>
    <w:p w14:paraId="237ED085" w14:textId="6E37C559" w:rsidR="00D03CDA" w:rsidRDefault="00D03CDA" w:rsidP="00D03CDA">
      <w:pPr>
        <w:pStyle w:val="Heading1"/>
        <w:rPr>
          <w:lang w:val="en-GB"/>
        </w:rPr>
      </w:pPr>
      <w:bookmarkStart w:id="1" w:name="_Toc230273979"/>
      <w:r>
        <w:rPr>
          <w:lang w:val="en-GB"/>
        </w:rPr>
        <w:lastRenderedPageBreak/>
        <w:t>Report Main Mody</w:t>
      </w:r>
      <w:bookmarkEnd w:id="1"/>
    </w:p>
    <w:p w14:paraId="0DB14485" w14:textId="77777777" w:rsidR="00D03CDA" w:rsidRPr="00D03CDA" w:rsidRDefault="00D03CDA" w:rsidP="00D03CDA">
      <w:pPr>
        <w:rPr>
          <w:lang w:val="en-GB"/>
        </w:rPr>
      </w:pPr>
    </w:p>
    <w:p w14:paraId="149871F0" w14:textId="75323DEE" w:rsidR="005A19A0" w:rsidRPr="00D03CDA" w:rsidRDefault="005A19A0" w:rsidP="00D03CDA">
      <w:pPr>
        <w:pStyle w:val="Heading2"/>
        <w:rPr>
          <w:sz w:val="28"/>
          <w:szCs w:val="28"/>
          <w:lang w:val="en-GB"/>
        </w:rPr>
      </w:pPr>
      <w:bookmarkStart w:id="2" w:name="_Toc230273980"/>
      <w:r w:rsidRPr="00D03CDA">
        <w:rPr>
          <w:sz w:val="28"/>
          <w:szCs w:val="28"/>
          <w:lang w:val="en-GB"/>
        </w:rPr>
        <w:t>Identification of modern threat</w:t>
      </w:r>
      <w:bookmarkEnd w:id="2"/>
    </w:p>
    <w:p w14:paraId="6E1CD6D6" w14:textId="36C30DF2" w:rsidR="00A16B2C" w:rsidRDefault="005526A7" w:rsidP="00A16B2C">
      <w:pPr>
        <w:rPr>
          <w:lang w:val="en-GB"/>
        </w:rPr>
      </w:pPr>
      <w:r w:rsidRPr="005526A7">
        <w:rPr>
          <w:lang w:val="en-GB"/>
        </w:rPr>
        <w:t xml:space="preserve">VTAM has experienced </w:t>
      </w:r>
      <w:r w:rsidR="00962A4A">
        <w:rPr>
          <w:lang w:val="en-GB"/>
        </w:rPr>
        <w:t xml:space="preserve">an </w:t>
      </w:r>
      <w:proofErr w:type="spellStart"/>
      <w:r w:rsidR="00962A4A">
        <w:rPr>
          <w:lang w:val="en-GB"/>
        </w:rPr>
        <w:t>increased</w:t>
      </w:r>
      <w:proofErr w:type="spellEnd"/>
      <w:r w:rsidRPr="005526A7">
        <w:rPr>
          <w:lang w:val="en-GB"/>
        </w:rPr>
        <w:t xml:space="preserve"> of both internal and external threats. An example of an external threat is Ransomware-as-a-Service </w:t>
      </w:r>
      <w:r w:rsidR="00E57009">
        <w:rPr>
          <w:lang w:val="en-GB"/>
        </w:rPr>
        <w:t xml:space="preserve">or </w:t>
      </w:r>
      <w:r w:rsidRPr="005526A7">
        <w:rPr>
          <w:lang w:val="en-GB"/>
        </w:rPr>
        <w:t xml:space="preserve">RaaS, which provides a new operating model for attackers that lowers the barrier to deploying ransomware quickly and widely across financial networks [1]. Most attacks using this model target businesses that handle a significant amount of sensitive data from their clients and can cause huge disruptions to operations while </w:t>
      </w:r>
      <w:r w:rsidR="00CC36A8">
        <w:rPr>
          <w:lang w:val="en-GB"/>
        </w:rPr>
        <w:t>asking for</w:t>
      </w:r>
      <w:r w:rsidRPr="005526A7">
        <w:rPr>
          <w:lang w:val="en-GB"/>
        </w:rPr>
        <w:t xml:space="preserve"> extortion demands. In addition, attackers also use AI-based social engineering tactics, such as voice phishing </w:t>
      </w:r>
      <w:r w:rsidR="005E6065">
        <w:rPr>
          <w:lang w:val="en-GB"/>
        </w:rPr>
        <w:t xml:space="preserve">or </w:t>
      </w:r>
      <w:r w:rsidRPr="005526A7">
        <w:rPr>
          <w:lang w:val="en-GB"/>
        </w:rPr>
        <w:t>vishing</w:t>
      </w:r>
      <w:r w:rsidR="005E6065">
        <w:rPr>
          <w:lang w:val="en-GB"/>
        </w:rPr>
        <w:t>,</w:t>
      </w:r>
      <w:r w:rsidRPr="005526A7">
        <w:rPr>
          <w:lang w:val="en-GB"/>
        </w:rPr>
        <w:t xml:space="preserve"> using deepfake audio and automated callers impersonating trusted executive-level staff or technical support personnel to bypass traditional email filters, making the attacks much more successful </w:t>
      </w:r>
      <w:r w:rsidR="00A15A9B">
        <w:rPr>
          <w:lang w:val="en-GB"/>
        </w:rPr>
        <w:t xml:space="preserve">and </w:t>
      </w:r>
      <w:proofErr w:type="gramStart"/>
      <w:r w:rsidR="00A15A9B">
        <w:rPr>
          <w:lang w:val="en-GB"/>
        </w:rPr>
        <w:t>believable</w:t>
      </w:r>
      <w:r w:rsidRPr="005526A7">
        <w:rPr>
          <w:lang w:val="en-GB"/>
        </w:rPr>
        <w:t>[</w:t>
      </w:r>
      <w:proofErr w:type="gramEnd"/>
      <w:r w:rsidRPr="005526A7">
        <w:rPr>
          <w:lang w:val="en-GB"/>
        </w:rPr>
        <w:t xml:space="preserve">2]. A third example of an external threat is the targeting of supply chain businesses; the </w:t>
      </w:r>
      <w:proofErr w:type="spellStart"/>
      <w:r w:rsidRPr="005526A7">
        <w:rPr>
          <w:lang w:val="en-GB"/>
        </w:rPr>
        <w:t>MOVEit</w:t>
      </w:r>
      <w:proofErr w:type="spellEnd"/>
      <w:r w:rsidRPr="005526A7">
        <w:rPr>
          <w:lang w:val="en-GB"/>
        </w:rPr>
        <w:t xml:space="preserve"> file transmission breach is a well-known example in which attackers leaked sensitive client data from thousands of organisations </w:t>
      </w:r>
      <w:r w:rsidR="00A15A9B">
        <w:rPr>
          <w:lang w:val="en-GB"/>
        </w:rPr>
        <w:t>due to</w:t>
      </w:r>
      <w:r w:rsidRPr="005526A7">
        <w:rPr>
          <w:lang w:val="en-GB"/>
        </w:rPr>
        <w:t xml:space="preserve"> a single compromised piece of technology in the supply chain [3].</w:t>
      </w:r>
      <w:r w:rsidR="00A16B2C">
        <w:rPr>
          <w:lang w:val="en-GB"/>
        </w:rPr>
        <w:t xml:space="preserve"> </w:t>
      </w:r>
      <w:r w:rsidR="00A16B2C" w:rsidRPr="00A16B2C">
        <w:rPr>
          <w:lang w:val="en-GB"/>
        </w:rPr>
        <w:t xml:space="preserve">Cloud </w:t>
      </w:r>
      <w:r w:rsidR="003247CD">
        <w:rPr>
          <w:lang w:val="en-GB"/>
        </w:rPr>
        <w:t>implementations introduce additional vulnerabilities due to common configuration mistakes, such as overly permissive access permissions on an IAM role or open storage, which allow</w:t>
      </w:r>
      <w:r w:rsidR="00A16B2C" w:rsidRPr="00A16B2C">
        <w:rPr>
          <w:lang w:val="en-GB"/>
        </w:rPr>
        <w:t xml:space="preserve"> an attacker to obtain company data without exploiting a software flaw [4]. With the Move towards hybrid work environments, unknown vulnerabilities, such as using home networks and personal devices </w:t>
      </w:r>
      <w:r w:rsidR="00C54E30">
        <w:rPr>
          <w:lang w:val="en-GB"/>
        </w:rPr>
        <w:t>to connect to your workplace, further compound the issue of exposure and decrease overall protection for your corporation against</w:t>
      </w:r>
      <w:r w:rsidR="00A16B2C" w:rsidRPr="00A16B2C">
        <w:rPr>
          <w:lang w:val="en-GB"/>
        </w:rPr>
        <w:t xml:space="preserve"> unauthorised access. Also, internally, there are potential threats from employees </w:t>
      </w:r>
      <w:r w:rsidR="00C54E30">
        <w:rPr>
          <w:lang w:val="en-GB"/>
        </w:rPr>
        <w:t>who, either accidentally or purposely, cause breaches of sensitive data through legitimate access via social engineering, leading to</w:t>
      </w:r>
      <w:r w:rsidR="00A16B2C" w:rsidRPr="00A16B2C">
        <w:rPr>
          <w:lang w:val="en-GB"/>
        </w:rPr>
        <w:t xml:space="preserve"> errors in judgment or policy violations [5]. Research completed </w:t>
      </w:r>
      <w:proofErr w:type="gramStart"/>
      <w:r w:rsidR="00A16B2C" w:rsidRPr="00A16B2C">
        <w:rPr>
          <w:lang w:val="en-GB"/>
        </w:rPr>
        <w:t>in the area of</w:t>
      </w:r>
      <w:proofErr w:type="gramEnd"/>
      <w:r w:rsidR="00A16B2C" w:rsidRPr="00A16B2C">
        <w:rPr>
          <w:lang w:val="en-GB"/>
        </w:rPr>
        <w:t xml:space="preserve"> risk perception has shown that </w:t>
      </w:r>
      <w:proofErr w:type="gramStart"/>
      <w:r w:rsidR="00A16B2C" w:rsidRPr="00A16B2C">
        <w:rPr>
          <w:lang w:val="en-GB"/>
        </w:rPr>
        <w:t>the majority of</w:t>
      </w:r>
      <w:proofErr w:type="gramEnd"/>
      <w:r w:rsidR="00A16B2C" w:rsidRPr="00A16B2C">
        <w:rPr>
          <w:lang w:val="en-GB"/>
        </w:rPr>
        <w:t xml:space="preserve"> employees have an inaccurate view of the amount of potential loss to the organisation, and as such, their tendency to take proactive defensive measures against data breaches lowers [6]. </w:t>
      </w:r>
      <w:proofErr w:type="gramStart"/>
      <w:r w:rsidR="00A16B2C" w:rsidRPr="00A16B2C">
        <w:rPr>
          <w:lang w:val="en-GB"/>
        </w:rPr>
        <w:t>All of</w:t>
      </w:r>
      <w:proofErr w:type="gramEnd"/>
      <w:r w:rsidR="00A16B2C" w:rsidRPr="00A16B2C">
        <w:rPr>
          <w:lang w:val="en-GB"/>
        </w:rPr>
        <w:t xml:space="preserve"> these threats ultimately </w:t>
      </w:r>
      <w:r w:rsidR="00C54E30">
        <w:rPr>
          <w:lang w:val="en-GB"/>
        </w:rPr>
        <w:t>will decrease</w:t>
      </w:r>
      <w:r w:rsidR="00A16B2C" w:rsidRPr="00A16B2C">
        <w:rPr>
          <w:lang w:val="en-GB"/>
        </w:rPr>
        <w:t xml:space="preserve"> VTAM’s financial data confidentiality, integrity, and availability of its critical systems, and therefore, a security posture must be developed that assumes a breach at every layer.</w:t>
      </w:r>
    </w:p>
    <w:p w14:paraId="5CE2F02A" w14:textId="668FFBA2" w:rsidR="0082725C" w:rsidRPr="003D5EEF" w:rsidRDefault="00C77C79" w:rsidP="003D5EEF">
      <w:pPr>
        <w:pStyle w:val="Heading2"/>
        <w:rPr>
          <w:sz w:val="28"/>
          <w:szCs w:val="28"/>
        </w:rPr>
      </w:pPr>
      <w:bookmarkStart w:id="3" w:name="_Toc230273981"/>
      <w:r w:rsidRPr="003D5EEF">
        <w:rPr>
          <w:sz w:val="28"/>
          <w:szCs w:val="28"/>
          <w:lang w:val="en-GB"/>
        </w:rPr>
        <w:t>Modern Security Policies</w:t>
      </w:r>
      <w:bookmarkEnd w:id="3"/>
    </w:p>
    <w:p w14:paraId="649DCCCE" w14:textId="15BA63F4" w:rsidR="00146309" w:rsidRDefault="003E5E57" w:rsidP="0082725C">
      <w:r w:rsidRPr="003E5E57">
        <w:rPr>
          <w:lang w:val="en-GB"/>
        </w:rPr>
        <w:t xml:space="preserve">To respond to the risks mentioned above, VTAM will develop and implement a comprehensive set of security policies that will align with the Zero Trust principles </w:t>
      </w:r>
      <w:r w:rsidR="00AA00C6">
        <w:rPr>
          <w:lang w:val="en-GB"/>
        </w:rPr>
        <w:t xml:space="preserve">policies </w:t>
      </w:r>
      <w:r w:rsidRPr="003E5E57">
        <w:rPr>
          <w:lang w:val="en-GB"/>
        </w:rPr>
        <w:t>and internationally recognised security frameworks</w:t>
      </w:r>
      <w:r w:rsidR="00E13CAD">
        <w:rPr>
          <w:lang w:val="en-GB"/>
        </w:rPr>
        <w:t xml:space="preserve"> like the</w:t>
      </w:r>
      <w:r w:rsidRPr="003E5E57">
        <w:rPr>
          <w:lang w:val="en-GB"/>
        </w:rPr>
        <w:t xml:space="preserve"> ISO/IEC 27001 will be the </w:t>
      </w:r>
      <w:r w:rsidR="006916C5">
        <w:rPr>
          <w:lang w:val="en-GB"/>
        </w:rPr>
        <w:t>aim goal</w:t>
      </w:r>
      <w:r w:rsidRPr="003E5E57">
        <w:rPr>
          <w:lang w:val="en-GB"/>
        </w:rPr>
        <w:t xml:space="preserve"> of the security program at VTAM </w:t>
      </w:r>
      <w:r w:rsidR="006916C5">
        <w:rPr>
          <w:lang w:val="en-GB"/>
        </w:rPr>
        <w:t>that</w:t>
      </w:r>
      <w:r w:rsidRPr="003E5E57">
        <w:rPr>
          <w:lang w:val="en-GB"/>
        </w:rPr>
        <w:t xml:space="preserve"> will provide a structured, repeatable </w:t>
      </w:r>
      <w:r w:rsidRPr="003E5E57">
        <w:rPr>
          <w:lang w:val="en-GB"/>
        </w:rPr>
        <w:lastRenderedPageBreak/>
        <w:t xml:space="preserve">methodology for establishing, implementing, maintaining and continuously improving an Information Security Management System </w:t>
      </w:r>
      <w:r w:rsidR="006916C5">
        <w:rPr>
          <w:lang w:val="en-GB"/>
        </w:rPr>
        <w:t xml:space="preserve">or </w:t>
      </w:r>
      <w:r w:rsidRPr="003E5E57">
        <w:rPr>
          <w:lang w:val="en-GB"/>
        </w:rPr>
        <w:t xml:space="preserve">ISMS. Certification </w:t>
      </w:r>
      <w:r w:rsidR="00007C9F">
        <w:rPr>
          <w:lang w:val="en-GB"/>
        </w:rPr>
        <w:t>to</w:t>
      </w:r>
      <w:r w:rsidRPr="003E5E57">
        <w:rPr>
          <w:lang w:val="en-GB"/>
        </w:rPr>
        <w:t xml:space="preserve"> the ISO/IEC 27001 standard will provide regulatory compliance and will also demonstrate robust internal controls to clients, regulators and business partners. All security policies will have a direct mapping to the NIST Cybersecurity Framework 2.0 functions of Identify</w:t>
      </w:r>
      <w:r w:rsidR="00233BC9">
        <w:rPr>
          <w:lang w:val="en-GB"/>
        </w:rPr>
        <w:t>,</w:t>
      </w:r>
      <w:r w:rsidRPr="003E5E57">
        <w:rPr>
          <w:lang w:val="en-GB"/>
        </w:rPr>
        <w:t xml:space="preserve"> </w:t>
      </w:r>
      <w:r w:rsidR="00233BC9">
        <w:rPr>
          <w:lang w:val="en-GB"/>
        </w:rPr>
        <w:t xml:space="preserve">which is </w:t>
      </w:r>
      <w:r w:rsidRPr="003E5E57">
        <w:rPr>
          <w:lang w:val="en-GB"/>
        </w:rPr>
        <w:t xml:space="preserve">to include comprehensive inventories of assets and risk assessments, Protect </w:t>
      </w:r>
      <w:r w:rsidR="00233BC9">
        <w:rPr>
          <w:lang w:val="en-GB"/>
        </w:rPr>
        <w:t xml:space="preserve">which is </w:t>
      </w:r>
      <w:r w:rsidRPr="003E5E57">
        <w:rPr>
          <w:lang w:val="en-GB"/>
        </w:rPr>
        <w:t xml:space="preserve">to include least-privilege access, encrypted data, and secure baseline configurations, Detect </w:t>
      </w:r>
      <w:r w:rsidR="00233BC9">
        <w:rPr>
          <w:lang w:val="en-GB"/>
        </w:rPr>
        <w:t xml:space="preserve">which is </w:t>
      </w:r>
      <w:r w:rsidRPr="003E5E57">
        <w:rPr>
          <w:lang w:val="en-GB"/>
        </w:rPr>
        <w:t xml:space="preserve">to include continuous monitoring, Respond </w:t>
      </w:r>
      <w:r w:rsidR="00233BC9">
        <w:rPr>
          <w:lang w:val="en-GB"/>
        </w:rPr>
        <w:t xml:space="preserve">which is </w:t>
      </w:r>
      <w:r w:rsidRPr="003E5E57">
        <w:rPr>
          <w:lang w:val="en-GB"/>
        </w:rPr>
        <w:t xml:space="preserve">to include clear incident response procedures and Recover </w:t>
      </w:r>
      <w:r w:rsidR="00233BC9">
        <w:rPr>
          <w:lang w:val="en-GB"/>
        </w:rPr>
        <w:t xml:space="preserve">which is </w:t>
      </w:r>
      <w:r w:rsidRPr="003E5E57">
        <w:rPr>
          <w:lang w:val="en-GB"/>
        </w:rPr>
        <w:t>to include resilience of backups and restoration.</w:t>
      </w:r>
      <w:r w:rsidR="0082725C">
        <w:rPr>
          <w:lang w:val="en-GB"/>
        </w:rPr>
        <w:t xml:space="preserve"> </w:t>
      </w:r>
      <w:r w:rsidR="0082725C">
        <w:t>The Zero Trust Architecture also requires that all access requests validate the identity of users and the postures of their devices dynamically, as well as the contextual risk of the access request. This means that there is no implicit trust based on location on the network or previous authentication [7], [8].</w:t>
      </w:r>
      <w:r w:rsidR="0082725C">
        <w:rPr>
          <w:lang w:val="en-GB"/>
        </w:rPr>
        <w:t xml:space="preserve"> </w:t>
      </w:r>
      <w:r w:rsidR="0082725C">
        <w:t xml:space="preserve">With respect to administrative policies, these policies require periodic reviews, immediate reporting of suspicious activity, and </w:t>
      </w:r>
      <w:r w:rsidR="00850104">
        <w:t xml:space="preserve">the </w:t>
      </w:r>
      <w:r w:rsidR="0082725C">
        <w:t xml:space="preserve">use of the CISA Known Exploited Vulnerabilities catalogue in patch management. </w:t>
      </w:r>
      <w:proofErr w:type="gramStart"/>
      <w:r w:rsidR="0082725C">
        <w:t>All of</w:t>
      </w:r>
      <w:proofErr w:type="gramEnd"/>
      <w:r w:rsidR="0082725C">
        <w:t xml:space="preserve"> these policies will be formally written and communicated to all employees in several ways throughout the </w:t>
      </w:r>
      <w:proofErr w:type="spellStart"/>
      <w:proofErr w:type="gramStart"/>
      <w:r w:rsidR="0082725C">
        <w:t>organisation</w:t>
      </w:r>
      <w:proofErr w:type="spellEnd"/>
      <w:r w:rsidR="00B2710D">
        <w:t>, and</w:t>
      </w:r>
      <w:proofErr w:type="gramEnd"/>
      <w:r w:rsidR="00B2710D">
        <w:t xml:space="preserve"> will be subjected to an annual internal audit to make sure that they are relevant</w:t>
      </w:r>
      <w:r w:rsidR="0082725C">
        <w:t xml:space="preserve"> as threats change and are regulated. The policy framework provides a consistent and auditable basis for all subsequent technical controls.</w:t>
      </w:r>
    </w:p>
    <w:p w14:paraId="47992B31" w14:textId="28C31377" w:rsidR="003D5EEF" w:rsidRDefault="003D5EEF" w:rsidP="0082725C">
      <w:pPr>
        <w:rPr>
          <w:lang w:val="en-GB"/>
        </w:rPr>
      </w:pPr>
      <w:r>
        <w:rPr>
          <w:noProof/>
          <w:lang w:val="en-GB"/>
        </w:rPr>
        <w:drawing>
          <wp:inline distT="0" distB="0" distL="0" distR="0" wp14:anchorId="52049E54" wp14:editId="56618008">
            <wp:extent cx="5042880" cy="3605514"/>
            <wp:effectExtent l="0" t="0" r="5715" b="0"/>
            <wp:docPr id="7630655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74648" cy="3628227"/>
                    </a:xfrm>
                    <a:prstGeom prst="rect">
                      <a:avLst/>
                    </a:prstGeom>
                    <a:noFill/>
                  </pic:spPr>
                </pic:pic>
              </a:graphicData>
            </a:graphic>
          </wp:inline>
        </w:drawing>
      </w:r>
    </w:p>
    <w:p w14:paraId="0949FEE0" w14:textId="0977DA6D" w:rsidR="00146309" w:rsidRPr="003D5EEF" w:rsidRDefault="003D5EEF">
      <w:pPr>
        <w:rPr>
          <w:lang w:val="en-GB"/>
        </w:rPr>
      </w:pPr>
      <w:r>
        <w:rPr>
          <w:lang w:val="en-GB"/>
        </w:rPr>
        <w:t>Fig 1 (Zero trust system geeksforgeeks.com)</w:t>
      </w:r>
      <w:r w:rsidR="00146309">
        <w:br w:type="page"/>
      </w:r>
    </w:p>
    <w:p w14:paraId="016E3083" w14:textId="5409F004" w:rsidR="00146309" w:rsidRPr="002A14EF" w:rsidRDefault="002A14EF" w:rsidP="002A14EF">
      <w:pPr>
        <w:pStyle w:val="Heading2"/>
        <w:rPr>
          <w:sz w:val="28"/>
          <w:szCs w:val="28"/>
        </w:rPr>
      </w:pPr>
      <w:bookmarkStart w:id="4" w:name="_Toc230273982"/>
      <w:r w:rsidRPr="002A14EF">
        <w:rPr>
          <w:sz w:val="28"/>
          <w:szCs w:val="28"/>
        </w:rPr>
        <w:lastRenderedPageBreak/>
        <w:t>Technical Mitigation Measures</w:t>
      </w:r>
      <w:bookmarkEnd w:id="4"/>
    </w:p>
    <w:p w14:paraId="03BD69C8" w14:textId="2C7F7C51" w:rsidR="00957047" w:rsidRDefault="00957047">
      <w:r w:rsidRPr="00957047">
        <w:t xml:space="preserve">The Zero Trust model requires a combination of practical, technical and administrative controls to be operational within the </w:t>
      </w:r>
      <w:r w:rsidR="00347BD0">
        <w:t>limitations</w:t>
      </w:r>
      <w:r w:rsidRPr="00957047">
        <w:t xml:space="preserve"> of VTAM resources. Multi-factor authentication using AI will be a </w:t>
      </w:r>
      <w:r w:rsidR="00AE2961">
        <w:t>very important</w:t>
      </w:r>
      <w:r w:rsidRPr="00957047">
        <w:t xml:space="preserve"> component of the prevention strategy, combining conventional methods with real-time </w:t>
      </w:r>
      <w:proofErr w:type="spellStart"/>
      <w:r w:rsidRPr="00957047">
        <w:t>behavioural</w:t>
      </w:r>
      <w:proofErr w:type="spellEnd"/>
      <w:r w:rsidRPr="00957047">
        <w:t xml:space="preserve"> analysis, device fingerprinting, and contextual risk scoring to identify and prevent abnormal access attempts [10]. Cloud security posture management systems will continuously scan VTAM's cloud systems to identify misconfigured controls and automatically alert administrators, while </w:t>
      </w:r>
      <w:r w:rsidR="00923091">
        <w:t>starting to enforce</w:t>
      </w:r>
      <w:r w:rsidRPr="00957047">
        <w:t xml:space="preserve"> remediation to correct any excessive access controls. Network </w:t>
      </w:r>
      <w:proofErr w:type="spellStart"/>
      <w:r w:rsidRPr="00957047">
        <w:t>microsegmentation</w:t>
      </w:r>
      <w:proofErr w:type="spellEnd"/>
      <w:r w:rsidRPr="00957047">
        <w:t xml:space="preserve"> </w:t>
      </w:r>
      <w:r w:rsidR="00923091">
        <w:t>allows</w:t>
      </w:r>
      <w:r w:rsidRPr="00957047">
        <w:t xml:space="preserve"> restricting horizontal access by creating policies to separate sensitive systems. Immutable</w:t>
      </w:r>
      <w:r w:rsidR="00F3438F">
        <w:t xml:space="preserve"> backups stored in WORM repositories will allow VTAM to recover from ransomware attacks more quickly without</w:t>
      </w:r>
      <w:r w:rsidRPr="00957047">
        <w:t xml:space="preserve"> paying ransoms. </w:t>
      </w:r>
      <w:r w:rsidR="002F6386">
        <w:t>The patch</w:t>
      </w:r>
      <w:r w:rsidRPr="00957047">
        <w:t xml:space="preserve"> management activities will focus on addressing vulnerabilities on the CISA Known Exploited Vulnerabilities List to rapidly close known vulnerability windows. Administrative activities will consist of routine access control reviews and </w:t>
      </w:r>
      <w:r w:rsidR="000329A0">
        <w:t xml:space="preserve">the </w:t>
      </w:r>
      <w:r w:rsidRPr="00957047">
        <w:t>privilege escalation. These controls are directly related to the Protect and Detect functions of the NIST Cybersecurity Framework and CISA's Zero Trust Maturity Model core pillars [8]. The plan is to implement the solution in phases, starting with high-risk assets like customer data repositories and payment processing systems.</w:t>
      </w:r>
    </w:p>
    <w:p w14:paraId="08FBC0CB" w14:textId="3999B1D9" w:rsidR="00146309" w:rsidRDefault="00146309">
      <w:r>
        <w:br w:type="page"/>
      </w:r>
    </w:p>
    <w:p w14:paraId="7ACC1639" w14:textId="30D722E8" w:rsidR="00072818" w:rsidRPr="00D03CDA" w:rsidRDefault="00D03CDA" w:rsidP="00D03CDA">
      <w:pPr>
        <w:pStyle w:val="Heading2"/>
        <w:rPr>
          <w:sz w:val="28"/>
          <w:szCs w:val="28"/>
          <w:lang w:val="en-GB"/>
        </w:rPr>
      </w:pPr>
      <w:bookmarkStart w:id="5" w:name="_Toc230273983"/>
      <w:r w:rsidRPr="00D03CDA">
        <w:rPr>
          <w:sz w:val="28"/>
          <w:szCs w:val="28"/>
          <w:lang w:val="en-GB"/>
        </w:rPr>
        <w:lastRenderedPageBreak/>
        <w:t>Proactive Monitoring and Incident Response</w:t>
      </w:r>
      <w:bookmarkEnd w:id="5"/>
    </w:p>
    <w:p w14:paraId="0C3D83D0" w14:textId="042DB2BF" w:rsidR="00C77C79" w:rsidRDefault="00072818" w:rsidP="00C77C79">
      <w:pPr>
        <w:rPr>
          <w:lang w:val="en-GB"/>
        </w:rPr>
      </w:pPr>
      <w:r w:rsidRPr="00072818">
        <w:rPr>
          <w:lang w:val="en-GB"/>
        </w:rPr>
        <w:t xml:space="preserve">Threat detection and response are dependent on having clear visibility over an ever-growing attack surface. Therefore, VTAM will implement </w:t>
      </w:r>
      <w:r w:rsidR="006D6E74">
        <w:rPr>
          <w:lang w:val="en-GB"/>
        </w:rPr>
        <w:t>everything in one</w:t>
      </w:r>
      <w:r w:rsidRPr="00072818">
        <w:rPr>
          <w:lang w:val="en-GB"/>
        </w:rPr>
        <w:t xml:space="preserve"> Security Information and Event Management </w:t>
      </w:r>
      <w:r w:rsidR="006D6E74">
        <w:rPr>
          <w:lang w:val="en-GB"/>
        </w:rPr>
        <w:t>s</w:t>
      </w:r>
      <w:r w:rsidRPr="00072818">
        <w:rPr>
          <w:lang w:val="en-GB"/>
        </w:rPr>
        <w:t xml:space="preserve">olution integrated with Security Orchestration, Automation and Response SOAR capabilities through the aggregation and correlation of logs from Endpoints, Networks, Cloud Services, and Identity Systems, allowing true 24/7 monitoring [8]. The Incident Response Plan will align with the NIST CSF Respond </w:t>
      </w:r>
      <w:r w:rsidR="00D955D0">
        <w:rPr>
          <w:lang w:val="en-GB"/>
        </w:rPr>
        <w:t>and</w:t>
      </w:r>
      <w:r w:rsidRPr="00072818">
        <w:rPr>
          <w:lang w:val="en-GB"/>
        </w:rPr>
        <w:t xml:space="preserve"> Recover Functions</w:t>
      </w:r>
      <w:r w:rsidR="00D955D0">
        <w:rPr>
          <w:lang w:val="en-GB"/>
        </w:rPr>
        <w:t xml:space="preserve"> and follow CISA’s Guidance on the structured handling of Ransomware and other High-Impact</w:t>
      </w:r>
      <w:r w:rsidRPr="00072818">
        <w:rPr>
          <w:lang w:val="en-GB"/>
        </w:rPr>
        <w:t xml:space="preserve"> Incidents. The figure below demonstrates each phase of the SIEM-driven incident response process from automated alert generation and triage </w:t>
      </w:r>
      <w:proofErr w:type="gramStart"/>
      <w:r w:rsidRPr="00072818">
        <w:rPr>
          <w:lang w:val="en-GB"/>
        </w:rPr>
        <w:t>through the use of</w:t>
      </w:r>
      <w:proofErr w:type="gramEnd"/>
      <w:r w:rsidRPr="00072818">
        <w:rPr>
          <w:lang w:val="en-GB"/>
        </w:rPr>
        <w:t xml:space="preserve"> enriched investigation via the use of Threat Intelligence feeds, coordinated containment via the automated isolation of networks, forensic analysis, and ultimately, Eradication, Recovery and After-Action Review </w:t>
      </w:r>
      <w:r w:rsidR="00D955D0">
        <w:rPr>
          <w:lang w:val="en-GB"/>
        </w:rPr>
        <w:t xml:space="preserve">or </w:t>
      </w:r>
      <w:r w:rsidRPr="00072818">
        <w:rPr>
          <w:lang w:val="en-GB"/>
        </w:rPr>
        <w:t xml:space="preserve">AAR. </w:t>
      </w:r>
      <w:r w:rsidR="00D955D0">
        <w:rPr>
          <w:lang w:val="en-GB"/>
        </w:rPr>
        <w:t>S</w:t>
      </w:r>
      <w:r w:rsidRPr="00072818">
        <w:rPr>
          <w:lang w:val="en-GB"/>
        </w:rPr>
        <w:t xml:space="preserve">imulated Ransomware exercises will be conducted to validate the team’s </w:t>
      </w:r>
      <w:r w:rsidR="002C7D34">
        <w:rPr>
          <w:lang w:val="en-GB"/>
        </w:rPr>
        <w:t>skills</w:t>
      </w:r>
      <w:r w:rsidRPr="00072818">
        <w:rPr>
          <w:lang w:val="en-GB"/>
        </w:rPr>
        <w:t xml:space="preserve"> to meet defined recovery time objectives. This new, automated approach will </w:t>
      </w:r>
      <w:r w:rsidR="002C7D34">
        <w:rPr>
          <w:lang w:val="en-GB"/>
        </w:rPr>
        <w:t xml:space="preserve">improve the Incident Response process, moving from a reactive to a proactive Resilience capability that will drastically reduce potential downtime and the </w:t>
      </w:r>
      <w:r w:rsidRPr="00072818">
        <w:rPr>
          <w:lang w:val="en-GB"/>
        </w:rPr>
        <w:t>risk of regulatory exposure.</w:t>
      </w:r>
    </w:p>
    <w:p w14:paraId="6BB35275" w14:textId="35604E02" w:rsidR="001A5A78" w:rsidRDefault="00AC2A82" w:rsidP="00C77C79">
      <w:pPr>
        <w:rPr>
          <w:lang w:val="en-GB"/>
        </w:rPr>
      </w:pPr>
      <w:r>
        <w:rPr>
          <w:noProof/>
          <w:lang w:val="en-GB"/>
        </w:rPr>
        <w:drawing>
          <wp:inline distT="0" distB="0" distL="0" distR="0" wp14:anchorId="07087865" wp14:editId="3FCD1221">
            <wp:extent cx="5509308" cy="2715765"/>
            <wp:effectExtent l="0" t="0" r="0" b="8890"/>
            <wp:docPr id="3618433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5394" cy="2723694"/>
                    </a:xfrm>
                    <a:prstGeom prst="rect">
                      <a:avLst/>
                    </a:prstGeom>
                    <a:noFill/>
                  </pic:spPr>
                </pic:pic>
              </a:graphicData>
            </a:graphic>
          </wp:inline>
        </w:drawing>
      </w:r>
    </w:p>
    <w:p w14:paraId="01601433" w14:textId="371F838B" w:rsidR="00AC2A82" w:rsidRDefault="00AC2A82" w:rsidP="00C77C79">
      <w:pPr>
        <w:rPr>
          <w:lang w:val="en-GB"/>
        </w:rPr>
      </w:pPr>
      <w:r>
        <w:rPr>
          <w:lang w:val="en-GB"/>
        </w:rPr>
        <w:t>Fig 2 (</w:t>
      </w:r>
      <w:r w:rsidR="00B03834">
        <w:rPr>
          <w:lang w:val="en-GB"/>
        </w:rPr>
        <w:t>Siem process flowchart, ResearchGate)</w:t>
      </w:r>
    </w:p>
    <w:p w14:paraId="433BE225" w14:textId="77777777" w:rsidR="00B03834" w:rsidRDefault="00B03834" w:rsidP="00C77C79">
      <w:pPr>
        <w:rPr>
          <w:lang w:val="en-GB"/>
        </w:rPr>
      </w:pPr>
    </w:p>
    <w:p w14:paraId="4B54CB4D" w14:textId="77777777" w:rsidR="00B03834" w:rsidRPr="00C77C79" w:rsidRDefault="00B03834" w:rsidP="00C77C79">
      <w:pPr>
        <w:rPr>
          <w:lang w:val="en-GB"/>
        </w:rPr>
      </w:pPr>
    </w:p>
    <w:p w14:paraId="659CE7FA" w14:textId="1E786814" w:rsidR="004E2134" w:rsidRPr="00D03CDA" w:rsidRDefault="00146309" w:rsidP="00D03CDA">
      <w:pPr>
        <w:pStyle w:val="Heading2"/>
        <w:rPr>
          <w:sz w:val="28"/>
          <w:szCs w:val="28"/>
          <w:lang w:val="en-GB"/>
        </w:rPr>
      </w:pPr>
      <w:bookmarkStart w:id="6" w:name="_Toc230273984"/>
      <w:r w:rsidRPr="00D03CDA">
        <w:rPr>
          <w:sz w:val="28"/>
          <w:szCs w:val="28"/>
          <w:lang w:val="en-GB"/>
        </w:rPr>
        <w:lastRenderedPageBreak/>
        <w:t>Continuous Training and Awareness</w:t>
      </w:r>
      <w:bookmarkEnd w:id="6"/>
    </w:p>
    <w:p w14:paraId="562D0D90" w14:textId="6C612387" w:rsidR="004E2134" w:rsidRDefault="004E2134" w:rsidP="004E2134">
      <w:pPr>
        <w:rPr>
          <w:lang w:val="en-GB"/>
        </w:rPr>
      </w:pPr>
      <w:r w:rsidRPr="004E2134">
        <w:rPr>
          <w:lang w:val="en-GB"/>
        </w:rPr>
        <w:t>Human vulnerabilities cannot be completely addressed by technical controls. Therefore, VTAM will provide an engaging and ongoing security awareness program that exceeds the minimum compliance requirements. Monthly simulated phishing and vishing exercises based on role-specific scenarios will reinforce recognition of social engineering tactics and improve click rates and incident reporting speed [2], [5]. Interactive modules will provide insight into the real-world financial, operational, and reputational impacts of security breaches and, lastly, will increase employees' perceptions of risk and motivation to practice protective behaviours [6]. Role-specific training will focus on educating employees about the unique threats faced by finance, IT, and executive teams related to CEO fraud and insider threats. A network of security champions will integrate awareness into daily operations, and gamified learning platforms, along with ongoing feedback surveys, will provide continual engagement and evidence of cultural change. This ongoing program will cultivate a security-savvy culture in which every employee recognises their role in safeguarding VTAM’s assets.</w:t>
      </w:r>
    </w:p>
    <w:p w14:paraId="09872D9C" w14:textId="5CACF0A4" w:rsidR="00146309" w:rsidRDefault="00146309" w:rsidP="004E2134">
      <w:pPr>
        <w:rPr>
          <w:lang w:val="en-GB"/>
        </w:rPr>
      </w:pPr>
    </w:p>
    <w:p w14:paraId="7198B910" w14:textId="77777777" w:rsidR="00146309" w:rsidRDefault="00146309">
      <w:pPr>
        <w:rPr>
          <w:lang w:val="en-GB"/>
        </w:rPr>
      </w:pPr>
      <w:r>
        <w:rPr>
          <w:lang w:val="en-GB"/>
        </w:rPr>
        <w:br w:type="page"/>
      </w:r>
    </w:p>
    <w:p w14:paraId="2B61A969" w14:textId="5F909DC9" w:rsidR="00146309" w:rsidRPr="004E2134" w:rsidRDefault="00146309" w:rsidP="00146309">
      <w:pPr>
        <w:pStyle w:val="Heading1"/>
        <w:rPr>
          <w:lang w:val="en-GB"/>
        </w:rPr>
      </w:pPr>
      <w:bookmarkStart w:id="7" w:name="_Toc230273985"/>
      <w:r>
        <w:rPr>
          <w:lang w:val="en-GB"/>
        </w:rPr>
        <w:lastRenderedPageBreak/>
        <w:t>Conclusion</w:t>
      </w:r>
      <w:bookmarkEnd w:id="7"/>
    </w:p>
    <w:p w14:paraId="51A2E767" w14:textId="6AEFB715" w:rsidR="00A11E65" w:rsidRDefault="00DD1941">
      <w:r>
        <w:t>In conclusion, the</w:t>
      </w:r>
      <w:r w:rsidRPr="00DD1941">
        <w:t xml:space="preserve"> recommended Zero Trust model </w:t>
      </w:r>
      <w:r w:rsidR="00D87EEB">
        <w:t>provides VTAM with a modern approach to cybersecurity, enabling the company to address</w:t>
      </w:r>
      <w:r w:rsidRPr="00DD1941">
        <w:t xml:space="preserve"> past attacks and current risks. By </w:t>
      </w:r>
      <w:r>
        <w:t>implementing ISO/IEC 27001 accreditation, NIST CSF and CISA guidance</w:t>
      </w:r>
      <w:r w:rsidRPr="00DD1941">
        <w:t xml:space="preserve">, and technical controls, VTAM will be able to significantly reduce its </w:t>
      </w:r>
      <w:r w:rsidR="003018A0">
        <w:t>attack vectors,</w:t>
      </w:r>
      <w:r w:rsidRPr="00DD1941">
        <w:t xml:space="preserve"> </w:t>
      </w:r>
      <w:r w:rsidR="00CF49E9">
        <w:t>improve its</w:t>
      </w:r>
      <w:r w:rsidRPr="00DD1941">
        <w:t xml:space="preserve"> compliance with regulations, and secure its sensitive client data [7], [8], [11]. Thanks to </w:t>
      </w:r>
      <w:r w:rsidR="00CF49E9">
        <w:t xml:space="preserve">these </w:t>
      </w:r>
      <w:r w:rsidRPr="00DD1941">
        <w:t xml:space="preserve">effective policies, AI-powered mitigation measures, </w:t>
      </w:r>
      <w:r w:rsidR="00CF49E9">
        <w:t>continuous monitoring, and security training, the firm will be able to adopt a proactive rather than a reactive approach to</w:t>
      </w:r>
      <w:r w:rsidRPr="00DD1941">
        <w:t xml:space="preserve"> cybersecurity. The first step towards </w:t>
      </w:r>
      <w:r w:rsidR="00267D01">
        <w:t xml:space="preserve">implementing the proposed framework should be a quantifiable assessment of the Zero Trust maturity level to identify priority initiatives and demonstrate the return on investment to the </w:t>
      </w:r>
      <w:r w:rsidRPr="00DD1941">
        <w:t xml:space="preserve">management. Such an important strategic move will not only </w:t>
      </w:r>
      <w:r w:rsidR="003B101A">
        <w:t xml:space="preserve">protect the firm from cyberattacks but also </w:t>
      </w:r>
      <w:r w:rsidR="002A0969">
        <w:t>make it</w:t>
      </w:r>
      <w:r w:rsidR="003B101A">
        <w:t xml:space="preserve"> </w:t>
      </w:r>
      <w:r w:rsidRPr="00DD1941">
        <w:t>stand out in the industry.</w:t>
      </w:r>
    </w:p>
    <w:p w14:paraId="4A7C3560" w14:textId="77777777" w:rsidR="003D4CAF" w:rsidRDefault="003D4CAF"/>
    <w:p w14:paraId="3B6766F3" w14:textId="77777777" w:rsidR="003D4CAF" w:rsidRDefault="003D4CAF">
      <w:r>
        <w:br w:type="page"/>
      </w:r>
    </w:p>
    <w:p w14:paraId="389368F0" w14:textId="66CA164C" w:rsidR="003D4CAF" w:rsidRDefault="003D4CAF" w:rsidP="003D4CAF">
      <w:pPr>
        <w:pStyle w:val="Heading1"/>
      </w:pPr>
      <w:bookmarkStart w:id="8" w:name="_Toc230273986"/>
      <w:r>
        <w:lastRenderedPageBreak/>
        <w:t>Appendix</w:t>
      </w:r>
      <w:r w:rsidR="00752DD0">
        <w:t xml:space="preserve"> </w:t>
      </w:r>
      <w:proofErr w:type="spellStart"/>
      <w:proofErr w:type="gramStart"/>
      <w:r w:rsidR="00752DD0">
        <w:t>powerpoint</w:t>
      </w:r>
      <w:bookmarkEnd w:id="8"/>
      <w:proofErr w:type="spellEnd"/>
      <w:proofErr w:type="gramEnd"/>
      <w:r w:rsidR="00752DD0">
        <w:t xml:space="preserve"> </w:t>
      </w:r>
    </w:p>
    <w:p w14:paraId="5F47C0E7" w14:textId="77777777" w:rsidR="00752DD0" w:rsidRDefault="00752DD0" w:rsidP="003D4CAF">
      <w:r w:rsidRPr="00752DD0">
        <w:drawing>
          <wp:inline distT="0" distB="0" distL="0" distR="0" wp14:anchorId="6398A24F" wp14:editId="1D08EDA7">
            <wp:extent cx="5943600" cy="3359150"/>
            <wp:effectExtent l="0" t="0" r="0" b="0"/>
            <wp:docPr id="154004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045771" name=""/>
                    <pic:cNvPicPr/>
                  </pic:nvPicPr>
                  <pic:blipFill>
                    <a:blip r:embed="rId7"/>
                    <a:stretch>
                      <a:fillRect/>
                    </a:stretch>
                  </pic:blipFill>
                  <pic:spPr>
                    <a:xfrm>
                      <a:off x="0" y="0"/>
                      <a:ext cx="5943600" cy="3359150"/>
                    </a:xfrm>
                    <a:prstGeom prst="rect">
                      <a:avLst/>
                    </a:prstGeom>
                  </pic:spPr>
                </pic:pic>
              </a:graphicData>
            </a:graphic>
          </wp:inline>
        </w:drawing>
      </w:r>
    </w:p>
    <w:p w14:paraId="04ACE22C" w14:textId="77777777" w:rsidR="005668BC" w:rsidRDefault="005668BC" w:rsidP="003D4CAF">
      <w:r w:rsidRPr="005668BC">
        <w:drawing>
          <wp:inline distT="0" distB="0" distL="0" distR="0" wp14:anchorId="59C03E06" wp14:editId="41A9A1A8">
            <wp:extent cx="5943600" cy="3371215"/>
            <wp:effectExtent l="0" t="0" r="0" b="635"/>
            <wp:docPr id="185586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62440" name=""/>
                    <pic:cNvPicPr/>
                  </pic:nvPicPr>
                  <pic:blipFill>
                    <a:blip r:embed="rId8"/>
                    <a:stretch>
                      <a:fillRect/>
                    </a:stretch>
                  </pic:blipFill>
                  <pic:spPr>
                    <a:xfrm>
                      <a:off x="0" y="0"/>
                      <a:ext cx="5943600" cy="3371215"/>
                    </a:xfrm>
                    <a:prstGeom prst="rect">
                      <a:avLst/>
                    </a:prstGeom>
                  </pic:spPr>
                </pic:pic>
              </a:graphicData>
            </a:graphic>
          </wp:inline>
        </w:drawing>
      </w:r>
    </w:p>
    <w:p w14:paraId="6459A4F1" w14:textId="77777777" w:rsidR="005668BC" w:rsidRDefault="005668BC" w:rsidP="003D4CAF">
      <w:r w:rsidRPr="005668BC">
        <w:lastRenderedPageBreak/>
        <w:drawing>
          <wp:inline distT="0" distB="0" distL="0" distR="0" wp14:anchorId="1A8FC36B" wp14:editId="72FC5A24">
            <wp:extent cx="5943600" cy="3366770"/>
            <wp:effectExtent l="0" t="0" r="0" b="5080"/>
            <wp:docPr id="995103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03249" name=""/>
                    <pic:cNvPicPr/>
                  </pic:nvPicPr>
                  <pic:blipFill>
                    <a:blip r:embed="rId9"/>
                    <a:stretch>
                      <a:fillRect/>
                    </a:stretch>
                  </pic:blipFill>
                  <pic:spPr>
                    <a:xfrm>
                      <a:off x="0" y="0"/>
                      <a:ext cx="5943600" cy="3366770"/>
                    </a:xfrm>
                    <a:prstGeom prst="rect">
                      <a:avLst/>
                    </a:prstGeom>
                  </pic:spPr>
                </pic:pic>
              </a:graphicData>
            </a:graphic>
          </wp:inline>
        </w:drawing>
      </w:r>
    </w:p>
    <w:p w14:paraId="4BA33436" w14:textId="77777777" w:rsidR="005668BC" w:rsidRDefault="005668BC" w:rsidP="003D4CAF">
      <w:r w:rsidRPr="005668BC">
        <w:drawing>
          <wp:inline distT="0" distB="0" distL="0" distR="0" wp14:anchorId="59FA5D3A" wp14:editId="6DE6C150">
            <wp:extent cx="5943600" cy="3357880"/>
            <wp:effectExtent l="0" t="0" r="0" b="0"/>
            <wp:docPr id="827291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91651" name=""/>
                    <pic:cNvPicPr/>
                  </pic:nvPicPr>
                  <pic:blipFill>
                    <a:blip r:embed="rId10"/>
                    <a:stretch>
                      <a:fillRect/>
                    </a:stretch>
                  </pic:blipFill>
                  <pic:spPr>
                    <a:xfrm>
                      <a:off x="0" y="0"/>
                      <a:ext cx="5943600" cy="3357880"/>
                    </a:xfrm>
                    <a:prstGeom prst="rect">
                      <a:avLst/>
                    </a:prstGeom>
                  </pic:spPr>
                </pic:pic>
              </a:graphicData>
            </a:graphic>
          </wp:inline>
        </w:drawing>
      </w:r>
    </w:p>
    <w:p w14:paraId="0F580A74" w14:textId="77777777" w:rsidR="00DB1E1B" w:rsidRDefault="00DB1E1B" w:rsidP="003D4CAF">
      <w:r w:rsidRPr="00DB1E1B">
        <w:lastRenderedPageBreak/>
        <w:drawing>
          <wp:inline distT="0" distB="0" distL="0" distR="0" wp14:anchorId="417CB1E5" wp14:editId="05E5D6BE">
            <wp:extent cx="5943600" cy="3353435"/>
            <wp:effectExtent l="0" t="0" r="0" b="0"/>
            <wp:docPr id="2019443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43853" name=""/>
                    <pic:cNvPicPr/>
                  </pic:nvPicPr>
                  <pic:blipFill>
                    <a:blip r:embed="rId11"/>
                    <a:stretch>
                      <a:fillRect/>
                    </a:stretch>
                  </pic:blipFill>
                  <pic:spPr>
                    <a:xfrm>
                      <a:off x="0" y="0"/>
                      <a:ext cx="5943600" cy="3353435"/>
                    </a:xfrm>
                    <a:prstGeom prst="rect">
                      <a:avLst/>
                    </a:prstGeom>
                  </pic:spPr>
                </pic:pic>
              </a:graphicData>
            </a:graphic>
          </wp:inline>
        </w:drawing>
      </w:r>
    </w:p>
    <w:p w14:paraId="377377E9" w14:textId="77777777" w:rsidR="00DB1E1B" w:rsidRDefault="00DB1E1B" w:rsidP="003D4CAF">
      <w:r w:rsidRPr="00DB1E1B">
        <w:drawing>
          <wp:inline distT="0" distB="0" distL="0" distR="0" wp14:anchorId="1483A3B4" wp14:editId="138943BC">
            <wp:extent cx="5943600" cy="3350260"/>
            <wp:effectExtent l="0" t="0" r="0" b="2540"/>
            <wp:docPr id="32114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41159" name=""/>
                    <pic:cNvPicPr/>
                  </pic:nvPicPr>
                  <pic:blipFill>
                    <a:blip r:embed="rId12"/>
                    <a:stretch>
                      <a:fillRect/>
                    </a:stretch>
                  </pic:blipFill>
                  <pic:spPr>
                    <a:xfrm>
                      <a:off x="0" y="0"/>
                      <a:ext cx="5943600" cy="3350260"/>
                    </a:xfrm>
                    <a:prstGeom prst="rect">
                      <a:avLst/>
                    </a:prstGeom>
                  </pic:spPr>
                </pic:pic>
              </a:graphicData>
            </a:graphic>
          </wp:inline>
        </w:drawing>
      </w:r>
    </w:p>
    <w:p w14:paraId="0E4C2A19" w14:textId="77777777" w:rsidR="00DB1E1B" w:rsidRDefault="00DB1E1B" w:rsidP="003D4CAF">
      <w:r w:rsidRPr="00DB1E1B">
        <w:lastRenderedPageBreak/>
        <w:drawing>
          <wp:inline distT="0" distB="0" distL="0" distR="0" wp14:anchorId="638BBB9B" wp14:editId="63FDD997">
            <wp:extent cx="5943600" cy="3352165"/>
            <wp:effectExtent l="0" t="0" r="0" b="635"/>
            <wp:docPr id="130016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69994" name=""/>
                    <pic:cNvPicPr/>
                  </pic:nvPicPr>
                  <pic:blipFill>
                    <a:blip r:embed="rId13"/>
                    <a:stretch>
                      <a:fillRect/>
                    </a:stretch>
                  </pic:blipFill>
                  <pic:spPr>
                    <a:xfrm>
                      <a:off x="0" y="0"/>
                      <a:ext cx="5943600" cy="3352165"/>
                    </a:xfrm>
                    <a:prstGeom prst="rect">
                      <a:avLst/>
                    </a:prstGeom>
                  </pic:spPr>
                </pic:pic>
              </a:graphicData>
            </a:graphic>
          </wp:inline>
        </w:drawing>
      </w:r>
    </w:p>
    <w:p w14:paraId="3446B85B" w14:textId="77777777" w:rsidR="00FD08D6" w:rsidRDefault="00FD08D6" w:rsidP="003D4CAF">
      <w:r w:rsidRPr="00FD08D6">
        <w:drawing>
          <wp:inline distT="0" distB="0" distL="0" distR="0" wp14:anchorId="4FEF8FDB" wp14:editId="34B49986">
            <wp:extent cx="5943600" cy="3366770"/>
            <wp:effectExtent l="0" t="0" r="0" b="5080"/>
            <wp:docPr id="77583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3815" name=""/>
                    <pic:cNvPicPr/>
                  </pic:nvPicPr>
                  <pic:blipFill>
                    <a:blip r:embed="rId14"/>
                    <a:stretch>
                      <a:fillRect/>
                    </a:stretch>
                  </pic:blipFill>
                  <pic:spPr>
                    <a:xfrm>
                      <a:off x="0" y="0"/>
                      <a:ext cx="5943600" cy="3366770"/>
                    </a:xfrm>
                    <a:prstGeom prst="rect">
                      <a:avLst/>
                    </a:prstGeom>
                  </pic:spPr>
                </pic:pic>
              </a:graphicData>
            </a:graphic>
          </wp:inline>
        </w:drawing>
      </w:r>
    </w:p>
    <w:p w14:paraId="1B4C2549" w14:textId="77777777" w:rsidR="00FD08D6" w:rsidRDefault="00FD08D6" w:rsidP="003D4CAF">
      <w:r w:rsidRPr="00FD08D6">
        <w:lastRenderedPageBreak/>
        <w:drawing>
          <wp:inline distT="0" distB="0" distL="0" distR="0" wp14:anchorId="75AD1849" wp14:editId="3FDD4B50">
            <wp:extent cx="5943600" cy="3371215"/>
            <wp:effectExtent l="0" t="0" r="0" b="635"/>
            <wp:docPr id="1859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6181" name=""/>
                    <pic:cNvPicPr/>
                  </pic:nvPicPr>
                  <pic:blipFill>
                    <a:blip r:embed="rId15"/>
                    <a:stretch>
                      <a:fillRect/>
                    </a:stretch>
                  </pic:blipFill>
                  <pic:spPr>
                    <a:xfrm>
                      <a:off x="0" y="0"/>
                      <a:ext cx="5943600" cy="3371215"/>
                    </a:xfrm>
                    <a:prstGeom prst="rect">
                      <a:avLst/>
                    </a:prstGeom>
                  </pic:spPr>
                </pic:pic>
              </a:graphicData>
            </a:graphic>
          </wp:inline>
        </w:drawing>
      </w:r>
    </w:p>
    <w:p w14:paraId="4985EAD2" w14:textId="40BDEAC0" w:rsidR="00A11E65" w:rsidRDefault="00FD08D6" w:rsidP="003D4CAF">
      <w:r w:rsidRPr="00FD08D6">
        <w:drawing>
          <wp:inline distT="0" distB="0" distL="0" distR="0" wp14:anchorId="50E39FB7" wp14:editId="0468E924">
            <wp:extent cx="5943600" cy="3367405"/>
            <wp:effectExtent l="0" t="0" r="0" b="4445"/>
            <wp:docPr id="193272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22041" name=""/>
                    <pic:cNvPicPr/>
                  </pic:nvPicPr>
                  <pic:blipFill>
                    <a:blip r:embed="rId16"/>
                    <a:stretch>
                      <a:fillRect/>
                    </a:stretch>
                  </pic:blipFill>
                  <pic:spPr>
                    <a:xfrm>
                      <a:off x="0" y="0"/>
                      <a:ext cx="5943600" cy="3367405"/>
                    </a:xfrm>
                    <a:prstGeom prst="rect">
                      <a:avLst/>
                    </a:prstGeom>
                  </pic:spPr>
                </pic:pic>
              </a:graphicData>
            </a:graphic>
          </wp:inline>
        </w:drawing>
      </w:r>
      <w:r w:rsidR="00A11E65">
        <w:br w:type="page"/>
      </w:r>
    </w:p>
    <w:p w14:paraId="55A04DAE" w14:textId="3CE5DB2F" w:rsidR="007664AA" w:rsidRDefault="00A11E65" w:rsidP="00A11E65">
      <w:pPr>
        <w:pStyle w:val="Heading1"/>
      </w:pPr>
      <w:bookmarkStart w:id="9" w:name="_Toc230273987"/>
      <w:r>
        <w:lastRenderedPageBreak/>
        <w:t>References</w:t>
      </w:r>
      <w:bookmarkEnd w:id="9"/>
    </w:p>
    <w:p w14:paraId="49D4B2EF" w14:textId="0A13BDB8" w:rsidR="00A11E65" w:rsidRDefault="00091F0E" w:rsidP="00A11E65">
      <w:r w:rsidRPr="00091F0E">
        <w:t>[1] U. Javed Butt, et al., "Ransomware Threat and its Impact on SCADA", </w:t>
      </w:r>
      <w:r w:rsidRPr="00091F0E">
        <w:rPr>
          <w:i/>
          <w:iCs/>
        </w:rPr>
        <w:t>2019 IEEE 12th International Conference on Global Security, Safety and Sustainability (ICGS3), </w:t>
      </w:r>
      <w:r w:rsidRPr="00091F0E">
        <w:t>pp. 205–212. [Online</w:t>
      </w:r>
      <w:proofErr w:type="gramStart"/>
      <w:r w:rsidRPr="00091F0E">
        <w:t>].</w:t>
      </w:r>
      <w:proofErr w:type="spellStart"/>
      <w:r w:rsidRPr="00091F0E">
        <w:t>doi</w:t>
      </w:r>
      <w:proofErr w:type="spellEnd"/>
      <w:proofErr w:type="gramEnd"/>
      <w:r w:rsidRPr="00091F0E">
        <w:t>: 10.1109/ICGS3.2019.8688327.</w:t>
      </w:r>
    </w:p>
    <w:p w14:paraId="6C69DC11" w14:textId="34D5B6B6" w:rsidR="00D90408" w:rsidRDefault="00091F0E" w:rsidP="00A11E65">
      <w:r w:rsidRPr="00091F0E">
        <w:t>[</w:t>
      </w:r>
      <w:r>
        <w:t>2</w:t>
      </w:r>
      <w:r w:rsidRPr="00091F0E">
        <w:t>] W. A. Bin Adam, et al., "</w:t>
      </w:r>
      <w:proofErr w:type="spellStart"/>
      <w:r w:rsidRPr="00091F0E">
        <w:t>VishingDefender</w:t>
      </w:r>
      <w:proofErr w:type="spellEnd"/>
      <w:r w:rsidRPr="00091F0E">
        <w:t xml:space="preserve">: An Advanced Vishing </w:t>
      </w:r>
      <w:proofErr w:type="spellStart"/>
      <w:r w:rsidRPr="00091F0E">
        <w:t>Defence</w:t>
      </w:r>
      <w:proofErr w:type="spellEnd"/>
      <w:r w:rsidRPr="00091F0E">
        <w:t xml:space="preserve"> System Against Vishing Attacks", </w:t>
      </w:r>
      <w:r w:rsidRPr="00091F0E">
        <w:rPr>
          <w:i/>
          <w:iCs/>
        </w:rPr>
        <w:t>2023 IEEE International Conference on Service Operations and Logistics, and Informatics (SOLI), </w:t>
      </w:r>
      <w:r w:rsidRPr="00091F0E">
        <w:t>pp. 1–8. [Online</w:t>
      </w:r>
      <w:proofErr w:type="gramStart"/>
      <w:r w:rsidRPr="00091F0E">
        <w:t>].</w:t>
      </w:r>
      <w:proofErr w:type="spellStart"/>
      <w:r w:rsidRPr="00091F0E">
        <w:t>doi</w:t>
      </w:r>
      <w:proofErr w:type="spellEnd"/>
      <w:proofErr w:type="gramEnd"/>
      <w:r w:rsidRPr="00091F0E">
        <w:t>: 10.1109/SOLI60636.2023.10425272.</w:t>
      </w:r>
    </w:p>
    <w:p w14:paraId="6444CD0F" w14:textId="7872276A" w:rsidR="00D90408" w:rsidRPr="00D90408" w:rsidRDefault="00D90408" w:rsidP="00D90408">
      <w:pPr>
        <w:rPr>
          <w:lang w:val="en-GB"/>
        </w:rPr>
      </w:pPr>
      <w:r w:rsidRPr="00D90408">
        <w:rPr>
          <w:lang w:val="en-GB"/>
        </w:rPr>
        <w:t>[</w:t>
      </w:r>
      <w:r>
        <w:rPr>
          <w:lang w:val="en-GB"/>
        </w:rPr>
        <w:t>3</w:t>
      </w:r>
      <w:r w:rsidRPr="00D90408">
        <w:rPr>
          <w:lang w:val="en-GB"/>
        </w:rPr>
        <w:t>]</w:t>
      </w:r>
      <w:r>
        <w:rPr>
          <w:lang w:val="en-GB"/>
        </w:rPr>
        <w:t xml:space="preserve"> </w:t>
      </w:r>
      <w:r w:rsidRPr="00D90408">
        <w:rPr>
          <w:lang w:val="en-GB"/>
        </w:rPr>
        <w:t>“</w:t>
      </w:r>
      <w:proofErr w:type="spellStart"/>
      <w:r w:rsidRPr="00D90408">
        <w:rPr>
          <w:lang w:val="en-GB"/>
        </w:rPr>
        <w:t>MOVEit</w:t>
      </w:r>
      <w:proofErr w:type="spellEnd"/>
      <w:r w:rsidRPr="00D90408">
        <w:rPr>
          <w:lang w:val="en-GB"/>
        </w:rPr>
        <w:t xml:space="preserve"> transfer data breaches Deep Dive | ORX News Deep Dive,” </w:t>
      </w:r>
      <w:r w:rsidRPr="00D90408">
        <w:rPr>
          <w:i/>
          <w:iCs/>
          <w:lang w:val="en-GB"/>
        </w:rPr>
        <w:t>Orx.org</w:t>
      </w:r>
      <w:r w:rsidRPr="00D90408">
        <w:rPr>
          <w:lang w:val="en-GB"/>
        </w:rPr>
        <w:t>, Feb. 2026. https://orx.org/resource/moveit-transfer-data-breaches-orx-news-deep-dive</w:t>
      </w:r>
    </w:p>
    <w:p w14:paraId="3E7B9908" w14:textId="6D00C8E5" w:rsidR="00D90408" w:rsidRPr="00D90408" w:rsidRDefault="00D90408" w:rsidP="00D90408">
      <w:pPr>
        <w:rPr>
          <w:lang w:val="en-GB"/>
        </w:rPr>
      </w:pPr>
      <w:proofErr w:type="gramStart"/>
      <w:r w:rsidRPr="00D90408">
        <w:rPr>
          <w:lang w:val="en-GB"/>
        </w:rPr>
        <w:t>‌</w:t>
      </w:r>
      <w:r w:rsidR="00091F0E" w:rsidRPr="00091F0E">
        <w:t>[</w:t>
      </w:r>
      <w:proofErr w:type="gramEnd"/>
      <w:r w:rsidR="00091F0E">
        <w:t>4</w:t>
      </w:r>
      <w:r w:rsidR="00091F0E" w:rsidRPr="00091F0E">
        <w:t>] J. Guffey and Y. Li, "Cloud Service Misconfigurations: Emerging Threats, Enterprise Data Breaches and Solutions", </w:t>
      </w:r>
      <w:r w:rsidR="00091F0E" w:rsidRPr="00091F0E">
        <w:rPr>
          <w:i/>
          <w:iCs/>
        </w:rPr>
        <w:t>2023 IEEE 13th Annual Computing and Communication Workshop and Conference (CCWC), </w:t>
      </w:r>
      <w:r w:rsidR="00091F0E" w:rsidRPr="00091F0E">
        <w:t>pp. 806. [Online</w:t>
      </w:r>
      <w:proofErr w:type="gramStart"/>
      <w:r w:rsidR="00091F0E" w:rsidRPr="00091F0E">
        <w:t>].</w:t>
      </w:r>
      <w:proofErr w:type="spellStart"/>
      <w:r w:rsidR="00091F0E" w:rsidRPr="00091F0E">
        <w:t>doi</w:t>
      </w:r>
      <w:proofErr w:type="spellEnd"/>
      <w:proofErr w:type="gramEnd"/>
      <w:r w:rsidR="00091F0E" w:rsidRPr="00091F0E">
        <w:t>: 10.1109/CCWC57344.2023.10099296.</w:t>
      </w:r>
    </w:p>
    <w:p w14:paraId="24336B1D" w14:textId="480464A2" w:rsidR="00D90408" w:rsidRDefault="006C698D" w:rsidP="00A11E65">
      <w:r w:rsidRPr="006C698D">
        <w:t>[</w:t>
      </w:r>
      <w:r>
        <w:t>5</w:t>
      </w:r>
      <w:r w:rsidRPr="006C698D">
        <w:t xml:space="preserve">] D. Sharma, V. S and S. </w:t>
      </w:r>
      <w:proofErr w:type="spellStart"/>
      <w:r w:rsidRPr="006C698D">
        <w:t>Loonkar</w:t>
      </w:r>
      <w:proofErr w:type="spellEnd"/>
      <w:r w:rsidRPr="006C698D">
        <w:t>, "Analyzing the Human Element in Cybersecurity Breaches with a Focus on Social Engineering Tactics and the Risks Posed by Insider Threats", </w:t>
      </w:r>
      <w:r w:rsidRPr="006C698D">
        <w:rPr>
          <w:i/>
          <w:iCs/>
        </w:rPr>
        <w:t>2024 International Conference on Advances in Computing Research on Science Engineering and Technology (ACROSET), </w:t>
      </w:r>
      <w:r w:rsidRPr="006C698D">
        <w:t>pp. 1–6. [Online</w:t>
      </w:r>
      <w:proofErr w:type="gramStart"/>
      <w:r w:rsidRPr="006C698D">
        <w:t>].</w:t>
      </w:r>
      <w:proofErr w:type="spellStart"/>
      <w:r w:rsidRPr="006C698D">
        <w:t>doi</w:t>
      </w:r>
      <w:proofErr w:type="spellEnd"/>
      <w:proofErr w:type="gramEnd"/>
      <w:r w:rsidRPr="006C698D">
        <w:t>: 10.1109/ACROSET62108.2024.10743197.</w:t>
      </w:r>
    </w:p>
    <w:p w14:paraId="6281BB40" w14:textId="7BEDB621" w:rsidR="006C698D" w:rsidRDefault="00EB333C" w:rsidP="00A11E65">
      <w:r w:rsidRPr="00EB333C">
        <w:t>[</w:t>
      </w:r>
      <w:r>
        <w:t>6</w:t>
      </w:r>
      <w:r w:rsidRPr="00EB333C">
        <w:t xml:space="preserve">] R. </w:t>
      </w:r>
      <w:proofErr w:type="spellStart"/>
      <w:r w:rsidRPr="00EB333C">
        <w:t>Duezguen</w:t>
      </w:r>
      <w:proofErr w:type="spellEnd"/>
      <w:r w:rsidRPr="00EB333C">
        <w:t>, et al., "How to Increase Smart Home Security and Privacy Risk Perception", </w:t>
      </w:r>
      <w:r w:rsidRPr="00EB333C">
        <w:rPr>
          <w:i/>
          <w:iCs/>
        </w:rPr>
        <w:t>2021 IEEE 20th International Conference on Trust, Security and Privacy in Computing and Communications (</w:t>
      </w:r>
      <w:proofErr w:type="spellStart"/>
      <w:r w:rsidRPr="00EB333C">
        <w:rPr>
          <w:i/>
          <w:iCs/>
        </w:rPr>
        <w:t>TrustCom</w:t>
      </w:r>
      <w:proofErr w:type="spellEnd"/>
      <w:r w:rsidRPr="00EB333C">
        <w:rPr>
          <w:i/>
          <w:iCs/>
        </w:rPr>
        <w:t>), </w:t>
      </w:r>
      <w:r w:rsidRPr="00EB333C">
        <w:t>pp. 997–1004. [Online</w:t>
      </w:r>
      <w:proofErr w:type="gramStart"/>
      <w:r w:rsidRPr="00EB333C">
        <w:t>].</w:t>
      </w:r>
      <w:proofErr w:type="spellStart"/>
      <w:r w:rsidRPr="00EB333C">
        <w:t>doi</w:t>
      </w:r>
      <w:proofErr w:type="spellEnd"/>
      <w:proofErr w:type="gramEnd"/>
      <w:r w:rsidRPr="00EB333C">
        <w:t>: 10.1109/TrustCom53373.2021.00138.</w:t>
      </w:r>
    </w:p>
    <w:p w14:paraId="2FD7CCF3" w14:textId="44D12816" w:rsidR="00EB333C" w:rsidRDefault="00EB333C" w:rsidP="00A11E65">
      <w:r w:rsidRPr="00EB333C">
        <w:t>[</w:t>
      </w:r>
      <w:r w:rsidR="00853192">
        <w:t>7</w:t>
      </w:r>
      <w:r w:rsidRPr="00EB333C">
        <w:t>] N. Kashyap, V. Kumar and D. Baweja, "Zero Trust Architecture: Evaluating its Impact on Modern Information Security", </w:t>
      </w:r>
      <w:r w:rsidRPr="00EB333C">
        <w:rPr>
          <w:i/>
          <w:iCs/>
        </w:rPr>
        <w:t>2025 2nd International Conference on Computational Intelligence and Computing Applications (ICCICA), </w:t>
      </w:r>
      <w:r w:rsidRPr="00EB333C">
        <w:t>pp. 1–6. [Online</w:t>
      </w:r>
      <w:proofErr w:type="gramStart"/>
      <w:r w:rsidRPr="00EB333C">
        <w:t>].</w:t>
      </w:r>
      <w:proofErr w:type="spellStart"/>
      <w:r w:rsidRPr="00EB333C">
        <w:t>doi</w:t>
      </w:r>
      <w:proofErr w:type="spellEnd"/>
      <w:proofErr w:type="gramEnd"/>
      <w:r w:rsidRPr="00EB333C">
        <w:t>: 10.1109/ICCICA67008.2025.11337489.</w:t>
      </w:r>
    </w:p>
    <w:p w14:paraId="2026179B" w14:textId="6275C41D" w:rsidR="00853192" w:rsidRDefault="00853192" w:rsidP="00A11E65">
      <w:r w:rsidRPr="00853192">
        <w:t>[</w:t>
      </w:r>
      <w:r>
        <w:t>8</w:t>
      </w:r>
      <w:r w:rsidRPr="00853192">
        <w:t xml:space="preserve">] V. </w:t>
      </w:r>
      <w:proofErr w:type="spellStart"/>
      <w:r w:rsidRPr="00853192">
        <w:t>Kalekar</w:t>
      </w:r>
      <w:proofErr w:type="spellEnd"/>
      <w:r w:rsidRPr="00853192">
        <w:t xml:space="preserve">, "Advancing Zero Trust Maturity Assessment </w:t>
      </w:r>
      <w:proofErr w:type="gramStart"/>
      <w:r w:rsidRPr="00853192">
        <w:t>With</w:t>
      </w:r>
      <w:proofErr w:type="gramEnd"/>
      <w:r w:rsidRPr="00853192">
        <w:t xml:space="preserve"> a Quantitative Scoring System", </w:t>
      </w:r>
      <w:r w:rsidRPr="00853192">
        <w:rPr>
          <w:i/>
          <w:iCs/>
        </w:rPr>
        <w:t>2025 7th International Conference on Computer Communication and the Internet (ICCCI), </w:t>
      </w:r>
      <w:r w:rsidRPr="00853192">
        <w:t>pp. 1. [Online</w:t>
      </w:r>
      <w:proofErr w:type="gramStart"/>
      <w:r w:rsidRPr="00853192">
        <w:t>].</w:t>
      </w:r>
      <w:proofErr w:type="spellStart"/>
      <w:r w:rsidRPr="00853192">
        <w:t>doi</w:t>
      </w:r>
      <w:proofErr w:type="spellEnd"/>
      <w:proofErr w:type="gramEnd"/>
      <w:r w:rsidRPr="00853192">
        <w:t>: 10.1109/ICCCI65070.2025.11158460.</w:t>
      </w:r>
    </w:p>
    <w:p w14:paraId="7A86BBD2" w14:textId="38F05FF7" w:rsidR="00853192" w:rsidRDefault="00853192" w:rsidP="00A11E65">
      <w:r w:rsidRPr="00853192">
        <w:t>[</w:t>
      </w:r>
      <w:r>
        <w:t>9</w:t>
      </w:r>
      <w:r w:rsidRPr="00853192">
        <w:t>] N. Feng, "Enterprise Accounting Information System using Adaptive Genetic Algorithm and Zero Trust Architecture", </w:t>
      </w:r>
      <w:r w:rsidRPr="00853192">
        <w:rPr>
          <w:i/>
          <w:iCs/>
        </w:rPr>
        <w:t>2025 3rd International Conference on Data Science and Information System (ICDSIS), </w:t>
      </w:r>
      <w:r w:rsidRPr="00853192">
        <w:t>pp. 1–6. [Online</w:t>
      </w:r>
      <w:proofErr w:type="gramStart"/>
      <w:r w:rsidRPr="00853192">
        <w:t>].</w:t>
      </w:r>
      <w:proofErr w:type="spellStart"/>
      <w:r w:rsidRPr="00853192">
        <w:t>doi</w:t>
      </w:r>
      <w:proofErr w:type="spellEnd"/>
      <w:proofErr w:type="gramEnd"/>
      <w:r w:rsidRPr="00853192">
        <w:t>: 10.1109/ICDSIS65355.2025.11071167.</w:t>
      </w:r>
    </w:p>
    <w:p w14:paraId="17417697" w14:textId="0958DC4C" w:rsidR="00FE5DA0" w:rsidRDefault="00FE5DA0" w:rsidP="00A11E65">
      <w:r w:rsidRPr="00FE5DA0">
        <w:lastRenderedPageBreak/>
        <w:t>[1</w:t>
      </w:r>
      <w:r>
        <w:t>0</w:t>
      </w:r>
      <w:r w:rsidRPr="00FE5DA0">
        <w:t>] P. Pandey, "AI-Enabled Multi-Factor Authentication (MFA) Systems for Private and Public Cloud Security", </w:t>
      </w:r>
      <w:r w:rsidRPr="00FE5DA0">
        <w:rPr>
          <w:i/>
          <w:iCs/>
        </w:rPr>
        <w:t>2025 International Conference on Electronics and Renewable Systems (ICEARS), </w:t>
      </w:r>
      <w:r w:rsidRPr="00FE5DA0">
        <w:t>pp. 886–889. [Online</w:t>
      </w:r>
      <w:proofErr w:type="gramStart"/>
      <w:r w:rsidRPr="00FE5DA0">
        <w:t>].</w:t>
      </w:r>
      <w:proofErr w:type="spellStart"/>
      <w:r w:rsidRPr="00FE5DA0">
        <w:t>doi</w:t>
      </w:r>
      <w:proofErr w:type="spellEnd"/>
      <w:proofErr w:type="gramEnd"/>
      <w:r w:rsidRPr="00FE5DA0">
        <w:t>: 10.1109/ICEARS64219.2025.10941462.</w:t>
      </w:r>
    </w:p>
    <w:p w14:paraId="11446EBC" w14:textId="477D4795" w:rsidR="00FE5DA0" w:rsidRDefault="00FE5DA0" w:rsidP="00FE5DA0">
      <w:r w:rsidRPr="00FE5DA0">
        <w:t>[1</w:t>
      </w:r>
      <w:r>
        <w:t>1</w:t>
      </w:r>
      <w:r w:rsidRPr="00FE5DA0">
        <w:t xml:space="preserve">] M. </w:t>
      </w:r>
      <w:proofErr w:type="spellStart"/>
      <w:r w:rsidRPr="00FE5DA0">
        <w:t>Mirtsch</w:t>
      </w:r>
      <w:proofErr w:type="spellEnd"/>
      <w:r w:rsidRPr="00FE5DA0">
        <w:t xml:space="preserve">, J. </w:t>
      </w:r>
      <w:proofErr w:type="spellStart"/>
      <w:r w:rsidRPr="00FE5DA0">
        <w:t>Pohlisch</w:t>
      </w:r>
      <w:proofErr w:type="spellEnd"/>
      <w:r w:rsidRPr="00FE5DA0">
        <w:t xml:space="preserve"> and K. Blind, "Certification as a compensation mechanism for weak </w:t>
      </w:r>
      <w:proofErr w:type="gramStart"/>
      <w:r w:rsidRPr="00FE5DA0">
        <w:t>regulation</w:t>
      </w:r>
      <w:proofErr w:type="gramEnd"/>
      <w:r w:rsidRPr="00FE5DA0">
        <w:t>? Exploring the diffusion of the international standard ISO/IEC 27001 for information security management," </w:t>
      </w:r>
      <w:proofErr w:type="spellStart"/>
      <w:r w:rsidRPr="00FE5DA0">
        <w:rPr>
          <w:i/>
          <w:iCs/>
        </w:rPr>
        <w:t>Comput.Secur</w:t>
      </w:r>
      <w:proofErr w:type="spellEnd"/>
      <w:r w:rsidRPr="00FE5DA0">
        <w:rPr>
          <w:i/>
          <w:iCs/>
        </w:rPr>
        <w:t>. </w:t>
      </w:r>
      <w:r w:rsidRPr="00FE5DA0">
        <w:t xml:space="preserve">vol. 162, pp.104774, 2026, </w:t>
      </w:r>
      <w:proofErr w:type="spellStart"/>
      <w:r w:rsidRPr="00FE5DA0">
        <w:t>doi</w:t>
      </w:r>
      <w:proofErr w:type="spellEnd"/>
      <w:r w:rsidRPr="00FE5DA0">
        <w:t xml:space="preserve">: 10.1016/j.cose.2025.104774. Available </w:t>
      </w:r>
      <w:proofErr w:type="spellStart"/>
      <w:r w:rsidRPr="00FE5DA0">
        <w:t>at:</w:t>
      </w:r>
      <w:hyperlink r:id="rId17" w:tgtFrame="_blank" w:history="1">
        <w:r w:rsidRPr="00FE5DA0">
          <w:rPr>
            <w:rStyle w:val="Hyperlink"/>
          </w:rPr>
          <w:t>https</w:t>
        </w:r>
        <w:proofErr w:type="spellEnd"/>
        <w:r w:rsidRPr="00FE5DA0">
          <w:rPr>
            <w:rStyle w:val="Hyperlink"/>
          </w:rPr>
          <w:t>://www.sciencedirect.com/science/a</w:t>
        </w:r>
      </w:hyperlink>
    </w:p>
    <w:p w14:paraId="48048D0A" w14:textId="77777777" w:rsidR="00FE5DA0" w:rsidRPr="00A11E65" w:rsidRDefault="00FE5DA0" w:rsidP="00FE5DA0"/>
    <w:sectPr w:rsidR="00FE5DA0" w:rsidRPr="00A11E65" w:rsidSect="007664A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85A0D9"/>
    <w:rsid w:val="0000421B"/>
    <w:rsid w:val="00007C9F"/>
    <w:rsid w:val="000329A0"/>
    <w:rsid w:val="00072818"/>
    <w:rsid w:val="00091F0E"/>
    <w:rsid w:val="000D28CF"/>
    <w:rsid w:val="00146309"/>
    <w:rsid w:val="001870D1"/>
    <w:rsid w:val="001A5A78"/>
    <w:rsid w:val="001D343A"/>
    <w:rsid w:val="001F1BEA"/>
    <w:rsid w:val="002031F0"/>
    <w:rsid w:val="00233BC9"/>
    <w:rsid w:val="00267D01"/>
    <w:rsid w:val="002A0969"/>
    <w:rsid w:val="002A14EF"/>
    <w:rsid w:val="002C7D34"/>
    <w:rsid w:val="002F6386"/>
    <w:rsid w:val="003018A0"/>
    <w:rsid w:val="00321884"/>
    <w:rsid w:val="003247CD"/>
    <w:rsid w:val="00347BD0"/>
    <w:rsid w:val="003B101A"/>
    <w:rsid w:val="003D4CAF"/>
    <w:rsid w:val="003D5EEF"/>
    <w:rsid w:val="003E0693"/>
    <w:rsid w:val="003E5E57"/>
    <w:rsid w:val="003E5F51"/>
    <w:rsid w:val="00412853"/>
    <w:rsid w:val="004E2134"/>
    <w:rsid w:val="005013F2"/>
    <w:rsid w:val="00547524"/>
    <w:rsid w:val="005526A7"/>
    <w:rsid w:val="005668BC"/>
    <w:rsid w:val="005A19A0"/>
    <w:rsid w:val="005A2A64"/>
    <w:rsid w:val="005B2B57"/>
    <w:rsid w:val="005E6065"/>
    <w:rsid w:val="006517EF"/>
    <w:rsid w:val="006916C5"/>
    <w:rsid w:val="006C698D"/>
    <w:rsid w:val="006D6E74"/>
    <w:rsid w:val="007372E3"/>
    <w:rsid w:val="007469EF"/>
    <w:rsid w:val="00752DD0"/>
    <w:rsid w:val="007664AA"/>
    <w:rsid w:val="007A40CA"/>
    <w:rsid w:val="0082725C"/>
    <w:rsid w:val="00842099"/>
    <w:rsid w:val="00846A8C"/>
    <w:rsid w:val="00850104"/>
    <w:rsid w:val="00853192"/>
    <w:rsid w:val="00855A89"/>
    <w:rsid w:val="00903F14"/>
    <w:rsid w:val="00923091"/>
    <w:rsid w:val="00934B70"/>
    <w:rsid w:val="009513BF"/>
    <w:rsid w:val="00957047"/>
    <w:rsid w:val="00962A4A"/>
    <w:rsid w:val="00A11E65"/>
    <w:rsid w:val="00A15A9B"/>
    <w:rsid w:val="00A16B2C"/>
    <w:rsid w:val="00A40B20"/>
    <w:rsid w:val="00A83794"/>
    <w:rsid w:val="00AA00C6"/>
    <w:rsid w:val="00AB1751"/>
    <w:rsid w:val="00AC2A82"/>
    <w:rsid w:val="00AE2961"/>
    <w:rsid w:val="00B03834"/>
    <w:rsid w:val="00B2710D"/>
    <w:rsid w:val="00B30F9D"/>
    <w:rsid w:val="00C54E30"/>
    <w:rsid w:val="00C77C79"/>
    <w:rsid w:val="00CC36A8"/>
    <w:rsid w:val="00CC6C67"/>
    <w:rsid w:val="00CF49E9"/>
    <w:rsid w:val="00D03CDA"/>
    <w:rsid w:val="00D26230"/>
    <w:rsid w:val="00D578A2"/>
    <w:rsid w:val="00D87EEB"/>
    <w:rsid w:val="00D90408"/>
    <w:rsid w:val="00D955D0"/>
    <w:rsid w:val="00D97187"/>
    <w:rsid w:val="00DB1E1B"/>
    <w:rsid w:val="00DD1941"/>
    <w:rsid w:val="00DE7B75"/>
    <w:rsid w:val="00DF6165"/>
    <w:rsid w:val="00E13CAD"/>
    <w:rsid w:val="00E46860"/>
    <w:rsid w:val="00E57009"/>
    <w:rsid w:val="00E77A3A"/>
    <w:rsid w:val="00EB333C"/>
    <w:rsid w:val="00ED2109"/>
    <w:rsid w:val="00F12ECD"/>
    <w:rsid w:val="00F15711"/>
    <w:rsid w:val="00F3438F"/>
    <w:rsid w:val="00F940B6"/>
    <w:rsid w:val="00FA7D91"/>
    <w:rsid w:val="00FD08D6"/>
    <w:rsid w:val="00FE5DA0"/>
    <w:rsid w:val="2A85A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1A4FB"/>
  <w15:chartTrackingRefBased/>
  <w15:docId w15:val="{7484A912-5CFC-452A-9BCA-3CFB568B4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E6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03CD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64AA"/>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664AA"/>
    <w:rPr>
      <w:sz w:val="22"/>
      <w:szCs w:val="22"/>
      <w:lang w:eastAsia="en-US"/>
    </w:rPr>
  </w:style>
  <w:style w:type="character" w:customStyle="1" w:styleId="Heading1Char">
    <w:name w:val="Heading 1 Char"/>
    <w:basedOn w:val="DefaultParagraphFont"/>
    <w:link w:val="Heading1"/>
    <w:uiPriority w:val="9"/>
    <w:rsid w:val="00A11E6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A11E65"/>
    <w:pPr>
      <w:spacing w:line="259" w:lineRule="auto"/>
      <w:outlineLvl w:val="9"/>
    </w:pPr>
    <w:rPr>
      <w:lang w:eastAsia="en-US"/>
    </w:rPr>
  </w:style>
  <w:style w:type="character" w:styleId="Hyperlink">
    <w:name w:val="Hyperlink"/>
    <w:basedOn w:val="DefaultParagraphFont"/>
    <w:uiPriority w:val="99"/>
    <w:unhideWhenUsed/>
    <w:rsid w:val="00FE5DA0"/>
    <w:rPr>
      <w:color w:val="467886" w:themeColor="hyperlink"/>
      <w:u w:val="single"/>
    </w:rPr>
  </w:style>
  <w:style w:type="character" w:styleId="UnresolvedMention">
    <w:name w:val="Unresolved Mention"/>
    <w:basedOn w:val="DefaultParagraphFont"/>
    <w:uiPriority w:val="99"/>
    <w:semiHidden/>
    <w:unhideWhenUsed/>
    <w:rsid w:val="00FE5DA0"/>
    <w:rPr>
      <w:color w:val="605E5C"/>
      <w:shd w:val="clear" w:color="auto" w:fill="E1DFDD"/>
    </w:rPr>
  </w:style>
  <w:style w:type="paragraph" w:styleId="NormalWeb">
    <w:name w:val="Normal (Web)"/>
    <w:basedOn w:val="Normal"/>
    <w:uiPriority w:val="99"/>
    <w:semiHidden/>
    <w:unhideWhenUsed/>
    <w:rsid w:val="00A16B2C"/>
    <w:rPr>
      <w:rFonts w:ascii="Times New Roman" w:hAnsi="Times New Roman" w:cs="Times New Roman"/>
    </w:rPr>
  </w:style>
  <w:style w:type="paragraph" w:styleId="TOC1">
    <w:name w:val="toc 1"/>
    <w:basedOn w:val="Normal"/>
    <w:next w:val="Normal"/>
    <w:autoRedefine/>
    <w:uiPriority w:val="39"/>
    <w:unhideWhenUsed/>
    <w:rsid w:val="00146309"/>
    <w:pPr>
      <w:spacing w:after="100"/>
    </w:pPr>
  </w:style>
  <w:style w:type="character" w:customStyle="1" w:styleId="Heading2Char">
    <w:name w:val="Heading 2 Char"/>
    <w:basedOn w:val="DefaultParagraphFont"/>
    <w:link w:val="Heading2"/>
    <w:uiPriority w:val="9"/>
    <w:rsid w:val="00D03CDA"/>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934B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sciencedirect.com/science/article/pii/S0167404825004638" TargetMode="Externa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473C15-88D5-41AD-9313-08DE02683B15}">
  <we:reference id="8c1c3d44-57e9-40d7-86e4-4adf88fea1dd" version="3.0.0.0" store="EXCatalog" storeType="EXCatalog"/>
  <we:alternateReferences>
    <we:reference id="WA200007520" version="3.0.0.0" store="en-US" storeType="OMEX"/>
  </we:alternateReferences>
  <we:properties>
    <we:property name="currentFolder" value="{&quot;id&quot;:&quot;project:6a084f4915f2a47f7703f6e1&quot;,&quot;userId&quot;:&quot;user:68f9ff581133dc61f344c43c&quot;,&quot;projectId&quot;:&quot;ap:68f9ff581133dc61f344c43d&quot;,&quot;name&quot;:&quot;Cybersecurity&quot;,&quot;created&quot;:1778929481184,&quot;lastModified&quot;:1778929481184,&quot;position&quot;:6,&quot;isShared&quot;:false,&quot;isExampleCollection&quot;:false,&quot;isMyPublicationsCollection&quot;:false,&quot;notInFolder&quot;:false,&quot;isFavorite&quot;:tru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C4741-F9E1-482A-9ED7-D658CE539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2210</Words>
  <Characters>12598</Characters>
  <Application>Microsoft Office Word</Application>
  <DocSecurity>0</DocSecurity>
  <Lines>104</Lines>
  <Paragraphs>29</Paragraphs>
  <ScaleCrop>false</ScaleCrop>
  <Company/>
  <LinksUpToDate>false</LinksUpToDate>
  <CharactersWithSpaces>14779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Rubens Malaguti (2501521)</dc:creator>
  <cp:keywords/>
  <dc:description/>
  <cp:lastModifiedBy>Rubens Malaguti (2501521)</cp:lastModifiedBy>
  <cp:revision>2</cp:revision>
  <dcterms:created xsi:type="dcterms:W3CDTF">2026-05-21T15:39:00Z</dcterms:created>
  <dcterms:modified xsi:type="dcterms:W3CDTF">2026-05-21T15:39:00Z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2daa8a9d-1a9a-4b8d-ba64-89273bacad5c</vt:lpwstr>
  </property>
</Properties>
</file>