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61C5E" w14:textId="69F2FF85" w:rsidR="00ED00C8" w:rsidRPr="00AC29AB" w:rsidRDefault="008259AA" w:rsidP="0000385E">
      <w:pPr>
        <w:spacing w:line="360" w:lineRule="auto"/>
        <w:rPr>
          <w:rFonts w:ascii="Arial" w:hAnsi="Arial" w:cs="Arial"/>
        </w:rPr>
      </w:pPr>
      <w:r w:rsidRPr="00AC29AB">
        <w:rPr>
          <w:rFonts w:ascii="Arial" w:hAnsi="Arial" w:cs="Arial"/>
        </w:rPr>
        <w:t>Part A</w:t>
      </w:r>
      <w:r w:rsidR="00373D3F" w:rsidRPr="00AC29AB">
        <w:rPr>
          <w:rFonts w:ascii="Arial" w:hAnsi="Arial" w:cs="Arial"/>
        </w:rPr>
        <w:t>:</w:t>
      </w:r>
      <w:r w:rsidRPr="00AC29AB">
        <w:rPr>
          <w:rFonts w:ascii="Arial" w:hAnsi="Arial" w:cs="Arial"/>
        </w:rPr>
        <w:t xml:space="preserve"> Blogs</w:t>
      </w:r>
      <w:r w:rsidR="00373D3F" w:rsidRPr="00AC29AB">
        <w:rPr>
          <w:rFonts w:ascii="Arial" w:hAnsi="Arial" w:cs="Arial"/>
        </w:rPr>
        <w:t xml:space="preserve"> and Part B: Poster</w:t>
      </w:r>
    </w:p>
    <w:p w14:paraId="72DAEAE8" w14:textId="77777777" w:rsidR="00ED00C8" w:rsidRPr="00AC29AB" w:rsidRDefault="00ED00C8" w:rsidP="0000385E">
      <w:pPr>
        <w:spacing w:line="360" w:lineRule="auto"/>
        <w:rPr>
          <w:rFonts w:ascii="Arial" w:hAnsi="Arial" w:cs="Arial"/>
        </w:rPr>
      </w:pPr>
    </w:p>
    <w:p w14:paraId="5372BF4A" w14:textId="77777777" w:rsidR="00ED00C8" w:rsidRPr="00AC29AB" w:rsidRDefault="008259AA" w:rsidP="00ED7EB9">
      <w:pPr>
        <w:tabs>
          <w:tab w:val="left" w:pos="3690"/>
        </w:tabs>
        <w:spacing w:line="360" w:lineRule="auto"/>
        <w:rPr>
          <w:rFonts w:ascii="Arial" w:hAnsi="Arial" w:cs="Arial"/>
        </w:rPr>
      </w:pPr>
      <w:r w:rsidRPr="00AC29AB">
        <w:rPr>
          <w:rFonts w:ascii="Arial" w:hAnsi="Arial" w:cs="Arial"/>
        </w:rPr>
        <w:tab/>
      </w:r>
    </w:p>
    <w:p w14:paraId="74216135" w14:textId="77777777" w:rsidR="00ED00C8" w:rsidRPr="00AC29AB" w:rsidRDefault="00ED00C8" w:rsidP="0000385E">
      <w:pPr>
        <w:spacing w:line="360" w:lineRule="auto"/>
        <w:rPr>
          <w:rFonts w:ascii="Arial" w:hAnsi="Arial" w:cs="Arial"/>
        </w:rPr>
      </w:pPr>
    </w:p>
    <w:p w14:paraId="3F9B1A9A" w14:textId="77777777" w:rsidR="00ED00C8" w:rsidRPr="00AC29AB" w:rsidRDefault="00ED00C8" w:rsidP="0000385E">
      <w:pPr>
        <w:spacing w:line="360" w:lineRule="auto"/>
        <w:rPr>
          <w:rFonts w:ascii="Arial" w:hAnsi="Arial" w:cs="Arial"/>
        </w:rPr>
      </w:pPr>
    </w:p>
    <w:p w14:paraId="3C585273" w14:textId="77777777" w:rsidR="00ED00C8" w:rsidRPr="00AC29AB" w:rsidRDefault="00ED00C8" w:rsidP="0000385E">
      <w:pPr>
        <w:spacing w:line="360" w:lineRule="auto"/>
        <w:rPr>
          <w:rFonts w:ascii="Arial" w:hAnsi="Arial" w:cs="Arial"/>
        </w:rPr>
      </w:pPr>
    </w:p>
    <w:p w14:paraId="235FCAB7" w14:textId="77777777" w:rsidR="00ED00C8" w:rsidRPr="00FF2065" w:rsidRDefault="00ED00C8" w:rsidP="0000385E">
      <w:pPr>
        <w:spacing w:line="360" w:lineRule="auto"/>
        <w:rPr>
          <w:rFonts w:ascii="Arial" w:hAnsi="Arial" w:cs="Arial"/>
          <w:sz w:val="28"/>
          <w:szCs w:val="24"/>
        </w:rPr>
      </w:pPr>
    </w:p>
    <w:p w14:paraId="2CF08627" w14:textId="77777777" w:rsidR="00ED00C8" w:rsidRPr="00FF2065" w:rsidRDefault="00ED00C8" w:rsidP="0000385E">
      <w:pPr>
        <w:spacing w:line="360" w:lineRule="auto"/>
        <w:rPr>
          <w:rFonts w:ascii="Arial" w:hAnsi="Arial" w:cs="Arial"/>
          <w:sz w:val="28"/>
          <w:szCs w:val="24"/>
        </w:rPr>
      </w:pPr>
    </w:p>
    <w:p w14:paraId="22575E70" w14:textId="77777777" w:rsidR="00ED00C8" w:rsidRPr="00FF2065" w:rsidRDefault="008259AA" w:rsidP="0000385E">
      <w:pPr>
        <w:spacing w:line="360" w:lineRule="auto"/>
        <w:jc w:val="center"/>
        <w:rPr>
          <w:rFonts w:ascii="Arial" w:hAnsi="Arial" w:cs="Arial"/>
          <w:b/>
          <w:bCs/>
          <w:sz w:val="28"/>
          <w:szCs w:val="24"/>
        </w:rPr>
      </w:pPr>
      <w:r w:rsidRPr="00FF2065">
        <w:rPr>
          <w:rFonts w:ascii="Arial" w:hAnsi="Arial" w:cs="Arial"/>
          <w:b/>
          <w:bCs/>
          <w:sz w:val="28"/>
          <w:szCs w:val="24"/>
        </w:rPr>
        <w:t>LCHS7007 Population Health and Digital Health Promotion</w:t>
      </w:r>
    </w:p>
    <w:p w14:paraId="2928890F" w14:textId="162B15A8" w:rsidR="00FF2065" w:rsidRPr="00FF2065" w:rsidRDefault="00FF2065" w:rsidP="0000385E">
      <w:pPr>
        <w:spacing w:line="360" w:lineRule="auto"/>
        <w:jc w:val="center"/>
        <w:rPr>
          <w:rFonts w:ascii="Arial" w:hAnsi="Arial" w:cs="Arial"/>
          <w:b/>
          <w:bCs/>
          <w:sz w:val="28"/>
          <w:szCs w:val="24"/>
        </w:rPr>
      </w:pPr>
      <w:r w:rsidRPr="00FF2065">
        <w:rPr>
          <w:rFonts w:ascii="Arial" w:hAnsi="Arial" w:cs="Arial"/>
          <w:b/>
          <w:bCs/>
          <w:sz w:val="28"/>
          <w:szCs w:val="24"/>
        </w:rPr>
        <w:t>Assignment: Assessment component 1</w:t>
      </w:r>
    </w:p>
    <w:p w14:paraId="0CCEA11E" w14:textId="17D9FF02" w:rsidR="00ED00C8" w:rsidRPr="00FF2065" w:rsidRDefault="00FF2065" w:rsidP="0000385E">
      <w:pPr>
        <w:spacing w:line="360" w:lineRule="auto"/>
        <w:jc w:val="center"/>
        <w:rPr>
          <w:rFonts w:ascii="Arial" w:hAnsi="Arial" w:cs="Arial"/>
          <w:b/>
          <w:bCs/>
          <w:sz w:val="28"/>
          <w:szCs w:val="24"/>
        </w:rPr>
      </w:pPr>
      <w:r w:rsidRPr="00FF2065">
        <w:rPr>
          <w:rFonts w:ascii="Arial" w:hAnsi="Arial" w:cs="Arial"/>
          <w:b/>
          <w:bCs/>
          <w:sz w:val="28"/>
          <w:szCs w:val="24"/>
        </w:rPr>
        <w:t>Syeda Chowdhury</w:t>
      </w:r>
    </w:p>
    <w:p w14:paraId="474870F9" w14:textId="77777777" w:rsidR="00FF2065" w:rsidRDefault="00FF2065" w:rsidP="0000385E">
      <w:pPr>
        <w:spacing w:line="360" w:lineRule="auto"/>
        <w:jc w:val="center"/>
        <w:rPr>
          <w:rFonts w:ascii="Arial" w:hAnsi="Arial" w:cs="Arial"/>
          <w:sz w:val="28"/>
          <w:szCs w:val="24"/>
        </w:rPr>
      </w:pPr>
      <w:r w:rsidRPr="00FF2065">
        <w:rPr>
          <w:rFonts w:ascii="Arial" w:hAnsi="Arial" w:cs="Arial"/>
          <w:b/>
          <w:bCs/>
          <w:sz w:val="28"/>
          <w:szCs w:val="24"/>
        </w:rPr>
        <w:t>ID number:</w:t>
      </w:r>
      <w:r w:rsidRPr="00FF2065">
        <w:rPr>
          <w:rFonts w:ascii="Arial" w:hAnsi="Arial" w:cs="Arial"/>
          <w:sz w:val="28"/>
          <w:szCs w:val="24"/>
        </w:rPr>
        <w:t xml:space="preserve"> 2233004</w:t>
      </w:r>
    </w:p>
    <w:p w14:paraId="6E07B8BD" w14:textId="4ABA7814" w:rsidR="00ED00C8" w:rsidRPr="00AC29AB" w:rsidRDefault="00FF2065" w:rsidP="0000385E">
      <w:pPr>
        <w:spacing w:line="360" w:lineRule="auto"/>
        <w:jc w:val="center"/>
        <w:rPr>
          <w:rFonts w:ascii="Arial" w:hAnsi="Arial" w:cs="Arial"/>
        </w:rPr>
      </w:pPr>
      <w:r w:rsidRPr="00FF2065">
        <w:rPr>
          <w:rFonts w:ascii="Arial" w:hAnsi="Arial" w:cs="Arial"/>
          <w:b/>
          <w:bCs/>
          <w:sz w:val="28"/>
          <w:szCs w:val="24"/>
        </w:rPr>
        <w:t>Lecturer</w:t>
      </w:r>
      <w:r w:rsidRPr="00FF2065">
        <w:rPr>
          <w:rFonts w:ascii="Arial" w:hAnsi="Arial" w:cs="Arial"/>
          <w:b/>
          <w:bCs/>
          <w:i/>
          <w:iCs/>
          <w:sz w:val="28"/>
          <w:szCs w:val="24"/>
        </w:rPr>
        <w:t>:</w:t>
      </w:r>
      <w:r>
        <w:rPr>
          <w:rFonts w:ascii="Arial" w:hAnsi="Arial" w:cs="Arial"/>
          <w:sz w:val="28"/>
          <w:szCs w:val="24"/>
        </w:rPr>
        <w:t xml:space="preserve"> Dr Diola </w:t>
      </w:r>
      <w:proofErr w:type="spellStart"/>
      <w:r>
        <w:rPr>
          <w:rFonts w:ascii="Arial" w:hAnsi="Arial" w:cs="Arial"/>
          <w:sz w:val="28"/>
          <w:szCs w:val="24"/>
        </w:rPr>
        <w:t>Bijlhout</w:t>
      </w:r>
      <w:proofErr w:type="spellEnd"/>
      <w:r w:rsidR="008259AA" w:rsidRPr="00AC29AB">
        <w:rPr>
          <w:rFonts w:ascii="Arial" w:hAnsi="Arial" w:cs="Arial"/>
        </w:rPr>
        <w:br w:type="page"/>
      </w:r>
    </w:p>
    <w:p w14:paraId="39471762" w14:textId="77777777" w:rsidR="00ED00C8" w:rsidRPr="00AC29AB" w:rsidRDefault="00ED00C8" w:rsidP="0000385E">
      <w:pPr>
        <w:spacing w:line="360" w:lineRule="auto"/>
        <w:jc w:val="center"/>
        <w:rPr>
          <w:rFonts w:ascii="Arial" w:hAnsi="Arial" w:cs="Arial"/>
          <w:b/>
          <w:sz w:val="28"/>
        </w:rPr>
      </w:pPr>
    </w:p>
    <w:p w14:paraId="7758D3A7" w14:textId="77777777" w:rsidR="000F1A0E" w:rsidRPr="00FF2065" w:rsidRDefault="008259AA" w:rsidP="0000385E">
      <w:pPr>
        <w:spacing w:line="360" w:lineRule="auto"/>
        <w:jc w:val="center"/>
        <w:rPr>
          <w:rFonts w:ascii="Arial" w:hAnsi="Arial" w:cs="Arial"/>
          <w:b/>
          <w:sz w:val="28"/>
        </w:rPr>
      </w:pPr>
      <w:r w:rsidRPr="00FF2065">
        <w:rPr>
          <w:rFonts w:ascii="Arial" w:hAnsi="Arial" w:cs="Arial"/>
          <w:b/>
          <w:sz w:val="28"/>
        </w:rPr>
        <w:t xml:space="preserve">Blog 1: </w:t>
      </w:r>
      <w:r w:rsidR="007E7D72" w:rsidRPr="00FF2065">
        <w:rPr>
          <w:rFonts w:ascii="Arial" w:hAnsi="Arial" w:cs="Arial"/>
          <w:b/>
          <w:color w:val="C00000"/>
          <w:sz w:val="28"/>
        </w:rPr>
        <w:t>Chronic Disease and a Lack of Physical Activity</w:t>
      </w:r>
    </w:p>
    <w:p w14:paraId="25BCB1B2" w14:textId="77777777" w:rsidR="000F1A0E" w:rsidRPr="00AC29AB" w:rsidRDefault="000F1A0E" w:rsidP="0000385E">
      <w:pPr>
        <w:spacing w:line="360" w:lineRule="auto"/>
        <w:ind w:firstLine="720"/>
        <w:rPr>
          <w:rFonts w:ascii="Arial" w:hAnsi="Arial" w:cs="Arial"/>
        </w:rPr>
      </w:pPr>
    </w:p>
    <w:p w14:paraId="52F9AF16" w14:textId="77777777" w:rsidR="000F1A0E" w:rsidRPr="00AC29AB" w:rsidRDefault="008259AA" w:rsidP="0000385E">
      <w:pPr>
        <w:pStyle w:val="Heading1"/>
        <w:spacing w:line="360" w:lineRule="auto"/>
        <w:rPr>
          <w:rFonts w:ascii="Arial" w:hAnsi="Arial" w:cs="Arial"/>
        </w:rPr>
      </w:pPr>
      <w:r w:rsidRPr="00AC29AB">
        <w:rPr>
          <w:rFonts w:ascii="Arial" w:hAnsi="Arial" w:cs="Arial"/>
        </w:rPr>
        <w:t>Introduction:</w:t>
      </w:r>
    </w:p>
    <w:p w14:paraId="4FBECC63" w14:textId="77777777" w:rsidR="007E7D72" w:rsidRPr="00AC29AB" w:rsidRDefault="008259AA" w:rsidP="00425D9C">
      <w:pPr>
        <w:spacing w:line="360" w:lineRule="auto"/>
        <w:rPr>
          <w:rFonts w:ascii="Arial" w:hAnsi="Arial" w:cs="Arial"/>
        </w:rPr>
      </w:pPr>
      <w:r w:rsidRPr="001E272B">
        <w:rPr>
          <w:rFonts w:ascii="Arial" w:hAnsi="Arial" w:cs="Arial"/>
          <w:sz w:val="22"/>
          <w:szCs w:val="21"/>
        </w:rPr>
        <w:t>Many facets of our life, including healthcare, have been altered by digital technology</w:t>
      </w:r>
      <w:r w:rsidR="00C86641" w:rsidRPr="001E272B">
        <w:rPr>
          <w:rFonts w:ascii="Arial" w:hAnsi="Arial" w:cs="Arial"/>
          <w:sz w:val="22"/>
          <w:szCs w:val="21"/>
        </w:rPr>
        <w:t xml:space="preserve"> (</w:t>
      </w:r>
      <w:proofErr w:type="spellStart"/>
      <w:r w:rsidR="00C86641" w:rsidRPr="001E272B">
        <w:rPr>
          <w:rFonts w:ascii="Arial" w:hAnsi="Arial" w:cs="Arial"/>
          <w:sz w:val="22"/>
          <w:szCs w:val="21"/>
        </w:rPr>
        <w:t>Burini</w:t>
      </w:r>
      <w:proofErr w:type="spellEnd"/>
      <w:r w:rsidR="00C86641" w:rsidRPr="001E272B">
        <w:rPr>
          <w:rFonts w:ascii="Arial" w:hAnsi="Arial" w:cs="Arial"/>
          <w:sz w:val="22"/>
          <w:szCs w:val="21"/>
        </w:rPr>
        <w:t xml:space="preserve"> et al., 2020)</w:t>
      </w:r>
      <w:r w:rsidRPr="001E272B">
        <w:rPr>
          <w:rFonts w:ascii="Arial" w:hAnsi="Arial" w:cs="Arial"/>
          <w:sz w:val="22"/>
          <w:szCs w:val="21"/>
        </w:rPr>
        <w:t xml:space="preserve">. In this blog, we'll examine the pros, cons, and limitations of </w:t>
      </w:r>
      <w:r w:rsidR="00001BA6" w:rsidRPr="001E272B">
        <w:rPr>
          <w:rFonts w:ascii="Arial" w:hAnsi="Arial" w:cs="Arial"/>
          <w:sz w:val="22"/>
          <w:szCs w:val="21"/>
        </w:rPr>
        <w:t xml:space="preserve">this </w:t>
      </w:r>
      <w:r w:rsidRPr="001E272B">
        <w:rPr>
          <w:rFonts w:ascii="Arial" w:hAnsi="Arial" w:cs="Arial"/>
          <w:sz w:val="22"/>
          <w:szCs w:val="21"/>
        </w:rPr>
        <w:t xml:space="preserve">digital technology utilised in digital health promotion </w:t>
      </w:r>
      <w:r w:rsidR="00001BA6" w:rsidRPr="001E272B">
        <w:rPr>
          <w:rFonts w:ascii="Arial" w:hAnsi="Arial" w:cs="Arial"/>
          <w:sz w:val="22"/>
          <w:szCs w:val="21"/>
        </w:rPr>
        <w:t xml:space="preserve">and intervention </w:t>
      </w:r>
      <w:r w:rsidRPr="001E272B">
        <w:rPr>
          <w:rFonts w:ascii="Arial" w:hAnsi="Arial" w:cs="Arial"/>
          <w:sz w:val="22"/>
          <w:szCs w:val="21"/>
        </w:rPr>
        <w:t>activities</w:t>
      </w:r>
      <w:r w:rsidRPr="00AC29AB">
        <w:rPr>
          <w:rFonts w:ascii="Arial" w:hAnsi="Arial" w:cs="Arial"/>
        </w:rPr>
        <w:t>.</w:t>
      </w:r>
    </w:p>
    <w:p w14:paraId="65B3D34B" w14:textId="77777777" w:rsidR="000F1A0E" w:rsidRPr="00AC29AB" w:rsidRDefault="008259AA" w:rsidP="0000385E">
      <w:pPr>
        <w:pStyle w:val="Heading1"/>
        <w:spacing w:line="360" w:lineRule="auto"/>
        <w:rPr>
          <w:rFonts w:ascii="Arial" w:hAnsi="Arial" w:cs="Arial"/>
        </w:rPr>
      </w:pPr>
      <w:r w:rsidRPr="00AC29AB">
        <w:rPr>
          <w:rFonts w:ascii="Arial" w:hAnsi="Arial" w:cs="Arial"/>
        </w:rPr>
        <w:t xml:space="preserve">Intervention: Chronic Disease, Inactivity, and the Public Health </w:t>
      </w:r>
    </w:p>
    <w:p w14:paraId="3EBDE293" w14:textId="77777777" w:rsidR="00001BA6" w:rsidRPr="001E272B" w:rsidRDefault="008259AA" w:rsidP="00425D9C">
      <w:pPr>
        <w:spacing w:line="360" w:lineRule="auto"/>
        <w:rPr>
          <w:rFonts w:ascii="Arial" w:hAnsi="Arial" w:cs="Arial"/>
          <w:sz w:val="22"/>
          <w:szCs w:val="21"/>
        </w:rPr>
      </w:pPr>
      <w:r w:rsidRPr="001E272B">
        <w:rPr>
          <w:rFonts w:ascii="Arial" w:hAnsi="Arial" w:cs="Arial"/>
          <w:sz w:val="22"/>
          <w:szCs w:val="21"/>
        </w:rPr>
        <w:t>A major public health issue is the correlation between inactivity and the development of serious conditions including diabetes, heart disease, and obesity</w:t>
      </w:r>
      <w:r w:rsidR="00C86641" w:rsidRPr="001E272B">
        <w:rPr>
          <w:rFonts w:ascii="Arial" w:hAnsi="Arial" w:cs="Arial"/>
          <w:sz w:val="22"/>
          <w:szCs w:val="21"/>
        </w:rPr>
        <w:t xml:space="preserve"> (West et al., 2019)</w:t>
      </w:r>
      <w:r w:rsidRPr="001E272B">
        <w:rPr>
          <w:rFonts w:ascii="Arial" w:hAnsi="Arial" w:cs="Arial"/>
          <w:sz w:val="22"/>
          <w:szCs w:val="21"/>
        </w:rPr>
        <w:t xml:space="preserve">. Modern technology and changes in people's habits have led to an increase in sedentary behaviours including sitting for extended periods and not getting enough exercise. Physical inactivity is associated with 6 percent of fatalities globally, reported to the WHO. </w:t>
      </w:r>
    </w:p>
    <w:p w14:paraId="15AA04AF" w14:textId="77777777" w:rsidR="00001BA6" w:rsidRPr="001E272B" w:rsidRDefault="008259AA" w:rsidP="0000385E">
      <w:pPr>
        <w:pStyle w:val="Heading2"/>
        <w:spacing w:line="360" w:lineRule="auto"/>
        <w:rPr>
          <w:rFonts w:ascii="Arial" w:hAnsi="Arial" w:cs="Arial"/>
          <w:sz w:val="22"/>
          <w:szCs w:val="24"/>
        </w:rPr>
      </w:pPr>
      <w:r w:rsidRPr="001E272B">
        <w:rPr>
          <w:rFonts w:ascii="Arial" w:hAnsi="Arial" w:cs="Arial"/>
          <w:sz w:val="22"/>
          <w:szCs w:val="24"/>
        </w:rPr>
        <w:t xml:space="preserve">The Role of Portable Health (mHealth) Applications in Promoting Public Health </w:t>
      </w:r>
    </w:p>
    <w:p w14:paraId="36827AE7" w14:textId="77777777" w:rsidR="000F1A0E" w:rsidRPr="001E272B" w:rsidRDefault="008259AA" w:rsidP="00425D9C">
      <w:pPr>
        <w:spacing w:line="360" w:lineRule="auto"/>
        <w:rPr>
          <w:rFonts w:ascii="Arial" w:hAnsi="Arial" w:cs="Arial"/>
          <w:sz w:val="22"/>
          <w:szCs w:val="21"/>
        </w:rPr>
      </w:pPr>
      <w:r w:rsidRPr="001E272B">
        <w:rPr>
          <w:rFonts w:ascii="Arial" w:hAnsi="Arial" w:cs="Arial"/>
          <w:sz w:val="22"/>
          <w:szCs w:val="21"/>
        </w:rPr>
        <w:t>Mobile healthcare (mHealth) apps are now widely used as a significant digital technology in promoting health activities. These applications for smartphones include tools to motivate physical exercise, monitor vital signs, disseminate health information, and support behavioural modification. Accessibility, simplicity, and the capacity to give individualised therapies are what make MHealth applications so appealing</w:t>
      </w:r>
      <w:r w:rsidR="00C86641" w:rsidRPr="001E272B">
        <w:rPr>
          <w:rFonts w:ascii="Arial" w:hAnsi="Arial" w:cs="Arial"/>
          <w:sz w:val="22"/>
          <w:szCs w:val="21"/>
        </w:rPr>
        <w:t xml:space="preserve"> (Marques et al., 2018)</w:t>
      </w:r>
      <w:r w:rsidRPr="001E272B">
        <w:rPr>
          <w:rFonts w:ascii="Arial" w:hAnsi="Arial" w:cs="Arial"/>
          <w:sz w:val="22"/>
          <w:szCs w:val="21"/>
        </w:rPr>
        <w:t xml:space="preserve">. </w:t>
      </w:r>
    </w:p>
    <w:p w14:paraId="46B1B4C7" w14:textId="77777777" w:rsidR="000F1A0E" w:rsidRPr="001E272B" w:rsidRDefault="008259AA" w:rsidP="0000385E">
      <w:pPr>
        <w:pStyle w:val="Heading2"/>
        <w:spacing w:line="360" w:lineRule="auto"/>
        <w:rPr>
          <w:rFonts w:ascii="Arial" w:hAnsi="Arial" w:cs="Arial"/>
          <w:sz w:val="22"/>
          <w:szCs w:val="24"/>
        </w:rPr>
      </w:pPr>
      <w:r w:rsidRPr="001E272B">
        <w:rPr>
          <w:rFonts w:ascii="Arial" w:hAnsi="Arial" w:cs="Arial"/>
          <w:sz w:val="22"/>
          <w:szCs w:val="24"/>
        </w:rPr>
        <w:t>Evidence and Statistics on the Benefits of mHealth Apps for Health Promotion</w:t>
      </w:r>
    </w:p>
    <w:p w14:paraId="2A710D5C" w14:textId="77777777" w:rsidR="000F1A0E" w:rsidRPr="001E272B" w:rsidRDefault="008259AA" w:rsidP="00425D9C">
      <w:pPr>
        <w:spacing w:line="360" w:lineRule="auto"/>
        <w:rPr>
          <w:rFonts w:ascii="Arial" w:hAnsi="Arial" w:cs="Arial"/>
          <w:sz w:val="22"/>
          <w:szCs w:val="21"/>
        </w:rPr>
      </w:pPr>
      <w:r w:rsidRPr="001E272B">
        <w:rPr>
          <w:rFonts w:ascii="Arial" w:hAnsi="Arial" w:cs="Arial"/>
          <w:sz w:val="22"/>
          <w:szCs w:val="21"/>
        </w:rPr>
        <w:t>Multiple investigations have shown that mHealth applications may improve health and tackle issues connected to inactivity</w:t>
      </w:r>
      <w:r w:rsidR="00C86641" w:rsidRPr="001E272B">
        <w:rPr>
          <w:rFonts w:ascii="Arial" w:hAnsi="Arial" w:cs="Arial"/>
          <w:sz w:val="22"/>
          <w:szCs w:val="21"/>
        </w:rPr>
        <w:t xml:space="preserve"> (Dart et al., 2016)</w:t>
      </w:r>
      <w:r w:rsidRPr="001E272B">
        <w:rPr>
          <w:rFonts w:ascii="Arial" w:hAnsi="Arial" w:cs="Arial"/>
          <w:sz w:val="22"/>
          <w:szCs w:val="21"/>
        </w:rPr>
        <w:t>. One study indicated that app users were much more active and had better fitness after using the applications. Another research found that those who used mHealth applications to help them lose weight lost more weight than those who didn't</w:t>
      </w:r>
      <w:r w:rsidR="00C86641" w:rsidRPr="001E272B">
        <w:rPr>
          <w:rFonts w:ascii="Arial" w:hAnsi="Arial" w:cs="Arial"/>
          <w:sz w:val="22"/>
          <w:szCs w:val="21"/>
        </w:rPr>
        <w:t xml:space="preserve"> (Booth et al., 2017)</w:t>
      </w:r>
      <w:r w:rsidRPr="001E272B">
        <w:rPr>
          <w:rFonts w:ascii="Arial" w:hAnsi="Arial" w:cs="Arial"/>
          <w:sz w:val="22"/>
          <w:szCs w:val="21"/>
        </w:rPr>
        <w:t xml:space="preserve">. </w:t>
      </w:r>
    </w:p>
    <w:p w14:paraId="4E1A5ECF" w14:textId="77777777" w:rsidR="000F1A0E" w:rsidRPr="00AC29AB" w:rsidRDefault="008259AA" w:rsidP="0000385E">
      <w:pPr>
        <w:pStyle w:val="Heading1"/>
        <w:spacing w:line="360" w:lineRule="auto"/>
        <w:rPr>
          <w:rFonts w:ascii="Arial" w:hAnsi="Arial" w:cs="Arial"/>
        </w:rPr>
      </w:pPr>
      <w:r w:rsidRPr="00AC29AB">
        <w:rPr>
          <w:rFonts w:ascii="Arial" w:hAnsi="Arial" w:cs="Arial"/>
        </w:rPr>
        <w:t xml:space="preserve">Benefits of mHealth App for Public Health Awareness: </w:t>
      </w:r>
    </w:p>
    <w:p w14:paraId="64B4039D" w14:textId="77777777" w:rsidR="00001BA6" w:rsidRPr="001E272B" w:rsidRDefault="008259AA" w:rsidP="0000385E">
      <w:pPr>
        <w:pStyle w:val="ListParagraph"/>
        <w:numPr>
          <w:ilvl w:val="0"/>
          <w:numId w:val="1"/>
        </w:numPr>
        <w:spacing w:line="360" w:lineRule="auto"/>
        <w:rPr>
          <w:rFonts w:ascii="Arial" w:hAnsi="Arial" w:cs="Arial"/>
          <w:sz w:val="22"/>
          <w:szCs w:val="21"/>
        </w:rPr>
      </w:pPr>
      <w:r w:rsidRPr="001E272B">
        <w:rPr>
          <w:rFonts w:ascii="Arial" w:hAnsi="Arial" w:cs="Arial"/>
          <w:sz w:val="22"/>
          <w:szCs w:val="21"/>
        </w:rPr>
        <w:t>Users may participate in initiatives to promote health whenever and wherever they choose because of the portability and ease with which mHealth applications can be downloaded and accessible on smartphones.</w:t>
      </w:r>
    </w:p>
    <w:p w14:paraId="68FB84C2" w14:textId="77777777" w:rsidR="00001BA6" w:rsidRPr="00AC29AB" w:rsidRDefault="008259AA" w:rsidP="0000385E">
      <w:pPr>
        <w:pStyle w:val="ListParagraph"/>
        <w:numPr>
          <w:ilvl w:val="0"/>
          <w:numId w:val="1"/>
        </w:numPr>
        <w:spacing w:line="360" w:lineRule="auto"/>
        <w:rPr>
          <w:rFonts w:ascii="Arial" w:hAnsi="Arial" w:cs="Arial"/>
        </w:rPr>
      </w:pPr>
      <w:r w:rsidRPr="00AC29AB">
        <w:rPr>
          <w:rFonts w:ascii="Arial" w:hAnsi="Arial" w:cs="Arial"/>
        </w:rPr>
        <w:lastRenderedPageBreak/>
        <w:t>Enhancing engagement and motivation, these applications provide customised interventions depending on the user's preferences, objectives, and health status.</w:t>
      </w:r>
    </w:p>
    <w:p w14:paraId="142107CE" w14:textId="77777777" w:rsidR="00001BA6" w:rsidRPr="00AC29AB" w:rsidRDefault="008259AA" w:rsidP="0000385E">
      <w:pPr>
        <w:pStyle w:val="ListParagraph"/>
        <w:numPr>
          <w:ilvl w:val="0"/>
          <w:numId w:val="1"/>
        </w:numPr>
        <w:spacing w:line="360" w:lineRule="auto"/>
        <w:rPr>
          <w:rFonts w:ascii="Arial" w:hAnsi="Arial" w:cs="Arial"/>
        </w:rPr>
      </w:pPr>
      <w:r w:rsidRPr="00AC29AB">
        <w:rPr>
          <w:rFonts w:ascii="Arial" w:hAnsi="Arial" w:cs="Arial"/>
        </w:rPr>
        <w:t>One way that mHealth applications promote self-awareness and responsibility is via their “behaviour tracking and feedback” features</w:t>
      </w:r>
      <w:r w:rsidR="00C86641" w:rsidRPr="00AC29AB">
        <w:rPr>
          <w:rFonts w:ascii="Arial" w:hAnsi="Arial" w:cs="Arial"/>
        </w:rPr>
        <w:t xml:space="preserve"> (</w:t>
      </w:r>
      <w:proofErr w:type="spellStart"/>
      <w:r w:rsidR="00C86641" w:rsidRPr="00AC29AB">
        <w:rPr>
          <w:rFonts w:ascii="Arial" w:hAnsi="Arial" w:cs="Arial"/>
        </w:rPr>
        <w:t>Burini</w:t>
      </w:r>
      <w:proofErr w:type="spellEnd"/>
      <w:r w:rsidR="00C86641" w:rsidRPr="00AC29AB">
        <w:rPr>
          <w:rFonts w:ascii="Arial" w:hAnsi="Arial" w:cs="Arial"/>
        </w:rPr>
        <w:t xml:space="preserve"> et al., 2020)</w:t>
      </w:r>
      <w:r w:rsidRPr="00AC29AB">
        <w:rPr>
          <w:rFonts w:ascii="Arial" w:hAnsi="Arial" w:cs="Arial"/>
        </w:rPr>
        <w:t>.</w:t>
      </w:r>
    </w:p>
    <w:p w14:paraId="523530F1" w14:textId="77777777" w:rsidR="000F1A0E" w:rsidRPr="00AC29AB" w:rsidRDefault="008259AA" w:rsidP="0000385E">
      <w:pPr>
        <w:pStyle w:val="ListParagraph"/>
        <w:numPr>
          <w:ilvl w:val="0"/>
          <w:numId w:val="1"/>
        </w:numPr>
        <w:spacing w:line="360" w:lineRule="auto"/>
        <w:rPr>
          <w:rFonts w:ascii="Arial" w:hAnsi="Arial" w:cs="Arial"/>
        </w:rPr>
      </w:pPr>
      <w:r w:rsidRPr="00AC29AB">
        <w:rPr>
          <w:rFonts w:ascii="Arial" w:hAnsi="Arial" w:cs="Arial"/>
        </w:rPr>
        <w:t xml:space="preserve">To improve health literacy and encourage positive behavioural changes, several applications provide instructional content, recommendations, and tools. </w:t>
      </w:r>
    </w:p>
    <w:p w14:paraId="5DA375D9" w14:textId="77777777" w:rsidR="000F1A0E" w:rsidRPr="00AC29AB" w:rsidRDefault="008259AA" w:rsidP="0000385E">
      <w:pPr>
        <w:pStyle w:val="Heading1"/>
        <w:spacing w:line="360" w:lineRule="auto"/>
        <w:rPr>
          <w:rFonts w:ascii="Arial" w:hAnsi="Arial" w:cs="Arial"/>
        </w:rPr>
      </w:pPr>
      <w:r w:rsidRPr="00AC29AB">
        <w:rPr>
          <w:rFonts w:ascii="Arial" w:hAnsi="Arial" w:cs="Arial"/>
        </w:rPr>
        <w:t>Shortfalls</w:t>
      </w:r>
      <w:r w:rsidR="00001BA6" w:rsidRPr="00AC29AB">
        <w:rPr>
          <w:rFonts w:ascii="Arial" w:hAnsi="Arial" w:cs="Arial"/>
        </w:rPr>
        <w:t xml:space="preserve"> of this intervention</w:t>
      </w:r>
      <w:r w:rsidRPr="00AC29AB">
        <w:rPr>
          <w:rFonts w:ascii="Arial" w:hAnsi="Arial" w:cs="Arial"/>
        </w:rPr>
        <w:t>:</w:t>
      </w:r>
    </w:p>
    <w:p w14:paraId="62ED000A" w14:textId="77777777" w:rsidR="000F1A0E" w:rsidRPr="001E272B" w:rsidRDefault="008259AA" w:rsidP="00FF2065">
      <w:pPr>
        <w:spacing w:line="360" w:lineRule="auto"/>
        <w:rPr>
          <w:rFonts w:ascii="Arial" w:hAnsi="Arial" w:cs="Arial"/>
          <w:sz w:val="22"/>
          <w:szCs w:val="21"/>
        </w:rPr>
      </w:pPr>
      <w:r w:rsidRPr="001E272B">
        <w:rPr>
          <w:rFonts w:ascii="Arial" w:hAnsi="Arial" w:cs="Arial"/>
          <w:sz w:val="22"/>
          <w:szCs w:val="21"/>
        </w:rPr>
        <w:t>User-centred design, customization, integration, and safeguarding of sensitive information are all possible approaches to the problems plaguing mHealth apps. These actions are being taken to better engage users, target high-risk populations, guarantee material based on evidence, and protect users' privacy and data</w:t>
      </w:r>
      <w:r w:rsidR="00C86641" w:rsidRPr="001E272B">
        <w:rPr>
          <w:rFonts w:ascii="Arial" w:hAnsi="Arial" w:cs="Arial"/>
          <w:sz w:val="22"/>
          <w:szCs w:val="21"/>
        </w:rPr>
        <w:t xml:space="preserve"> (West et al., 2019)</w:t>
      </w:r>
      <w:r w:rsidRPr="001E272B">
        <w:rPr>
          <w:rFonts w:ascii="Arial" w:hAnsi="Arial" w:cs="Arial"/>
          <w:sz w:val="22"/>
          <w:szCs w:val="21"/>
        </w:rPr>
        <w:t xml:space="preserve">. </w:t>
      </w:r>
    </w:p>
    <w:p w14:paraId="3927634A" w14:textId="77777777" w:rsidR="000F1A0E" w:rsidRPr="00AC29AB" w:rsidRDefault="008259AA" w:rsidP="0000385E">
      <w:pPr>
        <w:pStyle w:val="Heading1"/>
        <w:spacing w:line="360" w:lineRule="auto"/>
        <w:rPr>
          <w:rFonts w:ascii="Arial" w:hAnsi="Arial" w:cs="Arial"/>
        </w:rPr>
      </w:pPr>
      <w:r w:rsidRPr="00AC29AB">
        <w:rPr>
          <w:rFonts w:ascii="Arial" w:hAnsi="Arial" w:cs="Arial"/>
        </w:rPr>
        <w:t>Conclusion:</w:t>
      </w:r>
    </w:p>
    <w:p w14:paraId="3718D7B0" w14:textId="77777777" w:rsidR="00EA0B3F" w:rsidRPr="001E272B" w:rsidRDefault="008259AA" w:rsidP="00FF2065">
      <w:pPr>
        <w:spacing w:line="360" w:lineRule="auto"/>
        <w:rPr>
          <w:rFonts w:ascii="Arial" w:hAnsi="Arial" w:cs="Arial"/>
          <w:sz w:val="22"/>
          <w:szCs w:val="21"/>
        </w:rPr>
      </w:pPr>
      <w:r w:rsidRPr="001E272B">
        <w:rPr>
          <w:rFonts w:ascii="Arial" w:hAnsi="Arial" w:cs="Arial"/>
          <w:sz w:val="22"/>
          <w:szCs w:val="21"/>
        </w:rPr>
        <w:t xml:space="preserve">Digital technology, especially mHealth applications, can have a big influence on health promotion activities. Despite its usefulness in resolving public health issues, mHealth applications have limitations that must be worked through. Maximising the efficacy of digital technology in improving health may lead to better health outcomes and a decrease in sedentary </w:t>
      </w:r>
      <w:r w:rsidR="007D0B44" w:rsidRPr="001E272B">
        <w:rPr>
          <w:rFonts w:ascii="Arial" w:hAnsi="Arial" w:cs="Arial"/>
          <w:sz w:val="22"/>
          <w:szCs w:val="21"/>
        </w:rPr>
        <w:t>behaviour</w:t>
      </w:r>
      <w:r w:rsidRPr="001E272B">
        <w:rPr>
          <w:rFonts w:ascii="Arial" w:hAnsi="Arial" w:cs="Arial"/>
          <w:sz w:val="22"/>
          <w:szCs w:val="21"/>
        </w:rPr>
        <w:t>-related public health concerns by using user-</w:t>
      </w:r>
      <w:proofErr w:type="spellStart"/>
      <w:r w:rsidRPr="001E272B">
        <w:rPr>
          <w:rFonts w:ascii="Arial" w:hAnsi="Arial" w:cs="Arial"/>
          <w:sz w:val="22"/>
          <w:szCs w:val="21"/>
        </w:rPr>
        <w:t>Centered</w:t>
      </w:r>
      <w:proofErr w:type="spellEnd"/>
      <w:r w:rsidRPr="001E272B">
        <w:rPr>
          <w:rFonts w:ascii="Arial" w:hAnsi="Arial" w:cs="Arial"/>
          <w:sz w:val="22"/>
          <w:szCs w:val="21"/>
        </w:rPr>
        <w:t xml:space="preserve"> design, personalisation, evidence-based content, and effective data security mechanisms. </w:t>
      </w:r>
    </w:p>
    <w:p w14:paraId="4F17518E" w14:textId="77777777" w:rsidR="00EA0B3F" w:rsidRPr="001E272B" w:rsidRDefault="008259AA" w:rsidP="0000385E">
      <w:pPr>
        <w:spacing w:line="360" w:lineRule="auto"/>
        <w:rPr>
          <w:rFonts w:ascii="Arial" w:hAnsi="Arial" w:cs="Arial"/>
          <w:sz w:val="22"/>
          <w:szCs w:val="21"/>
        </w:rPr>
      </w:pPr>
      <w:r w:rsidRPr="001E272B">
        <w:rPr>
          <w:rFonts w:ascii="Arial" w:hAnsi="Arial" w:cs="Arial"/>
          <w:sz w:val="22"/>
          <w:szCs w:val="21"/>
        </w:rPr>
        <w:br w:type="page"/>
      </w:r>
    </w:p>
    <w:p w14:paraId="4CA08D86" w14:textId="77777777" w:rsidR="000F1A0E" w:rsidRDefault="008259AA" w:rsidP="001E272B">
      <w:pPr>
        <w:pStyle w:val="Heading1"/>
        <w:spacing w:line="360" w:lineRule="auto"/>
        <w:jc w:val="both"/>
        <w:rPr>
          <w:rFonts w:ascii="Arial" w:hAnsi="Arial" w:cs="Arial"/>
          <w:b w:val="0"/>
          <w:i w:val="0"/>
          <w:sz w:val="22"/>
          <w:szCs w:val="28"/>
        </w:rPr>
      </w:pPr>
      <w:r w:rsidRPr="001E272B">
        <w:rPr>
          <w:rFonts w:ascii="Arial" w:hAnsi="Arial" w:cs="Arial"/>
          <w:b w:val="0"/>
          <w:i w:val="0"/>
          <w:sz w:val="22"/>
          <w:szCs w:val="28"/>
        </w:rPr>
        <w:lastRenderedPageBreak/>
        <w:t>References</w:t>
      </w:r>
    </w:p>
    <w:p w14:paraId="55ABBFC7" w14:textId="5EEDE8EB" w:rsidR="001E272B" w:rsidRPr="001E272B" w:rsidRDefault="001E272B" w:rsidP="001E272B"/>
    <w:p w14:paraId="46623ED2" w14:textId="7A17C444" w:rsidR="004F6984" w:rsidRPr="001E272B" w:rsidRDefault="008259AA" w:rsidP="001E272B">
      <w:pPr>
        <w:spacing w:line="360" w:lineRule="auto"/>
        <w:ind w:left="720" w:hanging="720"/>
        <w:jc w:val="both"/>
        <w:rPr>
          <w:rFonts w:ascii="Arial" w:hAnsi="Arial" w:cs="Arial"/>
          <w:sz w:val="22"/>
          <w:szCs w:val="21"/>
        </w:rPr>
      </w:pPr>
      <w:r w:rsidRPr="001E272B">
        <w:rPr>
          <w:rFonts w:ascii="Arial" w:hAnsi="Arial" w:cs="Arial"/>
          <w:sz w:val="22"/>
          <w:szCs w:val="21"/>
          <w:shd w:val="clear" w:color="auto" w:fill="FFFFFF"/>
        </w:rPr>
        <w:t xml:space="preserve">Booth, F.W., Roberts, C.K., Thyfault, J.P., </w:t>
      </w:r>
      <w:proofErr w:type="spellStart"/>
      <w:r w:rsidRPr="001E272B">
        <w:rPr>
          <w:rFonts w:ascii="Arial" w:hAnsi="Arial" w:cs="Arial"/>
          <w:sz w:val="22"/>
          <w:szCs w:val="21"/>
          <w:shd w:val="clear" w:color="auto" w:fill="FFFFFF"/>
        </w:rPr>
        <w:t>Ruegsegger</w:t>
      </w:r>
      <w:proofErr w:type="spellEnd"/>
      <w:r w:rsidRPr="001E272B">
        <w:rPr>
          <w:rFonts w:ascii="Arial" w:hAnsi="Arial" w:cs="Arial"/>
          <w:sz w:val="22"/>
          <w:szCs w:val="21"/>
          <w:shd w:val="clear" w:color="auto" w:fill="FFFFFF"/>
        </w:rPr>
        <w:t xml:space="preserve">, G.N. and </w:t>
      </w:r>
      <w:proofErr w:type="spellStart"/>
      <w:r w:rsidRPr="001E272B">
        <w:rPr>
          <w:rFonts w:ascii="Arial" w:hAnsi="Arial" w:cs="Arial"/>
          <w:sz w:val="22"/>
          <w:szCs w:val="21"/>
          <w:shd w:val="clear" w:color="auto" w:fill="FFFFFF"/>
        </w:rPr>
        <w:t>Toedebusch</w:t>
      </w:r>
      <w:proofErr w:type="spellEnd"/>
      <w:r w:rsidRPr="001E272B">
        <w:rPr>
          <w:rFonts w:ascii="Arial" w:hAnsi="Arial" w:cs="Arial"/>
          <w:sz w:val="22"/>
          <w:szCs w:val="21"/>
          <w:shd w:val="clear" w:color="auto" w:fill="FFFFFF"/>
        </w:rPr>
        <w:t>, R.G., 2017. Rol</w:t>
      </w:r>
      <w:r w:rsidR="001E272B">
        <w:rPr>
          <w:rFonts w:ascii="Arial" w:hAnsi="Arial" w:cs="Arial"/>
          <w:sz w:val="22"/>
          <w:szCs w:val="21"/>
          <w:shd w:val="clear" w:color="auto" w:fill="FFFFFF"/>
        </w:rPr>
        <w:t xml:space="preserve">e </w:t>
      </w:r>
      <w:r w:rsidRPr="001E272B">
        <w:rPr>
          <w:rFonts w:ascii="Arial" w:hAnsi="Arial" w:cs="Arial"/>
          <w:sz w:val="22"/>
          <w:szCs w:val="21"/>
          <w:shd w:val="clear" w:color="auto" w:fill="FFFFFF"/>
        </w:rPr>
        <w:t>of inactivity in chronic diseases: evolutionary insight and pathophysiological mechanisms. </w:t>
      </w:r>
      <w:r w:rsidRPr="001E272B">
        <w:rPr>
          <w:rFonts w:ascii="Arial" w:hAnsi="Arial" w:cs="Arial"/>
          <w:i/>
          <w:iCs/>
          <w:sz w:val="22"/>
          <w:szCs w:val="21"/>
          <w:shd w:val="clear" w:color="auto" w:fill="FFFFFF"/>
        </w:rPr>
        <w:t>Physiological reviews</w:t>
      </w:r>
      <w:r w:rsidRPr="001E272B">
        <w:rPr>
          <w:rFonts w:ascii="Arial" w:hAnsi="Arial" w:cs="Arial"/>
          <w:sz w:val="22"/>
          <w:szCs w:val="21"/>
          <w:shd w:val="clear" w:color="auto" w:fill="FFFFFF"/>
        </w:rPr>
        <w:t>, </w:t>
      </w:r>
      <w:r w:rsidRPr="001E272B">
        <w:rPr>
          <w:rFonts w:ascii="Arial" w:hAnsi="Arial" w:cs="Arial"/>
          <w:i/>
          <w:iCs/>
          <w:sz w:val="22"/>
          <w:szCs w:val="21"/>
          <w:shd w:val="clear" w:color="auto" w:fill="FFFFFF"/>
        </w:rPr>
        <w:t>97</w:t>
      </w:r>
      <w:r w:rsidRPr="001E272B">
        <w:rPr>
          <w:rFonts w:ascii="Arial" w:hAnsi="Arial" w:cs="Arial"/>
          <w:sz w:val="22"/>
          <w:szCs w:val="21"/>
          <w:shd w:val="clear" w:color="auto" w:fill="FFFFFF"/>
        </w:rPr>
        <w:t>(4), pp.1351-1402.</w:t>
      </w:r>
    </w:p>
    <w:p w14:paraId="4210E2C5" w14:textId="578796A6" w:rsidR="004F6984" w:rsidRPr="001E272B" w:rsidRDefault="008259AA" w:rsidP="001E272B">
      <w:pPr>
        <w:spacing w:line="360" w:lineRule="auto"/>
        <w:ind w:left="720" w:hanging="720"/>
        <w:jc w:val="both"/>
        <w:rPr>
          <w:rFonts w:ascii="Arial" w:hAnsi="Arial" w:cs="Arial"/>
          <w:sz w:val="22"/>
          <w:szCs w:val="21"/>
        </w:rPr>
      </w:pPr>
      <w:proofErr w:type="spellStart"/>
      <w:r w:rsidRPr="001E272B">
        <w:rPr>
          <w:rFonts w:ascii="Arial" w:hAnsi="Arial" w:cs="Arial"/>
          <w:sz w:val="22"/>
          <w:szCs w:val="21"/>
          <w:shd w:val="clear" w:color="auto" w:fill="FFFFFF"/>
        </w:rPr>
        <w:t>Burini</w:t>
      </w:r>
      <w:proofErr w:type="spellEnd"/>
      <w:r w:rsidRPr="001E272B">
        <w:rPr>
          <w:rFonts w:ascii="Arial" w:hAnsi="Arial" w:cs="Arial"/>
          <w:sz w:val="22"/>
          <w:szCs w:val="21"/>
          <w:shd w:val="clear" w:color="auto" w:fill="FFFFFF"/>
        </w:rPr>
        <w:t xml:space="preserve">, R.C., Anderson, E., </w:t>
      </w:r>
      <w:proofErr w:type="spellStart"/>
      <w:r w:rsidRPr="001E272B">
        <w:rPr>
          <w:rFonts w:ascii="Arial" w:hAnsi="Arial" w:cs="Arial"/>
          <w:sz w:val="22"/>
          <w:szCs w:val="21"/>
          <w:shd w:val="clear" w:color="auto" w:fill="FFFFFF"/>
        </w:rPr>
        <w:t>Durstine</w:t>
      </w:r>
      <w:proofErr w:type="spellEnd"/>
      <w:r w:rsidRPr="001E272B">
        <w:rPr>
          <w:rFonts w:ascii="Arial" w:hAnsi="Arial" w:cs="Arial"/>
          <w:sz w:val="22"/>
          <w:szCs w:val="21"/>
          <w:shd w:val="clear" w:color="auto" w:fill="FFFFFF"/>
        </w:rPr>
        <w:t>, J.L. and Carson, J.A., 2020. Inflammation, physical activity, and chronic disease: An evolutionary perspective. </w:t>
      </w:r>
      <w:r w:rsidRPr="001E272B">
        <w:rPr>
          <w:rFonts w:ascii="Arial" w:hAnsi="Arial" w:cs="Arial"/>
          <w:i/>
          <w:iCs/>
          <w:sz w:val="22"/>
          <w:szCs w:val="21"/>
          <w:shd w:val="clear" w:color="auto" w:fill="FFFFFF"/>
        </w:rPr>
        <w:t>Sports Medicine and Health Science</w:t>
      </w:r>
      <w:r w:rsidRPr="001E272B">
        <w:rPr>
          <w:rFonts w:ascii="Arial" w:hAnsi="Arial" w:cs="Arial"/>
          <w:sz w:val="22"/>
          <w:szCs w:val="21"/>
          <w:shd w:val="clear" w:color="auto" w:fill="FFFFFF"/>
        </w:rPr>
        <w:t>, </w:t>
      </w:r>
      <w:r w:rsidRPr="001E272B">
        <w:rPr>
          <w:rFonts w:ascii="Arial" w:hAnsi="Arial" w:cs="Arial"/>
          <w:i/>
          <w:iCs/>
          <w:sz w:val="22"/>
          <w:szCs w:val="21"/>
          <w:shd w:val="clear" w:color="auto" w:fill="FFFFFF"/>
        </w:rPr>
        <w:t>2</w:t>
      </w:r>
      <w:r w:rsidRPr="001E272B">
        <w:rPr>
          <w:rFonts w:ascii="Arial" w:hAnsi="Arial" w:cs="Arial"/>
          <w:sz w:val="22"/>
          <w:szCs w:val="21"/>
          <w:shd w:val="clear" w:color="auto" w:fill="FFFFFF"/>
        </w:rPr>
        <w:t>(1), pp.1-6.</w:t>
      </w:r>
    </w:p>
    <w:p w14:paraId="1CD8694C" w14:textId="07AB4A21" w:rsidR="004F6984" w:rsidRPr="001E272B" w:rsidRDefault="008259AA" w:rsidP="001E272B">
      <w:pPr>
        <w:spacing w:line="360" w:lineRule="auto"/>
        <w:ind w:left="720" w:hanging="720"/>
        <w:jc w:val="both"/>
        <w:rPr>
          <w:rFonts w:ascii="Arial" w:hAnsi="Arial" w:cs="Arial"/>
          <w:sz w:val="22"/>
          <w:szCs w:val="21"/>
        </w:rPr>
      </w:pPr>
      <w:r w:rsidRPr="001E272B">
        <w:rPr>
          <w:rFonts w:ascii="Arial" w:hAnsi="Arial" w:cs="Arial"/>
          <w:sz w:val="22"/>
          <w:szCs w:val="21"/>
          <w:shd w:val="clear" w:color="auto" w:fill="FFFFFF"/>
        </w:rPr>
        <w:t>Dart, H., Nguyen, N. and Colditz, G.A., 2016. Physical activity and chronic disease prevention. </w:t>
      </w:r>
      <w:r w:rsidRPr="001E272B">
        <w:rPr>
          <w:rFonts w:ascii="Arial" w:hAnsi="Arial" w:cs="Arial"/>
          <w:i/>
          <w:iCs/>
          <w:sz w:val="22"/>
          <w:szCs w:val="21"/>
          <w:shd w:val="clear" w:color="auto" w:fill="FFFFFF"/>
        </w:rPr>
        <w:t>The Young Female Athlete</w:t>
      </w:r>
      <w:r w:rsidRPr="001E272B">
        <w:rPr>
          <w:rFonts w:ascii="Arial" w:hAnsi="Arial" w:cs="Arial"/>
          <w:sz w:val="22"/>
          <w:szCs w:val="21"/>
          <w:shd w:val="clear" w:color="auto" w:fill="FFFFFF"/>
        </w:rPr>
        <w:t>, pp.163-179.</w:t>
      </w:r>
    </w:p>
    <w:p w14:paraId="354C5842" w14:textId="51479613" w:rsidR="004F6984" w:rsidRPr="001E272B" w:rsidRDefault="008259AA" w:rsidP="001E272B">
      <w:pPr>
        <w:spacing w:line="360" w:lineRule="auto"/>
        <w:ind w:left="720" w:hanging="720"/>
        <w:jc w:val="both"/>
        <w:rPr>
          <w:rFonts w:ascii="Arial" w:hAnsi="Arial" w:cs="Arial"/>
          <w:sz w:val="22"/>
          <w:szCs w:val="21"/>
        </w:rPr>
      </w:pPr>
      <w:r w:rsidRPr="001E272B">
        <w:rPr>
          <w:rFonts w:ascii="Arial" w:hAnsi="Arial" w:cs="Arial"/>
          <w:sz w:val="22"/>
          <w:szCs w:val="21"/>
          <w:shd w:val="clear" w:color="auto" w:fill="FFFFFF"/>
        </w:rPr>
        <w:t xml:space="preserve">Marques, A., Santos, T., Martins, J., Matos, M.G.D. and </w:t>
      </w:r>
      <w:proofErr w:type="spellStart"/>
      <w:r w:rsidRPr="001E272B">
        <w:rPr>
          <w:rFonts w:ascii="Arial" w:hAnsi="Arial" w:cs="Arial"/>
          <w:sz w:val="22"/>
          <w:szCs w:val="21"/>
          <w:shd w:val="clear" w:color="auto" w:fill="FFFFFF"/>
        </w:rPr>
        <w:t>Valeiro</w:t>
      </w:r>
      <w:proofErr w:type="spellEnd"/>
      <w:r w:rsidRPr="001E272B">
        <w:rPr>
          <w:rFonts w:ascii="Arial" w:hAnsi="Arial" w:cs="Arial"/>
          <w:sz w:val="22"/>
          <w:szCs w:val="21"/>
          <w:shd w:val="clear" w:color="auto" w:fill="FFFFFF"/>
        </w:rPr>
        <w:t>, M.G., 2018. The association between physical activity and chronic diseases in European adults. </w:t>
      </w:r>
      <w:r w:rsidRPr="001E272B">
        <w:rPr>
          <w:rFonts w:ascii="Arial" w:hAnsi="Arial" w:cs="Arial"/>
          <w:i/>
          <w:iCs/>
          <w:sz w:val="22"/>
          <w:szCs w:val="21"/>
          <w:shd w:val="clear" w:color="auto" w:fill="FFFFFF"/>
        </w:rPr>
        <w:t>European journal of sport science</w:t>
      </w:r>
      <w:r w:rsidRPr="001E272B">
        <w:rPr>
          <w:rFonts w:ascii="Arial" w:hAnsi="Arial" w:cs="Arial"/>
          <w:sz w:val="22"/>
          <w:szCs w:val="21"/>
          <w:shd w:val="clear" w:color="auto" w:fill="FFFFFF"/>
        </w:rPr>
        <w:t>, </w:t>
      </w:r>
      <w:r w:rsidRPr="001E272B">
        <w:rPr>
          <w:rFonts w:ascii="Arial" w:hAnsi="Arial" w:cs="Arial"/>
          <w:i/>
          <w:iCs/>
          <w:sz w:val="22"/>
          <w:szCs w:val="21"/>
          <w:shd w:val="clear" w:color="auto" w:fill="FFFFFF"/>
        </w:rPr>
        <w:t>18</w:t>
      </w:r>
      <w:r w:rsidRPr="001E272B">
        <w:rPr>
          <w:rFonts w:ascii="Arial" w:hAnsi="Arial" w:cs="Arial"/>
          <w:sz w:val="22"/>
          <w:szCs w:val="21"/>
          <w:shd w:val="clear" w:color="auto" w:fill="FFFFFF"/>
        </w:rPr>
        <w:t>(1), pp.140-149.</w:t>
      </w:r>
    </w:p>
    <w:p w14:paraId="4CE2B909" w14:textId="425538AF" w:rsidR="004F6984" w:rsidRPr="001E272B" w:rsidRDefault="008259AA" w:rsidP="001E272B">
      <w:pPr>
        <w:spacing w:line="360" w:lineRule="auto"/>
        <w:ind w:left="720" w:hanging="720"/>
        <w:jc w:val="both"/>
        <w:rPr>
          <w:rFonts w:ascii="Arial" w:hAnsi="Arial" w:cs="Arial"/>
          <w:sz w:val="22"/>
          <w:szCs w:val="21"/>
        </w:rPr>
      </w:pPr>
      <w:r w:rsidRPr="001E272B">
        <w:rPr>
          <w:rFonts w:ascii="Arial" w:hAnsi="Arial" w:cs="Arial"/>
          <w:sz w:val="22"/>
          <w:szCs w:val="21"/>
          <w:shd w:val="clear" w:color="auto" w:fill="FFFFFF"/>
        </w:rPr>
        <w:t xml:space="preserve">West, S.L., Banks, L., Schneiderman, J.E., </w:t>
      </w:r>
      <w:proofErr w:type="spellStart"/>
      <w:r w:rsidRPr="001E272B">
        <w:rPr>
          <w:rFonts w:ascii="Arial" w:hAnsi="Arial" w:cs="Arial"/>
          <w:sz w:val="22"/>
          <w:szCs w:val="21"/>
          <w:shd w:val="clear" w:color="auto" w:fill="FFFFFF"/>
        </w:rPr>
        <w:t>Caterini</w:t>
      </w:r>
      <w:proofErr w:type="spellEnd"/>
      <w:r w:rsidRPr="001E272B">
        <w:rPr>
          <w:rFonts w:ascii="Arial" w:hAnsi="Arial" w:cs="Arial"/>
          <w:sz w:val="22"/>
          <w:szCs w:val="21"/>
          <w:shd w:val="clear" w:color="auto" w:fill="FFFFFF"/>
        </w:rPr>
        <w:t>, J.E., Stephens, S., White, G., Dogra, S. and Wells, G.D., 2019. Physical activity for children with chronic disease; a narrative review and practical applications. </w:t>
      </w:r>
      <w:r w:rsidRPr="001E272B">
        <w:rPr>
          <w:rFonts w:ascii="Arial" w:hAnsi="Arial" w:cs="Arial"/>
          <w:i/>
          <w:iCs/>
          <w:sz w:val="22"/>
          <w:szCs w:val="21"/>
          <w:shd w:val="clear" w:color="auto" w:fill="FFFFFF"/>
        </w:rPr>
        <w:t xml:space="preserve">BMC </w:t>
      </w:r>
      <w:proofErr w:type="spellStart"/>
      <w:r w:rsidRPr="001E272B">
        <w:rPr>
          <w:rFonts w:ascii="Arial" w:hAnsi="Arial" w:cs="Arial"/>
          <w:i/>
          <w:iCs/>
          <w:sz w:val="22"/>
          <w:szCs w:val="21"/>
          <w:shd w:val="clear" w:color="auto" w:fill="FFFFFF"/>
        </w:rPr>
        <w:t>Pediatrics</w:t>
      </w:r>
      <w:proofErr w:type="spellEnd"/>
      <w:r w:rsidRPr="001E272B">
        <w:rPr>
          <w:rFonts w:ascii="Arial" w:hAnsi="Arial" w:cs="Arial"/>
          <w:sz w:val="22"/>
          <w:szCs w:val="21"/>
          <w:shd w:val="clear" w:color="auto" w:fill="FFFFFF"/>
        </w:rPr>
        <w:t>, </w:t>
      </w:r>
      <w:r w:rsidRPr="001E272B">
        <w:rPr>
          <w:rFonts w:ascii="Arial" w:hAnsi="Arial" w:cs="Arial"/>
          <w:i/>
          <w:iCs/>
          <w:sz w:val="22"/>
          <w:szCs w:val="21"/>
          <w:shd w:val="clear" w:color="auto" w:fill="FFFFFF"/>
        </w:rPr>
        <w:t>19</w:t>
      </w:r>
      <w:r w:rsidRPr="001E272B">
        <w:rPr>
          <w:rFonts w:ascii="Arial" w:hAnsi="Arial" w:cs="Arial"/>
          <w:sz w:val="22"/>
          <w:szCs w:val="21"/>
          <w:shd w:val="clear" w:color="auto" w:fill="FFFFFF"/>
        </w:rPr>
        <w:t>, pp.1-18.</w:t>
      </w:r>
    </w:p>
    <w:p w14:paraId="30E17F0A" w14:textId="77777777" w:rsidR="00C86641" w:rsidRPr="00AC29AB" w:rsidRDefault="00C86641" w:rsidP="0000385E">
      <w:pPr>
        <w:spacing w:line="360" w:lineRule="auto"/>
        <w:ind w:left="720" w:hanging="720"/>
        <w:rPr>
          <w:rFonts w:ascii="Arial" w:hAnsi="Arial" w:cs="Arial"/>
        </w:rPr>
      </w:pPr>
    </w:p>
    <w:p w14:paraId="55D36445" w14:textId="77777777" w:rsidR="000F1A0E" w:rsidRPr="00AC29AB" w:rsidRDefault="008259AA" w:rsidP="0000385E">
      <w:pPr>
        <w:spacing w:line="360" w:lineRule="auto"/>
        <w:rPr>
          <w:rFonts w:ascii="Arial" w:hAnsi="Arial" w:cs="Arial"/>
        </w:rPr>
      </w:pPr>
      <w:r w:rsidRPr="00AC29AB">
        <w:rPr>
          <w:rFonts w:ascii="Arial" w:hAnsi="Arial" w:cs="Arial"/>
        </w:rPr>
        <w:br w:type="page"/>
      </w:r>
    </w:p>
    <w:p w14:paraId="29BA8967" w14:textId="77777777" w:rsidR="000F1A0E" w:rsidRPr="00AC29AB" w:rsidRDefault="008259AA" w:rsidP="0000385E">
      <w:pPr>
        <w:spacing w:line="360" w:lineRule="auto"/>
        <w:ind w:firstLine="720"/>
        <w:rPr>
          <w:rFonts w:ascii="Arial" w:hAnsi="Arial" w:cs="Arial"/>
          <w:b/>
        </w:rPr>
      </w:pPr>
      <w:r w:rsidRPr="00AC29AB">
        <w:rPr>
          <w:rFonts w:ascii="Arial" w:hAnsi="Arial" w:cs="Arial"/>
          <w:b/>
        </w:rPr>
        <w:lastRenderedPageBreak/>
        <w:t xml:space="preserve">Blog 2: </w:t>
      </w:r>
      <w:r w:rsidR="00C36E72" w:rsidRPr="00AC29AB">
        <w:rPr>
          <w:rFonts w:ascii="Arial" w:hAnsi="Arial" w:cs="Arial"/>
          <w:b/>
        </w:rPr>
        <w:t>Telemedicine (Geographical Barriers and Limited Resources)</w:t>
      </w:r>
    </w:p>
    <w:p w14:paraId="74360231" w14:textId="77777777" w:rsidR="00C36E72" w:rsidRPr="00AC29AB" w:rsidRDefault="00C36E72" w:rsidP="0000385E">
      <w:pPr>
        <w:spacing w:line="360" w:lineRule="auto"/>
        <w:ind w:firstLine="720"/>
        <w:rPr>
          <w:rFonts w:ascii="Arial" w:hAnsi="Arial" w:cs="Arial"/>
        </w:rPr>
      </w:pPr>
    </w:p>
    <w:p w14:paraId="56FF0078" w14:textId="77777777" w:rsidR="000F1A0E" w:rsidRPr="00AC29AB" w:rsidRDefault="008259AA" w:rsidP="0000385E">
      <w:pPr>
        <w:pStyle w:val="Heading1"/>
        <w:spacing w:line="360" w:lineRule="auto"/>
        <w:rPr>
          <w:rFonts w:ascii="Arial" w:hAnsi="Arial" w:cs="Arial"/>
        </w:rPr>
      </w:pPr>
      <w:r w:rsidRPr="00AC29AB">
        <w:rPr>
          <w:rFonts w:ascii="Arial" w:hAnsi="Arial" w:cs="Arial"/>
        </w:rPr>
        <w:t>Introduction:</w:t>
      </w:r>
    </w:p>
    <w:p w14:paraId="0FC1E060" w14:textId="77777777" w:rsidR="000F1A0E" w:rsidRPr="001E272B" w:rsidRDefault="008259AA" w:rsidP="001E272B">
      <w:pPr>
        <w:spacing w:line="360" w:lineRule="auto"/>
        <w:rPr>
          <w:rFonts w:ascii="Arial" w:hAnsi="Arial" w:cs="Arial"/>
          <w:sz w:val="22"/>
          <w:szCs w:val="21"/>
        </w:rPr>
      </w:pPr>
      <w:r w:rsidRPr="001E272B">
        <w:rPr>
          <w:rFonts w:ascii="Arial" w:hAnsi="Arial" w:cs="Arial"/>
          <w:sz w:val="22"/>
          <w:szCs w:val="21"/>
        </w:rPr>
        <w:t>With the promise to increase</w:t>
      </w:r>
      <w:r w:rsidR="005F72E6" w:rsidRPr="001E272B">
        <w:rPr>
          <w:rFonts w:ascii="Arial" w:hAnsi="Arial" w:cs="Arial"/>
          <w:sz w:val="22"/>
          <w:szCs w:val="21"/>
        </w:rPr>
        <w:t xml:space="preserve"> access to medical treatments, T</w:t>
      </w:r>
      <w:r w:rsidRPr="001E272B">
        <w:rPr>
          <w:rFonts w:ascii="Arial" w:hAnsi="Arial" w:cs="Arial"/>
          <w:sz w:val="22"/>
          <w:szCs w:val="21"/>
        </w:rPr>
        <w:t>elemedicine has emerged as a disruptive digital technology in healthcare</w:t>
      </w:r>
      <w:r w:rsidR="005F72E6" w:rsidRPr="001E272B">
        <w:rPr>
          <w:rFonts w:ascii="Arial" w:hAnsi="Arial" w:cs="Arial"/>
          <w:sz w:val="22"/>
          <w:szCs w:val="21"/>
        </w:rPr>
        <w:t xml:space="preserve"> </w:t>
      </w:r>
      <w:r w:rsidR="004F6984" w:rsidRPr="001E272B">
        <w:rPr>
          <w:rFonts w:ascii="Arial" w:hAnsi="Arial" w:cs="Arial"/>
          <w:sz w:val="22"/>
          <w:szCs w:val="21"/>
        </w:rPr>
        <w:t>(</w:t>
      </w:r>
      <w:proofErr w:type="spellStart"/>
      <w:r w:rsidR="004F6984" w:rsidRPr="001E272B">
        <w:rPr>
          <w:rFonts w:ascii="Arial" w:hAnsi="Arial" w:cs="Arial"/>
          <w:sz w:val="22"/>
          <w:szCs w:val="21"/>
        </w:rPr>
        <w:t>Buonanno</w:t>
      </w:r>
      <w:proofErr w:type="spellEnd"/>
      <w:r w:rsidR="004F6984" w:rsidRPr="001E272B">
        <w:rPr>
          <w:rFonts w:ascii="Arial" w:hAnsi="Arial" w:cs="Arial"/>
          <w:sz w:val="22"/>
          <w:szCs w:val="21"/>
        </w:rPr>
        <w:t xml:space="preserve"> et al., 2023)</w:t>
      </w:r>
      <w:r w:rsidRPr="001E272B">
        <w:rPr>
          <w:rFonts w:ascii="Arial" w:hAnsi="Arial" w:cs="Arial"/>
          <w:sz w:val="22"/>
          <w:szCs w:val="21"/>
        </w:rPr>
        <w:t xml:space="preserve">. This blog examines </w:t>
      </w:r>
      <w:r w:rsidR="00482E4B" w:rsidRPr="001E272B">
        <w:rPr>
          <w:rFonts w:ascii="Arial" w:hAnsi="Arial" w:cs="Arial"/>
          <w:sz w:val="22"/>
          <w:szCs w:val="21"/>
        </w:rPr>
        <w:t>telemedicine</w:t>
      </w:r>
      <w:r w:rsidRPr="001E272B">
        <w:rPr>
          <w:rFonts w:ascii="Arial" w:hAnsi="Arial" w:cs="Arial"/>
          <w:sz w:val="22"/>
          <w:szCs w:val="21"/>
        </w:rPr>
        <w:t>'s effect on healthcare access critically, noting its benefits, drawbacks, and possible weaknesses.</w:t>
      </w:r>
      <w:r w:rsidR="00C36E72" w:rsidRPr="001E272B">
        <w:rPr>
          <w:rFonts w:ascii="Arial" w:hAnsi="Arial" w:cs="Arial"/>
          <w:sz w:val="22"/>
          <w:szCs w:val="21"/>
        </w:rPr>
        <w:t xml:space="preserve"> </w:t>
      </w:r>
    </w:p>
    <w:p w14:paraId="1BC9821E" w14:textId="77777777" w:rsidR="00482E4B" w:rsidRPr="00AC29AB" w:rsidRDefault="008259AA" w:rsidP="0000385E">
      <w:pPr>
        <w:pStyle w:val="Heading1"/>
        <w:spacing w:line="360" w:lineRule="auto"/>
        <w:rPr>
          <w:rFonts w:ascii="Arial" w:hAnsi="Arial" w:cs="Arial"/>
        </w:rPr>
      </w:pPr>
      <w:r w:rsidRPr="00AC29AB">
        <w:rPr>
          <w:rFonts w:ascii="Arial" w:hAnsi="Arial" w:cs="Arial"/>
        </w:rPr>
        <w:t>Geographical barriers and a lack of resources for healthcare accessibility.</w:t>
      </w:r>
    </w:p>
    <w:p w14:paraId="1C917811" w14:textId="77777777" w:rsidR="000F1A0E" w:rsidRPr="001E272B" w:rsidRDefault="008259AA" w:rsidP="001E272B">
      <w:pPr>
        <w:spacing w:line="360" w:lineRule="auto"/>
        <w:rPr>
          <w:rFonts w:ascii="Arial" w:hAnsi="Arial" w:cs="Arial"/>
          <w:sz w:val="22"/>
          <w:szCs w:val="21"/>
        </w:rPr>
      </w:pPr>
      <w:r w:rsidRPr="001E272B">
        <w:rPr>
          <w:rFonts w:ascii="Arial" w:hAnsi="Arial" w:cs="Arial"/>
          <w:sz w:val="22"/>
          <w:szCs w:val="21"/>
        </w:rPr>
        <w:t>Many people still struggle to get access to healthcare services, especially those who live in distant or disadvantaged locations</w:t>
      </w:r>
      <w:r w:rsidR="005F72E6" w:rsidRPr="001E272B">
        <w:rPr>
          <w:rFonts w:ascii="Arial" w:hAnsi="Arial" w:cs="Arial"/>
          <w:sz w:val="22"/>
          <w:szCs w:val="21"/>
        </w:rPr>
        <w:t xml:space="preserve"> (</w:t>
      </w:r>
      <w:proofErr w:type="spellStart"/>
      <w:r w:rsidR="005F72E6" w:rsidRPr="001E272B">
        <w:rPr>
          <w:rFonts w:ascii="Arial" w:hAnsi="Arial" w:cs="Arial"/>
          <w:sz w:val="22"/>
          <w:szCs w:val="21"/>
        </w:rPr>
        <w:t>Bashshur</w:t>
      </w:r>
      <w:proofErr w:type="spellEnd"/>
      <w:r w:rsidR="005F72E6" w:rsidRPr="001E272B">
        <w:rPr>
          <w:rFonts w:ascii="Arial" w:hAnsi="Arial" w:cs="Arial"/>
          <w:sz w:val="22"/>
          <w:szCs w:val="21"/>
        </w:rPr>
        <w:t xml:space="preserve"> et al., 2020)</w:t>
      </w:r>
      <w:r w:rsidRPr="001E272B">
        <w:rPr>
          <w:rFonts w:ascii="Arial" w:hAnsi="Arial" w:cs="Arial"/>
          <w:sz w:val="22"/>
          <w:szCs w:val="21"/>
        </w:rPr>
        <w:t xml:space="preserve">. Disparities in the availability of prompt, high-quality treatment are a result of geographic restrictions, insufficient medical infrastructure, and a scarcity of healthcare professionals. </w:t>
      </w:r>
    </w:p>
    <w:p w14:paraId="13B7DC60" w14:textId="77777777" w:rsidR="000F1A0E" w:rsidRPr="00AC29AB" w:rsidRDefault="008259AA" w:rsidP="0000385E">
      <w:pPr>
        <w:pStyle w:val="Heading2"/>
        <w:spacing w:line="360" w:lineRule="auto"/>
        <w:rPr>
          <w:rFonts w:ascii="Arial" w:hAnsi="Arial" w:cs="Arial"/>
        </w:rPr>
      </w:pPr>
      <w:r w:rsidRPr="00AC29AB">
        <w:rPr>
          <w:rFonts w:ascii="Arial" w:hAnsi="Arial" w:cs="Arial"/>
        </w:rPr>
        <w:t>The Use of Technology in Healthcare</w:t>
      </w:r>
    </w:p>
    <w:p w14:paraId="0F8E0B32" w14:textId="77777777" w:rsidR="000F1A0E" w:rsidRPr="001E272B" w:rsidRDefault="008259AA" w:rsidP="001E272B">
      <w:pPr>
        <w:spacing w:line="360" w:lineRule="auto"/>
        <w:rPr>
          <w:rFonts w:ascii="Arial" w:hAnsi="Arial" w:cs="Arial"/>
          <w:sz w:val="22"/>
          <w:szCs w:val="21"/>
        </w:rPr>
      </w:pPr>
      <w:r w:rsidRPr="001E272B">
        <w:rPr>
          <w:rFonts w:ascii="Arial" w:hAnsi="Arial" w:cs="Arial"/>
          <w:sz w:val="22"/>
          <w:szCs w:val="21"/>
        </w:rPr>
        <w:t>Telemedicine is the practice of providing healthcare remotely utilising technology. It eliminates regional restrictions and expands access to healthcare</w:t>
      </w:r>
      <w:r w:rsidR="004F6984" w:rsidRPr="001E272B">
        <w:rPr>
          <w:rFonts w:ascii="Arial" w:hAnsi="Arial" w:cs="Arial"/>
          <w:sz w:val="22"/>
          <w:szCs w:val="21"/>
        </w:rPr>
        <w:t xml:space="preserve"> (</w:t>
      </w:r>
      <w:proofErr w:type="spellStart"/>
      <w:r w:rsidR="004F6984" w:rsidRPr="001E272B">
        <w:rPr>
          <w:rFonts w:ascii="Arial" w:hAnsi="Arial" w:cs="Arial"/>
          <w:sz w:val="22"/>
          <w:szCs w:val="21"/>
        </w:rPr>
        <w:t>Bashshur</w:t>
      </w:r>
      <w:proofErr w:type="spellEnd"/>
      <w:r w:rsidR="004F6984" w:rsidRPr="001E272B">
        <w:rPr>
          <w:rFonts w:ascii="Arial" w:hAnsi="Arial" w:cs="Arial"/>
          <w:sz w:val="22"/>
          <w:szCs w:val="21"/>
        </w:rPr>
        <w:t xml:space="preserve"> et al., 2020)</w:t>
      </w:r>
      <w:r w:rsidRPr="001E272B">
        <w:rPr>
          <w:rFonts w:ascii="Arial" w:hAnsi="Arial" w:cs="Arial"/>
          <w:sz w:val="22"/>
          <w:szCs w:val="21"/>
        </w:rPr>
        <w:t xml:space="preserve">. Virtual assessments, remote monitoring of patients, and telehealth education are all included in the term "telemedicine." </w:t>
      </w:r>
    </w:p>
    <w:p w14:paraId="5750391B" w14:textId="77777777" w:rsidR="000F1A0E" w:rsidRPr="001E272B" w:rsidRDefault="008259AA" w:rsidP="0000385E">
      <w:pPr>
        <w:pStyle w:val="Heading2"/>
        <w:spacing w:line="360" w:lineRule="auto"/>
        <w:rPr>
          <w:rFonts w:ascii="Arial" w:hAnsi="Arial" w:cs="Arial"/>
          <w:sz w:val="22"/>
          <w:szCs w:val="24"/>
        </w:rPr>
      </w:pPr>
      <w:r w:rsidRPr="001E272B">
        <w:rPr>
          <w:rFonts w:ascii="Arial" w:hAnsi="Arial" w:cs="Arial"/>
          <w:sz w:val="22"/>
          <w:szCs w:val="24"/>
        </w:rPr>
        <w:t>Telemedicine's Potential to Expand Access to Healthcare: Research and Statistics</w:t>
      </w:r>
    </w:p>
    <w:p w14:paraId="3BABA6A3" w14:textId="77777777" w:rsidR="000F1A0E" w:rsidRPr="001E272B" w:rsidRDefault="008259AA" w:rsidP="001E272B">
      <w:pPr>
        <w:spacing w:line="360" w:lineRule="auto"/>
        <w:rPr>
          <w:rFonts w:ascii="Arial" w:hAnsi="Arial" w:cs="Arial"/>
          <w:sz w:val="22"/>
          <w:szCs w:val="21"/>
        </w:rPr>
      </w:pPr>
      <w:r w:rsidRPr="001E272B">
        <w:rPr>
          <w:rFonts w:ascii="Arial" w:hAnsi="Arial" w:cs="Arial"/>
          <w:sz w:val="22"/>
          <w:szCs w:val="21"/>
        </w:rPr>
        <w:t>Multiple investigations show how telemedicine improves access to healthcare</w:t>
      </w:r>
      <w:r w:rsidR="004F6984" w:rsidRPr="001E272B">
        <w:rPr>
          <w:rFonts w:ascii="Arial" w:hAnsi="Arial" w:cs="Arial"/>
          <w:sz w:val="22"/>
          <w:szCs w:val="21"/>
        </w:rPr>
        <w:t xml:space="preserve"> (</w:t>
      </w:r>
      <w:proofErr w:type="spellStart"/>
      <w:r w:rsidR="004F6984" w:rsidRPr="001E272B">
        <w:rPr>
          <w:rFonts w:ascii="Arial" w:hAnsi="Arial" w:cs="Arial"/>
          <w:sz w:val="22"/>
          <w:szCs w:val="21"/>
        </w:rPr>
        <w:t>Lokken</w:t>
      </w:r>
      <w:proofErr w:type="spellEnd"/>
      <w:r w:rsidR="004F6984" w:rsidRPr="001E272B">
        <w:rPr>
          <w:rFonts w:ascii="Arial" w:hAnsi="Arial" w:cs="Arial"/>
          <w:sz w:val="22"/>
          <w:szCs w:val="21"/>
        </w:rPr>
        <w:t xml:space="preserve"> et al., 2020)</w:t>
      </w:r>
      <w:r w:rsidRPr="001E272B">
        <w:rPr>
          <w:rFonts w:ascii="Arial" w:hAnsi="Arial" w:cs="Arial"/>
          <w:sz w:val="22"/>
          <w:szCs w:val="21"/>
        </w:rPr>
        <w:t xml:space="preserve">. According to research, telemedicine treatments cut down on patient travel time, ER visits, and hospital admissions. Additionally, it makes speciality treatment more accessible, especially for those living in remote regions. </w:t>
      </w:r>
    </w:p>
    <w:p w14:paraId="43248F49" w14:textId="77777777" w:rsidR="000F1A0E" w:rsidRPr="00AC29AB" w:rsidRDefault="008259AA" w:rsidP="0000385E">
      <w:pPr>
        <w:pStyle w:val="Heading1"/>
        <w:spacing w:line="360" w:lineRule="auto"/>
        <w:rPr>
          <w:rFonts w:ascii="Arial" w:hAnsi="Arial" w:cs="Arial"/>
        </w:rPr>
      </w:pPr>
      <w:r w:rsidRPr="00AC29AB">
        <w:rPr>
          <w:rFonts w:ascii="Arial" w:hAnsi="Arial" w:cs="Arial"/>
        </w:rPr>
        <w:t xml:space="preserve">Benefits of Telemedicine for Access to Healthcare: </w:t>
      </w:r>
    </w:p>
    <w:p w14:paraId="6C99B5B7" w14:textId="77777777" w:rsidR="00482E4B" w:rsidRPr="001E272B" w:rsidRDefault="008259AA" w:rsidP="0000385E">
      <w:pPr>
        <w:pStyle w:val="ListParagraph"/>
        <w:numPr>
          <w:ilvl w:val="0"/>
          <w:numId w:val="3"/>
        </w:numPr>
        <w:spacing w:line="360" w:lineRule="auto"/>
        <w:rPr>
          <w:rFonts w:ascii="Arial" w:hAnsi="Arial" w:cs="Arial"/>
          <w:sz w:val="22"/>
          <w:szCs w:val="21"/>
        </w:rPr>
      </w:pPr>
      <w:r w:rsidRPr="001E272B">
        <w:rPr>
          <w:rFonts w:ascii="Arial" w:hAnsi="Arial" w:cs="Arial"/>
          <w:b/>
          <w:sz w:val="22"/>
          <w:szCs w:val="21"/>
        </w:rPr>
        <w:t>Improved Timely Care:</w:t>
      </w:r>
      <w:r w:rsidRPr="001E272B">
        <w:rPr>
          <w:rFonts w:ascii="Arial" w:hAnsi="Arial" w:cs="Arial"/>
          <w:sz w:val="22"/>
          <w:szCs w:val="21"/>
        </w:rPr>
        <w:t xml:space="preserve"> Telemedicine makes it possible for prompt consultations and treatments, cutting down on appointment wait times and perhaps enhancing health outcomes, especially in urgent or emergency circumstances.</w:t>
      </w:r>
    </w:p>
    <w:p w14:paraId="5FDD1149" w14:textId="77777777" w:rsidR="004F6984" w:rsidRPr="00AC29AB" w:rsidRDefault="008259AA" w:rsidP="0000385E">
      <w:pPr>
        <w:pStyle w:val="ListParagraph"/>
        <w:numPr>
          <w:ilvl w:val="0"/>
          <w:numId w:val="3"/>
        </w:numPr>
        <w:spacing w:line="360" w:lineRule="auto"/>
        <w:rPr>
          <w:rFonts w:ascii="Arial" w:hAnsi="Arial" w:cs="Arial"/>
        </w:rPr>
      </w:pPr>
      <w:r w:rsidRPr="001E272B">
        <w:rPr>
          <w:rFonts w:ascii="Arial" w:hAnsi="Arial" w:cs="Arial"/>
          <w:b/>
          <w:sz w:val="22"/>
          <w:szCs w:val="21"/>
        </w:rPr>
        <w:t>Eliminating Geographical Limitations:</w:t>
      </w:r>
      <w:r w:rsidRPr="001E272B">
        <w:rPr>
          <w:rFonts w:ascii="Arial" w:hAnsi="Arial" w:cs="Arial"/>
          <w:sz w:val="22"/>
          <w:szCs w:val="21"/>
        </w:rPr>
        <w:t xml:space="preserve"> Telemedicine makes it possible for patients in rural or underserved locations to obtain medical attention without </w:t>
      </w:r>
      <w:r w:rsidRPr="00AC29AB">
        <w:rPr>
          <w:rFonts w:ascii="Arial" w:hAnsi="Arial" w:cs="Arial"/>
        </w:rPr>
        <w:t xml:space="preserve">having to pay for lengthy travel, easing the strain on patients and enhancing access to specialised treatment. </w:t>
      </w:r>
    </w:p>
    <w:p w14:paraId="3EECF543" w14:textId="77777777" w:rsidR="000F1A0E" w:rsidRPr="001E272B" w:rsidRDefault="008259AA" w:rsidP="0000385E">
      <w:pPr>
        <w:pStyle w:val="ListParagraph"/>
        <w:numPr>
          <w:ilvl w:val="0"/>
          <w:numId w:val="3"/>
        </w:numPr>
        <w:spacing w:line="360" w:lineRule="auto"/>
        <w:rPr>
          <w:rFonts w:ascii="Arial" w:hAnsi="Arial" w:cs="Arial"/>
          <w:sz w:val="22"/>
          <w:szCs w:val="21"/>
        </w:rPr>
      </w:pPr>
      <w:r w:rsidRPr="001E272B">
        <w:rPr>
          <w:rFonts w:ascii="Arial" w:hAnsi="Arial" w:cs="Arial"/>
          <w:b/>
          <w:sz w:val="22"/>
          <w:szCs w:val="21"/>
        </w:rPr>
        <w:lastRenderedPageBreak/>
        <w:t>Cost Savings:</w:t>
      </w:r>
      <w:r w:rsidRPr="001E272B">
        <w:rPr>
          <w:rFonts w:ascii="Arial" w:hAnsi="Arial" w:cs="Arial"/>
          <w:sz w:val="22"/>
          <w:szCs w:val="21"/>
        </w:rPr>
        <w:t xml:space="preserve"> By minimising travel costs, reducing hospital admissions, and optimising resource utilisation, telemedicine offers a chance to lower medical expenses for both patients as well as healthcare systems</w:t>
      </w:r>
      <w:r w:rsidR="004F6984" w:rsidRPr="001E272B">
        <w:rPr>
          <w:rFonts w:ascii="Arial" w:hAnsi="Arial" w:cs="Arial"/>
          <w:sz w:val="22"/>
          <w:szCs w:val="21"/>
        </w:rPr>
        <w:t xml:space="preserve"> (</w:t>
      </w:r>
      <w:proofErr w:type="spellStart"/>
      <w:r w:rsidR="004F6984" w:rsidRPr="001E272B">
        <w:rPr>
          <w:rFonts w:ascii="Arial" w:hAnsi="Arial" w:cs="Arial"/>
          <w:sz w:val="22"/>
          <w:szCs w:val="21"/>
        </w:rPr>
        <w:t>Demaerschalk</w:t>
      </w:r>
      <w:proofErr w:type="spellEnd"/>
      <w:r w:rsidR="004F6984" w:rsidRPr="001E272B">
        <w:rPr>
          <w:rFonts w:ascii="Arial" w:hAnsi="Arial" w:cs="Arial"/>
          <w:sz w:val="22"/>
          <w:szCs w:val="21"/>
        </w:rPr>
        <w:t xml:space="preserve"> et al., 2021)</w:t>
      </w:r>
      <w:r w:rsidRPr="001E272B">
        <w:rPr>
          <w:rFonts w:ascii="Arial" w:hAnsi="Arial" w:cs="Arial"/>
          <w:sz w:val="22"/>
          <w:szCs w:val="21"/>
        </w:rPr>
        <w:t>.</w:t>
      </w:r>
    </w:p>
    <w:p w14:paraId="2389D9B8" w14:textId="77777777" w:rsidR="00482E4B" w:rsidRPr="001E272B" w:rsidRDefault="008259AA" w:rsidP="0000385E">
      <w:pPr>
        <w:pStyle w:val="ListParagraph"/>
        <w:numPr>
          <w:ilvl w:val="0"/>
          <w:numId w:val="3"/>
        </w:numPr>
        <w:spacing w:line="360" w:lineRule="auto"/>
        <w:rPr>
          <w:rFonts w:ascii="Arial" w:hAnsi="Arial" w:cs="Arial"/>
          <w:sz w:val="22"/>
          <w:szCs w:val="21"/>
        </w:rPr>
      </w:pPr>
      <w:r w:rsidRPr="001E272B">
        <w:rPr>
          <w:rFonts w:ascii="Arial" w:hAnsi="Arial" w:cs="Arial"/>
          <w:b/>
          <w:sz w:val="22"/>
          <w:szCs w:val="21"/>
        </w:rPr>
        <w:t>Expanded Access to Specialised Care and Expertise:</w:t>
      </w:r>
      <w:r w:rsidRPr="001E272B">
        <w:rPr>
          <w:rFonts w:ascii="Arial" w:hAnsi="Arial" w:cs="Arial"/>
          <w:sz w:val="22"/>
          <w:szCs w:val="21"/>
        </w:rPr>
        <w:t xml:space="preserve"> By using telemedicine, patients may interact with experts and healthcare professionals who might not be accessible locally. </w:t>
      </w:r>
    </w:p>
    <w:p w14:paraId="7A721B2B" w14:textId="77777777" w:rsidR="000F1A0E" w:rsidRPr="00AC29AB" w:rsidRDefault="008259AA" w:rsidP="0000385E">
      <w:pPr>
        <w:pStyle w:val="Heading1"/>
        <w:spacing w:line="360" w:lineRule="auto"/>
        <w:rPr>
          <w:rFonts w:ascii="Arial" w:hAnsi="Arial" w:cs="Arial"/>
        </w:rPr>
      </w:pPr>
      <w:r w:rsidRPr="00AC29AB">
        <w:rPr>
          <w:rFonts w:ascii="Arial" w:hAnsi="Arial" w:cs="Arial"/>
        </w:rPr>
        <w:t>Shortfalls</w:t>
      </w:r>
      <w:r w:rsidR="00482E4B" w:rsidRPr="00AC29AB">
        <w:rPr>
          <w:rFonts w:ascii="Arial" w:hAnsi="Arial" w:cs="Arial"/>
        </w:rPr>
        <w:t xml:space="preserve"> and Deficits</w:t>
      </w:r>
      <w:r w:rsidRPr="00AC29AB">
        <w:rPr>
          <w:rFonts w:ascii="Arial" w:hAnsi="Arial" w:cs="Arial"/>
        </w:rPr>
        <w:t>:</w:t>
      </w:r>
    </w:p>
    <w:p w14:paraId="06892AB9" w14:textId="77777777" w:rsidR="000F1A0E" w:rsidRPr="001E272B" w:rsidRDefault="008259AA" w:rsidP="001E272B">
      <w:pPr>
        <w:spacing w:line="360" w:lineRule="auto"/>
        <w:rPr>
          <w:rFonts w:ascii="Arial" w:hAnsi="Arial" w:cs="Arial"/>
          <w:sz w:val="22"/>
          <w:szCs w:val="21"/>
        </w:rPr>
      </w:pPr>
      <w:r w:rsidRPr="001E272B">
        <w:rPr>
          <w:rFonts w:ascii="Arial" w:hAnsi="Arial" w:cs="Arial"/>
          <w:sz w:val="22"/>
          <w:szCs w:val="21"/>
        </w:rPr>
        <w:t>To improve access to healthcare and alleviate Telemedicine’s shortcomings</w:t>
      </w:r>
      <w:r w:rsidR="004F6984" w:rsidRPr="001E272B">
        <w:rPr>
          <w:rFonts w:ascii="Arial" w:hAnsi="Arial" w:cs="Arial"/>
          <w:sz w:val="22"/>
          <w:szCs w:val="21"/>
        </w:rPr>
        <w:t xml:space="preserve"> (</w:t>
      </w:r>
      <w:proofErr w:type="spellStart"/>
      <w:r w:rsidR="004F6984" w:rsidRPr="001E272B">
        <w:rPr>
          <w:rFonts w:ascii="Arial" w:hAnsi="Arial" w:cs="Arial"/>
          <w:sz w:val="22"/>
          <w:szCs w:val="21"/>
        </w:rPr>
        <w:t>Bashshur</w:t>
      </w:r>
      <w:proofErr w:type="spellEnd"/>
      <w:r w:rsidR="004F6984" w:rsidRPr="001E272B">
        <w:rPr>
          <w:rFonts w:ascii="Arial" w:hAnsi="Arial" w:cs="Arial"/>
          <w:sz w:val="22"/>
          <w:szCs w:val="21"/>
        </w:rPr>
        <w:t xml:space="preserve"> et al., 2020)</w:t>
      </w:r>
      <w:r w:rsidRPr="001E272B">
        <w:rPr>
          <w:rFonts w:ascii="Arial" w:hAnsi="Arial" w:cs="Arial"/>
          <w:sz w:val="22"/>
          <w:szCs w:val="21"/>
        </w:rPr>
        <w:t xml:space="preserve">: </w:t>
      </w:r>
    </w:p>
    <w:p w14:paraId="5738B679" w14:textId="77777777" w:rsidR="00482E4B" w:rsidRPr="001E272B" w:rsidRDefault="008259AA" w:rsidP="0000385E">
      <w:pPr>
        <w:pStyle w:val="ListParagraph"/>
        <w:numPr>
          <w:ilvl w:val="0"/>
          <w:numId w:val="4"/>
        </w:numPr>
        <w:spacing w:line="360" w:lineRule="auto"/>
        <w:rPr>
          <w:rFonts w:ascii="Arial" w:hAnsi="Arial" w:cs="Arial"/>
          <w:sz w:val="22"/>
          <w:szCs w:val="21"/>
        </w:rPr>
      </w:pPr>
      <w:r w:rsidRPr="001E272B">
        <w:rPr>
          <w:rFonts w:ascii="Arial" w:hAnsi="Arial" w:cs="Arial"/>
          <w:sz w:val="22"/>
          <w:szCs w:val="21"/>
        </w:rPr>
        <w:t>Education and Training: Healthcare practitioners should obtain education on the finest telemedicine practises, such as how to adjust to online discussions and provide accurate evaluations while working within the constraints of distant exams.</w:t>
      </w:r>
    </w:p>
    <w:p w14:paraId="35BD33CC" w14:textId="77777777" w:rsidR="00482E4B" w:rsidRPr="001E272B" w:rsidRDefault="008259AA" w:rsidP="0000385E">
      <w:pPr>
        <w:pStyle w:val="ListParagraph"/>
        <w:numPr>
          <w:ilvl w:val="0"/>
          <w:numId w:val="4"/>
        </w:numPr>
        <w:spacing w:line="360" w:lineRule="auto"/>
        <w:rPr>
          <w:rFonts w:ascii="Arial" w:hAnsi="Arial" w:cs="Arial"/>
          <w:sz w:val="22"/>
          <w:szCs w:val="21"/>
        </w:rPr>
      </w:pPr>
      <w:r w:rsidRPr="001E272B">
        <w:rPr>
          <w:rFonts w:ascii="Arial" w:hAnsi="Arial" w:cs="Arial"/>
          <w:sz w:val="22"/>
          <w:szCs w:val="21"/>
        </w:rPr>
        <w:t>Addressing Equity: To provide accessible for all populations, efforts should be made to close the digital gap while taking into account aspects like affordability, linguistic variety, and cultural competency.</w:t>
      </w:r>
    </w:p>
    <w:p w14:paraId="3678EBE8" w14:textId="77777777" w:rsidR="00482E4B" w:rsidRPr="001E272B" w:rsidRDefault="008259AA" w:rsidP="0000385E">
      <w:pPr>
        <w:pStyle w:val="ListParagraph"/>
        <w:numPr>
          <w:ilvl w:val="0"/>
          <w:numId w:val="4"/>
        </w:numPr>
        <w:spacing w:line="360" w:lineRule="auto"/>
        <w:rPr>
          <w:rFonts w:ascii="Arial" w:hAnsi="Arial" w:cs="Arial"/>
          <w:sz w:val="22"/>
          <w:szCs w:val="21"/>
        </w:rPr>
      </w:pPr>
      <w:r w:rsidRPr="001E272B">
        <w:rPr>
          <w:rFonts w:ascii="Arial" w:hAnsi="Arial" w:cs="Arial"/>
          <w:sz w:val="22"/>
          <w:szCs w:val="21"/>
        </w:rPr>
        <w:t xml:space="preserve">Development of Infrastructure: Increasing internet connection, especially in underdeveloped regions, may make telemedicine services more accessible. </w:t>
      </w:r>
    </w:p>
    <w:p w14:paraId="57FEF21B" w14:textId="77777777" w:rsidR="000F1A0E" w:rsidRPr="001E272B" w:rsidRDefault="008259AA" w:rsidP="0000385E">
      <w:pPr>
        <w:pStyle w:val="ListParagraph"/>
        <w:numPr>
          <w:ilvl w:val="0"/>
          <w:numId w:val="4"/>
        </w:numPr>
        <w:spacing w:line="360" w:lineRule="auto"/>
        <w:rPr>
          <w:rFonts w:ascii="Arial" w:hAnsi="Arial" w:cs="Arial"/>
          <w:sz w:val="22"/>
          <w:szCs w:val="21"/>
        </w:rPr>
      </w:pPr>
      <w:r w:rsidRPr="001E272B">
        <w:rPr>
          <w:rFonts w:ascii="Arial" w:hAnsi="Arial" w:cs="Arial"/>
          <w:sz w:val="22"/>
          <w:szCs w:val="21"/>
        </w:rPr>
        <w:t xml:space="preserve">Legislative Frameworks and Guidelines: Setting up strict privacy and security laws as well as rules specifically for telemedicine helps protect patient data and promote confidence in telemedicine services. </w:t>
      </w:r>
    </w:p>
    <w:p w14:paraId="6A9AD2F1" w14:textId="77777777" w:rsidR="000F1A0E" w:rsidRPr="00AC29AB" w:rsidRDefault="008259AA" w:rsidP="0000385E">
      <w:pPr>
        <w:pStyle w:val="Heading1"/>
        <w:spacing w:line="360" w:lineRule="auto"/>
        <w:rPr>
          <w:rFonts w:ascii="Arial" w:hAnsi="Arial" w:cs="Arial"/>
        </w:rPr>
      </w:pPr>
      <w:r w:rsidRPr="00AC29AB">
        <w:rPr>
          <w:rFonts w:ascii="Arial" w:hAnsi="Arial" w:cs="Arial"/>
        </w:rPr>
        <w:t>Conclusion:</w:t>
      </w:r>
    </w:p>
    <w:p w14:paraId="509B5F49" w14:textId="6A3BA0EF" w:rsidR="00ED00C8" w:rsidRPr="001E272B" w:rsidRDefault="008259AA" w:rsidP="001E272B">
      <w:pPr>
        <w:spacing w:line="360" w:lineRule="auto"/>
        <w:rPr>
          <w:rFonts w:ascii="Arial" w:hAnsi="Arial" w:cs="Arial"/>
          <w:sz w:val="22"/>
          <w:szCs w:val="21"/>
        </w:rPr>
      </w:pPr>
      <w:r w:rsidRPr="001E272B">
        <w:rPr>
          <w:rFonts w:ascii="Arial" w:hAnsi="Arial" w:cs="Arial"/>
          <w:sz w:val="22"/>
          <w:szCs w:val="21"/>
        </w:rPr>
        <w:t>By removing geographic restrictions and improving access to treatment, telemedicine can revolutionise healthcare access. Telemedicine has benefits in that it increases access to healthcare, but it also has flaws which need to be dealt with</w:t>
      </w:r>
      <w:r w:rsidR="004F6984" w:rsidRPr="001E272B">
        <w:rPr>
          <w:rFonts w:ascii="Arial" w:hAnsi="Arial" w:cs="Arial"/>
          <w:sz w:val="22"/>
          <w:szCs w:val="21"/>
        </w:rPr>
        <w:t xml:space="preserve"> (Williams et al., 2018)</w:t>
      </w:r>
      <w:r w:rsidRPr="001E272B">
        <w:rPr>
          <w:rFonts w:ascii="Arial" w:hAnsi="Arial" w:cs="Arial"/>
          <w:sz w:val="22"/>
          <w:szCs w:val="21"/>
        </w:rPr>
        <w:t>. The efficacy of telemedicine in enhancing healthcare access may be maximised, resulting in greater accessible and patient-centred delivery of healthcare, by concentrating on building infrastructure, providing training, resolving equity problems, and putting in place robust regulatory frameworks.</w:t>
      </w:r>
    </w:p>
    <w:p w14:paraId="73A35765" w14:textId="77777777" w:rsidR="005F72E6" w:rsidRPr="00AC29AB" w:rsidRDefault="005F72E6" w:rsidP="0000385E">
      <w:pPr>
        <w:spacing w:line="360" w:lineRule="auto"/>
        <w:rPr>
          <w:rFonts w:ascii="Arial" w:hAnsi="Arial" w:cs="Arial"/>
        </w:rPr>
      </w:pPr>
    </w:p>
    <w:p w14:paraId="5C5CC2C3" w14:textId="77777777" w:rsidR="005F72E6" w:rsidRPr="00AC29AB" w:rsidRDefault="005F72E6" w:rsidP="0000385E">
      <w:pPr>
        <w:spacing w:line="360" w:lineRule="auto"/>
        <w:rPr>
          <w:rFonts w:ascii="Arial" w:hAnsi="Arial" w:cs="Arial"/>
        </w:rPr>
      </w:pPr>
    </w:p>
    <w:p w14:paraId="6DA8A374" w14:textId="77777777" w:rsidR="005F72E6" w:rsidRPr="00AC29AB" w:rsidRDefault="005F72E6" w:rsidP="0000385E">
      <w:pPr>
        <w:spacing w:line="360" w:lineRule="auto"/>
        <w:rPr>
          <w:rFonts w:ascii="Arial" w:hAnsi="Arial" w:cs="Arial"/>
        </w:rPr>
      </w:pPr>
    </w:p>
    <w:p w14:paraId="79939991" w14:textId="77777777" w:rsidR="005F72E6" w:rsidRPr="00AC29AB" w:rsidRDefault="005F72E6" w:rsidP="0000385E">
      <w:pPr>
        <w:spacing w:line="360" w:lineRule="auto"/>
        <w:rPr>
          <w:rFonts w:ascii="Arial" w:hAnsi="Arial" w:cs="Arial"/>
        </w:rPr>
      </w:pPr>
    </w:p>
    <w:p w14:paraId="2E773641" w14:textId="77777777" w:rsidR="00ED00C8" w:rsidRPr="00AC29AB" w:rsidRDefault="008259AA" w:rsidP="0000385E">
      <w:pPr>
        <w:spacing w:line="360" w:lineRule="auto"/>
        <w:rPr>
          <w:rFonts w:ascii="Arial" w:hAnsi="Arial" w:cs="Arial"/>
        </w:rPr>
      </w:pPr>
      <w:r w:rsidRPr="00AC29AB">
        <w:rPr>
          <w:rFonts w:ascii="Arial" w:hAnsi="Arial" w:cs="Arial"/>
        </w:rPr>
        <w:br w:type="page"/>
      </w:r>
    </w:p>
    <w:p w14:paraId="2E6928B7" w14:textId="77777777" w:rsidR="000F1A0E" w:rsidRPr="00AC29AB" w:rsidRDefault="008259AA" w:rsidP="0000385E">
      <w:pPr>
        <w:pStyle w:val="Heading1"/>
        <w:spacing w:line="360" w:lineRule="auto"/>
        <w:jc w:val="center"/>
        <w:rPr>
          <w:rFonts w:ascii="Arial" w:hAnsi="Arial" w:cs="Arial"/>
          <w:b w:val="0"/>
          <w:i w:val="0"/>
        </w:rPr>
      </w:pPr>
      <w:r w:rsidRPr="00AC29AB">
        <w:rPr>
          <w:rFonts w:ascii="Arial" w:hAnsi="Arial" w:cs="Arial"/>
          <w:b w:val="0"/>
          <w:i w:val="0"/>
        </w:rPr>
        <w:lastRenderedPageBreak/>
        <w:t>References</w:t>
      </w:r>
    </w:p>
    <w:p w14:paraId="134BCACD" w14:textId="77777777" w:rsidR="004F6984" w:rsidRPr="00AC29AB" w:rsidRDefault="008259AA" w:rsidP="0000385E">
      <w:pPr>
        <w:spacing w:line="360" w:lineRule="auto"/>
        <w:ind w:left="720" w:hanging="720"/>
        <w:rPr>
          <w:rFonts w:ascii="Arial" w:hAnsi="Arial" w:cs="Arial"/>
          <w:shd w:val="clear" w:color="auto" w:fill="FFFFFF"/>
        </w:rPr>
      </w:pPr>
      <w:proofErr w:type="spellStart"/>
      <w:r w:rsidRPr="00AC29AB">
        <w:rPr>
          <w:rFonts w:ascii="Arial" w:hAnsi="Arial" w:cs="Arial"/>
          <w:shd w:val="clear" w:color="auto" w:fill="FFFFFF"/>
        </w:rPr>
        <w:t>Bashshur</w:t>
      </w:r>
      <w:proofErr w:type="spellEnd"/>
      <w:r w:rsidRPr="00AC29AB">
        <w:rPr>
          <w:rFonts w:ascii="Arial" w:hAnsi="Arial" w:cs="Arial"/>
          <w:shd w:val="clear" w:color="auto" w:fill="FFFFFF"/>
        </w:rPr>
        <w:t xml:space="preserve">, R.L., </w:t>
      </w:r>
      <w:proofErr w:type="spellStart"/>
      <w:r w:rsidRPr="00AC29AB">
        <w:rPr>
          <w:rFonts w:ascii="Arial" w:hAnsi="Arial" w:cs="Arial"/>
          <w:shd w:val="clear" w:color="auto" w:fill="FFFFFF"/>
        </w:rPr>
        <w:t>Doarn</w:t>
      </w:r>
      <w:proofErr w:type="spellEnd"/>
      <w:r w:rsidRPr="00AC29AB">
        <w:rPr>
          <w:rFonts w:ascii="Arial" w:hAnsi="Arial" w:cs="Arial"/>
          <w:shd w:val="clear" w:color="auto" w:fill="FFFFFF"/>
        </w:rPr>
        <w:t xml:space="preserve">, C.R., </w:t>
      </w:r>
      <w:proofErr w:type="spellStart"/>
      <w:r w:rsidRPr="00AC29AB">
        <w:rPr>
          <w:rFonts w:ascii="Arial" w:hAnsi="Arial" w:cs="Arial"/>
          <w:shd w:val="clear" w:color="auto" w:fill="FFFFFF"/>
        </w:rPr>
        <w:t>Frenk</w:t>
      </w:r>
      <w:proofErr w:type="spellEnd"/>
      <w:r w:rsidRPr="00AC29AB">
        <w:rPr>
          <w:rFonts w:ascii="Arial" w:hAnsi="Arial" w:cs="Arial"/>
          <w:shd w:val="clear" w:color="auto" w:fill="FFFFFF"/>
        </w:rPr>
        <w:t xml:space="preserve">, J.M., </w:t>
      </w:r>
      <w:proofErr w:type="spellStart"/>
      <w:r w:rsidRPr="00AC29AB">
        <w:rPr>
          <w:rFonts w:ascii="Arial" w:hAnsi="Arial" w:cs="Arial"/>
          <w:shd w:val="clear" w:color="auto" w:fill="FFFFFF"/>
        </w:rPr>
        <w:t>Kvedar</w:t>
      </w:r>
      <w:proofErr w:type="spellEnd"/>
      <w:r w:rsidRPr="00AC29AB">
        <w:rPr>
          <w:rFonts w:ascii="Arial" w:hAnsi="Arial" w:cs="Arial"/>
          <w:shd w:val="clear" w:color="auto" w:fill="FFFFFF"/>
        </w:rPr>
        <w:t xml:space="preserve">, J.C., Shannon, G.W. and </w:t>
      </w:r>
      <w:proofErr w:type="spellStart"/>
      <w:r w:rsidRPr="00AC29AB">
        <w:rPr>
          <w:rFonts w:ascii="Arial" w:hAnsi="Arial" w:cs="Arial"/>
          <w:shd w:val="clear" w:color="auto" w:fill="FFFFFF"/>
        </w:rPr>
        <w:t>Woolliscroft</w:t>
      </w:r>
      <w:proofErr w:type="spellEnd"/>
      <w:r w:rsidRPr="00AC29AB">
        <w:rPr>
          <w:rFonts w:ascii="Arial" w:hAnsi="Arial" w:cs="Arial"/>
          <w:shd w:val="clear" w:color="auto" w:fill="FFFFFF"/>
        </w:rPr>
        <w:t>, J.O., 2020. Beyond the COVID pandemic, telemedicine, and health care. Telemedicine and e-Health, 26(11), pp.1310-1313.</w:t>
      </w:r>
    </w:p>
    <w:p w14:paraId="5DAFD78A" w14:textId="77777777" w:rsidR="004F6984" w:rsidRPr="00AC29AB" w:rsidRDefault="008259AA" w:rsidP="0000385E">
      <w:pPr>
        <w:spacing w:line="360" w:lineRule="auto"/>
        <w:ind w:left="720" w:hanging="720"/>
        <w:rPr>
          <w:rFonts w:ascii="Arial" w:hAnsi="Arial" w:cs="Arial"/>
          <w:shd w:val="clear" w:color="auto" w:fill="FFFFFF"/>
        </w:rPr>
      </w:pPr>
      <w:proofErr w:type="spellStart"/>
      <w:r w:rsidRPr="00AC29AB">
        <w:rPr>
          <w:rFonts w:ascii="Arial" w:hAnsi="Arial" w:cs="Arial"/>
          <w:shd w:val="clear" w:color="auto" w:fill="FFFFFF"/>
        </w:rPr>
        <w:t>Buonanno</w:t>
      </w:r>
      <w:proofErr w:type="spellEnd"/>
      <w:r w:rsidRPr="00AC29AB">
        <w:rPr>
          <w:rFonts w:ascii="Arial" w:hAnsi="Arial" w:cs="Arial"/>
          <w:shd w:val="clear" w:color="auto" w:fill="FFFFFF"/>
        </w:rPr>
        <w:t xml:space="preserve">, P., </w:t>
      </w:r>
      <w:proofErr w:type="spellStart"/>
      <w:r w:rsidRPr="00AC29AB">
        <w:rPr>
          <w:rFonts w:ascii="Arial" w:hAnsi="Arial" w:cs="Arial"/>
          <w:shd w:val="clear" w:color="auto" w:fill="FFFFFF"/>
        </w:rPr>
        <w:t>Marra</w:t>
      </w:r>
      <w:proofErr w:type="spellEnd"/>
      <w:r w:rsidRPr="00AC29AB">
        <w:rPr>
          <w:rFonts w:ascii="Arial" w:hAnsi="Arial" w:cs="Arial"/>
          <w:shd w:val="clear" w:color="auto" w:fill="FFFFFF"/>
        </w:rPr>
        <w:t xml:space="preserve">, A., </w:t>
      </w:r>
      <w:proofErr w:type="spellStart"/>
      <w:r w:rsidRPr="00AC29AB">
        <w:rPr>
          <w:rFonts w:ascii="Arial" w:hAnsi="Arial" w:cs="Arial"/>
          <w:shd w:val="clear" w:color="auto" w:fill="FFFFFF"/>
        </w:rPr>
        <w:t>Iacovazzo</w:t>
      </w:r>
      <w:proofErr w:type="spellEnd"/>
      <w:r w:rsidRPr="00AC29AB">
        <w:rPr>
          <w:rFonts w:ascii="Arial" w:hAnsi="Arial" w:cs="Arial"/>
          <w:shd w:val="clear" w:color="auto" w:fill="FFFFFF"/>
        </w:rPr>
        <w:t>, C., Franco, M. and De Simone, S., 2023. Telemedicine in cancer pain management: a systematic review and meta-analysis of randomized controlled trials. Pain Medicine, 24(3), pp.226-233.</w:t>
      </w:r>
    </w:p>
    <w:p w14:paraId="3DECA465" w14:textId="77777777" w:rsidR="004F6984" w:rsidRPr="00AC29AB" w:rsidRDefault="008259AA" w:rsidP="0000385E">
      <w:pPr>
        <w:spacing w:line="360" w:lineRule="auto"/>
        <w:ind w:left="720" w:hanging="720"/>
        <w:rPr>
          <w:rFonts w:ascii="Arial" w:hAnsi="Arial" w:cs="Arial"/>
          <w:shd w:val="clear" w:color="auto" w:fill="FFFFFF"/>
        </w:rPr>
      </w:pPr>
      <w:proofErr w:type="spellStart"/>
      <w:r w:rsidRPr="00AC29AB">
        <w:rPr>
          <w:rFonts w:ascii="Arial" w:hAnsi="Arial" w:cs="Arial"/>
          <w:shd w:val="clear" w:color="auto" w:fill="FFFFFF"/>
        </w:rPr>
        <w:t>Demaerschalk</w:t>
      </w:r>
      <w:proofErr w:type="spellEnd"/>
      <w:r w:rsidRPr="00AC29AB">
        <w:rPr>
          <w:rFonts w:ascii="Arial" w:hAnsi="Arial" w:cs="Arial"/>
          <w:shd w:val="clear" w:color="auto" w:fill="FFFFFF"/>
        </w:rPr>
        <w:t xml:space="preserve">, B.M., </w:t>
      </w:r>
      <w:proofErr w:type="spellStart"/>
      <w:r w:rsidRPr="00AC29AB">
        <w:rPr>
          <w:rFonts w:ascii="Arial" w:hAnsi="Arial" w:cs="Arial"/>
          <w:shd w:val="clear" w:color="auto" w:fill="FFFFFF"/>
        </w:rPr>
        <w:t>Blegen</w:t>
      </w:r>
      <w:proofErr w:type="spellEnd"/>
      <w:r w:rsidRPr="00AC29AB">
        <w:rPr>
          <w:rFonts w:ascii="Arial" w:hAnsi="Arial" w:cs="Arial"/>
          <w:shd w:val="clear" w:color="auto" w:fill="FFFFFF"/>
        </w:rPr>
        <w:t xml:space="preserve">, R.N. and </w:t>
      </w:r>
      <w:proofErr w:type="spellStart"/>
      <w:r w:rsidRPr="00AC29AB">
        <w:rPr>
          <w:rFonts w:ascii="Arial" w:hAnsi="Arial" w:cs="Arial"/>
          <w:shd w:val="clear" w:color="auto" w:fill="FFFFFF"/>
        </w:rPr>
        <w:t>Ommen</w:t>
      </w:r>
      <w:proofErr w:type="spellEnd"/>
      <w:r w:rsidRPr="00AC29AB">
        <w:rPr>
          <w:rFonts w:ascii="Arial" w:hAnsi="Arial" w:cs="Arial"/>
          <w:shd w:val="clear" w:color="auto" w:fill="FFFFFF"/>
        </w:rPr>
        <w:t>, S.R., 2021. Scalability of telemedicine services in a large integrated multispecialty health care system during COVID-19. Telemedicine and e-Health, 27(1), pp.96-98.</w:t>
      </w:r>
    </w:p>
    <w:p w14:paraId="3A6B99AC" w14:textId="77777777" w:rsidR="004F6984" w:rsidRPr="00AC29AB" w:rsidRDefault="008259AA" w:rsidP="0000385E">
      <w:pPr>
        <w:spacing w:line="360" w:lineRule="auto"/>
        <w:ind w:left="720" w:hanging="720"/>
        <w:rPr>
          <w:rFonts w:ascii="Arial" w:hAnsi="Arial" w:cs="Arial"/>
          <w:shd w:val="clear" w:color="auto" w:fill="FFFFFF"/>
        </w:rPr>
      </w:pPr>
      <w:proofErr w:type="spellStart"/>
      <w:r w:rsidRPr="00AC29AB">
        <w:rPr>
          <w:rFonts w:ascii="Arial" w:hAnsi="Arial" w:cs="Arial"/>
          <w:shd w:val="clear" w:color="auto" w:fill="FFFFFF"/>
        </w:rPr>
        <w:t>Lokken</w:t>
      </w:r>
      <w:proofErr w:type="spellEnd"/>
      <w:r w:rsidRPr="00AC29AB">
        <w:rPr>
          <w:rFonts w:ascii="Arial" w:hAnsi="Arial" w:cs="Arial"/>
          <w:shd w:val="clear" w:color="auto" w:fill="FFFFFF"/>
        </w:rPr>
        <w:t xml:space="preserve">, T.G., </w:t>
      </w:r>
      <w:proofErr w:type="spellStart"/>
      <w:r w:rsidRPr="00AC29AB">
        <w:rPr>
          <w:rFonts w:ascii="Arial" w:hAnsi="Arial" w:cs="Arial"/>
          <w:shd w:val="clear" w:color="auto" w:fill="FFFFFF"/>
        </w:rPr>
        <w:t>Blegen</w:t>
      </w:r>
      <w:proofErr w:type="spellEnd"/>
      <w:r w:rsidRPr="00AC29AB">
        <w:rPr>
          <w:rFonts w:ascii="Arial" w:hAnsi="Arial" w:cs="Arial"/>
          <w:shd w:val="clear" w:color="auto" w:fill="FFFFFF"/>
        </w:rPr>
        <w:t xml:space="preserve">, R.N., Hoff, M.D. and </w:t>
      </w:r>
      <w:proofErr w:type="spellStart"/>
      <w:r w:rsidRPr="00AC29AB">
        <w:rPr>
          <w:rFonts w:ascii="Arial" w:hAnsi="Arial" w:cs="Arial"/>
          <w:shd w:val="clear" w:color="auto" w:fill="FFFFFF"/>
        </w:rPr>
        <w:t>Demaerschalk</w:t>
      </w:r>
      <w:proofErr w:type="spellEnd"/>
      <w:r w:rsidRPr="00AC29AB">
        <w:rPr>
          <w:rFonts w:ascii="Arial" w:hAnsi="Arial" w:cs="Arial"/>
          <w:shd w:val="clear" w:color="auto" w:fill="FFFFFF"/>
        </w:rPr>
        <w:t>, B.M., 2020. Overview for implementation of telemedicine services in a large integrated multispecialty health care system. Telemedicine and e-Health, 26(4), pp.382-387.</w:t>
      </w:r>
    </w:p>
    <w:p w14:paraId="4CF3334D" w14:textId="77777777" w:rsidR="004F6984" w:rsidRPr="00AC29AB" w:rsidRDefault="008259AA" w:rsidP="0000385E">
      <w:pPr>
        <w:spacing w:line="360" w:lineRule="auto"/>
        <w:ind w:left="720" w:hanging="720"/>
        <w:rPr>
          <w:rFonts w:ascii="Arial" w:hAnsi="Arial" w:cs="Arial"/>
          <w:shd w:val="clear" w:color="auto" w:fill="FFFFFF"/>
        </w:rPr>
        <w:sectPr w:rsidR="004F6984" w:rsidRPr="00AC29AB" w:rsidSect="00ED7EB9">
          <w:headerReference w:type="default" r:id="rId8"/>
          <w:pgSz w:w="12240" w:h="15840"/>
          <w:pgMar w:top="1440" w:right="1440" w:bottom="1440" w:left="1440" w:header="720" w:footer="720" w:gutter="0"/>
          <w:cols w:space="720"/>
          <w:titlePg/>
          <w:docGrid w:linePitch="360"/>
        </w:sectPr>
      </w:pPr>
      <w:r w:rsidRPr="00AC29AB">
        <w:rPr>
          <w:rFonts w:ascii="Arial" w:hAnsi="Arial" w:cs="Arial"/>
          <w:shd w:val="clear" w:color="auto" w:fill="FFFFFF"/>
        </w:rPr>
        <w:t xml:space="preserve">Williams, A.M., Bhatti, U.F., </w:t>
      </w:r>
      <w:proofErr w:type="spellStart"/>
      <w:r w:rsidRPr="00AC29AB">
        <w:rPr>
          <w:rFonts w:ascii="Arial" w:hAnsi="Arial" w:cs="Arial"/>
          <w:shd w:val="clear" w:color="auto" w:fill="FFFFFF"/>
        </w:rPr>
        <w:t>Alam</w:t>
      </w:r>
      <w:proofErr w:type="spellEnd"/>
      <w:r w:rsidRPr="00AC29AB">
        <w:rPr>
          <w:rFonts w:ascii="Arial" w:hAnsi="Arial" w:cs="Arial"/>
          <w:shd w:val="clear" w:color="auto" w:fill="FFFFFF"/>
        </w:rPr>
        <w:t xml:space="preserve">, H.B. and </w:t>
      </w:r>
      <w:proofErr w:type="spellStart"/>
      <w:r w:rsidRPr="00AC29AB">
        <w:rPr>
          <w:rFonts w:ascii="Arial" w:hAnsi="Arial" w:cs="Arial"/>
          <w:shd w:val="clear" w:color="auto" w:fill="FFFFFF"/>
        </w:rPr>
        <w:t>Nikolian</w:t>
      </w:r>
      <w:proofErr w:type="spellEnd"/>
      <w:r w:rsidRPr="00AC29AB">
        <w:rPr>
          <w:rFonts w:ascii="Arial" w:hAnsi="Arial" w:cs="Arial"/>
          <w:shd w:val="clear" w:color="auto" w:fill="FFFFFF"/>
        </w:rPr>
        <w:t>, V.C., 2018. The role of telemedicine in</w:t>
      </w:r>
      <w:r w:rsidR="00B17790" w:rsidRPr="00AC29AB">
        <w:rPr>
          <w:rFonts w:ascii="Arial" w:hAnsi="Arial" w:cs="Arial"/>
          <w:shd w:val="clear" w:color="auto" w:fill="FFFFFF"/>
        </w:rPr>
        <w:t xml:space="preserve"> postoperative care. </w:t>
      </w:r>
      <w:proofErr w:type="spellStart"/>
      <w:r w:rsidR="00B17790" w:rsidRPr="00AC29AB">
        <w:rPr>
          <w:rFonts w:ascii="Arial" w:hAnsi="Arial" w:cs="Arial"/>
          <w:shd w:val="clear" w:color="auto" w:fill="FFFFFF"/>
        </w:rPr>
        <w:t>Mhealth</w:t>
      </w:r>
      <w:proofErr w:type="spellEnd"/>
      <w:r w:rsidR="00B17790" w:rsidRPr="00AC29AB">
        <w:rPr>
          <w:rFonts w:ascii="Arial" w:hAnsi="Arial" w:cs="Arial"/>
          <w:shd w:val="clear" w:color="auto" w:fill="FFFFFF"/>
        </w:rPr>
        <w:t xml:space="preserve">, </w:t>
      </w:r>
    </w:p>
    <w:p w14:paraId="2903E651" w14:textId="77777777" w:rsidR="003F7E1F" w:rsidRPr="00AC29AB" w:rsidRDefault="003F7E1F" w:rsidP="00B17790">
      <w:pPr>
        <w:keepNext/>
        <w:keepLines/>
        <w:spacing w:after="0" w:line="240" w:lineRule="auto"/>
        <w:outlineLvl w:val="0"/>
        <w:rPr>
          <w:rFonts w:ascii="Arial" w:eastAsia="Times New Roman" w:hAnsi="Arial" w:cs="Arial"/>
          <w:color w:val="C04908"/>
          <w:sz w:val="40"/>
          <w:szCs w:val="40"/>
        </w:rPr>
        <w:sectPr w:rsidR="003F7E1F" w:rsidRPr="00AC29AB" w:rsidSect="009A6C53">
          <w:headerReference w:type="default" r:id="rId9"/>
          <w:type w:val="continuous"/>
          <w:pgSz w:w="12240" w:h="15840"/>
          <w:pgMar w:top="1440" w:right="990" w:bottom="1440" w:left="900" w:header="288" w:footer="720" w:gutter="0"/>
          <w:pgBorders w:offsetFrom="page">
            <w:top w:val="single" w:sz="4" w:space="24" w:color="auto"/>
            <w:left w:val="single" w:sz="4" w:space="24" w:color="auto"/>
            <w:bottom w:val="single" w:sz="4" w:space="24" w:color="auto"/>
            <w:right w:val="single" w:sz="4" w:space="24" w:color="auto"/>
          </w:pgBorders>
          <w:cols w:space="225"/>
          <w:docGrid w:linePitch="360"/>
        </w:sectPr>
      </w:pPr>
    </w:p>
    <w:p w14:paraId="15A786FF" w14:textId="77777777" w:rsidR="00373D3F" w:rsidRPr="00AC29AB" w:rsidRDefault="00EB24BF">
      <w:pPr>
        <w:rPr>
          <w:rFonts w:ascii="Arial" w:eastAsiaTheme="majorEastAsia" w:hAnsi="Arial" w:cs="Arial"/>
          <w:b/>
          <w:color w:val="C04908"/>
          <w:sz w:val="2"/>
          <w:szCs w:val="40"/>
          <w:u w:val="single"/>
        </w:rPr>
      </w:pPr>
      <w:r w:rsidRPr="00AC29AB">
        <w:rPr>
          <w:rFonts w:ascii="Arial" w:eastAsiaTheme="majorEastAsia" w:hAnsi="Arial" w:cs="Arial"/>
          <w:b/>
          <w:noProof/>
          <w:color w:val="C04908"/>
          <w:sz w:val="2"/>
          <w:szCs w:val="40"/>
          <w:u w:val="single"/>
          <w:lang w:val="en-US"/>
        </w:rPr>
        <w:lastRenderedPageBreak/>
        <mc:AlternateContent>
          <mc:Choice Requires="wps">
            <w:drawing>
              <wp:anchor distT="0" distB="0" distL="114300" distR="114300" simplePos="0" relativeHeight="251659264" behindDoc="1" locked="0" layoutInCell="1" allowOverlap="1" wp14:anchorId="0697D88D" wp14:editId="7B464774">
                <wp:simplePos x="0" y="0"/>
                <wp:positionH relativeFrom="column">
                  <wp:posOffset>-789047</wp:posOffset>
                </wp:positionH>
                <wp:positionV relativeFrom="paragraph">
                  <wp:posOffset>-560447</wp:posOffset>
                </wp:positionV>
                <wp:extent cx="10073899" cy="7733655"/>
                <wp:effectExtent l="0" t="0" r="22860" b="20320"/>
                <wp:wrapNone/>
                <wp:docPr id="4" name="Rectangle 4"/>
                <wp:cNvGraphicFramePr/>
                <a:graphic xmlns:a="http://schemas.openxmlformats.org/drawingml/2006/main">
                  <a:graphicData uri="http://schemas.microsoft.com/office/word/2010/wordprocessingShape">
                    <wps:wsp>
                      <wps:cNvSpPr/>
                      <wps:spPr>
                        <a:xfrm>
                          <a:off x="0" y="0"/>
                          <a:ext cx="10073899" cy="7733655"/>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0" scaled="1"/>
                          <a:tileRect/>
                        </a:gradFill>
                        <a:ln>
                          <a:solidFill>
                            <a:schemeClr val="accent5"/>
                          </a:soli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28B440" id="Rectangle 4" o:spid="_x0000_s1026" style="position:absolute;margin-left:-62.15pt;margin-top:-44.15pt;width:793.2pt;height:608.9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" fillcolor="#92bce3 [2132]" strokecolor="#4472c4 [3208]" strokeweight=".5pt">
                <v:fill color2="#d9e8f5 [756]" rotate="t" angle="90" colors="0 #9ac3f6;.5 #c1d8f8;1 #e1ecfb" focus="100%" type="gradient"/>
              </v:rect>
            </w:pict>
          </mc:Fallback>
        </mc:AlternateContent>
      </w:r>
    </w:p>
    <w:p w14:paraId="56F2A8BF" w14:textId="09DB9B42" w:rsidR="0056229E" w:rsidRPr="00AC29AB" w:rsidRDefault="008259AA" w:rsidP="00445DE8">
      <w:pPr>
        <w:keepNext/>
        <w:keepLines/>
        <w:spacing w:after="0" w:line="360" w:lineRule="auto"/>
        <w:jc w:val="center"/>
        <w:outlineLvl w:val="0"/>
        <w:rPr>
          <w:rFonts w:ascii="Arial" w:eastAsia="Times New Roman" w:hAnsi="Arial" w:cs="Arial"/>
          <w:color w:val="auto"/>
          <w:sz w:val="4"/>
          <w:szCs w:val="21"/>
        </w:rPr>
      </w:pPr>
      <w:r w:rsidRPr="00AC29AB">
        <w:rPr>
          <w:rFonts w:ascii="Arial" w:eastAsiaTheme="majorEastAsia" w:hAnsi="Arial" w:cs="Arial"/>
          <w:b/>
          <w:color w:val="C04908"/>
          <w:sz w:val="28"/>
          <w:szCs w:val="40"/>
          <w:u w:val="single"/>
        </w:rPr>
        <w:t>“</w:t>
      </w:r>
      <w:r w:rsidRPr="00445DE8">
        <w:rPr>
          <w:rFonts w:ascii="Arial" w:eastAsiaTheme="majorEastAsia" w:hAnsi="Arial" w:cs="Arial"/>
          <w:b/>
          <w:color w:val="C04908"/>
          <w:sz w:val="22"/>
          <w:szCs w:val="32"/>
          <w:u w:val="single"/>
        </w:rPr>
        <w:t>Dementia</w:t>
      </w:r>
      <w:r w:rsidRPr="00445DE8">
        <w:rPr>
          <w:rFonts w:ascii="Arial" w:eastAsiaTheme="majorEastAsia" w:hAnsi="Arial" w:cs="Arial"/>
          <w:b/>
          <w:color w:val="C04908"/>
          <w:szCs w:val="36"/>
          <w:u w:val="single"/>
        </w:rPr>
        <w:t>”</w:t>
      </w:r>
    </w:p>
    <w:p w14:paraId="3640857F" w14:textId="77777777" w:rsidR="002C119A" w:rsidRPr="00AC29AB" w:rsidRDefault="008259AA" w:rsidP="00EB24BF">
      <w:pPr>
        <w:keepNext/>
        <w:keepLines/>
        <w:spacing w:after="0" w:line="360" w:lineRule="auto"/>
        <w:ind w:left="-630"/>
        <w:outlineLvl w:val="0"/>
        <w:rPr>
          <w:rFonts w:ascii="Arial" w:eastAsia="Times New Roman" w:hAnsi="Arial" w:cs="Arial"/>
          <w:b/>
          <w:color w:val="C04908"/>
          <w:sz w:val="8"/>
          <w:szCs w:val="40"/>
        </w:rPr>
      </w:pPr>
      <w:r w:rsidRPr="00AC29AB">
        <w:rPr>
          <w:rFonts w:ascii="Arial" w:eastAsiaTheme="majorEastAsia" w:hAnsi="Arial" w:cs="Arial"/>
          <w:b/>
          <w:color w:val="C04908"/>
          <w:sz w:val="18"/>
          <w:szCs w:val="40"/>
        </w:rPr>
        <w:t>Background</w:t>
      </w:r>
    </w:p>
    <w:p w14:paraId="644E385E" w14:textId="77777777" w:rsidR="002C119A" w:rsidRPr="00445DE8" w:rsidRDefault="008259AA" w:rsidP="00445DE8">
      <w:pPr>
        <w:spacing w:after="120" w:line="360" w:lineRule="auto"/>
        <w:ind w:left="-630"/>
        <w:rPr>
          <w:rFonts w:ascii="Arial" w:eastAsia="Times New Roman" w:hAnsi="Arial" w:cs="Arial"/>
          <w:color w:val="auto"/>
          <w:sz w:val="13"/>
          <w:szCs w:val="15"/>
        </w:rPr>
      </w:pPr>
      <w:r w:rsidRPr="00445DE8">
        <w:rPr>
          <w:rFonts w:ascii="Arial" w:eastAsiaTheme="minorEastAsia" w:hAnsi="Arial" w:cs="Arial"/>
          <w:color w:val="auto"/>
          <w:sz w:val="13"/>
          <w:szCs w:val="15"/>
        </w:rPr>
        <w:t xml:space="preserve">Millions of people worldwide are affected by </w:t>
      </w:r>
      <w:r w:rsidR="009F04D3" w:rsidRPr="00445DE8">
        <w:rPr>
          <w:rFonts w:ascii="Arial" w:eastAsiaTheme="minorEastAsia" w:hAnsi="Arial" w:cs="Arial"/>
          <w:color w:val="auto"/>
          <w:sz w:val="13"/>
          <w:szCs w:val="15"/>
        </w:rPr>
        <w:t>Dementia</w:t>
      </w:r>
      <w:r w:rsidRPr="00445DE8">
        <w:rPr>
          <w:rFonts w:ascii="Arial" w:eastAsiaTheme="minorEastAsia" w:hAnsi="Arial" w:cs="Arial"/>
          <w:color w:val="auto"/>
          <w:sz w:val="13"/>
          <w:szCs w:val="15"/>
        </w:rPr>
        <w:t xml:space="preserve">, which is a serious public health issue. It is a neurological condition characterised by a steady deterioration in cognitive abilities, diminished memory, and challenges carrying out everyday </w:t>
      </w:r>
      <w:r w:rsidR="009F04D3" w:rsidRPr="00445DE8">
        <w:rPr>
          <w:rFonts w:ascii="Arial" w:eastAsiaTheme="minorEastAsia" w:hAnsi="Arial" w:cs="Arial"/>
          <w:color w:val="auto"/>
          <w:sz w:val="13"/>
          <w:szCs w:val="15"/>
        </w:rPr>
        <w:t>tasks (Livingston et al., 2017)</w:t>
      </w:r>
      <w:r w:rsidRPr="00445DE8">
        <w:rPr>
          <w:rFonts w:ascii="Arial" w:eastAsiaTheme="minorEastAsia" w:hAnsi="Arial" w:cs="Arial"/>
          <w:color w:val="auto"/>
          <w:sz w:val="13"/>
          <w:szCs w:val="15"/>
        </w:rPr>
        <w:t xml:space="preserve">. </w:t>
      </w:r>
      <w:r w:rsidR="00624575" w:rsidRPr="00445DE8">
        <w:rPr>
          <w:rFonts w:ascii="Arial" w:eastAsiaTheme="minorEastAsia" w:hAnsi="Arial" w:cs="Arial"/>
          <w:color w:val="auto"/>
          <w:sz w:val="13"/>
          <w:szCs w:val="15"/>
        </w:rPr>
        <w:t xml:space="preserve">Patients with dementia in the UK tend to be elderly (often 65 and more). The Alzheimer's Association estimates that 1 in 6 people aged 80 and higher in the United Kingdom suffer from dementia. As the global population ages, so does the prevalence of dementia. The WHO (World Health Organization) indicates that, it is expected that 5-8% of people aged 60 and above would get dementia over their </w:t>
      </w:r>
      <w:r w:rsidR="009F04D3" w:rsidRPr="00445DE8">
        <w:rPr>
          <w:rFonts w:ascii="Arial" w:eastAsiaTheme="minorEastAsia" w:hAnsi="Arial" w:cs="Arial"/>
          <w:color w:val="auto"/>
          <w:sz w:val="13"/>
          <w:szCs w:val="15"/>
        </w:rPr>
        <w:t>lifetimes (WHO, 2021)</w:t>
      </w:r>
      <w:r w:rsidR="00624575" w:rsidRPr="00445DE8">
        <w:rPr>
          <w:rFonts w:ascii="Arial" w:eastAsiaTheme="minorEastAsia" w:hAnsi="Arial" w:cs="Arial"/>
          <w:color w:val="auto"/>
          <w:sz w:val="13"/>
          <w:szCs w:val="15"/>
        </w:rPr>
        <w:t>.</w:t>
      </w:r>
    </w:p>
    <w:p w14:paraId="27D5692F" w14:textId="77777777" w:rsidR="00F62DD7" w:rsidRPr="00AC29AB" w:rsidRDefault="008259AA" w:rsidP="00EB24BF">
      <w:pPr>
        <w:spacing w:line="360" w:lineRule="auto"/>
        <w:rPr>
          <w:rFonts w:ascii="Arial" w:eastAsia="Times New Roman" w:hAnsi="Arial" w:cs="Arial"/>
          <w:color w:val="auto"/>
          <w:sz w:val="20"/>
          <w:szCs w:val="21"/>
        </w:rPr>
      </w:pPr>
      <w:r w:rsidRPr="00AC29AB">
        <w:rPr>
          <w:rFonts w:ascii="Arial" w:hAnsi="Arial" w:cs="Arial"/>
          <w:noProof/>
          <w:sz w:val="22"/>
          <w:lang w:val="en-US"/>
        </w:rPr>
        <w:drawing>
          <wp:inline distT="0" distB="0" distL="0" distR="0" wp14:anchorId="6D212F1C" wp14:editId="2D192D8C">
            <wp:extent cx="2293169" cy="9290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cstate="print">
                      <a:duotone>
                        <a:schemeClr val="accent1">
                          <a:shade val="45000"/>
                          <a:satMod val="135000"/>
                        </a:schemeClr>
                        <a:prstClr val="white"/>
                      </a:duotone>
                      <a:extLst>
                        <a:ext uri="{BEBA8EAE-BF5A-486C-A8C5-ECC9F3942E4B}">
                          <a14:imgProps xmlns:a14="http://schemas.microsoft.com/office/drawing/2010/main">
                            <a14:imgLayer>
                              <a14:imgEffect>
                                <a14:sharpenSoften amount="50000"/>
                              </a14:imgEffect>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bwMode="auto">
                    <a:xfrm>
                      <a:off x="0" y="0"/>
                      <a:ext cx="2293169" cy="929005"/>
                    </a:xfrm>
                    <a:prstGeom prst="rect">
                      <a:avLst/>
                    </a:prstGeom>
                    <a:solidFill>
                      <a:schemeClr val="accent2">
                        <a:alpha val="50000"/>
                      </a:schemeClr>
                    </a:solidFill>
                    <a:ln>
                      <a:noFill/>
                    </a:ln>
                  </pic:spPr>
                </pic:pic>
              </a:graphicData>
            </a:graphic>
          </wp:inline>
        </w:drawing>
      </w:r>
    </w:p>
    <w:p w14:paraId="4130ED4A" w14:textId="77777777" w:rsidR="00D31300" w:rsidRPr="00AC29AB" w:rsidRDefault="008259AA" w:rsidP="00EB24BF">
      <w:pPr>
        <w:spacing w:after="120" w:line="360" w:lineRule="auto"/>
        <w:ind w:left="-630"/>
        <w:jc w:val="center"/>
        <w:rPr>
          <w:rFonts w:ascii="Arial" w:eastAsia="Times New Roman" w:hAnsi="Arial" w:cs="Arial"/>
          <w:b/>
          <w:bCs/>
          <w:smallCaps/>
          <w:color w:val="757575"/>
          <w:sz w:val="6"/>
          <w:szCs w:val="21"/>
        </w:rPr>
      </w:pPr>
      <w:r w:rsidRPr="00AC29AB">
        <w:rPr>
          <w:rFonts w:ascii="Arial" w:eastAsiaTheme="minorEastAsia" w:hAnsi="Arial" w:cs="Arial"/>
          <w:b/>
          <w:bCs/>
          <w:smallCaps/>
          <w:color w:val="757575"/>
          <w:sz w:val="10"/>
          <w:szCs w:val="21"/>
        </w:rPr>
        <w:t xml:space="preserve">Figure </w:t>
      </w:r>
      <w:r w:rsidRPr="00AC29AB">
        <w:rPr>
          <w:rFonts w:ascii="Arial" w:eastAsiaTheme="minorEastAsia" w:hAnsi="Arial" w:cs="Arial"/>
          <w:b/>
          <w:bCs/>
          <w:smallCaps/>
          <w:color w:val="757575"/>
          <w:sz w:val="10"/>
          <w:szCs w:val="21"/>
        </w:rPr>
        <w:fldChar w:fldCharType="begin"/>
      </w:r>
      <w:r w:rsidRPr="00AC29AB">
        <w:rPr>
          <w:rFonts w:ascii="Arial" w:eastAsiaTheme="minorEastAsia" w:hAnsi="Arial" w:cs="Arial"/>
          <w:b/>
          <w:bCs/>
          <w:smallCaps/>
          <w:color w:val="757575"/>
          <w:sz w:val="10"/>
          <w:szCs w:val="21"/>
        </w:rPr>
        <w:instrText xml:space="preserve"> SEQ Figure \* ARABIC </w:instrText>
      </w:r>
      <w:r w:rsidRPr="00AC29AB">
        <w:rPr>
          <w:rFonts w:ascii="Arial" w:eastAsiaTheme="minorEastAsia" w:hAnsi="Arial" w:cs="Arial"/>
          <w:b/>
          <w:bCs/>
          <w:smallCaps/>
          <w:color w:val="757575"/>
          <w:sz w:val="10"/>
          <w:szCs w:val="21"/>
        </w:rPr>
        <w:fldChar w:fldCharType="separate"/>
      </w:r>
      <w:r w:rsidRPr="00AC29AB">
        <w:rPr>
          <w:rFonts w:ascii="Arial" w:eastAsiaTheme="minorEastAsia" w:hAnsi="Arial" w:cs="Arial"/>
          <w:b/>
          <w:bCs/>
          <w:smallCaps/>
          <w:color w:val="757575"/>
          <w:sz w:val="10"/>
          <w:szCs w:val="21"/>
        </w:rPr>
        <w:t>1</w:t>
      </w:r>
      <w:r w:rsidRPr="00AC29AB">
        <w:rPr>
          <w:rFonts w:ascii="Arial" w:eastAsiaTheme="minorEastAsia" w:hAnsi="Arial" w:cs="Arial"/>
          <w:b/>
          <w:bCs/>
          <w:smallCaps/>
          <w:color w:val="757575"/>
          <w:sz w:val="10"/>
          <w:szCs w:val="21"/>
        </w:rPr>
        <w:fldChar w:fldCharType="end"/>
      </w:r>
      <w:r w:rsidRPr="00AC29AB">
        <w:rPr>
          <w:rFonts w:ascii="Arial" w:eastAsiaTheme="minorEastAsia" w:hAnsi="Arial" w:cs="Arial"/>
          <w:b/>
          <w:bCs/>
          <w:smallCaps/>
          <w:color w:val="757575"/>
          <w:sz w:val="10"/>
          <w:szCs w:val="21"/>
        </w:rPr>
        <w:t>: Dementia in the UK in 2018 and projected prevalence by 2050</w:t>
      </w:r>
    </w:p>
    <w:p w14:paraId="0D0C1916" w14:textId="77777777" w:rsidR="002C119A" w:rsidRPr="00AC29AB" w:rsidRDefault="008259AA" w:rsidP="00445DE8">
      <w:pPr>
        <w:spacing w:after="120" w:line="360" w:lineRule="auto"/>
        <w:ind w:left="-630"/>
        <w:rPr>
          <w:rFonts w:ascii="Arial" w:eastAsiaTheme="minorEastAsia" w:hAnsi="Arial" w:cs="Arial"/>
          <w:color w:val="auto"/>
          <w:sz w:val="11"/>
          <w:szCs w:val="13"/>
        </w:rPr>
      </w:pPr>
      <w:r w:rsidRPr="00AC29AB">
        <w:rPr>
          <w:rFonts w:ascii="Arial" w:eastAsiaTheme="minorEastAsia" w:hAnsi="Arial" w:cs="Arial"/>
          <w:color w:val="auto"/>
          <w:sz w:val="11"/>
          <w:szCs w:val="13"/>
        </w:rPr>
        <w:t xml:space="preserve">Dementia poses a huge public health risk. The World Health Organisation (WHO) estimates that 50 million individuals worldwide already suffer from dementia, and that figure will quadruple by the year </w:t>
      </w:r>
      <w:r w:rsidR="00501F75" w:rsidRPr="00AC29AB">
        <w:rPr>
          <w:rFonts w:ascii="Arial" w:eastAsiaTheme="minorEastAsia" w:hAnsi="Arial" w:cs="Arial"/>
          <w:color w:val="auto"/>
          <w:sz w:val="11"/>
          <w:szCs w:val="13"/>
        </w:rPr>
        <w:t>2050 (</w:t>
      </w:r>
      <w:proofErr w:type="spellStart"/>
      <w:r w:rsidR="009F04D3" w:rsidRPr="00AC29AB">
        <w:rPr>
          <w:rFonts w:ascii="Arial" w:eastAsiaTheme="minorEastAsia" w:hAnsi="Arial" w:cs="Arial"/>
          <w:color w:val="auto"/>
          <w:sz w:val="11"/>
          <w:szCs w:val="13"/>
        </w:rPr>
        <w:t>Bianchetti</w:t>
      </w:r>
      <w:proofErr w:type="spellEnd"/>
      <w:r w:rsidR="009F04D3" w:rsidRPr="00AC29AB">
        <w:rPr>
          <w:rFonts w:ascii="Arial" w:eastAsiaTheme="minorEastAsia" w:hAnsi="Arial" w:cs="Arial"/>
          <w:color w:val="auto"/>
          <w:sz w:val="11"/>
          <w:szCs w:val="13"/>
        </w:rPr>
        <w:t xml:space="preserve"> et al., 2020)</w:t>
      </w:r>
      <w:r w:rsidRPr="00AC29AB">
        <w:rPr>
          <w:rFonts w:ascii="Arial" w:eastAsiaTheme="minorEastAsia" w:hAnsi="Arial" w:cs="Arial"/>
          <w:color w:val="auto"/>
          <w:sz w:val="11"/>
          <w:szCs w:val="13"/>
        </w:rPr>
        <w:t xml:space="preserve">. Interventions are needed to tackle this public health issue </w:t>
      </w:r>
      <w:proofErr w:type="gramStart"/>
      <w:r w:rsidRPr="00AC29AB">
        <w:rPr>
          <w:rFonts w:ascii="Arial" w:eastAsiaTheme="minorEastAsia" w:hAnsi="Arial" w:cs="Arial"/>
          <w:color w:val="auto"/>
          <w:sz w:val="11"/>
          <w:szCs w:val="13"/>
        </w:rPr>
        <w:t>due to the effects</w:t>
      </w:r>
      <w:proofErr w:type="gramEnd"/>
      <w:r w:rsidRPr="00AC29AB">
        <w:rPr>
          <w:rFonts w:ascii="Arial" w:eastAsiaTheme="minorEastAsia" w:hAnsi="Arial" w:cs="Arial"/>
          <w:color w:val="auto"/>
          <w:sz w:val="11"/>
          <w:szCs w:val="13"/>
        </w:rPr>
        <w:t xml:space="preserve"> of dementia on both people and society. These interventions are meant to improve health, the well-being of those who have dementia, and carer support</w:t>
      </w:r>
      <w:r w:rsidR="009F04D3" w:rsidRPr="00AC29AB">
        <w:rPr>
          <w:rFonts w:ascii="Arial" w:eastAsiaTheme="minorEastAsia" w:hAnsi="Arial" w:cs="Arial"/>
          <w:color w:val="auto"/>
          <w:sz w:val="11"/>
          <w:szCs w:val="13"/>
        </w:rPr>
        <w:t xml:space="preserve"> (Brown et al., 2017)</w:t>
      </w:r>
      <w:r w:rsidRPr="00AC29AB">
        <w:rPr>
          <w:rFonts w:ascii="Arial" w:eastAsiaTheme="minorEastAsia" w:hAnsi="Arial" w:cs="Arial"/>
          <w:color w:val="auto"/>
          <w:sz w:val="11"/>
          <w:szCs w:val="13"/>
        </w:rPr>
        <w:t xml:space="preserve">. </w:t>
      </w:r>
    </w:p>
    <w:p w14:paraId="242B155E" w14:textId="77777777" w:rsidR="002C119A" w:rsidRPr="00AC29AB" w:rsidRDefault="008259AA" w:rsidP="00445DE8">
      <w:pPr>
        <w:spacing w:after="120" w:line="360" w:lineRule="auto"/>
        <w:ind w:left="-630"/>
        <w:rPr>
          <w:rFonts w:ascii="Arial" w:eastAsiaTheme="minorEastAsia" w:hAnsi="Arial" w:cs="Arial"/>
          <w:color w:val="auto"/>
          <w:sz w:val="11"/>
          <w:szCs w:val="13"/>
        </w:rPr>
      </w:pPr>
      <w:r w:rsidRPr="00AC29AB">
        <w:rPr>
          <w:rFonts w:ascii="Arial" w:eastAsiaTheme="minorEastAsia" w:hAnsi="Arial" w:cs="Arial"/>
          <w:color w:val="auto"/>
          <w:sz w:val="11"/>
          <w:szCs w:val="13"/>
        </w:rPr>
        <w:t xml:space="preserve">To overcome the difficulties caused by dementia, digital technology intervention strategies have developed as potent instruments. To offer assistance, knowledge, and resources to dementia sufferers and their </w:t>
      </w:r>
      <w:proofErr w:type="spellStart"/>
      <w:r w:rsidRPr="00AC29AB">
        <w:rPr>
          <w:rFonts w:ascii="Arial" w:eastAsiaTheme="minorEastAsia" w:hAnsi="Arial" w:cs="Arial"/>
          <w:color w:val="auto"/>
          <w:sz w:val="11"/>
          <w:szCs w:val="13"/>
        </w:rPr>
        <w:t>carers</w:t>
      </w:r>
      <w:proofErr w:type="spellEnd"/>
      <w:r w:rsidRPr="00AC29AB">
        <w:rPr>
          <w:rFonts w:ascii="Arial" w:eastAsiaTheme="minorEastAsia" w:hAnsi="Arial" w:cs="Arial"/>
          <w:color w:val="auto"/>
          <w:sz w:val="11"/>
          <w:szCs w:val="13"/>
        </w:rPr>
        <w:t>, these interventions make use of digital technology such as cell phones, tablets, wearables, and web-based platforms</w:t>
      </w:r>
      <w:r w:rsidR="009F04D3" w:rsidRPr="00AC29AB">
        <w:rPr>
          <w:rFonts w:ascii="Arial" w:eastAsiaTheme="minorEastAsia" w:hAnsi="Arial" w:cs="Arial"/>
          <w:color w:val="auto"/>
          <w:sz w:val="11"/>
          <w:szCs w:val="13"/>
        </w:rPr>
        <w:t xml:space="preserve"> (</w:t>
      </w:r>
      <w:proofErr w:type="spellStart"/>
      <w:r w:rsidR="009F04D3" w:rsidRPr="00AC29AB">
        <w:rPr>
          <w:rFonts w:ascii="Arial" w:eastAsiaTheme="minorEastAsia" w:hAnsi="Arial" w:cs="Arial"/>
          <w:color w:val="auto"/>
          <w:sz w:val="11"/>
          <w:szCs w:val="13"/>
        </w:rPr>
        <w:t>Custodio</w:t>
      </w:r>
      <w:proofErr w:type="spellEnd"/>
      <w:r w:rsidR="009F04D3" w:rsidRPr="00AC29AB">
        <w:rPr>
          <w:rFonts w:ascii="Arial" w:eastAsiaTheme="minorEastAsia" w:hAnsi="Arial" w:cs="Arial"/>
          <w:color w:val="auto"/>
          <w:sz w:val="11"/>
          <w:szCs w:val="13"/>
        </w:rPr>
        <w:t xml:space="preserve"> et al., 2017)</w:t>
      </w:r>
      <w:r w:rsidRPr="00AC29AB">
        <w:rPr>
          <w:rFonts w:ascii="Arial" w:eastAsiaTheme="minorEastAsia" w:hAnsi="Arial" w:cs="Arial"/>
          <w:color w:val="auto"/>
          <w:sz w:val="11"/>
          <w:szCs w:val="13"/>
        </w:rPr>
        <w:t xml:space="preserve">. We suggest creating a smartphone app specially made for dementia patients as the selected digital health intervention. With a user-friendly design and capabilities to improve memory retention, managing medications, daily activity notifications, and connection with healthcare specialists, the apps will be available. Additionally, it will provide access to instructional materials, assistance for carers, and an online platform for exchanging experiences and guidance. </w:t>
      </w:r>
    </w:p>
    <w:p w14:paraId="23DF8FB7" w14:textId="77777777" w:rsidR="002C119A" w:rsidRPr="00AC29AB" w:rsidRDefault="008259AA" w:rsidP="00EB24BF">
      <w:pPr>
        <w:keepNext/>
        <w:keepLines/>
        <w:spacing w:after="0" w:line="360" w:lineRule="auto"/>
        <w:ind w:left="-630"/>
        <w:outlineLvl w:val="0"/>
        <w:rPr>
          <w:rFonts w:ascii="Arial" w:eastAsia="Times New Roman" w:hAnsi="Arial" w:cs="Arial"/>
          <w:b/>
          <w:color w:val="C04908"/>
          <w:sz w:val="18"/>
          <w:szCs w:val="40"/>
        </w:rPr>
      </w:pPr>
      <w:r w:rsidRPr="00AC29AB">
        <w:rPr>
          <w:rFonts w:ascii="Arial" w:eastAsiaTheme="majorEastAsia" w:hAnsi="Arial" w:cs="Arial"/>
          <w:b/>
          <w:color w:val="C04908"/>
          <w:sz w:val="18"/>
          <w:szCs w:val="40"/>
        </w:rPr>
        <w:t xml:space="preserve">Values and guidelines for health promotion </w:t>
      </w:r>
    </w:p>
    <w:p w14:paraId="52992DC8" w14:textId="77777777" w:rsidR="002C119A" w:rsidRPr="00AC29AB" w:rsidRDefault="008259AA" w:rsidP="00445DE8">
      <w:pPr>
        <w:spacing w:after="120" w:line="360" w:lineRule="auto"/>
        <w:ind w:left="-630"/>
        <w:rPr>
          <w:rFonts w:ascii="Arial" w:eastAsia="Times New Roman" w:hAnsi="Arial" w:cs="Arial"/>
          <w:color w:val="auto"/>
          <w:sz w:val="11"/>
          <w:szCs w:val="13"/>
        </w:rPr>
      </w:pPr>
      <w:r w:rsidRPr="00AC29AB">
        <w:rPr>
          <w:rFonts w:ascii="Arial" w:eastAsiaTheme="minorEastAsia" w:hAnsi="Arial" w:cs="Arial"/>
          <w:color w:val="auto"/>
          <w:sz w:val="11"/>
          <w:szCs w:val="13"/>
        </w:rPr>
        <w:t xml:space="preserve">Designing interventions to enhance the health and well-being of people with dementia requires careful consideration of the goals and principles of health </w:t>
      </w:r>
      <w:r w:rsidR="00501F75" w:rsidRPr="00AC29AB">
        <w:rPr>
          <w:rFonts w:ascii="Arial" w:eastAsiaTheme="minorEastAsia" w:hAnsi="Arial" w:cs="Arial"/>
          <w:color w:val="auto"/>
          <w:sz w:val="11"/>
          <w:szCs w:val="13"/>
        </w:rPr>
        <w:t>promotion (</w:t>
      </w:r>
      <w:proofErr w:type="spellStart"/>
      <w:r w:rsidR="009F04D3" w:rsidRPr="00AC29AB">
        <w:rPr>
          <w:rFonts w:ascii="Arial" w:eastAsiaTheme="minorEastAsia" w:hAnsi="Arial" w:cs="Arial"/>
          <w:color w:val="auto"/>
          <w:sz w:val="11"/>
          <w:szCs w:val="13"/>
        </w:rPr>
        <w:t>Bianchetti</w:t>
      </w:r>
      <w:proofErr w:type="spellEnd"/>
      <w:r w:rsidR="009F04D3" w:rsidRPr="00AC29AB">
        <w:rPr>
          <w:rFonts w:ascii="Arial" w:eastAsiaTheme="minorEastAsia" w:hAnsi="Arial" w:cs="Arial"/>
          <w:color w:val="auto"/>
          <w:sz w:val="11"/>
          <w:szCs w:val="13"/>
        </w:rPr>
        <w:t xml:space="preserve"> et al., 2020)</w:t>
      </w:r>
      <w:r w:rsidRPr="00AC29AB">
        <w:rPr>
          <w:rFonts w:ascii="Arial" w:eastAsiaTheme="minorEastAsia" w:hAnsi="Arial" w:cs="Arial"/>
          <w:color w:val="auto"/>
          <w:sz w:val="11"/>
          <w:szCs w:val="13"/>
        </w:rPr>
        <w:t xml:space="preserve">. The creation of interventions which are person-focused, inclusive, and powerful is guided by these values and concepts. Let's </w:t>
      </w:r>
      <w:r w:rsidR="009F04D3" w:rsidRPr="00AC29AB">
        <w:rPr>
          <w:rFonts w:ascii="Arial" w:eastAsiaTheme="minorEastAsia" w:hAnsi="Arial" w:cs="Arial"/>
          <w:color w:val="auto"/>
          <w:sz w:val="11"/>
          <w:szCs w:val="13"/>
        </w:rPr>
        <w:t xml:space="preserve">discuss </w:t>
      </w:r>
      <w:r w:rsidRPr="00AC29AB">
        <w:rPr>
          <w:rFonts w:ascii="Arial" w:eastAsiaTheme="minorEastAsia" w:hAnsi="Arial" w:cs="Arial"/>
          <w:color w:val="auto"/>
          <w:sz w:val="11"/>
          <w:szCs w:val="13"/>
        </w:rPr>
        <w:t xml:space="preserve">about how the digital health technology used as a dementia intervention relates to these ideals and </w:t>
      </w:r>
      <w:r w:rsidR="00501F75" w:rsidRPr="00AC29AB">
        <w:rPr>
          <w:rFonts w:ascii="Arial" w:eastAsiaTheme="minorEastAsia" w:hAnsi="Arial" w:cs="Arial"/>
          <w:color w:val="auto"/>
          <w:sz w:val="11"/>
          <w:szCs w:val="13"/>
        </w:rPr>
        <w:t>tenets (</w:t>
      </w:r>
      <w:proofErr w:type="spellStart"/>
      <w:r w:rsidR="009F04D3" w:rsidRPr="00AC29AB">
        <w:rPr>
          <w:rFonts w:ascii="Arial" w:eastAsiaTheme="minorEastAsia" w:hAnsi="Arial" w:cs="Arial"/>
          <w:color w:val="auto"/>
          <w:sz w:val="11"/>
          <w:szCs w:val="13"/>
        </w:rPr>
        <w:t>Langa</w:t>
      </w:r>
      <w:proofErr w:type="spellEnd"/>
      <w:r w:rsidR="009F04D3" w:rsidRPr="00AC29AB">
        <w:rPr>
          <w:rFonts w:ascii="Arial" w:eastAsiaTheme="minorEastAsia" w:hAnsi="Arial" w:cs="Arial"/>
          <w:color w:val="auto"/>
          <w:sz w:val="11"/>
          <w:szCs w:val="13"/>
        </w:rPr>
        <w:t xml:space="preserve"> et al., 2017)</w:t>
      </w:r>
      <w:r w:rsidRPr="00AC29AB">
        <w:rPr>
          <w:rFonts w:ascii="Arial" w:eastAsiaTheme="minorEastAsia" w:hAnsi="Arial" w:cs="Arial"/>
          <w:color w:val="auto"/>
          <w:sz w:val="11"/>
          <w:szCs w:val="13"/>
        </w:rPr>
        <w:t xml:space="preserve">. </w:t>
      </w:r>
    </w:p>
    <w:p w14:paraId="597E2460" w14:textId="77777777" w:rsidR="00EB24BF" w:rsidRPr="00AC29AB" w:rsidRDefault="008259AA" w:rsidP="00445DE8">
      <w:pPr>
        <w:spacing w:after="120" w:line="360" w:lineRule="auto"/>
        <w:ind w:left="-630"/>
        <w:rPr>
          <w:rFonts w:ascii="Arial" w:eastAsia="Times New Roman" w:hAnsi="Arial" w:cs="Arial"/>
          <w:color w:val="auto"/>
          <w:sz w:val="11"/>
          <w:szCs w:val="13"/>
        </w:rPr>
      </w:pPr>
      <w:r w:rsidRPr="00AC29AB">
        <w:rPr>
          <w:rFonts w:ascii="Arial" w:eastAsiaTheme="minorEastAsia" w:hAnsi="Arial" w:cs="Arial"/>
          <w:color w:val="auto"/>
          <w:sz w:val="11"/>
          <w:szCs w:val="13"/>
        </w:rPr>
        <w:t>An essential component of dementia care is person-</w:t>
      </w:r>
      <w:proofErr w:type="spellStart"/>
      <w:r w:rsidRPr="00AC29AB">
        <w:rPr>
          <w:rFonts w:ascii="Arial" w:eastAsiaTheme="minorEastAsia" w:hAnsi="Arial" w:cs="Arial"/>
          <w:color w:val="auto"/>
          <w:sz w:val="11"/>
          <w:szCs w:val="13"/>
        </w:rPr>
        <w:t>Centered</w:t>
      </w:r>
      <w:proofErr w:type="spellEnd"/>
      <w:r w:rsidRPr="00AC29AB">
        <w:rPr>
          <w:rFonts w:ascii="Arial" w:eastAsiaTheme="minorEastAsia" w:hAnsi="Arial" w:cs="Arial"/>
          <w:color w:val="auto"/>
          <w:sz w:val="11"/>
          <w:szCs w:val="13"/>
        </w:rPr>
        <w:t xml:space="preserve"> care. The significance of adjusting interventions to the particular requirements, preferences, and situations of dementia patients is emphasised</w:t>
      </w:r>
      <w:proofErr w:type="gramStart"/>
      <w:r w:rsidR="009F04D3" w:rsidRPr="00AC29AB">
        <w:rPr>
          <w:rFonts w:ascii="Arial" w:eastAsiaTheme="minorEastAsia" w:hAnsi="Arial" w:cs="Arial"/>
          <w:color w:val="auto"/>
          <w:sz w:val="11"/>
          <w:szCs w:val="13"/>
        </w:rPr>
        <w:t xml:space="preserve">   (</w:t>
      </w:r>
      <w:proofErr w:type="spellStart"/>
      <w:proofErr w:type="gramEnd"/>
      <w:r w:rsidR="009F04D3" w:rsidRPr="00AC29AB">
        <w:rPr>
          <w:rFonts w:ascii="Arial" w:eastAsiaTheme="minorEastAsia" w:hAnsi="Arial" w:cs="Arial"/>
          <w:color w:val="auto"/>
          <w:sz w:val="11"/>
          <w:szCs w:val="13"/>
        </w:rPr>
        <w:t>Wimo</w:t>
      </w:r>
      <w:proofErr w:type="spellEnd"/>
      <w:r w:rsidR="009F04D3" w:rsidRPr="00AC29AB">
        <w:rPr>
          <w:rFonts w:ascii="Arial" w:eastAsiaTheme="minorEastAsia" w:hAnsi="Arial" w:cs="Arial"/>
          <w:color w:val="auto"/>
          <w:sz w:val="11"/>
          <w:szCs w:val="13"/>
        </w:rPr>
        <w:t xml:space="preserve"> et al., 2017)</w:t>
      </w:r>
      <w:r w:rsidRPr="00AC29AB">
        <w:rPr>
          <w:rFonts w:ascii="Arial" w:eastAsiaTheme="minorEastAsia" w:hAnsi="Arial" w:cs="Arial"/>
          <w:color w:val="auto"/>
          <w:sz w:val="11"/>
          <w:szCs w:val="13"/>
        </w:rPr>
        <w:t>. An individual-</w:t>
      </w:r>
      <w:proofErr w:type="spellStart"/>
      <w:r w:rsidRPr="00AC29AB">
        <w:rPr>
          <w:rFonts w:ascii="Arial" w:eastAsiaTheme="minorEastAsia" w:hAnsi="Arial" w:cs="Arial"/>
          <w:color w:val="auto"/>
          <w:sz w:val="11"/>
          <w:szCs w:val="13"/>
        </w:rPr>
        <w:t>Centered</w:t>
      </w:r>
      <w:proofErr w:type="spellEnd"/>
      <w:r w:rsidRPr="00AC29AB">
        <w:rPr>
          <w:rFonts w:ascii="Arial" w:eastAsiaTheme="minorEastAsia" w:hAnsi="Arial" w:cs="Arial"/>
          <w:color w:val="auto"/>
          <w:sz w:val="11"/>
          <w:szCs w:val="13"/>
        </w:rPr>
        <w:t xml:space="preserve"> design process will be used to create the digital health intervention for dementia. The features and functions of the mobile application will be made to be user-friendly, intuitive, and pertinent to their requirements while taking into consideration the unique </w:t>
      </w:r>
      <w:r w:rsidRPr="00AC29AB">
        <w:rPr>
          <w:rFonts w:ascii="Arial" w:eastAsiaTheme="minorEastAsia" w:hAnsi="Arial" w:cs="Arial"/>
          <w:color w:val="auto"/>
          <w:sz w:val="11"/>
          <w:szCs w:val="13"/>
        </w:rPr>
        <w:t xml:space="preserve">difficulties and capacities of people with </w:t>
      </w:r>
      <w:r w:rsidR="00501F75" w:rsidRPr="00AC29AB">
        <w:rPr>
          <w:rFonts w:ascii="Arial" w:eastAsiaTheme="minorEastAsia" w:hAnsi="Arial" w:cs="Arial"/>
          <w:color w:val="auto"/>
          <w:sz w:val="11"/>
          <w:szCs w:val="13"/>
        </w:rPr>
        <w:t>dementia (</w:t>
      </w:r>
      <w:r w:rsidR="009F04D3" w:rsidRPr="00AC29AB">
        <w:rPr>
          <w:rFonts w:ascii="Arial" w:eastAsiaTheme="minorEastAsia" w:hAnsi="Arial" w:cs="Arial"/>
          <w:color w:val="auto"/>
          <w:sz w:val="11"/>
          <w:szCs w:val="13"/>
        </w:rPr>
        <w:t>Astell et al., 2019)</w:t>
      </w:r>
      <w:r w:rsidRPr="00AC29AB">
        <w:rPr>
          <w:rFonts w:ascii="Arial" w:eastAsiaTheme="minorEastAsia" w:hAnsi="Arial" w:cs="Arial"/>
          <w:color w:val="auto"/>
          <w:sz w:val="11"/>
          <w:szCs w:val="13"/>
        </w:rPr>
        <w:t xml:space="preserve">. The intervention supports dementia patients' autonomy and dignity by putting their personhood first. </w:t>
      </w:r>
    </w:p>
    <w:p w14:paraId="57466518" w14:textId="77777777" w:rsidR="002C119A" w:rsidRPr="003F5E4D" w:rsidRDefault="008259AA" w:rsidP="00445DE8">
      <w:pPr>
        <w:spacing w:after="120" w:line="360" w:lineRule="auto"/>
        <w:rPr>
          <w:rFonts w:ascii="Arial" w:eastAsiaTheme="minorEastAsia" w:hAnsi="Arial" w:cs="Arial"/>
          <w:color w:val="auto"/>
          <w:sz w:val="11"/>
          <w:szCs w:val="13"/>
        </w:rPr>
      </w:pPr>
      <w:r w:rsidRPr="00AC29AB">
        <w:rPr>
          <w:rFonts w:ascii="Arial" w:eastAsiaTheme="minorEastAsia" w:hAnsi="Arial" w:cs="Arial"/>
          <w:color w:val="auto"/>
          <w:sz w:val="11"/>
          <w:szCs w:val="13"/>
        </w:rPr>
        <w:t>Enabling people with dementia to actively engage in their medical treatment and decision-making processes is the emphasis of the empowerment concept. By giving them resources and tools that improve their capacity to manage the illness, digital medical intervention will provide people with dementia more control over their condition. For dementia sufferers to stay engaged and maintain their independence, the mobile application will include features like cognitive stimulation exercises, medication control tools, and communication platforms</w:t>
      </w:r>
      <w:r w:rsidR="009F04D3" w:rsidRPr="00AC29AB">
        <w:rPr>
          <w:rFonts w:ascii="Arial" w:eastAsiaTheme="minorEastAsia" w:hAnsi="Arial" w:cs="Arial"/>
          <w:color w:val="auto"/>
          <w:sz w:val="11"/>
          <w:szCs w:val="13"/>
        </w:rPr>
        <w:t xml:space="preserve"> (</w:t>
      </w:r>
      <w:proofErr w:type="spellStart"/>
      <w:r w:rsidR="009F04D3" w:rsidRPr="00AC29AB">
        <w:rPr>
          <w:rFonts w:ascii="Arial" w:eastAsiaTheme="minorEastAsia" w:hAnsi="Arial" w:cs="Arial"/>
          <w:color w:val="auto"/>
          <w:sz w:val="11"/>
          <w:szCs w:val="13"/>
        </w:rPr>
        <w:t>Arvanitakis</w:t>
      </w:r>
      <w:proofErr w:type="spellEnd"/>
      <w:r w:rsidR="009F04D3" w:rsidRPr="00AC29AB">
        <w:rPr>
          <w:rFonts w:ascii="Arial" w:eastAsiaTheme="minorEastAsia" w:hAnsi="Arial" w:cs="Arial"/>
          <w:color w:val="auto"/>
          <w:sz w:val="11"/>
          <w:szCs w:val="13"/>
        </w:rPr>
        <w:t xml:space="preserve"> et al., 2019)</w:t>
      </w:r>
      <w:r w:rsidRPr="00AC29AB">
        <w:rPr>
          <w:rFonts w:ascii="Arial" w:eastAsiaTheme="minorEastAsia" w:hAnsi="Arial" w:cs="Arial"/>
          <w:color w:val="auto"/>
          <w:sz w:val="11"/>
          <w:szCs w:val="13"/>
        </w:rPr>
        <w:t>. The intervention encourages people with dementia to feel empowered and in charge of their health.</w:t>
      </w:r>
    </w:p>
    <w:p w14:paraId="42A12AFA" w14:textId="77777777" w:rsidR="002C119A" w:rsidRPr="00AC29AB" w:rsidRDefault="008259AA" w:rsidP="00445DE8">
      <w:pPr>
        <w:spacing w:after="120" w:line="360" w:lineRule="auto"/>
        <w:rPr>
          <w:rFonts w:ascii="Arial" w:eastAsiaTheme="minorEastAsia" w:hAnsi="Arial" w:cs="Arial"/>
          <w:color w:val="auto"/>
          <w:sz w:val="11"/>
          <w:szCs w:val="13"/>
        </w:rPr>
      </w:pPr>
      <w:r w:rsidRPr="00AC29AB">
        <w:rPr>
          <w:rFonts w:ascii="Arial" w:eastAsiaTheme="minorEastAsia" w:hAnsi="Arial" w:cs="Arial"/>
          <w:color w:val="auto"/>
          <w:sz w:val="11"/>
          <w:szCs w:val="13"/>
        </w:rPr>
        <w:t xml:space="preserve">By putting a strong emphasis on person-centred care, inclusion, and empowerment, the selected electronic medical record intervention for dementia is consistent with health promotion objectives and principles. The intervention seeks to enhance the well-being and general well-being of those with dementia by being specifically tailored to the needs of those with dementia, including them and their </w:t>
      </w:r>
      <w:proofErr w:type="spellStart"/>
      <w:r w:rsidRPr="00AC29AB">
        <w:rPr>
          <w:rFonts w:ascii="Arial" w:eastAsiaTheme="minorEastAsia" w:hAnsi="Arial" w:cs="Arial"/>
          <w:color w:val="auto"/>
          <w:sz w:val="11"/>
          <w:szCs w:val="13"/>
        </w:rPr>
        <w:t>carers</w:t>
      </w:r>
      <w:proofErr w:type="spellEnd"/>
      <w:r w:rsidRPr="00AC29AB">
        <w:rPr>
          <w:rFonts w:ascii="Arial" w:eastAsiaTheme="minorEastAsia" w:hAnsi="Arial" w:cs="Arial"/>
          <w:color w:val="auto"/>
          <w:sz w:val="11"/>
          <w:szCs w:val="13"/>
        </w:rPr>
        <w:t xml:space="preserve"> in the research process, and offering resources and services for active engagement. </w:t>
      </w:r>
    </w:p>
    <w:p w14:paraId="3BFA89D2" w14:textId="77777777" w:rsidR="002C119A" w:rsidRPr="00AC29AB" w:rsidRDefault="008259AA" w:rsidP="00EB24BF">
      <w:pPr>
        <w:keepNext/>
        <w:keepLines/>
        <w:spacing w:after="0" w:line="360" w:lineRule="auto"/>
        <w:outlineLvl w:val="0"/>
        <w:rPr>
          <w:rFonts w:ascii="Arial" w:eastAsia="Times New Roman" w:hAnsi="Arial" w:cs="Arial"/>
          <w:b/>
          <w:color w:val="C04908"/>
          <w:szCs w:val="40"/>
        </w:rPr>
      </w:pPr>
      <w:r w:rsidRPr="00AC29AB">
        <w:rPr>
          <w:rFonts w:ascii="Arial" w:eastAsiaTheme="majorEastAsia" w:hAnsi="Arial" w:cs="Arial"/>
          <w:b/>
          <w:color w:val="C04908"/>
          <w:sz w:val="18"/>
          <w:szCs w:val="20"/>
        </w:rPr>
        <w:t>Theory</w:t>
      </w:r>
      <w:r w:rsidRPr="00AC29AB">
        <w:rPr>
          <w:rFonts w:ascii="Arial" w:eastAsiaTheme="majorEastAsia" w:hAnsi="Arial" w:cs="Arial"/>
          <w:b/>
          <w:color w:val="C04908"/>
          <w:sz w:val="18"/>
          <w:szCs w:val="40"/>
        </w:rPr>
        <w:t xml:space="preserve"> of Behavioural Change</w:t>
      </w:r>
      <w:r w:rsidRPr="00AC29AB">
        <w:rPr>
          <w:rFonts w:ascii="Arial" w:eastAsiaTheme="majorEastAsia" w:hAnsi="Arial" w:cs="Arial"/>
          <w:b/>
          <w:color w:val="C04908"/>
          <w:szCs w:val="40"/>
        </w:rPr>
        <w:t xml:space="preserve"> </w:t>
      </w:r>
    </w:p>
    <w:p w14:paraId="1585FE54" w14:textId="6EEBD63C" w:rsidR="002C119A" w:rsidRPr="00AC29AB" w:rsidRDefault="00445DE8" w:rsidP="00445DE8">
      <w:pPr>
        <w:spacing w:after="120" w:line="360" w:lineRule="auto"/>
        <w:rPr>
          <w:rFonts w:ascii="Arial" w:eastAsia="Times New Roman" w:hAnsi="Arial" w:cs="Arial"/>
          <w:color w:val="auto"/>
          <w:sz w:val="11"/>
          <w:szCs w:val="13"/>
        </w:rPr>
      </w:pPr>
      <w:r>
        <w:rPr>
          <w:rFonts w:ascii="Arial" w:eastAsiaTheme="minorEastAsia" w:hAnsi="Arial" w:cs="Arial"/>
          <w:color w:val="auto"/>
          <w:sz w:val="11"/>
          <w:szCs w:val="13"/>
        </w:rPr>
        <w:t>T</w:t>
      </w:r>
      <w:r w:rsidR="008259AA" w:rsidRPr="00AC29AB">
        <w:rPr>
          <w:rFonts w:ascii="Arial" w:eastAsiaTheme="minorEastAsia" w:hAnsi="Arial" w:cs="Arial"/>
          <w:color w:val="auto"/>
          <w:sz w:val="11"/>
          <w:szCs w:val="13"/>
        </w:rPr>
        <w:t xml:space="preserve">he Trans theoretical Model, also known as the TTM, is the behavioural change theory that has been selected for use in providing a technological intervention that improves health in </w:t>
      </w:r>
      <w:r w:rsidR="00501F75" w:rsidRPr="00AC29AB">
        <w:rPr>
          <w:rFonts w:ascii="Arial" w:eastAsiaTheme="minorEastAsia" w:hAnsi="Arial" w:cs="Arial"/>
          <w:color w:val="auto"/>
          <w:sz w:val="11"/>
          <w:szCs w:val="13"/>
        </w:rPr>
        <w:t>dementia (</w:t>
      </w:r>
      <w:r w:rsidR="009F04D3" w:rsidRPr="00AC29AB">
        <w:rPr>
          <w:rFonts w:ascii="Arial" w:eastAsiaTheme="minorEastAsia" w:hAnsi="Arial" w:cs="Arial"/>
          <w:color w:val="auto"/>
          <w:sz w:val="11"/>
          <w:szCs w:val="13"/>
        </w:rPr>
        <w:t>Lucero et al., 2019)</w:t>
      </w:r>
      <w:r w:rsidR="008259AA" w:rsidRPr="00AC29AB">
        <w:rPr>
          <w:rFonts w:ascii="Arial" w:eastAsiaTheme="minorEastAsia" w:hAnsi="Arial" w:cs="Arial"/>
          <w:color w:val="auto"/>
          <w:sz w:val="11"/>
          <w:szCs w:val="13"/>
        </w:rPr>
        <w:t>. The TTM, sometimes called the Stages of Change model and created by Prochaska and DiClemente, offers a framework for comprehending and assisting in behavioural change.</w:t>
      </w:r>
    </w:p>
    <w:p w14:paraId="507AA977"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color w:val="auto"/>
          <w:sz w:val="11"/>
          <w:szCs w:val="13"/>
        </w:rPr>
        <w:t xml:space="preserve">According to the Trans theoretical Model, while altering behaviours, people go through several phases. Each stage denotes a distinct degree of change readiness, and interventions may be adjusted to meet people regardless of where they are at with the process. The TTM may be used in the setting of dementia to direct the execution of technological intervention in the ways that </w:t>
      </w:r>
      <w:r w:rsidR="00501F75" w:rsidRPr="00AC29AB">
        <w:rPr>
          <w:rFonts w:ascii="Arial" w:eastAsiaTheme="minorEastAsia" w:hAnsi="Arial" w:cs="Arial"/>
          <w:color w:val="auto"/>
          <w:sz w:val="11"/>
          <w:szCs w:val="13"/>
        </w:rPr>
        <w:t>follow (</w:t>
      </w:r>
      <w:r w:rsidR="00060ACB" w:rsidRPr="00AC29AB">
        <w:rPr>
          <w:rFonts w:ascii="Arial" w:eastAsiaTheme="minorEastAsia" w:hAnsi="Arial" w:cs="Arial"/>
          <w:color w:val="auto"/>
          <w:sz w:val="11"/>
          <w:szCs w:val="13"/>
        </w:rPr>
        <w:t>Livingston et al., 2020)</w:t>
      </w:r>
      <w:r w:rsidRPr="00AC29AB">
        <w:rPr>
          <w:rFonts w:ascii="Arial" w:eastAsiaTheme="minorEastAsia" w:hAnsi="Arial" w:cs="Arial"/>
          <w:color w:val="auto"/>
          <w:sz w:val="11"/>
          <w:szCs w:val="13"/>
        </w:rPr>
        <w:t xml:space="preserve">: </w:t>
      </w:r>
    </w:p>
    <w:p w14:paraId="0CC428FA"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1. Pre-contemplation: </w:t>
      </w:r>
      <w:r w:rsidRPr="00AC29AB">
        <w:rPr>
          <w:rFonts w:ascii="Arial" w:eastAsiaTheme="minorEastAsia" w:hAnsi="Arial" w:cs="Arial"/>
          <w:color w:val="auto"/>
          <w:sz w:val="11"/>
          <w:szCs w:val="13"/>
        </w:rPr>
        <w:t xml:space="preserve">Those who have dementia and those who care for them may not be aware of or might be resistive to the necessity for behavioural change at this </w:t>
      </w:r>
      <w:r w:rsidR="00501F75" w:rsidRPr="00AC29AB">
        <w:rPr>
          <w:rFonts w:ascii="Arial" w:eastAsiaTheme="minorEastAsia" w:hAnsi="Arial" w:cs="Arial"/>
          <w:color w:val="auto"/>
          <w:sz w:val="11"/>
          <w:szCs w:val="13"/>
        </w:rPr>
        <w:t>point (</w:t>
      </w:r>
      <w:proofErr w:type="spellStart"/>
      <w:r w:rsidR="00060ACB" w:rsidRPr="00AC29AB">
        <w:rPr>
          <w:rFonts w:ascii="Arial" w:eastAsiaTheme="minorEastAsia" w:hAnsi="Arial" w:cs="Arial"/>
          <w:color w:val="auto"/>
          <w:sz w:val="11"/>
          <w:szCs w:val="13"/>
        </w:rPr>
        <w:t>Hachinski</w:t>
      </w:r>
      <w:proofErr w:type="spellEnd"/>
      <w:r w:rsidR="00060ACB" w:rsidRPr="00AC29AB">
        <w:rPr>
          <w:rFonts w:ascii="Arial" w:eastAsiaTheme="minorEastAsia" w:hAnsi="Arial" w:cs="Arial"/>
          <w:color w:val="auto"/>
          <w:sz w:val="11"/>
          <w:szCs w:val="13"/>
        </w:rPr>
        <w:t xml:space="preserve"> et al., 2019)</w:t>
      </w:r>
      <w:r w:rsidRPr="00AC29AB">
        <w:rPr>
          <w:rFonts w:ascii="Arial" w:eastAsiaTheme="minorEastAsia" w:hAnsi="Arial" w:cs="Arial"/>
          <w:color w:val="auto"/>
          <w:sz w:val="11"/>
          <w:szCs w:val="13"/>
        </w:rPr>
        <w:t xml:space="preserve">. In addition to raising awareness, the intervention may include instructional resources regarding the advantages of digital technology in dementia care. People may be inspired to go to the next step by emphasising the possible benefits, such as more cognitive engagement and social support. </w:t>
      </w:r>
    </w:p>
    <w:p w14:paraId="5C64C421"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2. Contemplation: </w:t>
      </w:r>
      <w:r w:rsidRPr="00AC29AB">
        <w:rPr>
          <w:rFonts w:ascii="Arial" w:eastAsiaTheme="minorEastAsia" w:hAnsi="Arial" w:cs="Arial"/>
          <w:color w:val="auto"/>
          <w:sz w:val="11"/>
          <w:szCs w:val="13"/>
        </w:rPr>
        <w:t xml:space="preserve">During this stage, people are thinking about making a behavioural change, although they may be worried or unsure. By addressing any possible obstacles or misunderstandings about the use of digital tools in dementia care, the intervention helps allay these worries. It might provide endorsements or accomplishments from people who have used digital technologies successfully to achieve good results, boosting inspiration and self-assurance. </w:t>
      </w:r>
    </w:p>
    <w:p w14:paraId="20C50081"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3. Planning: </w:t>
      </w:r>
      <w:r w:rsidRPr="00AC29AB">
        <w:rPr>
          <w:rFonts w:ascii="Arial" w:eastAsiaTheme="minorEastAsia" w:hAnsi="Arial" w:cs="Arial"/>
          <w:color w:val="auto"/>
          <w:sz w:val="11"/>
          <w:szCs w:val="13"/>
        </w:rPr>
        <w:t xml:space="preserve">At this point, people have decided to change their conduct and are actively getting ready for it. The intervention may include simple directions or instruction sessions to help people access and use digital technologies. Additionally, it may include information to help people identify and use the best technologies for their unique requirements, including a list of suggested websites or </w:t>
      </w:r>
      <w:r w:rsidR="00501F75" w:rsidRPr="00AC29AB">
        <w:rPr>
          <w:rFonts w:ascii="Arial" w:eastAsiaTheme="minorEastAsia" w:hAnsi="Arial" w:cs="Arial"/>
          <w:color w:val="auto"/>
          <w:sz w:val="11"/>
          <w:szCs w:val="13"/>
        </w:rPr>
        <w:t>applications (</w:t>
      </w:r>
      <w:r w:rsidR="00060ACB" w:rsidRPr="00AC29AB">
        <w:rPr>
          <w:rFonts w:ascii="Arial" w:eastAsiaTheme="minorEastAsia" w:hAnsi="Arial" w:cs="Arial"/>
          <w:color w:val="auto"/>
          <w:sz w:val="11"/>
          <w:szCs w:val="13"/>
        </w:rPr>
        <w:t>James and Jackman, 2017)</w:t>
      </w:r>
      <w:r w:rsidRPr="00AC29AB">
        <w:rPr>
          <w:rFonts w:ascii="Arial" w:eastAsiaTheme="minorEastAsia" w:hAnsi="Arial" w:cs="Arial"/>
          <w:color w:val="auto"/>
          <w:sz w:val="11"/>
          <w:szCs w:val="13"/>
        </w:rPr>
        <w:t>.</w:t>
      </w:r>
    </w:p>
    <w:p w14:paraId="40B11886"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4. Action: </w:t>
      </w:r>
      <w:r w:rsidRPr="00AC29AB">
        <w:rPr>
          <w:rFonts w:ascii="Arial" w:eastAsiaTheme="minorEastAsia" w:hAnsi="Arial" w:cs="Arial"/>
          <w:color w:val="auto"/>
          <w:sz w:val="11"/>
          <w:szCs w:val="13"/>
        </w:rPr>
        <w:t xml:space="preserve">During this stage, people take direct action to change their behaviours. To promote and maintain the use of digital tools in dementia care, the intervention may include continuous assistance, reminders, and feedback. To encourage ongoing participation, it may include elements inside the mobile application including goal-setting, progress monitoring, </w:t>
      </w:r>
      <w:r w:rsidRPr="00AC29AB">
        <w:rPr>
          <w:rFonts w:ascii="Arial" w:eastAsiaTheme="minorEastAsia" w:hAnsi="Arial" w:cs="Arial"/>
          <w:color w:val="auto"/>
          <w:sz w:val="11"/>
          <w:szCs w:val="13"/>
        </w:rPr>
        <w:t xml:space="preserve">and interactive games. To promote social engagement and experience sharing, support networks or online forums may also be used. </w:t>
      </w:r>
    </w:p>
    <w:p w14:paraId="6506A757"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5. Maintenance: </w:t>
      </w:r>
      <w:r w:rsidRPr="00AC29AB">
        <w:rPr>
          <w:rFonts w:ascii="Arial" w:eastAsiaTheme="minorEastAsia" w:hAnsi="Arial" w:cs="Arial"/>
          <w:color w:val="auto"/>
          <w:sz w:val="11"/>
          <w:szCs w:val="13"/>
        </w:rPr>
        <w:t xml:space="preserve">The phase of maintenance revolves around maintaining the new conduct over the long term after people have effectively incorporated the behavioural change into their routine. The intervention may include continuing encouragement, support, and relapse prevention </w:t>
      </w:r>
      <w:r w:rsidR="00501F75" w:rsidRPr="00AC29AB">
        <w:rPr>
          <w:rFonts w:ascii="Arial" w:eastAsiaTheme="minorEastAsia" w:hAnsi="Arial" w:cs="Arial"/>
          <w:color w:val="auto"/>
          <w:sz w:val="11"/>
          <w:szCs w:val="13"/>
        </w:rPr>
        <w:t>techniques (</w:t>
      </w:r>
      <w:r w:rsidR="00060ACB" w:rsidRPr="00AC29AB">
        <w:rPr>
          <w:rFonts w:ascii="Arial" w:eastAsiaTheme="minorEastAsia" w:hAnsi="Arial" w:cs="Arial"/>
          <w:color w:val="auto"/>
          <w:sz w:val="11"/>
          <w:szCs w:val="13"/>
        </w:rPr>
        <w:t>Duong et al., 2017)</w:t>
      </w:r>
      <w:r w:rsidRPr="00AC29AB">
        <w:rPr>
          <w:rFonts w:ascii="Arial" w:eastAsiaTheme="minorEastAsia" w:hAnsi="Arial" w:cs="Arial"/>
          <w:color w:val="auto"/>
          <w:sz w:val="11"/>
          <w:szCs w:val="13"/>
        </w:rPr>
        <w:t>. People may continue to use digital technology to manage dementia symptoms and enhance general well-being by receiving periodic assessments, and notifications, and having access to learning materials.</w:t>
      </w:r>
      <w:r w:rsidR="00B17790" w:rsidRPr="00AC29AB">
        <w:rPr>
          <w:rFonts w:ascii="Arial" w:eastAsia="Times New Roman" w:hAnsi="Arial" w:cs="Arial"/>
          <w:color w:val="auto"/>
          <w:sz w:val="11"/>
          <w:szCs w:val="13"/>
        </w:rPr>
        <w:t xml:space="preserve"> </w:t>
      </w:r>
    </w:p>
    <w:p w14:paraId="4B4EAC91" w14:textId="77777777" w:rsidR="002C119A" w:rsidRPr="00AC29AB" w:rsidRDefault="008259AA" w:rsidP="00EB24BF">
      <w:pPr>
        <w:keepNext/>
        <w:keepLines/>
        <w:spacing w:after="0" w:line="360" w:lineRule="auto"/>
        <w:outlineLvl w:val="0"/>
        <w:rPr>
          <w:rFonts w:ascii="Arial" w:eastAsia="Times New Roman" w:hAnsi="Arial" w:cs="Arial"/>
          <w:b/>
          <w:color w:val="C04908"/>
          <w:sz w:val="18"/>
          <w:szCs w:val="20"/>
        </w:rPr>
      </w:pPr>
      <w:r w:rsidRPr="00AC29AB">
        <w:rPr>
          <w:rFonts w:ascii="Arial" w:eastAsiaTheme="majorEastAsia" w:hAnsi="Arial" w:cs="Arial"/>
          <w:b/>
          <w:color w:val="C04908"/>
          <w:sz w:val="18"/>
          <w:szCs w:val="20"/>
        </w:rPr>
        <w:t xml:space="preserve">Expected outcome </w:t>
      </w:r>
    </w:p>
    <w:p w14:paraId="243F0919"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color w:val="auto"/>
          <w:sz w:val="11"/>
          <w:szCs w:val="13"/>
        </w:rPr>
        <w:t>There are several anticipated outcomes when the TTM, or Trans theoretical Model, is used to offer the use of digital healthcare in dementia care. It is crucial to keep in mind that behavioural change is a complicated process with variable results for every person</w:t>
      </w:r>
      <w:r w:rsidR="00060ACB" w:rsidRPr="00AC29AB">
        <w:rPr>
          <w:rFonts w:ascii="Arial" w:eastAsiaTheme="minorEastAsia" w:hAnsi="Arial" w:cs="Arial"/>
          <w:color w:val="auto"/>
          <w:sz w:val="11"/>
          <w:szCs w:val="13"/>
        </w:rPr>
        <w:t xml:space="preserve"> (Wang et al., 2020)</w:t>
      </w:r>
      <w:r w:rsidRPr="00AC29AB">
        <w:rPr>
          <w:rFonts w:ascii="Arial" w:eastAsiaTheme="minorEastAsia" w:hAnsi="Arial" w:cs="Arial"/>
          <w:color w:val="auto"/>
          <w:sz w:val="11"/>
          <w:szCs w:val="13"/>
        </w:rPr>
        <w:t xml:space="preserve">. </w:t>
      </w:r>
      <w:r w:rsidR="00501F75" w:rsidRPr="00AC29AB">
        <w:rPr>
          <w:rFonts w:ascii="Arial" w:eastAsiaTheme="minorEastAsia" w:hAnsi="Arial" w:cs="Arial"/>
          <w:color w:val="auto"/>
          <w:sz w:val="11"/>
          <w:szCs w:val="13"/>
        </w:rPr>
        <w:t xml:space="preserve">The </w:t>
      </w:r>
      <w:r w:rsidRPr="00AC29AB">
        <w:rPr>
          <w:rFonts w:ascii="Arial" w:eastAsiaTheme="minorEastAsia" w:hAnsi="Arial" w:cs="Arial"/>
          <w:color w:val="auto"/>
          <w:sz w:val="11"/>
          <w:szCs w:val="13"/>
        </w:rPr>
        <w:t xml:space="preserve">possible results that can be anticipated when the behavioural change approach is used in the dementia intervention: </w:t>
      </w:r>
    </w:p>
    <w:p w14:paraId="214CD66E"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The use of digital technology:  </w:t>
      </w:r>
      <w:r w:rsidRPr="00AC29AB">
        <w:rPr>
          <w:rFonts w:ascii="Arial" w:eastAsiaTheme="minorEastAsia" w:hAnsi="Arial" w:cs="Arial"/>
          <w:color w:val="auto"/>
          <w:sz w:val="11"/>
          <w:szCs w:val="13"/>
        </w:rPr>
        <w:t xml:space="preserve">One anticipated result is a rise in the adoption and use of digital tools among dementia patients and their </w:t>
      </w:r>
      <w:proofErr w:type="spellStart"/>
      <w:r w:rsidRPr="00AC29AB">
        <w:rPr>
          <w:rFonts w:ascii="Arial" w:eastAsiaTheme="minorEastAsia" w:hAnsi="Arial" w:cs="Arial"/>
          <w:color w:val="auto"/>
          <w:sz w:val="11"/>
          <w:szCs w:val="13"/>
        </w:rPr>
        <w:t>carers</w:t>
      </w:r>
      <w:proofErr w:type="spellEnd"/>
      <w:r w:rsidRPr="00AC29AB">
        <w:rPr>
          <w:rFonts w:ascii="Arial" w:eastAsiaTheme="minorEastAsia" w:hAnsi="Arial" w:cs="Arial"/>
          <w:color w:val="auto"/>
          <w:sz w:val="11"/>
          <w:szCs w:val="13"/>
        </w:rPr>
        <w:t xml:space="preserve">. People may be inclined to use digital technologies in their everyday life if the intervention is tailored to various phases of change, addresses fears, and offers individualised </w:t>
      </w:r>
      <w:r w:rsidR="00501F75" w:rsidRPr="00AC29AB">
        <w:rPr>
          <w:rFonts w:ascii="Arial" w:eastAsiaTheme="minorEastAsia" w:hAnsi="Arial" w:cs="Arial"/>
          <w:color w:val="auto"/>
          <w:sz w:val="11"/>
          <w:szCs w:val="13"/>
        </w:rPr>
        <w:t>advice (</w:t>
      </w:r>
      <w:r w:rsidR="00060ACB" w:rsidRPr="00AC29AB">
        <w:rPr>
          <w:rFonts w:ascii="Arial" w:eastAsiaTheme="minorEastAsia" w:hAnsi="Arial" w:cs="Arial"/>
          <w:color w:val="auto"/>
          <w:sz w:val="11"/>
          <w:szCs w:val="13"/>
        </w:rPr>
        <w:t>Rakesh et al., 2017)</w:t>
      </w:r>
      <w:r w:rsidRPr="00AC29AB">
        <w:rPr>
          <w:rFonts w:ascii="Arial" w:eastAsiaTheme="minorEastAsia" w:hAnsi="Arial" w:cs="Arial"/>
          <w:color w:val="auto"/>
          <w:sz w:val="11"/>
          <w:szCs w:val="13"/>
        </w:rPr>
        <w:t xml:space="preserve">. </w:t>
      </w:r>
    </w:p>
    <w:p w14:paraId="1BCB0557"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Increased empowerment and self-efficacy:</w:t>
      </w:r>
      <w:r w:rsidRPr="00AC29AB">
        <w:rPr>
          <w:rFonts w:ascii="Arial" w:eastAsiaTheme="minorEastAsia" w:hAnsi="Arial" w:cs="Arial"/>
          <w:color w:val="auto"/>
          <w:sz w:val="11"/>
          <w:szCs w:val="13"/>
        </w:rPr>
        <w:t xml:space="preserve"> Self-efficacy, which is defined as a person's confidence in their capacity to change their behaviour, may be promoted through the implementation of the TTM. Through the phases of change, people may increase their self-assurance and feeling of command over dementia care. The intervention may boost people's confidence in utilising digital technology to improve their well-being by offering continuous support, feedback, and chances for setting objectives and progress monitoring. Their overall sense of autonomy and standard of life may benefit from this greater self-</w:t>
      </w:r>
      <w:r w:rsidR="00501F75" w:rsidRPr="00AC29AB">
        <w:rPr>
          <w:rFonts w:ascii="Arial" w:eastAsiaTheme="minorEastAsia" w:hAnsi="Arial" w:cs="Arial"/>
          <w:color w:val="auto"/>
          <w:sz w:val="11"/>
          <w:szCs w:val="13"/>
        </w:rPr>
        <w:t>efficacy (</w:t>
      </w:r>
      <w:proofErr w:type="spellStart"/>
      <w:r w:rsidR="00060ACB" w:rsidRPr="00AC29AB">
        <w:rPr>
          <w:rFonts w:ascii="Arial" w:eastAsiaTheme="minorEastAsia" w:hAnsi="Arial" w:cs="Arial"/>
          <w:color w:val="auto"/>
          <w:sz w:val="11"/>
          <w:szCs w:val="13"/>
        </w:rPr>
        <w:t>Hachinski</w:t>
      </w:r>
      <w:proofErr w:type="spellEnd"/>
      <w:r w:rsidR="00060ACB" w:rsidRPr="00AC29AB">
        <w:rPr>
          <w:rFonts w:ascii="Arial" w:eastAsiaTheme="minorEastAsia" w:hAnsi="Arial" w:cs="Arial"/>
          <w:color w:val="auto"/>
          <w:sz w:val="11"/>
          <w:szCs w:val="13"/>
        </w:rPr>
        <w:t xml:space="preserve"> et al., 2019)</w:t>
      </w:r>
      <w:r w:rsidRPr="00AC29AB">
        <w:rPr>
          <w:rFonts w:ascii="Arial" w:eastAsiaTheme="minorEastAsia" w:hAnsi="Arial" w:cs="Arial"/>
          <w:color w:val="auto"/>
          <w:sz w:val="11"/>
          <w:szCs w:val="13"/>
        </w:rPr>
        <w:t xml:space="preserve">. </w:t>
      </w:r>
    </w:p>
    <w:p w14:paraId="5698AA1A"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b/>
          <w:color w:val="auto"/>
          <w:sz w:val="11"/>
          <w:szCs w:val="13"/>
        </w:rPr>
        <w:t xml:space="preserve">Improvements in involvement: </w:t>
      </w:r>
      <w:r w:rsidRPr="00AC29AB">
        <w:rPr>
          <w:rFonts w:ascii="Arial" w:eastAsiaTheme="minorEastAsia" w:hAnsi="Arial" w:cs="Arial"/>
          <w:color w:val="auto"/>
          <w:sz w:val="11"/>
          <w:szCs w:val="13"/>
        </w:rPr>
        <w:t xml:space="preserve">participation in managing dementia may be made via the use of the TTM. Individuals become increasingly active in their care and choices as they go through the phases of change. The digital health programme may include materials, interactive exercises, and reminders to encourage continued use of the </w:t>
      </w:r>
      <w:r w:rsidR="00501F75" w:rsidRPr="00AC29AB">
        <w:rPr>
          <w:rFonts w:ascii="Arial" w:eastAsiaTheme="minorEastAsia" w:hAnsi="Arial" w:cs="Arial"/>
          <w:color w:val="auto"/>
          <w:sz w:val="11"/>
          <w:szCs w:val="13"/>
        </w:rPr>
        <w:t>technologies (</w:t>
      </w:r>
      <w:r w:rsidR="00060ACB" w:rsidRPr="00AC29AB">
        <w:rPr>
          <w:rFonts w:ascii="Arial" w:eastAsiaTheme="minorEastAsia" w:hAnsi="Arial" w:cs="Arial"/>
          <w:color w:val="auto"/>
          <w:sz w:val="11"/>
          <w:szCs w:val="13"/>
        </w:rPr>
        <w:t>Livingston et al., 2020)</w:t>
      </w:r>
      <w:r w:rsidRPr="00AC29AB">
        <w:rPr>
          <w:rFonts w:ascii="Arial" w:eastAsiaTheme="minorEastAsia" w:hAnsi="Arial" w:cs="Arial"/>
          <w:color w:val="auto"/>
          <w:sz w:val="11"/>
          <w:szCs w:val="13"/>
        </w:rPr>
        <w:t>. By providing frequent cognitive stimulation, this greater involvement may improve medication adherence, improve cognitive performance, and improve interactions with healthcare providers. In the end, it may help improve overall dementia symptom management and health outcomes.</w:t>
      </w:r>
    </w:p>
    <w:p w14:paraId="39C29CEF" w14:textId="77777777" w:rsidR="002C119A" w:rsidRPr="00AC29AB" w:rsidRDefault="008259AA" w:rsidP="00EB24BF">
      <w:pPr>
        <w:keepNext/>
        <w:keepLines/>
        <w:spacing w:after="0" w:line="360" w:lineRule="auto"/>
        <w:outlineLvl w:val="0"/>
        <w:rPr>
          <w:rFonts w:ascii="Arial" w:eastAsia="Times New Roman" w:hAnsi="Arial" w:cs="Arial"/>
          <w:b/>
          <w:color w:val="C04908"/>
          <w:sz w:val="18"/>
          <w:szCs w:val="20"/>
        </w:rPr>
      </w:pPr>
      <w:r w:rsidRPr="00AC29AB">
        <w:rPr>
          <w:rFonts w:ascii="Arial" w:eastAsiaTheme="majorEastAsia" w:hAnsi="Arial" w:cs="Arial"/>
          <w:b/>
          <w:color w:val="C04908"/>
          <w:sz w:val="18"/>
          <w:szCs w:val="20"/>
        </w:rPr>
        <w:t xml:space="preserve">Conclusion </w:t>
      </w:r>
    </w:p>
    <w:p w14:paraId="7A0B4F78" w14:textId="77777777" w:rsidR="002C119A"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color w:val="auto"/>
          <w:sz w:val="11"/>
          <w:szCs w:val="13"/>
        </w:rPr>
        <w:t xml:space="preserve">In Short, improving health and resolving digital health inequalities in dementia need a holistic strategy that is in line with the ideals, tenets, and theories of behaviour change associated with health promotion. Interventions may guarantee that people with dementia and the carers who care for them have equitable access to digital technology and are actively engaged in their care by placing a strong emphasis on equality, empowerment, and </w:t>
      </w:r>
      <w:r w:rsidR="00060ACB" w:rsidRPr="00AC29AB">
        <w:rPr>
          <w:rFonts w:ascii="Arial" w:eastAsiaTheme="minorEastAsia" w:hAnsi="Arial" w:cs="Arial"/>
          <w:color w:val="auto"/>
          <w:sz w:val="11"/>
          <w:szCs w:val="13"/>
        </w:rPr>
        <w:t>engagement (WHO, 2017)</w:t>
      </w:r>
      <w:r w:rsidRPr="00AC29AB">
        <w:rPr>
          <w:rFonts w:ascii="Arial" w:eastAsiaTheme="minorEastAsia" w:hAnsi="Arial" w:cs="Arial"/>
          <w:color w:val="auto"/>
          <w:sz w:val="11"/>
          <w:szCs w:val="13"/>
        </w:rPr>
        <w:t>.</w:t>
      </w:r>
    </w:p>
    <w:p w14:paraId="1EF495D9" w14:textId="77777777" w:rsidR="009A6C53" w:rsidRPr="00AC29AB" w:rsidRDefault="008259AA" w:rsidP="00EB24BF">
      <w:pPr>
        <w:spacing w:after="120" w:line="360" w:lineRule="auto"/>
        <w:rPr>
          <w:rFonts w:ascii="Arial" w:eastAsia="Times New Roman" w:hAnsi="Arial" w:cs="Arial"/>
          <w:color w:val="auto"/>
          <w:sz w:val="11"/>
          <w:szCs w:val="13"/>
        </w:rPr>
      </w:pPr>
      <w:r w:rsidRPr="00AC29AB">
        <w:rPr>
          <w:rFonts w:ascii="Arial" w:eastAsiaTheme="minorEastAsia" w:hAnsi="Arial" w:cs="Arial"/>
          <w:color w:val="auto"/>
          <w:sz w:val="11"/>
          <w:szCs w:val="13"/>
        </w:rPr>
        <w:t xml:space="preserve">The design of the intervention may take into consideration the many </w:t>
      </w:r>
      <w:r w:rsidR="00060ACB" w:rsidRPr="00AC29AB">
        <w:rPr>
          <w:rFonts w:ascii="Arial" w:eastAsiaTheme="minorEastAsia" w:hAnsi="Arial" w:cs="Arial"/>
          <w:color w:val="auto"/>
          <w:sz w:val="11"/>
          <w:szCs w:val="13"/>
        </w:rPr>
        <w:t>phase’s</w:t>
      </w:r>
      <w:r w:rsidRPr="00AC29AB">
        <w:rPr>
          <w:rFonts w:ascii="Arial" w:eastAsiaTheme="minorEastAsia" w:hAnsi="Arial" w:cs="Arial"/>
          <w:color w:val="auto"/>
          <w:sz w:val="11"/>
          <w:szCs w:val="13"/>
        </w:rPr>
        <w:t xml:space="preserve"> people may be in while adopting new habits connected to digital health by using behaviour change models such as the Trans theoretical Model to guide them. The intervention may promote behavioural change and maintain the use of electronic resources in dementia care by catering to individual requirements, offering learning and instruction, and encouraging continuous support.</w:t>
      </w:r>
      <w:r w:rsidR="00EB24BF" w:rsidRPr="00AC29AB">
        <w:rPr>
          <w:rFonts w:ascii="Arial" w:eastAsiaTheme="minorEastAsia" w:hAnsi="Arial" w:cs="Arial"/>
          <w:color w:val="auto"/>
          <w:sz w:val="11"/>
          <w:szCs w:val="13"/>
        </w:rPr>
        <w:t xml:space="preserve"> </w:t>
      </w:r>
      <w:r w:rsidR="00060ACB" w:rsidRPr="00AC29AB">
        <w:rPr>
          <w:rFonts w:ascii="Arial" w:eastAsiaTheme="minorEastAsia" w:hAnsi="Arial" w:cs="Arial"/>
          <w:color w:val="auto"/>
          <w:sz w:val="11"/>
          <w:szCs w:val="13"/>
        </w:rPr>
        <w:t xml:space="preserve">This intervention </w:t>
      </w:r>
      <w:r w:rsidRPr="00AC29AB">
        <w:rPr>
          <w:rFonts w:ascii="Arial" w:eastAsiaTheme="minorEastAsia" w:hAnsi="Arial" w:cs="Arial"/>
          <w:color w:val="auto"/>
          <w:sz w:val="11"/>
          <w:szCs w:val="13"/>
        </w:rPr>
        <w:t xml:space="preserve">can strive towards an era where all people afflicted by dementia have the same possibilities for ideal health and a high standard of life by using digital technology and supporting health equality. </w:t>
      </w:r>
    </w:p>
    <w:p w14:paraId="282564D9" w14:textId="77777777" w:rsidR="003F7E1F" w:rsidRPr="00AC29AB" w:rsidRDefault="003F7E1F" w:rsidP="00B17790">
      <w:pPr>
        <w:keepNext/>
        <w:keepLines/>
        <w:spacing w:after="0" w:line="240" w:lineRule="auto"/>
        <w:outlineLvl w:val="0"/>
        <w:rPr>
          <w:rFonts w:ascii="Arial" w:eastAsia="Times New Roman" w:hAnsi="Arial" w:cs="Arial"/>
          <w:color w:val="C04908"/>
          <w:sz w:val="13"/>
          <w:szCs w:val="13"/>
        </w:rPr>
        <w:sectPr w:rsidR="003F7E1F" w:rsidRPr="00AC29AB" w:rsidSect="00EB24BF">
          <w:pgSz w:w="15840" w:h="12240" w:orient="landscape" w:code="1"/>
          <w:pgMar w:top="907" w:right="547" w:bottom="994" w:left="1267" w:header="288" w:footer="288" w:gutter="0"/>
          <w:pgBorders w:offsetFrom="page">
            <w:top w:val="single" w:sz="4" w:space="24" w:color="auto"/>
            <w:left w:val="single" w:sz="4" w:space="24" w:color="auto"/>
            <w:bottom w:val="single" w:sz="4" w:space="24" w:color="auto"/>
            <w:right w:val="single" w:sz="4" w:space="24" w:color="auto"/>
          </w:pgBorders>
          <w:cols w:num="3" w:space="225"/>
          <w:docGrid w:linePitch="360"/>
        </w:sectPr>
      </w:pPr>
    </w:p>
    <w:p w14:paraId="3D9AA975" w14:textId="77777777" w:rsidR="009A6C53" w:rsidRPr="00AC29AB" w:rsidRDefault="00AC29AB" w:rsidP="00B17790">
      <w:pPr>
        <w:keepNext/>
        <w:keepLines/>
        <w:spacing w:after="0" w:line="240" w:lineRule="auto"/>
        <w:jc w:val="center"/>
        <w:outlineLvl w:val="0"/>
        <w:rPr>
          <w:rFonts w:ascii="Arial" w:eastAsia="Times New Roman" w:hAnsi="Arial" w:cs="Arial"/>
          <w:color w:val="C04908"/>
          <w:sz w:val="40"/>
          <w:szCs w:val="40"/>
        </w:rPr>
      </w:pPr>
      <w:r w:rsidRPr="00AC29AB">
        <w:rPr>
          <w:rFonts w:ascii="Arial" w:eastAsiaTheme="majorEastAsia" w:hAnsi="Arial" w:cs="Arial"/>
          <w:b/>
          <w:noProof/>
          <w:color w:val="C04908"/>
          <w:sz w:val="28"/>
          <w:szCs w:val="40"/>
          <w:lang w:val="en-US"/>
        </w:rPr>
        <w:lastRenderedPageBreak/>
        <mc:AlternateContent>
          <mc:Choice Requires="wps">
            <w:drawing>
              <wp:anchor distT="0" distB="0" distL="114300" distR="114300" simplePos="0" relativeHeight="251660288" behindDoc="1" locked="0" layoutInCell="1" allowOverlap="1" wp14:anchorId="39F52EC0" wp14:editId="0E0F3BE4">
                <wp:simplePos x="0" y="0"/>
                <wp:positionH relativeFrom="margin">
                  <wp:align>center</wp:align>
                </wp:positionH>
                <wp:positionV relativeFrom="paragraph">
                  <wp:posOffset>-524768</wp:posOffset>
                </wp:positionV>
                <wp:extent cx="9980908" cy="7702658"/>
                <wp:effectExtent l="0" t="0" r="20955" b="12700"/>
                <wp:wrapNone/>
                <wp:docPr id="5" name="Rectangle 5"/>
                <wp:cNvGraphicFramePr/>
                <a:graphic xmlns:a="http://schemas.openxmlformats.org/drawingml/2006/main">
                  <a:graphicData uri="http://schemas.microsoft.com/office/word/2010/wordprocessingShape">
                    <wps:wsp>
                      <wps:cNvSpPr/>
                      <wps:spPr>
                        <a:xfrm>
                          <a:off x="0" y="0"/>
                          <a:ext cx="9980908" cy="7702658"/>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1AAFAE" id="Rectangle 5" o:spid="_x0000_s1026" style="position:absolute;margin-left:0;margin-top:-41.3pt;width:785.9pt;height:606.5pt;z-index:-2516561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" fillcolor="#92bce3 [2132]" strokecolor="#1f4d78 [1604]" strokeweight="1pt">
                <v:fill color2="#d9e8f5 [756]" rotate="t" colors="0 #9ac3f6;.5 #c1d8f8;1 #e1ecfb" focus="100%" type="gradient"/>
                <w10:wrap anchorx="margin"/>
              </v:rect>
            </w:pict>
          </mc:Fallback>
        </mc:AlternateContent>
      </w:r>
      <w:r w:rsidR="008259AA" w:rsidRPr="00AC29AB">
        <w:rPr>
          <w:rFonts w:ascii="Arial" w:eastAsiaTheme="majorEastAsia" w:hAnsi="Arial" w:cs="Arial"/>
          <w:b/>
          <w:color w:val="C04908"/>
          <w:sz w:val="28"/>
          <w:szCs w:val="40"/>
        </w:rPr>
        <w:t>References</w:t>
      </w:r>
    </w:p>
    <w:p w14:paraId="7163B210"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Arvanitakis</w:t>
      </w:r>
      <w:proofErr w:type="spellEnd"/>
      <w:r w:rsidRPr="00AC29AB">
        <w:rPr>
          <w:rFonts w:ascii="Arial" w:eastAsiaTheme="minorEastAsia" w:hAnsi="Arial" w:cs="Arial"/>
          <w:color w:val="auto"/>
          <w:sz w:val="16"/>
          <w:szCs w:val="21"/>
        </w:rPr>
        <w:t>, Z., Shah, R.C. and Bennett, D.A., 2019. Diagnosis and management of dementia. Jama, 322(16), pp.1589-1599.</w:t>
      </w:r>
    </w:p>
    <w:p w14:paraId="18B2F15F"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Astell, A.J., </w:t>
      </w:r>
      <w:proofErr w:type="spellStart"/>
      <w:r w:rsidRPr="00AC29AB">
        <w:rPr>
          <w:rFonts w:ascii="Arial" w:eastAsiaTheme="minorEastAsia" w:hAnsi="Arial" w:cs="Arial"/>
          <w:color w:val="auto"/>
          <w:sz w:val="16"/>
          <w:szCs w:val="21"/>
        </w:rPr>
        <w:t>Bouranis</w:t>
      </w:r>
      <w:proofErr w:type="spellEnd"/>
      <w:r w:rsidRPr="00AC29AB">
        <w:rPr>
          <w:rFonts w:ascii="Arial" w:eastAsiaTheme="minorEastAsia" w:hAnsi="Arial" w:cs="Arial"/>
          <w:color w:val="auto"/>
          <w:sz w:val="16"/>
          <w:szCs w:val="21"/>
        </w:rPr>
        <w:t xml:space="preserve">, N., </w:t>
      </w:r>
      <w:proofErr w:type="spellStart"/>
      <w:r w:rsidRPr="00AC29AB">
        <w:rPr>
          <w:rFonts w:ascii="Arial" w:eastAsiaTheme="minorEastAsia" w:hAnsi="Arial" w:cs="Arial"/>
          <w:color w:val="auto"/>
          <w:sz w:val="16"/>
          <w:szCs w:val="21"/>
        </w:rPr>
        <w:t>Hoey</w:t>
      </w:r>
      <w:proofErr w:type="spellEnd"/>
      <w:r w:rsidRPr="00AC29AB">
        <w:rPr>
          <w:rFonts w:ascii="Arial" w:eastAsiaTheme="minorEastAsia" w:hAnsi="Arial" w:cs="Arial"/>
          <w:color w:val="auto"/>
          <w:sz w:val="16"/>
          <w:szCs w:val="21"/>
        </w:rPr>
        <w:t xml:space="preserve">, J., Lindauer, A., </w:t>
      </w:r>
      <w:proofErr w:type="spellStart"/>
      <w:r w:rsidRPr="00AC29AB">
        <w:rPr>
          <w:rFonts w:ascii="Arial" w:eastAsiaTheme="minorEastAsia" w:hAnsi="Arial" w:cs="Arial"/>
          <w:color w:val="auto"/>
          <w:sz w:val="16"/>
          <w:szCs w:val="21"/>
        </w:rPr>
        <w:t>Mihailidis</w:t>
      </w:r>
      <w:proofErr w:type="spellEnd"/>
      <w:r w:rsidRPr="00AC29AB">
        <w:rPr>
          <w:rFonts w:ascii="Arial" w:eastAsiaTheme="minorEastAsia" w:hAnsi="Arial" w:cs="Arial"/>
          <w:color w:val="auto"/>
          <w:sz w:val="16"/>
          <w:szCs w:val="21"/>
        </w:rPr>
        <w:t>, A., Nugent, C. and Robillard, J.M., 2019. Technology and dementia: The future is now. Dementia and geriatric cognitive disorders, 47(3), pp.131-139.</w:t>
      </w:r>
    </w:p>
    <w:p w14:paraId="23E29005"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Bianchetti</w:t>
      </w:r>
      <w:proofErr w:type="spellEnd"/>
      <w:r w:rsidRPr="00AC29AB">
        <w:rPr>
          <w:rFonts w:ascii="Arial" w:eastAsiaTheme="minorEastAsia" w:hAnsi="Arial" w:cs="Arial"/>
          <w:color w:val="auto"/>
          <w:sz w:val="16"/>
          <w:szCs w:val="21"/>
        </w:rPr>
        <w:t xml:space="preserve">, A., </w:t>
      </w:r>
      <w:proofErr w:type="spellStart"/>
      <w:r w:rsidRPr="00AC29AB">
        <w:rPr>
          <w:rFonts w:ascii="Arial" w:eastAsiaTheme="minorEastAsia" w:hAnsi="Arial" w:cs="Arial"/>
          <w:color w:val="auto"/>
          <w:sz w:val="16"/>
          <w:szCs w:val="21"/>
        </w:rPr>
        <w:t>Rozzini</w:t>
      </w:r>
      <w:proofErr w:type="spellEnd"/>
      <w:r w:rsidRPr="00AC29AB">
        <w:rPr>
          <w:rFonts w:ascii="Arial" w:eastAsiaTheme="minorEastAsia" w:hAnsi="Arial" w:cs="Arial"/>
          <w:color w:val="auto"/>
          <w:sz w:val="16"/>
          <w:szCs w:val="21"/>
        </w:rPr>
        <w:t xml:space="preserve">, R., </w:t>
      </w:r>
      <w:proofErr w:type="spellStart"/>
      <w:r w:rsidRPr="00AC29AB">
        <w:rPr>
          <w:rFonts w:ascii="Arial" w:eastAsiaTheme="minorEastAsia" w:hAnsi="Arial" w:cs="Arial"/>
          <w:color w:val="auto"/>
          <w:sz w:val="16"/>
          <w:szCs w:val="21"/>
        </w:rPr>
        <w:t>Guerini</w:t>
      </w:r>
      <w:proofErr w:type="spellEnd"/>
      <w:r w:rsidRPr="00AC29AB">
        <w:rPr>
          <w:rFonts w:ascii="Arial" w:eastAsiaTheme="minorEastAsia" w:hAnsi="Arial" w:cs="Arial"/>
          <w:color w:val="auto"/>
          <w:sz w:val="16"/>
          <w:szCs w:val="21"/>
        </w:rPr>
        <w:t xml:space="preserve">, F., </w:t>
      </w:r>
      <w:proofErr w:type="spellStart"/>
      <w:r w:rsidRPr="00AC29AB">
        <w:rPr>
          <w:rFonts w:ascii="Arial" w:eastAsiaTheme="minorEastAsia" w:hAnsi="Arial" w:cs="Arial"/>
          <w:color w:val="auto"/>
          <w:sz w:val="16"/>
          <w:szCs w:val="21"/>
        </w:rPr>
        <w:t>Boffelli</w:t>
      </w:r>
      <w:proofErr w:type="spellEnd"/>
      <w:r w:rsidRPr="00AC29AB">
        <w:rPr>
          <w:rFonts w:ascii="Arial" w:eastAsiaTheme="minorEastAsia" w:hAnsi="Arial" w:cs="Arial"/>
          <w:color w:val="auto"/>
          <w:sz w:val="16"/>
          <w:szCs w:val="21"/>
        </w:rPr>
        <w:t xml:space="preserve">, S., Ranieri, P., Minelli, G., </w:t>
      </w:r>
      <w:proofErr w:type="spellStart"/>
      <w:r w:rsidRPr="00AC29AB">
        <w:rPr>
          <w:rFonts w:ascii="Arial" w:eastAsiaTheme="minorEastAsia" w:hAnsi="Arial" w:cs="Arial"/>
          <w:color w:val="auto"/>
          <w:sz w:val="16"/>
          <w:szCs w:val="21"/>
        </w:rPr>
        <w:t>Bianchetti</w:t>
      </w:r>
      <w:proofErr w:type="spellEnd"/>
      <w:r w:rsidRPr="00AC29AB">
        <w:rPr>
          <w:rFonts w:ascii="Arial" w:eastAsiaTheme="minorEastAsia" w:hAnsi="Arial" w:cs="Arial"/>
          <w:color w:val="auto"/>
          <w:sz w:val="16"/>
          <w:szCs w:val="21"/>
        </w:rPr>
        <w:t xml:space="preserve">, L. and </w:t>
      </w:r>
      <w:proofErr w:type="spellStart"/>
      <w:r w:rsidRPr="00AC29AB">
        <w:rPr>
          <w:rFonts w:ascii="Arial" w:eastAsiaTheme="minorEastAsia" w:hAnsi="Arial" w:cs="Arial"/>
          <w:color w:val="auto"/>
          <w:sz w:val="16"/>
          <w:szCs w:val="21"/>
        </w:rPr>
        <w:t>Trabucchi</w:t>
      </w:r>
      <w:proofErr w:type="spellEnd"/>
      <w:r w:rsidRPr="00AC29AB">
        <w:rPr>
          <w:rFonts w:ascii="Arial" w:eastAsiaTheme="minorEastAsia" w:hAnsi="Arial" w:cs="Arial"/>
          <w:color w:val="auto"/>
          <w:sz w:val="16"/>
          <w:szCs w:val="21"/>
        </w:rPr>
        <w:t>, M., 2020. Clinical presentation of COVID19 in dementia patients. The journal of nutrition, health &amp; aging, 24, pp.560-562.</w:t>
      </w:r>
    </w:p>
    <w:p w14:paraId="45BBE6BC"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Brown, L., </w:t>
      </w:r>
      <w:proofErr w:type="spellStart"/>
      <w:r w:rsidRPr="00AC29AB">
        <w:rPr>
          <w:rFonts w:ascii="Arial" w:eastAsiaTheme="minorEastAsia" w:hAnsi="Arial" w:cs="Arial"/>
          <w:color w:val="auto"/>
          <w:sz w:val="16"/>
          <w:szCs w:val="21"/>
        </w:rPr>
        <w:t>Hansnata</w:t>
      </w:r>
      <w:proofErr w:type="spellEnd"/>
      <w:r w:rsidRPr="00AC29AB">
        <w:rPr>
          <w:rFonts w:ascii="Arial" w:eastAsiaTheme="minorEastAsia" w:hAnsi="Arial" w:cs="Arial"/>
          <w:color w:val="auto"/>
          <w:sz w:val="16"/>
          <w:szCs w:val="21"/>
        </w:rPr>
        <w:t>, E. and La, H.A., 2017. Economic cost of dementia in Australia 2016-2056.</w:t>
      </w:r>
    </w:p>
    <w:p w14:paraId="548F88BF"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Cahill, S., 2018. Dementia and human rights. Policy press.</w:t>
      </w:r>
    </w:p>
    <w:p w14:paraId="217DE80C"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Custodio</w:t>
      </w:r>
      <w:proofErr w:type="spellEnd"/>
      <w:r w:rsidRPr="00AC29AB">
        <w:rPr>
          <w:rFonts w:ascii="Arial" w:eastAsiaTheme="minorEastAsia" w:hAnsi="Arial" w:cs="Arial"/>
          <w:color w:val="auto"/>
          <w:sz w:val="16"/>
          <w:szCs w:val="21"/>
        </w:rPr>
        <w:t xml:space="preserve">, N., Montesinos, R., Lira, D., Herrera-Pérez, E., </w:t>
      </w:r>
      <w:proofErr w:type="spellStart"/>
      <w:r w:rsidRPr="00AC29AB">
        <w:rPr>
          <w:rFonts w:ascii="Arial" w:eastAsiaTheme="minorEastAsia" w:hAnsi="Arial" w:cs="Arial"/>
          <w:color w:val="auto"/>
          <w:sz w:val="16"/>
          <w:szCs w:val="21"/>
        </w:rPr>
        <w:t>Bardales</w:t>
      </w:r>
      <w:proofErr w:type="spellEnd"/>
      <w:r w:rsidRPr="00AC29AB">
        <w:rPr>
          <w:rFonts w:ascii="Arial" w:eastAsiaTheme="minorEastAsia" w:hAnsi="Arial" w:cs="Arial"/>
          <w:color w:val="auto"/>
          <w:sz w:val="16"/>
          <w:szCs w:val="21"/>
        </w:rPr>
        <w:t xml:space="preserve">, Y. and </w:t>
      </w:r>
      <w:proofErr w:type="spellStart"/>
      <w:r w:rsidRPr="00AC29AB">
        <w:rPr>
          <w:rFonts w:ascii="Arial" w:eastAsiaTheme="minorEastAsia" w:hAnsi="Arial" w:cs="Arial"/>
          <w:color w:val="auto"/>
          <w:sz w:val="16"/>
          <w:szCs w:val="21"/>
        </w:rPr>
        <w:t>Valeriano</w:t>
      </w:r>
      <w:proofErr w:type="spellEnd"/>
      <w:r w:rsidRPr="00AC29AB">
        <w:rPr>
          <w:rFonts w:ascii="Arial" w:eastAsiaTheme="minorEastAsia" w:hAnsi="Arial" w:cs="Arial"/>
          <w:color w:val="auto"/>
          <w:sz w:val="16"/>
          <w:szCs w:val="21"/>
        </w:rPr>
        <w:t xml:space="preserve">-Lorenzo, L., 2017. Mixed dementia: A review of the evidence. Dementia &amp; </w:t>
      </w:r>
      <w:proofErr w:type="spellStart"/>
      <w:r w:rsidRPr="00AC29AB">
        <w:rPr>
          <w:rFonts w:ascii="Arial" w:eastAsiaTheme="minorEastAsia" w:hAnsi="Arial" w:cs="Arial"/>
          <w:color w:val="auto"/>
          <w:sz w:val="16"/>
          <w:szCs w:val="21"/>
        </w:rPr>
        <w:t>neuropsychologia</w:t>
      </w:r>
      <w:proofErr w:type="spellEnd"/>
      <w:r w:rsidRPr="00AC29AB">
        <w:rPr>
          <w:rFonts w:ascii="Arial" w:eastAsiaTheme="minorEastAsia" w:hAnsi="Arial" w:cs="Arial"/>
          <w:color w:val="auto"/>
          <w:sz w:val="16"/>
          <w:szCs w:val="21"/>
        </w:rPr>
        <w:t>, 11, pp.364-370.</w:t>
      </w:r>
    </w:p>
    <w:p w14:paraId="763BD3F8"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Duong, S., Patel, T. and Chang, F., 2017. Dementia: What pharmacists need to know. Canadian Pharmacists Journal/Revue des </w:t>
      </w:r>
      <w:proofErr w:type="spellStart"/>
      <w:r w:rsidRPr="00AC29AB">
        <w:rPr>
          <w:rFonts w:ascii="Arial" w:eastAsiaTheme="minorEastAsia" w:hAnsi="Arial" w:cs="Arial"/>
          <w:color w:val="auto"/>
          <w:sz w:val="16"/>
          <w:szCs w:val="21"/>
        </w:rPr>
        <w:t>Pharmaciens</w:t>
      </w:r>
      <w:proofErr w:type="spellEnd"/>
      <w:r w:rsidRPr="00AC29AB">
        <w:rPr>
          <w:rFonts w:ascii="Arial" w:eastAsiaTheme="minorEastAsia" w:hAnsi="Arial" w:cs="Arial"/>
          <w:color w:val="auto"/>
          <w:sz w:val="16"/>
          <w:szCs w:val="21"/>
        </w:rPr>
        <w:t xml:space="preserve"> du Canada, 150(2), pp.118-129.</w:t>
      </w:r>
    </w:p>
    <w:p w14:paraId="703FD976"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Hachinski</w:t>
      </w:r>
      <w:proofErr w:type="spellEnd"/>
      <w:r w:rsidRPr="00AC29AB">
        <w:rPr>
          <w:rFonts w:ascii="Arial" w:eastAsiaTheme="minorEastAsia" w:hAnsi="Arial" w:cs="Arial"/>
          <w:color w:val="auto"/>
          <w:sz w:val="16"/>
          <w:szCs w:val="21"/>
        </w:rPr>
        <w:t xml:space="preserve">, V., </w:t>
      </w:r>
      <w:proofErr w:type="spellStart"/>
      <w:r w:rsidRPr="00AC29AB">
        <w:rPr>
          <w:rFonts w:ascii="Arial" w:eastAsiaTheme="minorEastAsia" w:hAnsi="Arial" w:cs="Arial"/>
          <w:color w:val="auto"/>
          <w:sz w:val="16"/>
          <w:szCs w:val="21"/>
        </w:rPr>
        <w:t>Einhäupl</w:t>
      </w:r>
      <w:proofErr w:type="spellEnd"/>
      <w:r w:rsidRPr="00AC29AB">
        <w:rPr>
          <w:rFonts w:ascii="Arial" w:eastAsiaTheme="minorEastAsia" w:hAnsi="Arial" w:cs="Arial"/>
          <w:color w:val="auto"/>
          <w:sz w:val="16"/>
          <w:szCs w:val="21"/>
        </w:rPr>
        <w:t xml:space="preserve">, K., </w:t>
      </w:r>
      <w:proofErr w:type="spellStart"/>
      <w:r w:rsidRPr="00AC29AB">
        <w:rPr>
          <w:rFonts w:ascii="Arial" w:eastAsiaTheme="minorEastAsia" w:hAnsi="Arial" w:cs="Arial"/>
          <w:color w:val="auto"/>
          <w:sz w:val="16"/>
          <w:szCs w:val="21"/>
        </w:rPr>
        <w:t>Ganten</w:t>
      </w:r>
      <w:proofErr w:type="spellEnd"/>
      <w:r w:rsidRPr="00AC29AB">
        <w:rPr>
          <w:rFonts w:ascii="Arial" w:eastAsiaTheme="minorEastAsia" w:hAnsi="Arial" w:cs="Arial"/>
          <w:color w:val="auto"/>
          <w:sz w:val="16"/>
          <w:szCs w:val="21"/>
        </w:rPr>
        <w:t xml:space="preserve">, D., </w:t>
      </w:r>
      <w:proofErr w:type="spellStart"/>
      <w:r w:rsidRPr="00AC29AB">
        <w:rPr>
          <w:rFonts w:ascii="Arial" w:eastAsiaTheme="minorEastAsia" w:hAnsi="Arial" w:cs="Arial"/>
          <w:color w:val="auto"/>
          <w:sz w:val="16"/>
          <w:szCs w:val="21"/>
        </w:rPr>
        <w:t>Alladi</w:t>
      </w:r>
      <w:proofErr w:type="spellEnd"/>
      <w:r w:rsidRPr="00AC29AB">
        <w:rPr>
          <w:rFonts w:ascii="Arial" w:eastAsiaTheme="minorEastAsia" w:hAnsi="Arial" w:cs="Arial"/>
          <w:color w:val="auto"/>
          <w:sz w:val="16"/>
          <w:szCs w:val="21"/>
        </w:rPr>
        <w:t xml:space="preserve">, S., </w:t>
      </w:r>
      <w:proofErr w:type="spellStart"/>
      <w:r w:rsidRPr="00AC29AB">
        <w:rPr>
          <w:rFonts w:ascii="Arial" w:eastAsiaTheme="minorEastAsia" w:hAnsi="Arial" w:cs="Arial"/>
          <w:color w:val="auto"/>
          <w:sz w:val="16"/>
          <w:szCs w:val="21"/>
        </w:rPr>
        <w:t>Brayne</w:t>
      </w:r>
      <w:proofErr w:type="spellEnd"/>
      <w:r w:rsidRPr="00AC29AB">
        <w:rPr>
          <w:rFonts w:ascii="Arial" w:eastAsiaTheme="minorEastAsia" w:hAnsi="Arial" w:cs="Arial"/>
          <w:color w:val="auto"/>
          <w:sz w:val="16"/>
          <w:szCs w:val="21"/>
        </w:rPr>
        <w:t xml:space="preserve">, C., Stephan, B.C., Sweeney, M.D., </w:t>
      </w:r>
      <w:proofErr w:type="spellStart"/>
      <w:r w:rsidRPr="00AC29AB">
        <w:rPr>
          <w:rFonts w:ascii="Arial" w:eastAsiaTheme="minorEastAsia" w:hAnsi="Arial" w:cs="Arial"/>
          <w:color w:val="auto"/>
          <w:sz w:val="16"/>
          <w:szCs w:val="21"/>
        </w:rPr>
        <w:t>Zlokovic</w:t>
      </w:r>
      <w:proofErr w:type="spellEnd"/>
      <w:r w:rsidRPr="00AC29AB">
        <w:rPr>
          <w:rFonts w:ascii="Arial" w:eastAsiaTheme="minorEastAsia" w:hAnsi="Arial" w:cs="Arial"/>
          <w:color w:val="auto"/>
          <w:sz w:val="16"/>
          <w:szCs w:val="21"/>
        </w:rPr>
        <w:t xml:space="preserve">, B., </w:t>
      </w:r>
      <w:proofErr w:type="spellStart"/>
      <w:r w:rsidRPr="00AC29AB">
        <w:rPr>
          <w:rFonts w:ascii="Arial" w:eastAsiaTheme="minorEastAsia" w:hAnsi="Arial" w:cs="Arial"/>
          <w:color w:val="auto"/>
          <w:sz w:val="16"/>
          <w:szCs w:val="21"/>
        </w:rPr>
        <w:t>Iturria</w:t>
      </w:r>
      <w:proofErr w:type="spellEnd"/>
      <w:r w:rsidRPr="00AC29AB">
        <w:rPr>
          <w:rFonts w:ascii="Arial" w:eastAsiaTheme="minorEastAsia" w:hAnsi="Arial" w:cs="Arial"/>
          <w:color w:val="auto"/>
          <w:sz w:val="16"/>
          <w:szCs w:val="21"/>
        </w:rPr>
        <w:t xml:space="preserve">-Medina, Y., </w:t>
      </w:r>
      <w:proofErr w:type="spellStart"/>
      <w:r w:rsidRPr="00AC29AB">
        <w:rPr>
          <w:rFonts w:ascii="Arial" w:eastAsiaTheme="minorEastAsia" w:hAnsi="Arial" w:cs="Arial"/>
          <w:color w:val="auto"/>
          <w:sz w:val="16"/>
          <w:szCs w:val="21"/>
        </w:rPr>
        <w:t>Iadecola</w:t>
      </w:r>
      <w:proofErr w:type="spellEnd"/>
      <w:r w:rsidRPr="00AC29AB">
        <w:rPr>
          <w:rFonts w:ascii="Arial" w:eastAsiaTheme="minorEastAsia" w:hAnsi="Arial" w:cs="Arial"/>
          <w:color w:val="auto"/>
          <w:sz w:val="16"/>
          <w:szCs w:val="21"/>
        </w:rPr>
        <w:t>, C. and Nishimura, N., 2019. Preventing dementia by preventing stroke: the Berlin Manifesto. Alzheimer's &amp; Dementia, 15(7), pp.961-984.</w:t>
      </w:r>
    </w:p>
    <w:p w14:paraId="5C86742F"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James, I.A. and Jackman, L., 2017. Understanding behaviour in dementia that challenges: A guide to assessment and treatment. Jessica Kingsley Publishers.</w:t>
      </w:r>
    </w:p>
    <w:p w14:paraId="2D2413B4"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Langa</w:t>
      </w:r>
      <w:proofErr w:type="spellEnd"/>
      <w:r w:rsidRPr="00AC29AB">
        <w:rPr>
          <w:rFonts w:ascii="Arial" w:eastAsiaTheme="minorEastAsia" w:hAnsi="Arial" w:cs="Arial"/>
          <w:color w:val="auto"/>
          <w:sz w:val="16"/>
          <w:szCs w:val="21"/>
        </w:rPr>
        <w:t xml:space="preserve">, K.M., Larson, E.B., Crimmins, E.M., </w:t>
      </w:r>
      <w:proofErr w:type="spellStart"/>
      <w:r w:rsidRPr="00AC29AB">
        <w:rPr>
          <w:rFonts w:ascii="Arial" w:eastAsiaTheme="minorEastAsia" w:hAnsi="Arial" w:cs="Arial"/>
          <w:color w:val="auto"/>
          <w:sz w:val="16"/>
          <w:szCs w:val="21"/>
        </w:rPr>
        <w:t>Faul</w:t>
      </w:r>
      <w:proofErr w:type="spellEnd"/>
      <w:r w:rsidRPr="00AC29AB">
        <w:rPr>
          <w:rFonts w:ascii="Arial" w:eastAsiaTheme="minorEastAsia" w:hAnsi="Arial" w:cs="Arial"/>
          <w:color w:val="auto"/>
          <w:sz w:val="16"/>
          <w:szCs w:val="21"/>
        </w:rPr>
        <w:t xml:space="preserve">, J.D., Levine, D.A., </w:t>
      </w:r>
      <w:proofErr w:type="spellStart"/>
      <w:r w:rsidRPr="00AC29AB">
        <w:rPr>
          <w:rFonts w:ascii="Arial" w:eastAsiaTheme="minorEastAsia" w:hAnsi="Arial" w:cs="Arial"/>
          <w:color w:val="auto"/>
          <w:sz w:val="16"/>
          <w:szCs w:val="21"/>
        </w:rPr>
        <w:t>Kabeto</w:t>
      </w:r>
      <w:proofErr w:type="spellEnd"/>
      <w:r w:rsidRPr="00AC29AB">
        <w:rPr>
          <w:rFonts w:ascii="Arial" w:eastAsiaTheme="minorEastAsia" w:hAnsi="Arial" w:cs="Arial"/>
          <w:color w:val="auto"/>
          <w:sz w:val="16"/>
          <w:szCs w:val="21"/>
        </w:rPr>
        <w:t>, M.U. and Weir, D.R., 2017. A comparison of the prevalence of dementia in the United States in 2000 and 2012. JAMA internal medicine, 177(1), pp.51-58.</w:t>
      </w:r>
    </w:p>
    <w:p w14:paraId="5C14B80E"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Livingston, G., Huntley, J., </w:t>
      </w:r>
      <w:proofErr w:type="spellStart"/>
      <w:r w:rsidRPr="00AC29AB">
        <w:rPr>
          <w:rFonts w:ascii="Arial" w:eastAsiaTheme="minorEastAsia" w:hAnsi="Arial" w:cs="Arial"/>
          <w:color w:val="auto"/>
          <w:sz w:val="16"/>
          <w:szCs w:val="21"/>
        </w:rPr>
        <w:t>Sommerlad</w:t>
      </w:r>
      <w:proofErr w:type="spellEnd"/>
      <w:r w:rsidRPr="00AC29AB">
        <w:rPr>
          <w:rFonts w:ascii="Arial" w:eastAsiaTheme="minorEastAsia" w:hAnsi="Arial" w:cs="Arial"/>
          <w:color w:val="auto"/>
          <w:sz w:val="16"/>
          <w:szCs w:val="21"/>
        </w:rPr>
        <w:t xml:space="preserve">, A., Ames, D., Ballard, C., Banerjee, S., </w:t>
      </w:r>
      <w:proofErr w:type="spellStart"/>
      <w:r w:rsidRPr="00AC29AB">
        <w:rPr>
          <w:rFonts w:ascii="Arial" w:eastAsiaTheme="minorEastAsia" w:hAnsi="Arial" w:cs="Arial"/>
          <w:color w:val="auto"/>
          <w:sz w:val="16"/>
          <w:szCs w:val="21"/>
        </w:rPr>
        <w:t>Brayne</w:t>
      </w:r>
      <w:proofErr w:type="spellEnd"/>
      <w:r w:rsidRPr="00AC29AB">
        <w:rPr>
          <w:rFonts w:ascii="Arial" w:eastAsiaTheme="minorEastAsia" w:hAnsi="Arial" w:cs="Arial"/>
          <w:color w:val="auto"/>
          <w:sz w:val="16"/>
          <w:szCs w:val="21"/>
        </w:rPr>
        <w:t xml:space="preserve">, C., Burns, A., Cohen-Mansfield, J., Cooper, C. and </w:t>
      </w:r>
      <w:proofErr w:type="spellStart"/>
      <w:r w:rsidRPr="00AC29AB">
        <w:rPr>
          <w:rFonts w:ascii="Arial" w:eastAsiaTheme="minorEastAsia" w:hAnsi="Arial" w:cs="Arial"/>
          <w:color w:val="auto"/>
          <w:sz w:val="16"/>
          <w:szCs w:val="21"/>
        </w:rPr>
        <w:t>Costafreda</w:t>
      </w:r>
      <w:proofErr w:type="spellEnd"/>
      <w:r w:rsidRPr="00AC29AB">
        <w:rPr>
          <w:rFonts w:ascii="Arial" w:eastAsiaTheme="minorEastAsia" w:hAnsi="Arial" w:cs="Arial"/>
          <w:color w:val="auto"/>
          <w:sz w:val="16"/>
          <w:szCs w:val="21"/>
        </w:rPr>
        <w:t>, S.G., 2020. Dementia prevention, intervention, and care: 2020 report of the Lancet Commission. The Lancet, 396(10248), pp.413-446.</w:t>
      </w:r>
    </w:p>
    <w:p w14:paraId="21E5DEDC"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Livingston, G., </w:t>
      </w:r>
      <w:proofErr w:type="spellStart"/>
      <w:r w:rsidRPr="00AC29AB">
        <w:rPr>
          <w:rFonts w:ascii="Arial" w:eastAsiaTheme="minorEastAsia" w:hAnsi="Arial" w:cs="Arial"/>
          <w:color w:val="auto"/>
          <w:sz w:val="16"/>
          <w:szCs w:val="21"/>
        </w:rPr>
        <w:t>Sommerlad</w:t>
      </w:r>
      <w:proofErr w:type="spellEnd"/>
      <w:r w:rsidRPr="00AC29AB">
        <w:rPr>
          <w:rFonts w:ascii="Arial" w:eastAsiaTheme="minorEastAsia" w:hAnsi="Arial" w:cs="Arial"/>
          <w:color w:val="auto"/>
          <w:sz w:val="16"/>
          <w:szCs w:val="21"/>
        </w:rPr>
        <w:t xml:space="preserve">, A., </w:t>
      </w:r>
      <w:proofErr w:type="spellStart"/>
      <w:r w:rsidRPr="00AC29AB">
        <w:rPr>
          <w:rFonts w:ascii="Arial" w:eastAsiaTheme="minorEastAsia" w:hAnsi="Arial" w:cs="Arial"/>
          <w:color w:val="auto"/>
          <w:sz w:val="16"/>
          <w:szCs w:val="21"/>
        </w:rPr>
        <w:t>Orgeta</w:t>
      </w:r>
      <w:proofErr w:type="spellEnd"/>
      <w:r w:rsidRPr="00AC29AB">
        <w:rPr>
          <w:rFonts w:ascii="Arial" w:eastAsiaTheme="minorEastAsia" w:hAnsi="Arial" w:cs="Arial"/>
          <w:color w:val="auto"/>
          <w:sz w:val="16"/>
          <w:szCs w:val="21"/>
        </w:rPr>
        <w:t xml:space="preserve">, V., </w:t>
      </w:r>
      <w:proofErr w:type="spellStart"/>
      <w:r w:rsidRPr="00AC29AB">
        <w:rPr>
          <w:rFonts w:ascii="Arial" w:eastAsiaTheme="minorEastAsia" w:hAnsi="Arial" w:cs="Arial"/>
          <w:color w:val="auto"/>
          <w:sz w:val="16"/>
          <w:szCs w:val="21"/>
        </w:rPr>
        <w:t>Costafreda</w:t>
      </w:r>
      <w:proofErr w:type="spellEnd"/>
      <w:r w:rsidRPr="00AC29AB">
        <w:rPr>
          <w:rFonts w:ascii="Arial" w:eastAsiaTheme="minorEastAsia" w:hAnsi="Arial" w:cs="Arial"/>
          <w:color w:val="auto"/>
          <w:sz w:val="16"/>
          <w:szCs w:val="21"/>
        </w:rPr>
        <w:t>, S.G., Huntley, J., Ames, D., Ballard, C., Banerjee, S., Burns, A., Cohen-Mansfield, J. and Cooper, C., 2017. Dementia prevention, intervention, and care. The lancet, 390(10113), pp.2673-2734.</w:t>
      </w:r>
    </w:p>
    <w:p w14:paraId="0AA3555F"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Lucero, R.J., Fehlberg, E.A., Patel, A.G., </w:t>
      </w:r>
      <w:proofErr w:type="spellStart"/>
      <w:r w:rsidRPr="00AC29AB">
        <w:rPr>
          <w:rFonts w:ascii="Arial" w:eastAsiaTheme="minorEastAsia" w:hAnsi="Arial" w:cs="Arial"/>
          <w:color w:val="auto"/>
          <w:sz w:val="16"/>
          <w:szCs w:val="21"/>
        </w:rPr>
        <w:t>Bjarnardottir</w:t>
      </w:r>
      <w:proofErr w:type="spellEnd"/>
      <w:r w:rsidRPr="00AC29AB">
        <w:rPr>
          <w:rFonts w:ascii="Arial" w:eastAsiaTheme="minorEastAsia" w:hAnsi="Arial" w:cs="Arial"/>
          <w:color w:val="auto"/>
          <w:sz w:val="16"/>
          <w:szCs w:val="21"/>
        </w:rPr>
        <w:t xml:space="preserve">, R.I., Williams, R., Lee, K., Ansell, M., Bakken, S., </w:t>
      </w:r>
      <w:proofErr w:type="spellStart"/>
      <w:r w:rsidRPr="00AC29AB">
        <w:rPr>
          <w:rFonts w:ascii="Arial" w:eastAsiaTheme="minorEastAsia" w:hAnsi="Arial" w:cs="Arial"/>
          <w:color w:val="auto"/>
          <w:sz w:val="16"/>
          <w:szCs w:val="21"/>
        </w:rPr>
        <w:t>Luchsinger</w:t>
      </w:r>
      <w:proofErr w:type="spellEnd"/>
      <w:r w:rsidRPr="00AC29AB">
        <w:rPr>
          <w:rFonts w:ascii="Arial" w:eastAsiaTheme="minorEastAsia" w:hAnsi="Arial" w:cs="Arial"/>
          <w:color w:val="auto"/>
          <w:sz w:val="16"/>
          <w:szCs w:val="21"/>
        </w:rPr>
        <w:t xml:space="preserve">, J.A. and </w:t>
      </w:r>
      <w:proofErr w:type="spellStart"/>
      <w:r w:rsidRPr="00AC29AB">
        <w:rPr>
          <w:rFonts w:ascii="Arial" w:eastAsiaTheme="minorEastAsia" w:hAnsi="Arial" w:cs="Arial"/>
          <w:color w:val="auto"/>
          <w:sz w:val="16"/>
          <w:szCs w:val="21"/>
        </w:rPr>
        <w:t>Mittelman</w:t>
      </w:r>
      <w:proofErr w:type="spellEnd"/>
      <w:r w:rsidRPr="00AC29AB">
        <w:rPr>
          <w:rFonts w:ascii="Arial" w:eastAsiaTheme="minorEastAsia" w:hAnsi="Arial" w:cs="Arial"/>
          <w:color w:val="auto"/>
          <w:sz w:val="16"/>
          <w:szCs w:val="21"/>
        </w:rPr>
        <w:t>, M., 2019. The effects of information and communication technologies on informal caregivers of persons living with dementia: a systematic review. Alzheimer's &amp; Dementia: Translational Research &amp; Clinical Interventions, 5, pp.1-12.</w:t>
      </w:r>
    </w:p>
    <w:p w14:paraId="370EE0E0"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Mijajlović</w:t>
      </w:r>
      <w:proofErr w:type="spellEnd"/>
      <w:r w:rsidRPr="00AC29AB">
        <w:rPr>
          <w:rFonts w:ascii="Arial" w:eastAsiaTheme="minorEastAsia" w:hAnsi="Arial" w:cs="Arial"/>
          <w:color w:val="auto"/>
          <w:sz w:val="16"/>
          <w:szCs w:val="21"/>
        </w:rPr>
        <w:t xml:space="preserve">, M.D., Pavlović, A., </w:t>
      </w:r>
      <w:proofErr w:type="spellStart"/>
      <w:r w:rsidRPr="00AC29AB">
        <w:rPr>
          <w:rFonts w:ascii="Arial" w:eastAsiaTheme="minorEastAsia" w:hAnsi="Arial" w:cs="Arial"/>
          <w:color w:val="auto"/>
          <w:sz w:val="16"/>
          <w:szCs w:val="21"/>
        </w:rPr>
        <w:t>Brainin</w:t>
      </w:r>
      <w:proofErr w:type="spellEnd"/>
      <w:r w:rsidRPr="00AC29AB">
        <w:rPr>
          <w:rFonts w:ascii="Arial" w:eastAsiaTheme="minorEastAsia" w:hAnsi="Arial" w:cs="Arial"/>
          <w:color w:val="auto"/>
          <w:sz w:val="16"/>
          <w:szCs w:val="21"/>
        </w:rPr>
        <w:t xml:space="preserve">, M., </w:t>
      </w:r>
      <w:proofErr w:type="spellStart"/>
      <w:r w:rsidRPr="00AC29AB">
        <w:rPr>
          <w:rFonts w:ascii="Arial" w:eastAsiaTheme="minorEastAsia" w:hAnsi="Arial" w:cs="Arial"/>
          <w:color w:val="auto"/>
          <w:sz w:val="16"/>
          <w:szCs w:val="21"/>
        </w:rPr>
        <w:t>Heiss</w:t>
      </w:r>
      <w:proofErr w:type="spellEnd"/>
      <w:r w:rsidRPr="00AC29AB">
        <w:rPr>
          <w:rFonts w:ascii="Arial" w:eastAsiaTheme="minorEastAsia" w:hAnsi="Arial" w:cs="Arial"/>
          <w:color w:val="auto"/>
          <w:sz w:val="16"/>
          <w:szCs w:val="21"/>
        </w:rPr>
        <w:t xml:space="preserve">, W.D., Quinn, T.J., </w:t>
      </w:r>
      <w:proofErr w:type="spellStart"/>
      <w:r w:rsidRPr="00AC29AB">
        <w:rPr>
          <w:rFonts w:ascii="Arial" w:eastAsiaTheme="minorEastAsia" w:hAnsi="Arial" w:cs="Arial"/>
          <w:color w:val="auto"/>
          <w:sz w:val="16"/>
          <w:szCs w:val="21"/>
        </w:rPr>
        <w:t>Ihle</w:t>
      </w:r>
      <w:proofErr w:type="spellEnd"/>
      <w:r w:rsidRPr="00AC29AB">
        <w:rPr>
          <w:rFonts w:ascii="Arial" w:eastAsiaTheme="minorEastAsia" w:hAnsi="Arial" w:cs="Arial"/>
          <w:color w:val="auto"/>
          <w:sz w:val="16"/>
          <w:szCs w:val="21"/>
        </w:rPr>
        <w:t xml:space="preserve">-Hansen, H.B., Hermann, D.M., </w:t>
      </w:r>
      <w:proofErr w:type="spellStart"/>
      <w:r w:rsidRPr="00AC29AB">
        <w:rPr>
          <w:rFonts w:ascii="Arial" w:eastAsiaTheme="minorEastAsia" w:hAnsi="Arial" w:cs="Arial"/>
          <w:color w:val="auto"/>
          <w:sz w:val="16"/>
          <w:szCs w:val="21"/>
        </w:rPr>
        <w:t>Assayag</w:t>
      </w:r>
      <w:proofErr w:type="spellEnd"/>
      <w:r w:rsidRPr="00AC29AB">
        <w:rPr>
          <w:rFonts w:ascii="Arial" w:eastAsiaTheme="minorEastAsia" w:hAnsi="Arial" w:cs="Arial"/>
          <w:color w:val="auto"/>
          <w:sz w:val="16"/>
          <w:szCs w:val="21"/>
        </w:rPr>
        <w:t xml:space="preserve">, E.B., Richard, E., </w:t>
      </w:r>
      <w:proofErr w:type="spellStart"/>
      <w:r w:rsidRPr="00AC29AB">
        <w:rPr>
          <w:rFonts w:ascii="Arial" w:eastAsiaTheme="minorEastAsia" w:hAnsi="Arial" w:cs="Arial"/>
          <w:color w:val="auto"/>
          <w:sz w:val="16"/>
          <w:szCs w:val="21"/>
        </w:rPr>
        <w:t>Thiel</w:t>
      </w:r>
      <w:proofErr w:type="spellEnd"/>
      <w:r w:rsidRPr="00AC29AB">
        <w:rPr>
          <w:rFonts w:ascii="Arial" w:eastAsiaTheme="minorEastAsia" w:hAnsi="Arial" w:cs="Arial"/>
          <w:color w:val="auto"/>
          <w:sz w:val="16"/>
          <w:szCs w:val="21"/>
        </w:rPr>
        <w:t xml:space="preserve">, A. and </w:t>
      </w:r>
      <w:proofErr w:type="spellStart"/>
      <w:r w:rsidRPr="00AC29AB">
        <w:rPr>
          <w:rFonts w:ascii="Arial" w:eastAsiaTheme="minorEastAsia" w:hAnsi="Arial" w:cs="Arial"/>
          <w:color w:val="auto"/>
          <w:sz w:val="16"/>
          <w:szCs w:val="21"/>
        </w:rPr>
        <w:t>Kliper</w:t>
      </w:r>
      <w:proofErr w:type="spellEnd"/>
      <w:r w:rsidRPr="00AC29AB">
        <w:rPr>
          <w:rFonts w:ascii="Arial" w:eastAsiaTheme="minorEastAsia" w:hAnsi="Arial" w:cs="Arial"/>
          <w:color w:val="auto"/>
          <w:sz w:val="16"/>
          <w:szCs w:val="21"/>
        </w:rPr>
        <w:t>, E., 2017. Post-stroke dementia–a comprehensive review. BMC medicine, 15(1), pp.1-12.</w:t>
      </w:r>
    </w:p>
    <w:p w14:paraId="50D5B02A"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Rakesh, G., Szabo, S.T., </w:t>
      </w:r>
      <w:proofErr w:type="spellStart"/>
      <w:r w:rsidRPr="00AC29AB">
        <w:rPr>
          <w:rFonts w:ascii="Arial" w:eastAsiaTheme="minorEastAsia" w:hAnsi="Arial" w:cs="Arial"/>
          <w:color w:val="auto"/>
          <w:sz w:val="16"/>
          <w:szCs w:val="21"/>
        </w:rPr>
        <w:t>Alexopoulos</w:t>
      </w:r>
      <w:proofErr w:type="spellEnd"/>
      <w:r w:rsidRPr="00AC29AB">
        <w:rPr>
          <w:rFonts w:ascii="Arial" w:eastAsiaTheme="minorEastAsia" w:hAnsi="Arial" w:cs="Arial"/>
          <w:color w:val="auto"/>
          <w:sz w:val="16"/>
          <w:szCs w:val="21"/>
        </w:rPr>
        <w:t xml:space="preserve">, G.S. and </w:t>
      </w:r>
      <w:proofErr w:type="spellStart"/>
      <w:r w:rsidRPr="00AC29AB">
        <w:rPr>
          <w:rFonts w:ascii="Arial" w:eastAsiaTheme="minorEastAsia" w:hAnsi="Arial" w:cs="Arial"/>
          <w:color w:val="auto"/>
          <w:sz w:val="16"/>
          <w:szCs w:val="21"/>
        </w:rPr>
        <w:t>Zannas</w:t>
      </w:r>
      <w:proofErr w:type="spellEnd"/>
      <w:r w:rsidRPr="00AC29AB">
        <w:rPr>
          <w:rFonts w:ascii="Arial" w:eastAsiaTheme="minorEastAsia" w:hAnsi="Arial" w:cs="Arial"/>
          <w:color w:val="auto"/>
          <w:sz w:val="16"/>
          <w:szCs w:val="21"/>
        </w:rPr>
        <w:t>, A.S., 2017. Strategies for dementia prevention: latest evidence and implications. Therapeutic advances in chronic disease, 8(8-9), pp.121-136.</w:t>
      </w:r>
    </w:p>
    <w:p w14:paraId="30D41D57"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 xml:space="preserve">Wang, H., Li, T., </w:t>
      </w:r>
      <w:proofErr w:type="spellStart"/>
      <w:r w:rsidRPr="00AC29AB">
        <w:rPr>
          <w:rFonts w:ascii="Arial" w:eastAsiaTheme="minorEastAsia" w:hAnsi="Arial" w:cs="Arial"/>
          <w:color w:val="auto"/>
          <w:sz w:val="16"/>
          <w:szCs w:val="21"/>
        </w:rPr>
        <w:t>Barbarino</w:t>
      </w:r>
      <w:proofErr w:type="spellEnd"/>
      <w:r w:rsidRPr="00AC29AB">
        <w:rPr>
          <w:rFonts w:ascii="Arial" w:eastAsiaTheme="minorEastAsia" w:hAnsi="Arial" w:cs="Arial"/>
          <w:color w:val="auto"/>
          <w:sz w:val="16"/>
          <w:szCs w:val="21"/>
        </w:rPr>
        <w:t xml:space="preserve">, P., Gauthier, S., </w:t>
      </w:r>
      <w:proofErr w:type="spellStart"/>
      <w:r w:rsidRPr="00AC29AB">
        <w:rPr>
          <w:rFonts w:ascii="Arial" w:eastAsiaTheme="minorEastAsia" w:hAnsi="Arial" w:cs="Arial"/>
          <w:color w:val="auto"/>
          <w:sz w:val="16"/>
          <w:szCs w:val="21"/>
        </w:rPr>
        <w:t>Brodaty</w:t>
      </w:r>
      <w:proofErr w:type="spellEnd"/>
      <w:r w:rsidRPr="00AC29AB">
        <w:rPr>
          <w:rFonts w:ascii="Arial" w:eastAsiaTheme="minorEastAsia" w:hAnsi="Arial" w:cs="Arial"/>
          <w:color w:val="auto"/>
          <w:sz w:val="16"/>
          <w:szCs w:val="21"/>
        </w:rPr>
        <w:t xml:space="preserve">, H., </w:t>
      </w:r>
      <w:proofErr w:type="spellStart"/>
      <w:r w:rsidRPr="00AC29AB">
        <w:rPr>
          <w:rFonts w:ascii="Arial" w:eastAsiaTheme="minorEastAsia" w:hAnsi="Arial" w:cs="Arial"/>
          <w:color w:val="auto"/>
          <w:sz w:val="16"/>
          <w:szCs w:val="21"/>
        </w:rPr>
        <w:t>Molinuevo</w:t>
      </w:r>
      <w:proofErr w:type="spellEnd"/>
      <w:r w:rsidRPr="00AC29AB">
        <w:rPr>
          <w:rFonts w:ascii="Arial" w:eastAsiaTheme="minorEastAsia" w:hAnsi="Arial" w:cs="Arial"/>
          <w:color w:val="auto"/>
          <w:sz w:val="16"/>
          <w:szCs w:val="21"/>
        </w:rPr>
        <w:t xml:space="preserve">, J.L., </w:t>
      </w:r>
      <w:proofErr w:type="spellStart"/>
      <w:r w:rsidRPr="00AC29AB">
        <w:rPr>
          <w:rFonts w:ascii="Arial" w:eastAsiaTheme="minorEastAsia" w:hAnsi="Arial" w:cs="Arial"/>
          <w:color w:val="auto"/>
          <w:sz w:val="16"/>
          <w:szCs w:val="21"/>
        </w:rPr>
        <w:t>Xie</w:t>
      </w:r>
      <w:proofErr w:type="spellEnd"/>
      <w:r w:rsidRPr="00AC29AB">
        <w:rPr>
          <w:rFonts w:ascii="Arial" w:eastAsiaTheme="minorEastAsia" w:hAnsi="Arial" w:cs="Arial"/>
          <w:color w:val="auto"/>
          <w:sz w:val="16"/>
          <w:szCs w:val="21"/>
        </w:rPr>
        <w:t>, H., Sun, Y., Yu, E., Tang, Y. and Weidner, W., 2020. Dementia care during COVID-19. The Lancet, 395(10231), pp.1190-1191.</w:t>
      </w:r>
    </w:p>
    <w:p w14:paraId="54766387"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proofErr w:type="spellStart"/>
      <w:r w:rsidRPr="00AC29AB">
        <w:rPr>
          <w:rFonts w:ascii="Arial" w:eastAsiaTheme="minorEastAsia" w:hAnsi="Arial" w:cs="Arial"/>
          <w:color w:val="auto"/>
          <w:sz w:val="16"/>
          <w:szCs w:val="21"/>
        </w:rPr>
        <w:t>Wimo</w:t>
      </w:r>
      <w:proofErr w:type="spellEnd"/>
      <w:r w:rsidRPr="00AC29AB">
        <w:rPr>
          <w:rFonts w:ascii="Arial" w:eastAsiaTheme="minorEastAsia" w:hAnsi="Arial" w:cs="Arial"/>
          <w:color w:val="auto"/>
          <w:sz w:val="16"/>
          <w:szCs w:val="21"/>
        </w:rPr>
        <w:t xml:space="preserve">, A., </w:t>
      </w:r>
      <w:proofErr w:type="spellStart"/>
      <w:r w:rsidRPr="00AC29AB">
        <w:rPr>
          <w:rFonts w:ascii="Arial" w:eastAsiaTheme="minorEastAsia" w:hAnsi="Arial" w:cs="Arial"/>
          <w:color w:val="auto"/>
          <w:sz w:val="16"/>
          <w:szCs w:val="21"/>
        </w:rPr>
        <w:t>Guerchet</w:t>
      </w:r>
      <w:proofErr w:type="spellEnd"/>
      <w:r w:rsidRPr="00AC29AB">
        <w:rPr>
          <w:rFonts w:ascii="Arial" w:eastAsiaTheme="minorEastAsia" w:hAnsi="Arial" w:cs="Arial"/>
          <w:color w:val="auto"/>
          <w:sz w:val="16"/>
          <w:szCs w:val="21"/>
        </w:rPr>
        <w:t xml:space="preserve">, M., Ali, G.C., Wu, Y.T., </w:t>
      </w:r>
      <w:proofErr w:type="spellStart"/>
      <w:r w:rsidRPr="00AC29AB">
        <w:rPr>
          <w:rFonts w:ascii="Arial" w:eastAsiaTheme="minorEastAsia" w:hAnsi="Arial" w:cs="Arial"/>
          <w:color w:val="auto"/>
          <w:sz w:val="16"/>
          <w:szCs w:val="21"/>
        </w:rPr>
        <w:t>Prina</w:t>
      </w:r>
      <w:proofErr w:type="spellEnd"/>
      <w:r w:rsidRPr="00AC29AB">
        <w:rPr>
          <w:rFonts w:ascii="Arial" w:eastAsiaTheme="minorEastAsia" w:hAnsi="Arial" w:cs="Arial"/>
          <w:color w:val="auto"/>
          <w:sz w:val="16"/>
          <w:szCs w:val="21"/>
        </w:rPr>
        <w:t xml:space="preserve">, A.M., </w:t>
      </w:r>
      <w:proofErr w:type="spellStart"/>
      <w:r w:rsidRPr="00AC29AB">
        <w:rPr>
          <w:rFonts w:ascii="Arial" w:eastAsiaTheme="minorEastAsia" w:hAnsi="Arial" w:cs="Arial"/>
          <w:color w:val="auto"/>
          <w:sz w:val="16"/>
          <w:szCs w:val="21"/>
        </w:rPr>
        <w:t>Winblad</w:t>
      </w:r>
      <w:proofErr w:type="spellEnd"/>
      <w:r w:rsidRPr="00AC29AB">
        <w:rPr>
          <w:rFonts w:ascii="Arial" w:eastAsiaTheme="minorEastAsia" w:hAnsi="Arial" w:cs="Arial"/>
          <w:color w:val="auto"/>
          <w:sz w:val="16"/>
          <w:szCs w:val="21"/>
        </w:rPr>
        <w:t xml:space="preserve">, B., </w:t>
      </w:r>
      <w:proofErr w:type="spellStart"/>
      <w:r w:rsidRPr="00AC29AB">
        <w:rPr>
          <w:rFonts w:ascii="Arial" w:eastAsiaTheme="minorEastAsia" w:hAnsi="Arial" w:cs="Arial"/>
          <w:color w:val="auto"/>
          <w:sz w:val="16"/>
          <w:szCs w:val="21"/>
        </w:rPr>
        <w:t>Jönsson</w:t>
      </w:r>
      <w:proofErr w:type="spellEnd"/>
      <w:r w:rsidRPr="00AC29AB">
        <w:rPr>
          <w:rFonts w:ascii="Arial" w:eastAsiaTheme="minorEastAsia" w:hAnsi="Arial" w:cs="Arial"/>
          <w:color w:val="auto"/>
          <w:sz w:val="16"/>
          <w:szCs w:val="21"/>
        </w:rPr>
        <w:t>, L., Liu, Z. and Prince, M., 2017. The worldwide costs of dementia 2015 and comparisons with 2010. Alzheimer's &amp; Dementia, 13(1), pp.1-7.</w:t>
      </w:r>
    </w:p>
    <w:p w14:paraId="5CD51279"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World Health Organization, 2017. Global action plan on the public health response to dementia 2017–2025.</w:t>
      </w:r>
    </w:p>
    <w:p w14:paraId="7532A364"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World Health Organization, 2018. Towards a dementia plan: a WHO guide.</w:t>
      </w:r>
    </w:p>
    <w:p w14:paraId="32B321B3" w14:textId="77777777" w:rsidR="005F66A3" w:rsidRPr="00AC29AB" w:rsidRDefault="008259AA" w:rsidP="0056229E">
      <w:pPr>
        <w:spacing w:after="120" w:line="276" w:lineRule="auto"/>
        <w:ind w:left="720" w:hanging="720"/>
        <w:rPr>
          <w:rFonts w:ascii="Arial" w:eastAsia="Times New Roman" w:hAnsi="Arial" w:cs="Arial"/>
          <w:color w:val="auto"/>
          <w:sz w:val="16"/>
          <w:szCs w:val="21"/>
        </w:rPr>
      </w:pPr>
      <w:r w:rsidRPr="00AC29AB">
        <w:rPr>
          <w:rFonts w:ascii="Arial" w:eastAsiaTheme="minorEastAsia" w:hAnsi="Arial" w:cs="Arial"/>
          <w:color w:val="auto"/>
          <w:sz w:val="16"/>
          <w:szCs w:val="21"/>
        </w:rPr>
        <w:t>World Health Organization, 2021. Global status report on the public health response to dementia.</w:t>
      </w:r>
    </w:p>
    <w:p w14:paraId="1D2098EF" w14:textId="77777777" w:rsidR="003B5E51" w:rsidRPr="00AC29AB" w:rsidRDefault="003B5E51" w:rsidP="002C119A">
      <w:pPr>
        <w:spacing w:after="120" w:line="276" w:lineRule="auto"/>
        <w:rPr>
          <w:rFonts w:ascii="Arial" w:eastAsia="Times New Roman" w:hAnsi="Arial" w:cs="Arial"/>
          <w:color w:val="auto"/>
          <w:sz w:val="10"/>
          <w:szCs w:val="21"/>
        </w:rPr>
      </w:pPr>
    </w:p>
    <w:sectPr w:rsidR="003B5E51" w:rsidRPr="00AC29AB" w:rsidSect="00EB24BF">
      <w:pgSz w:w="15840" w:h="12240" w:orient="landscape"/>
      <w:pgMar w:top="900" w:right="1440" w:bottom="990" w:left="1440" w:header="288" w:footer="720" w:gutter="0"/>
      <w:pgBorders w:offsetFrom="page">
        <w:top w:val="single" w:sz="4" w:space="24" w:color="auto"/>
        <w:left w:val="single" w:sz="4" w:space="24" w:color="auto"/>
        <w:bottom w:val="single" w:sz="4" w:space="24" w:color="auto"/>
        <w:right w:val="single" w:sz="4" w:space="24" w:color="auto"/>
      </w:pgBorders>
      <w:cols w:space="2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BCFB3" w14:textId="77777777" w:rsidR="006F374F" w:rsidRDefault="006F374F">
      <w:pPr>
        <w:spacing w:after="0" w:line="240" w:lineRule="auto"/>
      </w:pPr>
      <w:r>
        <w:separator/>
      </w:r>
    </w:p>
  </w:endnote>
  <w:endnote w:type="continuationSeparator" w:id="0">
    <w:p w14:paraId="7610789D" w14:textId="77777777" w:rsidR="006F374F" w:rsidRDefault="006F3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3D277" w14:textId="77777777" w:rsidR="006F374F" w:rsidRDefault="006F374F">
      <w:pPr>
        <w:spacing w:after="0" w:line="240" w:lineRule="auto"/>
      </w:pPr>
      <w:r>
        <w:separator/>
      </w:r>
    </w:p>
  </w:footnote>
  <w:footnote w:type="continuationSeparator" w:id="0">
    <w:p w14:paraId="5FE2068C" w14:textId="77777777" w:rsidR="006F374F" w:rsidRDefault="006F37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905731"/>
      <w:docPartObj>
        <w:docPartGallery w:val="Page Numbers (Top of Page)"/>
        <w:docPartUnique/>
      </w:docPartObj>
    </w:sdtPr>
    <w:sdtEndPr>
      <w:rPr>
        <w:noProof/>
      </w:rPr>
    </w:sdtEndPr>
    <w:sdtContent>
      <w:p w14:paraId="18AAD058" w14:textId="77777777" w:rsidR="00ED7EB9" w:rsidRDefault="008259AA">
        <w:pPr>
          <w:pStyle w:val="Header"/>
          <w:jc w:val="right"/>
        </w:pPr>
        <w:r>
          <w:fldChar w:fldCharType="begin"/>
        </w:r>
        <w:r>
          <w:instrText xml:space="preserve"> PAGE   \* MERGEFORMAT </w:instrText>
        </w:r>
        <w:r>
          <w:fldChar w:fldCharType="separate"/>
        </w:r>
        <w:r w:rsidR="003F5E4D">
          <w:rPr>
            <w:noProof/>
          </w:rPr>
          <w:t>8</w:t>
        </w:r>
        <w:r>
          <w:rPr>
            <w:noProof/>
          </w:rPr>
          <w:fldChar w:fldCharType="end"/>
        </w:r>
      </w:p>
    </w:sdtContent>
  </w:sdt>
  <w:p w14:paraId="6C0779A9" w14:textId="77777777" w:rsidR="00ED7EB9" w:rsidRDefault="00ED7E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BB062" w14:textId="77777777" w:rsidR="002C119A" w:rsidRDefault="008259AA" w:rsidP="00725DFA">
    <w:pPr>
      <w:pStyle w:val="Header"/>
      <w:tabs>
        <w:tab w:val="clear" w:pos="4680"/>
        <w:tab w:val="clear" w:pos="9360"/>
        <w:tab w:val="left" w:pos="2429"/>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E5C76"/>
    <w:multiLevelType w:val="hybridMultilevel"/>
    <w:tmpl w:val="EB0CB3DA"/>
    <w:lvl w:ilvl="0" w:tplc="CB52912C">
      <w:start w:val="1"/>
      <w:numFmt w:val="bullet"/>
      <w:lvlText w:val=""/>
      <w:lvlJc w:val="left"/>
      <w:pPr>
        <w:ind w:left="720" w:hanging="360"/>
      </w:pPr>
      <w:rPr>
        <w:rFonts w:ascii="Symbol" w:hAnsi="Symbol" w:hint="default"/>
      </w:rPr>
    </w:lvl>
    <w:lvl w:ilvl="1" w:tplc="C62AF4EE" w:tentative="1">
      <w:start w:val="1"/>
      <w:numFmt w:val="bullet"/>
      <w:lvlText w:val="o"/>
      <w:lvlJc w:val="left"/>
      <w:pPr>
        <w:ind w:left="1440" w:hanging="360"/>
      </w:pPr>
      <w:rPr>
        <w:rFonts w:ascii="Courier New" w:hAnsi="Courier New" w:cs="Courier New" w:hint="default"/>
      </w:rPr>
    </w:lvl>
    <w:lvl w:ilvl="2" w:tplc="F1586BCE" w:tentative="1">
      <w:start w:val="1"/>
      <w:numFmt w:val="bullet"/>
      <w:lvlText w:val=""/>
      <w:lvlJc w:val="left"/>
      <w:pPr>
        <w:ind w:left="2160" w:hanging="360"/>
      </w:pPr>
      <w:rPr>
        <w:rFonts w:ascii="Wingdings" w:hAnsi="Wingdings" w:hint="default"/>
      </w:rPr>
    </w:lvl>
    <w:lvl w:ilvl="3" w:tplc="1B4C9E1C" w:tentative="1">
      <w:start w:val="1"/>
      <w:numFmt w:val="bullet"/>
      <w:lvlText w:val=""/>
      <w:lvlJc w:val="left"/>
      <w:pPr>
        <w:ind w:left="2880" w:hanging="360"/>
      </w:pPr>
      <w:rPr>
        <w:rFonts w:ascii="Symbol" w:hAnsi="Symbol" w:hint="default"/>
      </w:rPr>
    </w:lvl>
    <w:lvl w:ilvl="4" w:tplc="0F4407AA" w:tentative="1">
      <w:start w:val="1"/>
      <w:numFmt w:val="bullet"/>
      <w:lvlText w:val="o"/>
      <w:lvlJc w:val="left"/>
      <w:pPr>
        <w:ind w:left="3600" w:hanging="360"/>
      </w:pPr>
      <w:rPr>
        <w:rFonts w:ascii="Courier New" w:hAnsi="Courier New" w:cs="Courier New" w:hint="default"/>
      </w:rPr>
    </w:lvl>
    <w:lvl w:ilvl="5" w:tplc="7666AE28" w:tentative="1">
      <w:start w:val="1"/>
      <w:numFmt w:val="bullet"/>
      <w:lvlText w:val=""/>
      <w:lvlJc w:val="left"/>
      <w:pPr>
        <w:ind w:left="4320" w:hanging="360"/>
      </w:pPr>
      <w:rPr>
        <w:rFonts w:ascii="Wingdings" w:hAnsi="Wingdings" w:hint="default"/>
      </w:rPr>
    </w:lvl>
    <w:lvl w:ilvl="6" w:tplc="DC32F1DE" w:tentative="1">
      <w:start w:val="1"/>
      <w:numFmt w:val="bullet"/>
      <w:lvlText w:val=""/>
      <w:lvlJc w:val="left"/>
      <w:pPr>
        <w:ind w:left="5040" w:hanging="360"/>
      </w:pPr>
      <w:rPr>
        <w:rFonts w:ascii="Symbol" w:hAnsi="Symbol" w:hint="default"/>
      </w:rPr>
    </w:lvl>
    <w:lvl w:ilvl="7" w:tplc="5156C496" w:tentative="1">
      <w:start w:val="1"/>
      <w:numFmt w:val="bullet"/>
      <w:lvlText w:val="o"/>
      <w:lvlJc w:val="left"/>
      <w:pPr>
        <w:ind w:left="5760" w:hanging="360"/>
      </w:pPr>
      <w:rPr>
        <w:rFonts w:ascii="Courier New" w:hAnsi="Courier New" w:cs="Courier New" w:hint="default"/>
      </w:rPr>
    </w:lvl>
    <w:lvl w:ilvl="8" w:tplc="36269AE2" w:tentative="1">
      <w:start w:val="1"/>
      <w:numFmt w:val="bullet"/>
      <w:lvlText w:val=""/>
      <w:lvlJc w:val="left"/>
      <w:pPr>
        <w:ind w:left="6480" w:hanging="360"/>
      </w:pPr>
      <w:rPr>
        <w:rFonts w:ascii="Wingdings" w:hAnsi="Wingdings" w:hint="default"/>
      </w:rPr>
    </w:lvl>
  </w:abstractNum>
  <w:abstractNum w:abstractNumId="1" w15:restartNumberingAfterBreak="0">
    <w:nsid w:val="395955D2"/>
    <w:multiLevelType w:val="hybridMultilevel"/>
    <w:tmpl w:val="2EB2D62E"/>
    <w:lvl w:ilvl="0" w:tplc="7C4A8352">
      <w:start w:val="1"/>
      <w:numFmt w:val="bullet"/>
      <w:lvlText w:val=""/>
      <w:lvlJc w:val="left"/>
      <w:pPr>
        <w:ind w:left="720" w:hanging="360"/>
      </w:pPr>
      <w:rPr>
        <w:rFonts w:ascii="Symbol" w:hAnsi="Symbol" w:hint="default"/>
      </w:rPr>
    </w:lvl>
    <w:lvl w:ilvl="1" w:tplc="495A890A" w:tentative="1">
      <w:start w:val="1"/>
      <w:numFmt w:val="bullet"/>
      <w:lvlText w:val="o"/>
      <w:lvlJc w:val="left"/>
      <w:pPr>
        <w:ind w:left="1440" w:hanging="360"/>
      </w:pPr>
      <w:rPr>
        <w:rFonts w:ascii="Courier New" w:hAnsi="Courier New" w:cs="Courier New" w:hint="default"/>
      </w:rPr>
    </w:lvl>
    <w:lvl w:ilvl="2" w:tplc="C41CDC78" w:tentative="1">
      <w:start w:val="1"/>
      <w:numFmt w:val="bullet"/>
      <w:lvlText w:val=""/>
      <w:lvlJc w:val="left"/>
      <w:pPr>
        <w:ind w:left="2160" w:hanging="360"/>
      </w:pPr>
      <w:rPr>
        <w:rFonts w:ascii="Wingdings" w:hAnsi="Wingdings" w:hint="default"/>
      </w:rPr>
    </w:lvl>
    <w:lvl w:ilvl="3" w:tplc="A39C3518" w:tentative="1">
      <w:start w:val="1"/>
      <w:numFmt w:val="bullet"/>
      <w:lvlText w:val=""/>
      <w:lvlJc w:val="left"/>
      <w:pPr>
        <w:ind w:left="2880" w:hanging="360"/>
      </w:pPr>
      <w:rPr>
        <w:rFonts w:ascii="Symbol" w:hAnsi="Symbol" w:hint="default"/>
      </w:rPr>
    </w:lvl>
    <w:lvl w:ilvl="4" w:tplc="532AE67A" w:tentative="1">
      <w:start w:val="1"/>
      <w:numFmt w:val="bullet"/>
      <w:lvlText w:val="o"/>
      <w:lvlJc w:val="left"/>
      <w:pPr>
        <w:ind w:left="3600" w:hanging="360"/>
      </w:pPr>
      <w:rPr>
        <w:rFonts w:ascii="Courier New" w:hAnsi="Courier New" w:cs="Courier New" w:hint="default"/>
      </w:rPr>
    </w:lvl>
    <w:lvl w:ilvl="5" w:tplc="9380135C" w:tentative="1">
      <w:start w:val="1"/>
      <w:numFmt w:val="bullet"/>
      <w:lvlText w:val=""/>
      <w:lvlJc w:val="left"/>
      <w:pPr>
        <w:ind w:left="4320" w:hanging="360"/>
      </w:pPr>
      <w:rPr>
        <w:rFonts w:ascii="Wingdings" w:hAnsi="Wingdings" w:hint="default"/>
      </w:rPr>
    </w:lvl>
    <w:lvl w:ilvl="6" w:tplc="2CB0A68E" w:tentative="1">
      <w:start w:val="1"/>
      <w:numFmt w:val="bullet"/>
      <w:lvlText w:val=""/>
      <w:lvlJc w:val="left"/>
      <w:pPr>
        <w:ind w:left="5040" w:hanging="360"/>
      </w:pPr>
      <w:rPr>
        <w:rFonts w:ascii="Symbol" w:hAnsi="Symbol" w:hint="default"/>
      </w:rPr>
    </w:lvl>
    <w:lvl w:ilvl="7" w:tplc="21063E10" w:tentative="1">
      <w:start w:val="1"/>
      <w:numFmt w:val="bullet"/>
      <w:lvlText w:val="o"/>
      <w:lvlJc w:val="left"/>
      <w:pPr>
        <w:ind w:left="5760" w:hanging="360"/>
      </w:pPr>
      <w:rPr>
        <w:rFonts w:ascii="Courier New" w:hAnsi="Courier New" w:cs="Courier New" w:hint="default"/>
      </w:rPr>
    </w:lvl>
    <w:lvl w:ilvl="8" w:tplc="50FC3538" w:tentative="1">
      <w:start w:val="1"/>
      <w:numFmt w:val="bullet"/>
      <w:lvlText w:val=""/>
      <w:lvlJc w:val="left"/>
      <w:pPr>
        <w:ind w:left="6480" w:hanging="360"/>
      </w:pPr>
      <w:rPr>
        <w:rFonts w:ascii="Wingdings" w:hAnsi="Wingdings" w:hint="default"/>
      </w:rPr>
    </w:lvl>
  </w:abstractNum>
  <w:abstractNum w:abstractNumId="2" w15:restartNumberingAfterBreak="0">
    <w:nsid w:val="4E514438"/>
    <w:multiLevelType w:val="hybridMultilevel"/>
    <w:tmpl w:val="BD7E113E"/>
    <w:lvl w:ilvl="0" w:tplc="6632F800">
      <w:start w:val="1"/>
      <w:numFmt w:val="bullet"/>
      <w:lvlText w:val=""/>
      <w:lvlJc w:val="left"/>
      <w:pPr>
        <w:ind w:left="720" w:hanging="360"/>
      </w:pPr>
      <w:rPr>
        <w:rFonts w:ascii="Symbol" w:hAnsi="Symbol" w:hint="default"/>
      </w:rPr>
    </w:lvl>
    <w:lvl w:ilvl="1" w:tplc="CB4CDAC8" w:tentative="1">
      <w:start w:val="1"/>
      <w:numFmt w:val="bullet"/>
      <w:lvlText w:val="o"/>
      <w:lvlJc w:val="left"/>
      <w:pPr>
        <w:ind w:left="1440" w:hanging="360"/>
      </w:pPr>
      <w:rPr>
        <w:rFonts w:ascii="Courier New" w:hAnsi="Courier New" w:cs="Courier New" w:hint="default"/>
      </w:rPr>
    </w:lvl>
    <w:lvl w:ilvl="2" w:tplc="EACC5CDA" w:tentative="1">
      <w:start w:val="1"/>
      <w:numFmt w:val="bullet"/>
      <w:lvlText w:val=""/>
      <w:lvlJc w:val="left"/>
      <w:pPr>
        <w:ind w:left="2160" w:hanging="360"/>
      </w:pPr>
      <w:rPr>
        <w:rFonts w:ascii="Wingdings" w:hAnsi="Wingdings" w:hint="default"/>
      </w:rPr>
    </w:lvl>
    <w:lvl w:ilvl="3" w:tplc="8CD8D092" w:tentative="1">
      <w:start w:val="1"/>
      <w:numFmt w:val="bullet"/>
      <w:lvlText w:val=""/>
      <w:lvlJc w:val="left"/>
      <w:pPr>
        <w:ind w:left="2880" w:hanging="360"/>
      </w:pPr>
      <w:rPr>
        <w:rFonts w:ascii="Symbol" w:hAnsi="Symbol" w:hint="default"/>
      </w:rPr>
    </w:lvl>
    <w:lvl w:ilvl="4" w:tplc="2A1E3162" w:tentative="1">
      <w:start w:val="1"/>
      <w:numFmt w:val="bullet"/>
      <w:lvlText w:val="o"/>
      <w:lvlJc w:val="left"/>
      <w:pPr>
        <w:ind w:left="3600" w:hanging="360"/>
      </w:pPr>
      <w:rPr>
        <w:rFonts w:ascii="Courier New" w:hAnsi="Courier New" w:cs="Courier New" w:hint="default"/>
      </w:rPr>
    </w:lvl>
    <w:lvl w:ilvl="5" w:tplc="C4F47E40" w:tentative="1">
      <w:start w:val="1"/>
      <w:numFmt w:val="bullet"/>
      <w:lvlText w:val=""/>
      <w:lvlJc w:val="left"/>
      <w:pPr>
        <w:ind w:left="4320" w:hanging="360"/>
      </w:pPr>
      <w:rPr>
        <w:rFonts w:ascii="Wingdings" w:hAnsi="Wingdings" w:hint="default"/>
      </w:rPr>
    </w:lvl>
    <w:lvl w:ilvl="6" w:tplc="CB4E092A" w:tentative="1">
      <w:start w:val="1"/>
      <w:numFmt w:val="bullet"/>
      <w:lvlText w:val=""/>
      <w:lvlJc w:val="left"/>
      <w:pPr>
        <w:ind w:left="5040" w:hanging="360"/>
      </w:pPr>
      <w:rPr>
        <w:rFonts w:ascii="Symbol" w:hAnsi="Symbol" w:hint="default"/>
      </w:rPr>
    </w:lvl>
    <w:lvl w:ilvl="7" w:tplc="EFDA3892" w:tentative="1">
      <w:start w:val="1"/>
      <w:numFmt w:val="bullet"/>
      <w:lvlText w:val="o"/>
      <w:lvlJc w:val="left"/>
      <w:pPr>
        <w:ind w:left="5760" w:hanging="360"/>
      </w:pPr>
      <w:rPr>
        <w:rFonts w:ascii="Courier New" w:hAnsi="Courier New" w:cs="Courier New" w:hint="default"/>
      </w:rPr>
    </w:lvl>
    <w:lvl w:ilvl="8" w:tplc="8BFE263E" w:tentative="1">
      <w:start w:val="1"/>
      <w:numFmt w:val="bullet"/>
      <w:lvlText w:val=""/>
      <w:lvlJc w:val="left"/>
      <w:pPr>
        <w:ind w:left="6480" w:hanging="360"/>
      </w:pPr>
      <w:rPr>
        <w:rFonts w:ascii="Wingdings" w:hAnsi="Wingdings" w:hint="default"/>
      </w:rPr>
    </w:lvl>
  </w:abstractNum>
  <w:abstractNum w:abstractNumId="3" w15:restartNumberingAfterBreak="0">
    <w:nsid w:val="59DF0A7B"/>
    <w:multiLevelType w:val="hybridMultilevel"/>
    <w:tmpl w:val="81DC6552"/>
    <w:lvl w:ilvl="0" w:tplc="1D9A032A">
      <w:start w:val="1"/>
      <w:numFmt w:val="bullet"/>
      <w:lvlText w:val=""/>
      <w:lvlJc w:val="left"/>
      <w:pPr>
        <w:ind w:left="720" w:hanging="360"/>
      </w:pPr>
      <w:rPr>
        <w:rFonts w:ascii="Symbol" w:hAnsi="Symbol" w:hint="default"/>
      </w:rPr>
    </w:lvl>
    <w:lvl w:ilvl="1" w:tplc="B6BCF554" w:tentative="1">
      <w:start w:val="1"/>
      <w:numFmt w:val="bullet"/>
      <w:lvlText w:val="o"/>
      <w:lvlJc w:val="left"/>
      <w:pPr>
        <w:ind w:left="1440" w:hanging="360"/>
      </w:pPr>
      <w:rPr>
        <w:rFonts w:ascii="Courier New" w:hAnsi="Courier New" w:cs="Courier New" w:hint="default"/>
      </w:rPr>
    </w:lvl>
    <w:lvl w:ilvl="2" w:tplc="624207DA" w:tentative="1">
      <w:start w:val="1"/>
      <w:numFmt w:val="bullet"/>
      <w:lvlText w:val=""/>
      <w:lvlJc w:val="left"/>
      <w:pPr>
        <w:ind w:left="2160" w:hanging="360"/>
      </w:pPr>
      <w:rPr>
        <w:rFonts w:ascii="Wingdings" w:hAnsi="Wingdings" w:hint="default"/>
      </w:rPr>
    </w:lvl>
    <w:lvl w:ilvl="3" w:tplc="7B003FF4" w:tentative="1">
      <w:start w:val="1"/>
      <w:numFmt w:val="bullet"/>
      <w:lvlText w:val=""/>
      <w:lvlJc w:val="left"/>
      <w:pPr>
        <w:ind w:left="2880" w:hanging="360"/>
      </w:pPr>
      <w:rPr>
        <w:rFonts w:ascii="Symbol" w:hAnsi="Symbol" w:hint="default"/>
      </w:rPr>
    </w:lvl>
    <w:lvl w:ilvl="4" w:tplc="D95E8FDE" w:tentative="1">
      <w:start w:val="1"/>
      <w:numFmt w:val="bullet"/>
      <w:lvlText w:val="o"/>
      <w:lvlJc w:val="left"/>
      <w:pPr>
        <w:ind w:left="3600" w:hanging="360"/>
      </w:pPr>
      <w:rPr>
        <w:rFonts w:ascii="Courier New" w:hAnsi="Courier New" w:cs="Courier New" w:hint="default"/>
      </w:rPr>
    </w:lvl>
    <w:lvl w:ilvl="5" w:tplc="9A6496D2" w:tentative="1">
      <w:start w:val="1"/>
      <w:numFmt w:val="bullet"/>
      <w:lvlText w:val=""/>
      <w:lvlJc w:val="left"/>
      <w:pPr>
        <w:ind w:left="4320" w:hanging="360"/>
      </w:pPr>
      <w:rPr>
        <w:rFonts w:ascii="Wingdings" w:hAnsi="Wingdings" w:hint="default"/>
      </w:rPr>
    </w:lvl>
    <w:lvl w:ilvl="6" w:tplc="9BCC8714" w:tentative="1">
      <w:start w:val="1"/>
      <w:numFmt w:val="bullet"/>
      <w:lvlText w:val=""/>
      <w:lvlJc w:val="left"/>
      <w:pPr>
        <w:ind w:left="5040" w:hanging="360"/>
      </w:pPr>
      <w:rPr>
        <w:rFonts w:ascii="Symbol" w:hAnsi="Symbol" w:hint="default"/>
      </w:rPr>
    </w:lvl>
    <w:lvl w:ilvl="7" w:tplc="85A69974" w:tentative="1">
      <w:start w:val="1"/>
      <w:numFmt w:val="bullet"/>
      <w:lvlText w:val="o"/>
      <w:lvlJc w:val="left"/>
      <w:pPr>
        <w:ind w:left="5760" w:hanging="360"/>
      </w:pPr>
      <w:rPr>
        <w:rFonts w:ascii="Courier New" w:hAnsi="Courier New" w:cs="Courier New" w:hint="default"/>
      </w:rPr>
    </w:lvl>
    <w:lvl w:ilvl="8" w:tplc="5C14D7B2" w:tentative="1">
      <w:start w:val="1"/>
      <w:numFmt w:val="bullet"/>
      <w:lvlText w:val=""/>
      <w:lvlJc w:val="left"/>
      <w:pPr>
        <w:ind w:left="6480" w:hanging="360"/>
      </w:pPr>
      <w:rPr>
        <w:rFonts w:ascii="Wingdings" w:hAnsi="Wingdings" w:hint="default"/>
      </w:rPr>
    </w:lvl>
  </w:abstractNum>
  <w:abstractNum w:abstractNumId="4" w15:restartNumberingAfterBreak="0">
    <w:nsid w:val="6EBA2045"/>
    <w:multiLevelType w:val="hybridMultilevel"/>
    <w:tmpl w:val="575AA5CA"/>
    <w:lvl w:ilvl="0" w:tplc="8B84F0A0">
      <w:start w:val="1"/>
      <w:numFmt w:val="bullet"/>
      <w:lvlText w:val=""/>
      <w:lvlJc w:val="left"/>
      <w:pPr>
        <w:ind w:left="720" w:hanging="360"/>
      </w:pPr>
      <w:rPr>
        <w:rFonts w:ascii="Symbol" w:hAnsi="Symbol" w:hint="default"/>
      </w:rPr>
    </w:lvl>
    <w:lvl w:ilvl="1" w:tplc="B0622EC4" w:tentative="1">
      <w:start w:val="1"/>
      <w:numFmt w:val="bullet"/>
      <w:lvlText w:val="o"/>
      <w:lvlJc w:val="left"/>
      <w:pPr>
        <w:ind w:left="1440" w:hanging="360"/>
      </w:pPr>
      <w:rPr>
        <w:rFonts w:ascii="Courier New" w:hAnsi="Courier New" w:cs="Courier New" w:hint="default"/>
      </w:rPr>
    </w:lvl>
    <w:lvl w:ilvl="2" w:tplc="736C6E98" w:tentative="1">
      <w:start w:val="1"/>
      <w:numFmt w:val="bullet"/>
      <w:lvlText w:val=""/>
      <w:lvlJc w:val="left"/>
      <w:pPr>
        <w:ind w:left="2160" w:hanging="360"/>
      </w:pPr>
      <w:rPr>
        <w:rFonts w:ascii="Wingdings" w:hAnsi="Wingdings" w:hint="default"/>
      </w:rPr>
    </w:lvl>
    <w:lvl w:ilvl="3" w:tplc="54162DF8" w:tentative="1">
      <w:start w:val="1"/>
      <w:numFmt w:val="bullet"/>
      <w:lvlText w:val=""/>
      <w:lvlJc w:val="left"/>
      <w:pPr>
        <w:ind w:left="2880" w:hanging="360"/>
      </w:pPr>
      <w:rPr>
        <w:rFonts w:ascii="Symbol" w:hAnsi="Symbol" w:hint="default"/>
      </w:rPr>
    </w:lvl>
    <w:lvl w:ilvl="4" w:tplc="D8DC12FE" w:tentative="1">
      <w:start w:val="1"/>
      <w:numFmt w:val="bullet"/>
      <w:lvlText w:val="o"/>
      <w:lvlJc w:val="left"/>
      <w:pPr>
        <w:ind w:left="3600" w:hanging="360"/>
      </w:pPr>
      <w:rPr>
        <w:rFonts w:ascii="Courier New" w:hAnsi="Courier New" w:cs="Courier New" w:hint="default"/>
      </w:rPr>
    </w:lvl>
    <w:lvl w:ilvl="5" w:tplc="E97E38CC" w:tentative="1">
      <w:start w:val="1"/>
      <w:numFmt w:val="bullet"/>
      <w:lvlText w:val=""/>
      <w:lvlJc w:val="left"/>
      <w:pPr>
        <w:ind w:left="4320" w:hanging="360"/>
      </w:pPr>
      <w:rPr>
        <w:rFonts w:ascii="Wingdings" w:hAnsi="Wingdings" w:hint="default"/>
      </w:rPr>
    </w:lvl>
    <w:lvl w:ilvl="6" w:tplc="6CF0B7DA" w:tentative="1">
      <w:start w:val="1"/>
      <w:numFmt w:val="bullet"/>
      <w:lvlText w:val=""/>
      <w:lvlJc w:val="left"/>
      <w:pPr>
        <w:ind w:left="5040" w:hanging="360"/>
      </w:pPr>
      <w:rPr>
        <w:rFonts w:ascii="Symbol" w:hAnsi="Symbol" w:hint="default"/>
      </w:rPr>
    </w:lvl>
    <w:lvl w:ilvl="7" w:tplc="9D289760" w:tentative="1">
      <w:start w:val="1"/>
      <w:numFmt w:val="bullet"/>
      <w:lvlText w:val="o"/>
      <w:lvlJc w:val="left"/>
      <w:pPr>
        <w:ind w:left="5760" w:hanging="360"/>
      </w:pPr>
      <w:rPr>
        <w:rFonts w:ascii="Courier New" w:hAnsi="Courier New" w:cs="Courier New" w:hint="default"/>
      </w:rPr>
    </w:lvl>
    <w:lvl w:ilvl="8" w:tplc="CABAECE6" w:tentative="1">
      <w:start w:val="1"/>
      <w:numFmt w:val="bullet"/>
      <w:lvlText w:val=""/>
      <w:lvlJc w:val="left"/>
      <w:pPr>
        <w:ind w:left="6480" w:hanging="360"/>
      </w:pPr>
      <w:rPr>
        <w:rFonts w:ascii="Wingdings" w:hAnsi="Wingdings" w:hint="default"/>
      </w:rPr>
    </w:lvl>
  </w:abstractNum>
  <w:abstractNum w:abstractNumId="5" w15:restartNumberingAfterBreak="0">
    <w:nsid w:val="6FEE4112"/>
    <w:multiLevelType w:val="hybridMultilevel"/>
    <w:tmpl w:val="1EA4BF1C"/>
    <w:lvl w:ilvl="0" w:tplc="04CEC7EE">
      <w:start w:val="1"/>
      <w:numFmt w:val="bullet"/>
      <w:lvlText w:val=""/>
      <w:lvlJc w:val="left"/>
      <w:pPr>
        <w:ind w:left="720" w:hanging="360"/>
      </w:pPr>
      <w:rPr>
        <w:rFonts w:ascii="Symbol" w:hAnsi="Symbol" w:hint="default"/>
      </w:rPr>
    </w:lvl>
    <w:lvl w:ilvl="1" w:tplc="7EE0B6C8" w:tentative="1">
      <w:start w:val="1"/>
      <w:numFmt w:val="bullet"/>
      <w:lvlText w:val="o"/>
      <w:lvlJc w:val="left"/>
      <w:pPr>
        <w:ind w:left="1440" w:hanging="360"/>
      </w:pPr>
      <w:rPr>
        <w:rFonts w:ascii="Courier New" w:hAnsi="Courier New" w:cs="Courier New" w:hint="default"/>
      </w:rPr>
    </w:lvl>
    <w:lvl w:ilvl="2" w:tplc="909C16AA" w:tentative="1">
      <w:start w:val="1"/>
      <w:numFmt w:val="bullet"/>
      <w:lvlText w:val=""/>
      <w:lvlJc w:val="left"/>
      <w:pPr>
        <w:ind w:left="2160" w:hanging="360"/>
      </w:pPr>
      <w:rPr>
        <w:rFonts w:ascii="Wingdings" w:hAnsi="Wingdings" w:hint="default"/>
      </w:rPr>
    </w:lvl>
    <w:lvl w:ilvl="3" w:tplc="C2469B06" w:tentative="1">
      <w:start w:val="1"/>
      <w:numFmt w:val="bullet"/>
      <w:lvlText w:val=""/>
      <w:lvlJc w:val="left"/>
      <w:pPr>
        <w:ind w:left="2880" w:hanging="360"/>
      </w:pPr>
      <w:rPr>
        <w:rFonts w:ascii="Symbol" w:hAnsi="Symbol" w:hint="default"/>
      </w:rPr>
    </w:lvl>
    <w:lvl w:ilvl="4" w:tplc="AE5234E2" w:tentative="1">
      <w:start w:val="1"/>
      <w:numFmt w:val="bullet"/>
      <w:lvlText w:val="o"/>
      <w:lvlJc w:val="left"/>
      <w:pPr>
        <w:ind w:left="3600" w:hanging="360"/>
      </w:pPr>
      <w:rPr>
        <w:rFonts w:ascii="Courier New" w:hAnsi="Courier New" w:cs="Courier New" w:hint="default"/>
      </w:rPr>
    </w:lvl>
    <w:lvl w:ilvl="5" w:tplc="1DD02AF2" w:tentative="1">
      <w:start w:val="1"/>
      <w:numFmt w:val="bullet"/>
      <w:lvlText w:val=""/>
      <w:lvlJc w:val="left"/>
      <w:pPr>
        <w:ind w:left="4320" w:hanging="360"/>
      </w:pPr>
      <w:rPr>
        <w:rFonts w:ascii="Wingdings" w:hAnsi="Wingdings" w:hint="default"/>
      </w:rPr>
    </w:lvl>
    <w:lvl w:ilvl="6" w:tplc="E07A38CE" w:tentative="1">
      <w:start w:val="1"/>
      <w:numFmt w:val="bullet"/>
      <w:lvlText w:val=""/>
      <w:lvlJc w:val="left"/>
      <w:pPr>
        <w:ind w:left="5040" w:hanging="360"/>
      </w:pPr>
      <w:rPr>
        <w:rFonts w:ascii="Symbol" w:hAnsi="Symbol" w:hint="default"/>
      </w:rPr>
    </w:lvl>
    <w:lvl w:ilvl="7" w:tplc="88849268" w:tentative="1">
      <w:start w:val="1"/>
      <w:numFmt w:val="bullet"/>
      <w:lvlText w:val="o"/>
      <w:lvlJc w:val="left"/>
      <w:pPr>
        <w:ind w:left="5760" w:hanging="360"/>
      </w:pPr>
      <w:rPr>
        <w:rFonts w:ascii="Courier New" w:hAnsi="Courier New" w:cs="Courier New" w:hint="default"/>
      </w:rPr>
    </w:lvl>
    <w:lvl w:ilvl="8" w:tplc="3D92877A" w:tentative="1">
      <w:start w:val="1"/>
      <w:numFmt w:val="bullet"/>
      <w:lvlText w:val=""/>
      <w:lvlJc w:val="left"/>
      <w:pPr>
        <w:ind w:left="6480" w:hanging="360"/>
      </w:pPr>
      <w:rPr>
        <w:rFonts w:ascii="Wingdings" w:hAnsi="Wingdings" w:hint="default"/>
      </w:rPr>
    </w:lvl>
  </w:abstractNum>
  <w:num w:numId="1" w16cid:durableId="1662924427">
    <w:abstractNumId w:val="4"/>
  </w:num>
  <w:num w:numId="2" w16cid:durableId="1876696923">
    <w:abstractNumId w:val="5"/>
  </w:num>
  <w:num w:numId="3" w16cid:durableId="909383181">
    <w:abstractNumId w:val="1"/>
  </w:num>
  <w:num w:numId="4" w16cid:durableId="327249523">
    <w:abstractNumId w:val="2"/>
  </w:num>
  <w:num w:numId="5" w16cid:durableId="824474636">
    <w:abstractNumId w:val="0"/>
  </w:num>
  <w:num w:numId="6" w16cid:durableId="4819732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BB5"/>
    <w:rsid w:val="00001BA6"/>
    <w:rsid w:val="0000385E"/>
    <w:rsid w:val="00060ACB"/>
    <w:rsid w:val="000B5023"/>
    <w:rsid w:val="000F1A0E"/>
    <w:rsid w:val="00113874"/>
    <w:rsid w:val="001B516C"/>
    <w:rsid w:val="001E272B"/>
    <w:rsid w:val="002C119A"/>
    <w:rsid w:val="002C3CC6"/>
    <w:rsid w:val="00350A44"/>
    <w:rsid w:val="00373D3F"/>
    <w:rsid w:val="00375BFA"/>
    <w:rsid w:val="003B5E51"/>
    <w:rsid w:val="003F5E4D"/>
    <w:rsid w:val="003F7E1F"/>
    <w:rsid w:val="00425D9C"/>
    <w:rsid w:val="00445DE8"/>
    <w:rsid w:val="004760FD"/>
    <w:rsid w:val="00482E4B"/>
    <w:rsid w:val="0049103B"/>
    <w:rsid w:val="004A4758"/>
    <w:rsid w:val="004F0923"/>
    <w:rsid w:val="004F6984"/>
    <w:rsid w:val="00501F75"/>
    <w:rsid w:val="0056229E"/>
    <w:rsid w:val="005C43C8"/>
    <w:rsid w:val="005F66A3"/>
    <w:rsid w:val="005F72E6"/>
    <w:rsid w:val="00624575"/>
    <w:rsid w:val="0063591E"/>
    <w:rsid w:val="00642114"/>
    <w:rsid w:val="0068400A"/>
    <w:rsid w:val="006E6BB5"/>
    <w:rsid w:val="006F374F"/>
    <w:rsid w:val="00725DFA"/>
    <w:rsid w:val="0073525F"/>
    <w:rsid w:val="0078514A"/>
    <w:rsid w:val="007D0B44"/>
    <w:rsid w:val="007E7D72"/>
    <w:rsid w:val="008259AA"/>
    <w:rsid w:val="00861E3F"/>
    <w:rsid w:val="008B22FC"/>
    <w:rsid w:val="009A3CC7"/>
    <w:rsid w:val="009A6C53"/>
    <w:rsid w:val="009F04D3"/>
    <w:rsid w:val="00AC29AB"/>
    <w:rsid w:val="00B17790"/>
    <w:rsid w:val="00B53D69"/>
    <w:rsid w:val="00B84008"/>
    <w:rsid w:val="00BD5DCC"/>
    <w:rsid w:val="00C36E72"/>
    <w:rsid w:val="00C86641"/>
    <w:rsid w:val="00CF56ED"/>
    <w:rsid w:val="00D31300"/>
    <w:rsid w:val="00D816A3"/>
    <w:rsid w:val="00DC0A2A"/>
    <w:rsid w:val="00E207DD"/>
    <w:rsid w:val="00EA0B3F"/>
    <w:rsid w:val="00EB24BF"/>
    <w:rsid w:val="00ED00C8"/>
    <w:rsid w:val="00ED7EB9"/>
    <w:rsid w:val="00F62DD7"/>
    <w:rsid w:val="00FF20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62C6"/>
  <w15:chartTrackingRefBased/>
  <w15:docId w15:val="{9DF524A4-10E5-4A33-BE2B-12691979F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BB5"/>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13874"/>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13874"/>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0B5023"/>
    <w:pPr>
      <w:keepNext/>
      <w:keepLines/>
      <w:spacing w:before="40" w:after="0" w:line="240" w:lineRule="auto"/>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874"/>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113874"/>
    <w:rPr>
      <w:rFonts w:ascii="Times New Roman" w:eastAsiaTheme="majorEastAsia" w:hAnsi="Times New Roman" w:cstheme="majorBidi"/>
      <w:i/>
      <w:color w:val="000000" w:themeColor="text1"/>
      <w:sz w:val="24"/>
      <w:szCs w:val="26"/>
    </w:rPr>
  </w:style>
  <w:style w:type="paragraph" w:styleId="Title">
    <w:name w:val="Title"/>
    <w:aliases w:val="heading 3"/>
    <w:basedOn w:val="Normal"/>
    <w:next w:val="Normal"/>
    <w:link w:val="TitleChar"/>
    <w:uiPriority w:val="10"/>
    <w:qFormat/>
    <w:rsid w:val="00113874"/>
    <w:pPr>
      <w:spacing w:after="0" w:line="240" w:lineRule="auto"/>
      <w:contextualSpacing/>
      <w:jc w:val="center"/>
    </w:pPr>
    <w:rPr>
      <w:rFonts w:eastAsiaTheme="majorEastAsia" w:cstheme="majorBidi"/>
      <w:spacing w:val="-10"/>
      <w:kern w:val="28"/>
      <w:szCs w:val="56"/>
    </w:rPr>
  </w:style>
  <w:style w:type="character" w:customStyle="1" w:styleId="TitleChar">
    <w:name w:val="Title Char"/>
    <w:aliases w:val="heading 3 Char"/>
    <w:basedOn w:val="DefaultParagraphFont"/>
    <w:link w:val="Title"/>
    <w:uiPriority w:val="10"/>
    <w:rsid w:val="00113874"/>
    <w:rPr>
      <w:rFonts w:ascii="Times New Roman" w:eastAsiaTheme="majorEastAsia" w:hAnsi="Times New Roman" w:cstheme="majorBidi"/>
      <w:color w:val="000000" w:themeColor="text1"/>
      <w:spacing w:val="-10"/>
      <w:kern w:val="28"/>
      <w:sz w:val="24"/>
      <w:szCs w:val="56"/>
    </w:rPr>
  </w:style>
  <w:style w:type="character" w:customStyle="1" w:styleId="Heading3Char">
    <w:name w:val="Heading 3 Char"/>
    <w:basedOn w:val="DefaultParagraphFont"/>
    <w:link w:val="Heading3"/>
    <w:uiPriority w:val="9"/>
    <w:semiHidden/>
    <w:rsid w:val="000B5023"/>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0F1A0E"/>
    <w:pPr>
      <w:ind w:left="720"/>
      <w:contextualSpacing/>
    </w:pPr>
  </w:style>
  <w:style w:type="paragraph" w:styleId="Header">
    <w:name w:val="header"/>
    <w:basedOn w:val="Normal"/>
    <w:link w:val="HeaderChar"/>
    <w:uiPriority w:val="99"/>
    <w:unhideWhenUsed/>
    <w:rsid w:val="00ED7E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7EB9"/>
    <w:rPr>
      <w:rFonts w:ascii="Times New Roman" w:hAnsi="Times New Roman"/>
      <w:color w:val="000000" w:themeColor="text1"/>
      <w:sz w:val="24"/>
      <w:lang w:val="en-GB"/>
    </w:rPr>
  </w:style>
  <w:style w:type="paragraph" w:styleId="Footer">
    <w:name w:val="footer"/>
    <w:basedOn w:val="Normal"/>
    <w:link w:val="FooterChar"/>
    <w:uiPriority w:val="99"/>
    <w:unhideWhenUsed/>
    <w:rsid w:val="00ED7E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7EB9"/>
    <w:rPr>
      <w:rFonts w:ascii="Times New Roman" w:hAnsi="Times New Roman"/>
      <w:color w:val="000000" w:themeColor="text1"/>
      <w:sz w:val="24"/>
      <w:lang w:val="en-GB"/>
    </w:rPr>
  </w:style>
  <w:style w:type="paragraph" w:styleId="Caption">
    <w:name w:val="caption"/>
    <w:basedOn w:val="Normal"/>
    <w:next w:val="Normal"/>
    <w:uiPriority w:val="35"/>
    <w:unhideWhenUsed/>
    <w:qFormat/>
    <w:rsid w:val="00725DFA"/>
    <w:pPr>
      <w:spacing w:after="120" w:line="240" w:lineRule="auto"/>
    </w:pPr>
    <w:rPr>
      <w:rFonts w:ascii="Corbel" w:eastAsia="Times New Roman" w:hAnsi="Corbel" w:cs="Times New Roman"/>
      <w:b/>
      <w:bCs/>
      <w:smallCaps/>
      <w:color w:val="757575"/>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80A972-C302-45B1-A8B5-3BA5231AF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3450</Words>
  <Characters>20946</Characters>
  <Application>Microsoft Office Word</Application>
  <DocSecurity>0</DocSecurity>
  <Lines>332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Seerat Chowdhury</cp:lastModifiedBy>
  <cp:revision>2</cp:revision>
  <dcterms:created xsi:type="dcterms:W3CDTF">2023-07-17T20:47:00Z</dcterms:created>
  <dcterms:modified xsi:type="dcterms:W3CDTF">2023-07-17T20:47:00Z</dcterms:modified>
</cp:coreProperties>
</file>