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EC987" w14:textId="77777777" w:rsidR="007F5874" w:rsidRDefault="007F5874"/>
    <w:p w14:paraId="3375F877" w14:textId="77777777" w:rsidR="007F5874" w:rsidRDefault="007F5874"/>
    <w:p w14:paraId="4FC9BE74" w14:textId="77777777" w:rsidR="007F5874" w:rsidRDefault="007F5874"/>
    <w:p w14:paraId="099C3E16" w14:textId="77777777" w:rsidR="007F5874" w:rsidRDefault="007F5874"/>
    <w:p w14:paraId="4A069295" w14:textId="77777777" w:rsidR="007F5874" w:rsidRDefault="007F5874"/>
    <w:p w14:paraId="793227A1" w14:textId="77777777" w:rsidR="007F5874" w:rsidRDefault="007F5874"/>
    <w:p w14:paraId="142752F6" w14:textId="77777777" w:rsidR="007F5874" w:rsidRDefault="007F5874"/>
    <w:p w14:paraId="43A66A6E" w14:textId="77777777" w:rsidR="007F5874" w:rsidRDefault="007F5874">
      <w:pPr>
        <w:jc w:val="center"/>
        <w:rPr>
          <w:rFonts w:ascii="Times New Roman" w:hAnsi="Times New Roman"/>
          <w:b/>
          <w:bCs/>
          <w:sz w:val="34"/>
          <w:szCs w:val="34"/>
        </w:rPr>
      </w:pPr>
    </w:p>
    <w:p w14:paraId="624DC73D" w14:textId="77777777" w:rsidR="007F5874" w:rsidRDefault="007F5874">
      <w:pPr>
        <w:jc w:val="center"/>
        <w:rPr>
          <w:rFonts w:ascii="Times New Roman" w:hAnsi="Times New Roman"/>
          <w:b/>
          <w:bCs/>
          <w:sz w:val="34"/>
          <w:szCs w:val="34"/>
        </w:rPr>
      </w:pPr>
    </w:p>
    <w:p w14:paraId="5CE161B9" w14:textId="77777777" w:rsidR="007F5874" w:rsidRDefault="007F5874">
      <w:pPr>
        <w:jc w:val="center"/>
        <w:rPr>
          <w:rFonts w:ascii="Times New Roman" w:hAnsi="Times New Roman"/>
          <w:b/>
          <w:bCs/>
          <w:sz w:val="34"/>
          <w:szCs w:val="34"/>
        </w:rPr>
      </w:pPr>
    </w:p>
    <w:p w14:paraId="4D6EEBFE" w14:textId="77777777" w:rsidR="007F5874" w:rsidRDefault="007F5874">
      <w:pPr>
        <w:jc w:val="center"/>
        <w:rPr>
          <w:rFonts w:ascii="Times New Roman" w:hAnsi="Times New Roman"/>
          <w:b/>
          <w:bCs/>
          <w:sz w:val="34"/>
          <w:szCs w:val="34"/>
        </w:rPr>
      </w:pPr>
    </w:p>
    <w:p w14:paraId="33605DCB" w14:textId="77777777" w:rsidR="007F5874" w:rsidRDefault="007F5874">
      <w:pPr>
        <w:jc w:val="center"/>
        <w:rPr>
          <w:rFonts w:ascii="Times New Roman" w:hAnsi="Times New Roman"/>
          <w:b/>
          <w:bCs/>
          <w:sz w:val="34"/>
          <w:szCs w:val="34"/>
        </w:rPr>
      </w:pPr>
    </w:p>
    <w:p w14:paraId="12FB0B84" w14:textId="77777777" w:rsidR="007F5874" w:rsidRDefault="007F5874">
      <w:pPr>
        <w:shd w:val="clear" w:color="auto" w:fill="E2EFD9"/>
        <w:jc w:val="center"/>
        <w:rPr>
          <w:rFonts w:ascii="Times New Roman" w:hAnsi="Times New Roman"/>
          <w:b/>
          <w:bCs/>
          <w:sz w:val="34"/>
          <w:szCs w:val="34"/>
        </w:rPr>
      </w:pPr>
    </w:p>
    <w:p w14:paraId="43F58777" w14:textId="77777777" w:rsidR="007F5874" w:rsidRDefault="00402798">
      <w:pPr>
        <w:shd w:val="clear" w:color="auto" w:fill="E2EFD9"/>
        <w:jc w:val="center"/>
        <w:rPr>
          <w:rFonts w:ascii="Times New Roman" w:eastAsia="Times New Roman" w:hAnsi="Times New Roman" w:cs="Times New Roman"/>
          <w:b/>
          <w:bCs/>
          <w:sz w:val="34"/>
          <w:szCs w:val="34"/>
        </w:rPr>
      </w:pPr>
      <w:r>
        <w:rPr>
          <w:rFonts w:ascii="Times New Roman" w:hAnsi="Times New Roman"/>
          <w:b/>
          <w:bCs/>
          <w:sz w:val="34"/>
          <w:szCs w:val="34"/>
        </w:rPr>
        <w:t>CAPITAL STRUCTURE AND FIRM PERFORMANCE: A CASE STUDY OF TATA STEEL</w:t>
      </w:r>
    </w:p>
    <w:p w14:paraId="3D5AC921" w14:textId="77777777" w:rsidR="007F5874" w:rsidRDefault="007F5874">
      <w:pPr>
        <w:shd w:val="clear" w:color="auto" w:fill="E2EFD9"/>
      </w:pPr>
    </w:p>
    <w:p w14:paraId="5EE2DC37" w14:textId="77777777" w:rsidR="007F5874" w:rsidRDefault="007F5874"/>
    <w:p w14:paraId="40271308" w14:textId="77777777" w:rsidR="007F5874" w:rsidRDefault="007F5874"/>
    <w:p w14:paraId="3611E6B5" w14:textId="77777777" w:rsidR="007F5874" w:rsidRDefault="007F5874"/>
    <w:p w14:paraId="67CC8E8F" w14:textId="77777777" w:rsidR="007F5874" w:rsidRDefault="007F5874"/>
    <w:p w14:paraId="2D85F7DD" w14:textId="77777777" w:rsidR="007F5874" w:rsidRDefault="007F5874"/>
    <w:p w14:paraId="0782B30E" w14:textId="77777777" w:rsidR="007F5874" w:rsidRDefault="007F5874"/>
    <w:p w14:paraId="3C1BC46D" w14:textId="77777777" w:rsidR="007F5874" w:rsidRDefault="007F5874"/>
    <w:p w14:paraId="104B671D" w14:textId="77777777" w:rsidR="007F5874" w:rsidRDefault="007F5874"/>
    <w:p w14:paraId="37BF6B06" w14:textId="77777777" w:rsidR="007F5874" w:rsidRDefault="007F5874">
      <w:pPr>
        <w:jc w:val="right"/>
        <w:rPr>
          <w:rFonts w:ascii="Times New Roman" w:eastAsia="Times New Roman" w:hAnsi="Times New Roman" w:cs="Times New Roman"/>
          <w:sz w:val="30"/>
          <w:szCs w:val="30"/>
        </w:rPr>
      </w:pPr>
    </w:p>
    <w:p w14:paraId="45799474" w14:textId="77777777" w:rsidR="007F5874" w:rsidRDefault="00402798">
      <w:pPr>
        <w:jc w:val="right"/>
        <w:rPr>
          <w:rFonts w:ascii="Times New Roman" w:eastAsia="Times New Roman" w:hAnsi="Times New Roman" w:cs="Times New Roman"/>
          <w:b/>
          <w:bCs/>
          <w:sz w:val="30"/>
          <w:szCs w:val="30"/>
        </w:rPr>
      </w:pPr>
      <w:r>
        <w:rPr>
          <w:rFonts w:ascii="Times New Roman" w:hAnsi="Times New Roman"/>
          <w:b/>
          <w:bCs/>
          <w:sz w:val="30"/>
          <w:szCs w:val="30"/>
        </w:rPr>
        <w:t>Student ID</w:t>
      </w:r>
    </w:p>
    <w:p w14:paraId="644106B9" w14:textId="77777777" w:rsidR="007F5874" w:rsidRDefault="00402798">
      <w:pPr>
        <w:jc w:val="right"/>
        <w:rPr>
          <w:rFonts w:ascii="Times New Roman" w:eastAsia="Times New Roman" w:hAnsi="Times New Roman" w:cs="Times New Roman"/>
          <w:b/>
          <w:bCs/>
          <w:sz w:val="30"/>
          <w:szCs w:val="30"/>
        </w:rPr>
      </w:pPr>
      <w:r>
        <w:rPr>
          <w:rFonts w:ascii="Times New Roman" w:hAnsi="Times New Roman"/>
          <w:b/>
          <w:bCs/>
          <w:sz w:val="30"/>
          <w:szCs w:val="30"/>
        </w:rPr>
        <w:t>2243796</w:t>
      </w:r>
    </w:p>
    <w:p w14:paraId="2DABC638" w14:textId="77777777" w:rsidR="007F5874" w:rsidRDefault="007F5874"/>
    <w:p w14:paraId="31E0121C" w14:textId="77777777" w:rsidR="007F5874" w:rsidRDefault="007F5874"/>
    <w:p w14:paraId="7C2385C0" w14:textId="77777777" w:rsidR="007F5874" w:rsidRDefault="007F5874"/>
    <w:p w14:paraId="79CEFED2" w14:textId="77777777" w:rsidR="007F5874" w:rsidRDefault="00402798">
      <w:pPr>
        <w:shd w:val="clear" w:color="auto" w:fill="E2EFD9"/>
        <w:jc w:val="center"/>
        <w:rPr>
          <w:rFonts w:ascii="Times New Roman" w:eastAsia="Times New Roman" w:hAnsi="Times New Roman" w:cs="Times New Roman"/>
          <w:b/>
          <w:bCs/>
          <w:sz w:val="32"/>
          <w:szCs w:val="32"/>
        </w:rPr>
      </w:pPr>
      <w:r>
        <w:rPr>
          <w:rFonts w:ascii="Times New Roman" w:hAnsi="Times New Roman"/>
          <w:b/>
          <w:bCs/>
          <w:sz w:val="32"/>
          <w:szCs w:val="32"/>
        </w:rPr>
        <w:t xml:space="preserve">DECLARATION </w:t>
      </w:r>
    </w:p>
    <w:p w14:paraId="1512CA09" w14:textId="77777777" w:rsidR="007F5874" w:rsidRDefault="00402798">
      <w:r>
        <w:t xml:space="preserve"> </w:t>
      </w:r>
    </w:p>
    <w:p w14:paraId="0CDD659C" w14:textId="77777777" w:rsidR="007F5874" w:rsidRDefault="00402798">
      <w:r>
        <w:t>I, MISHAB CHANDAPARAMBIL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48FB6D7" w14:textId="77777777" w:rsidR="007F5874" w:rsidRDefault="00402798">
      <w:r>
        <w:rPr>
          <w:noProof/>
        </w:rPr>
        <w:drawing>
          <wp:anchor distT="0" distB="0" distL="152400" distR="152400" simplePos="0" relativeHeight="2" behindDoc="0" locked="0" layoutInCell="1" allowOverlap="1" wp14:anchorId="135D3D55" wp14:editId="7B06A0D8">
            <wp:simplePos x="0" y="0"/>
            <wp:positionH relativeFrom="page">
              <wp:posOffset>1724898</wp:posOffset>
            </wp:positionH>
            <wp:positionV relativeFrom="page">
              <wp:posOffset>3143038</wp:posOffset>
            </wp:positionV>
            <wp:extent cx="633851" cy="301078"/>
            <wp:effectExtent l="0" t="0" r="0" b="0"/>
            <wp:wrapThrough wrapText="bothSides">
              <wp:wrapPolygon edited="1">
                <wp:start x="19094" y="119"/>
                <wp:lineTo x="19333" y="238"/>
                <wp:lineTo x="19452" y="714"/>
                <wp:lineTo x="19428" y="3213"/>
                <wp:lineTo x="19309" y="4106"/>
                <wp:lineTo x="19094" y="5772"/>
                <wp:lineTo x="18855" y="7021"/>
                <wp:lineTo x="18617" y="7914"/>
                <wp:lineTo x="18473" y="8688"/>
                <wp:lineTo x="18139" y="9342"/>
                <wp:lineTo x="17805" y="10473"/>
                <wp:lineTo x="17853" y="11246"/>
                <wp:lineTo x="18402" y="13031"/>
                <wp:lineTo x="19022" y="13269"/>
                <wp:lineTo x="19166" y="13567"/>
                <wp:lineTo x="21003" y="13448"/>
                <wp:lineTo x="21147" y="13150"/>
                <wp:lineTo x="21528" y="13269"/>
                <wp:lineTo x="21481" y="13983"/>
                <wp:lineTo x="21075" y="14340"/>
                <wp:lineTo x="20956" y="14519"/>
                <wp:lineTo x="17662" y="14400"/>
                <wp:lineTo x="17543" y="14102"/>
                <wp:lineTo x="16827" y="14162"/>
                <wp:lineTo x="16707" y="14460"/>
                <wp:lineTo x="16373" y="14340"/>
                <wp:lineTo x="16039" y="14876"/>
                <wp:lineTo x="15681" y="15947"/>
                <wp:lineTo x="15323" y="16423"/>
                <wp:lineTo x="14869" y="16245"/>
                <wp:lineTo x="14893" y="15471"/>
                <wp:lineTo x="15036" y="15055"/>
                <wp:lineTo x="15347" y="14817"/>
                <wp:lineTo x="15442" y="14162"/>
                <wp:lineTo x="15275" y="13626"/>
                <wp:lineTo x="12196" y="13686"/>
                <wp:lineTo x="11790" y="14460"/>
                <wp:lineTo x="11313" y="14400"/>
                <wp:lineTo x="11194" y="14102"/>
                <wp:lineTo x="10764" y="14162"/>
                <wp:lineTo x="10526" y="14638"/>
                <wp:lineTo x="10239" y="14638"/>
                <wp:lineTo x="9929" y="14102"/>
                <wp:lineTo x="9619" y="14221"/>
                <wp:lineTo x="9380" y="14936"/>
                <wp:lineTo x="8234" y="15114"/>
                <wp:lineTo x="8115" y="15412"/>
                <wp:lineTo x="7781" y="15650"/>
                <wp:lineTo x="7685" y="15888"/>
                <wp:lineTo x="7375" y="15769"/>
                <wp:lineTo x="6945" y="14519"/>
                <wp:lineTo x="6731" y="14162"/>
                <wp:lineTo x="6492" y="14281"/>
                <wp:lineTo x="6349" y="14519"/>
                <wp:lineTo x="5943" y="14698"/>
                <wp:lineTo x="5776" y="14995"/>
                <wp:lineTo x="5394" y="15174"/>
                <wp:lineTo x="5131" y="15471"/>
                <wp:lineTo x="4773" y="14995"/>
                <wp:lineTo x="4129" y="15114"/>
                <wp:lineTo x="3723" y="16007"/>
                <wp:lineTo x="3294" y="18863"/>
                <wp:lineTo x="3103" y="19696"/>
                <wp:lineTo x="2888" y="21124"/>
                <wp:lineTo x="2769" y="21481"/>
                <wp:lineTo x="2578" y="21362"/>
                <wp:lineTo x="2434" y="20886"/>
                <wp:lineTo x="2506" y="19934"/>
                <wp:lineTo x="2625" y="18208"/>
                <wp:lineTo x="2697" y="17018"/>
                <wp:lineTo x="2578" y="16304"/>
                <wp:lineTo x="2411" y="16126"/>
                <wp:lineTo x="2100" y="16423"/>
                <wp:lineTo x="334" y="16304"/>
                <wp:lineTo x="48" y="15709"/>
                <wp:lineTo x="72" y="14221"/>
                <wp:lineTo x="1265" y="12198"/>
                <wp:lineTo x="1575" y="11960"/>
                <wp:lineTo x="1695" y="11722"/>
                <wp:lineTo x="2005" y="11484"/>
                <wp:lineTo x="2148" y="11246"/>
                <wp:lineTo x="2434" y="11008"/>
                <wp:lineTo x="2578" y="10770"/>
                <wp:lineTo x="2864" y="10532"/>
                <wp:lineTo x="2960" y="10395"/>
                <wp:lineTo x="2960" y="12258"/>
                <wp:lineTo x="2434" y="12317"/>
                <wp:lineTo x="2315" y="12615"/>
                <wp:lineTo x="1862" y="12793"/>
                <wp:lineTo x="1599" y="13150"/>
                <wp:lineTo x="1384" y="13448"/>
                <wp:lineTo x="1289" y="13745"/>
                <wp:lineTo x="1360" y="14579"/>
                <wp:lineTo x="1504" y="14936"/>
                <wp:lineTo x="2506" y="14876"/>
                <wp:lineTo x="2912" y="14043"/>
                <wp:lineTo x="3103" y="13269"/>
                <wp:lineTo x="3055" y="12317"/>
                <wp:lineTo x="2960" y="12258"/>
                <wp:lineTo x="2960" y="10395"/>
                <wp:lineTo x="3031" y="10294"/>
                <wp:lineTo x="3389" y="10116"/>
                <wp:lineTo x="4177" y="7557"/>
                <wp:lineTo x="4654" y="7319"/>
                <wp:lineTo x="4845" y="7021"/>
                <wp:lineTo x="5227" y="7200"/>
                <wp:lineTo x="5680" y="7974"/>
                <wp:lineTo x="5919" y="7795"/>
                <wp:lineTo x="6110" y="7498"/>
                <wp:lineTo x="6731" y="7379"/>
                <wp:lineTo x="6945" y="7021"/>
                <wp:lineTo x="7280" y="6978"/>
                <wp:lineTo x="7280" y="8390"/>
                <wp:lineTo x="6778" y="8628"/>
                <wp:lineTo x="6587" y="8926"/>
                <wp:lineTo x="5752" y="9045"/>
                <wp:lineTo x="5609" y="9342"/>
                <wp:lineTo x="4988" y="9521"/>
                <wp:lineTo x="4678" y="10592"/>
                <wp:lineTo x="4726" y="13091"/>
                <wp:lineTo x="5012" y="13983"/>
                <wp:lineTo x="5346" y="13924"/>
                <wp:lineTo x="5466" y="13626"/>
                <wp:lineTo x="5895" y="13448"/>
                <wp:lineTo x="6516" y="12377"/>
                <wp:lineTo x="6898" y="11246"/>
                <wp:lineTo x="7136" y="10770"/>
                <wp:lineTo x="7351" y="9521"/>
                <wp:lineTo x="7447" y="9223"/>
                <wp:lineTo x="7423" y="8509"/>
                <wp:lineTo x="7280" y="8390"/>
                <wp:lineTo x="7280" y="6978"/>
                <wp:lineTo x="7876" y="6902"/>
                <wp:lineTo x="7996" y="6605"/>
                <wp:lineTo x="8473" y="6367"/>
                <wp:lineTo x="8568" y="6129"/>
                <wp:lineTo x="9571" y="5950"/>
                <wp:lineTo x="9738" y="5653"/>
                <wp:lineTo x="10836" y="5534"/>
                <wp:lineTo x="11051" y="5177"/>
                <wp:lineTo x="11814" y="5296"/>
                <wp:lineTo x="11886" y="5593"/>
                <wp:lineTo x="11934" y="5569"/>
                <wp:lineTo x="11934" y="6129"/>
                <wp:lineTo x="11337" y="6188"/>
                <wp:lineTo x="11170" y="6545"/>
                <wp:lineTo x="9762" y="6664"/>
                <wp:lineTo x="9523" y="7021"/>
                <wp:lineTo x="8664" y="7140"/>
                <wp:lineTo x="8258" y="7974"/>
                <wp:lineTo x="8067" y="8688"/>
                <wp:lineTo x="7972" y="9937"/>
                <wp:lineTo x="7638" y="12020"/>
                <wp:lineTo x="7685" y="12972"/>
                <wp:lineTo x="8449" y="12972"/>
                <wp:lineTo x="8592" y="12674"/>
                <wp:lineTo x="8903" y="12436"/>
                <wp:lineTo x="9022" y="12198"/>
                <wp:lineTo x="9451" y="12020"/>
                <wp:lineTo x="9810" y="11306"/>
                <wp:lineTo x="10311" y="11068"/>
                <wp:lineTo x="10526" y="10770"/>
                <wp:lineTo x="10860" y="10592"/>
                <wp:lineTo x="11027" y="10294"/>
                <wp:lineTo x="11098" y="10354"/>
                <wp:lineTo x="10979" y="12020"/>
                <wp:lineTo x="11194" y="12555"/>
                <wp:lineTo x="11432" y="12436"/>
                <wp:lineTo x="11695" y="11068"/>
                <wp:lineTo x="11790" y="9759"/>
                <wp:lineTo x="11981" y="8628"/>
                <wp:lineTo x="12077" y="7379"/>
                <wp:lineTo x="12053" y="6486"/>
                <wp:lineTo x="11934" y="6129"/>
                <wp:lineTo x="11934" y="5569"/>
                <wp:lineTo x="12125" y="5474"/>
                <wp:lineTo x="12554" y="4522"/>
                <wp:lineTo x="12769" y="3392"/>
                <wp:lineTo x="13055" y="3392"/>
                <wp:lineTo x="13342" y="5177"/>
                <wp:lineTo x="13342" y="6188"/>
                <wp:lineTo x="13008" y="6248"/>
                <wp:lineTo x="12721" y="6843"/>
                <wp:lineTo x="12554" y="8093"/>
                <wp:lineTo x="12602" y="10175"/>
                <wp:lineTo x="12912" y="11187"/>
                <wp:lineTo x="13223" y="11127"/>
                <wp:lineTo x="13509" y="10354"/>
                <wp:lineTo x="13915" y="10473"/>
                <wp:lineTo x="14082" y="10770"/>
                <wp:lineTo x="14488" y="10889"/>
                <wp:lineTo x="14702" y="11246"/>
                <wp:lineTo x="15084" y="11068"/>
                <wp:lineTo x="15204" y="10651"/>
                <wp:lineTo x="15156" y="9818"/>
                <wp:lineTo x="14488" y="7557"/>
                <wp:lineTo x="13962" y="6783"/>
                <wp:lineTo x="13915" y="6545"/>
                <wp:lineTo x="13437" y="6426"/>
                <wp:lineTo x="13342" y="6188"/>
                <wp:lineTo x="13342" y="5177"/>
                <wp:lineTo x="13485" y="5593"/>
                <wp:lineTo x="13819" y="5831"/>
                <wp:lineTo x="13915" y="6129"/>
                <wp:lineTo x="14249" y="6307"/>
                <wp:lineTo x="14607" y="7021"/>
                <wp:lineTo x="14822" y="7557"/>
                <wp:lineTo x="15060" y="8033"/>
                <wp:lineTo x="16015" y="11187"/>
                <wp:lineTo x="16469" y="11127"/>
                <wp:lineTo x="16659" y="10770"/>
                <wp:lineTo x="16922" y="10592"/>
                <wp:lineTo x="17471" y="8688"/>
                <wp:lineTo x="17638" y="7676"/>
                <wp:lineTo x="18068" y="5653"/>
                <wp:lineTo x="18378" y="3987"/>
                <wp:lineTo x="18664" y="1904"/>
                <wp:lineTo x="18975" y="417"/>
                <wp:lineTo x="19094" y="119"/>
              </wp:wrapPolygon>
            </wp:wrapThrough>
            <wp:docPr id="1026" name="officeArt object" descr="pasted-movie.heic"/>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officeArt object"/>
                    <pic:cNvPicPr/>
                  </pic:nvPicPr>
                  <pic:blipFill>
                    <a:blip r:embed="rId7" cstate="print"/>
                    <a:srcRect/>
                    <a:stretch/>
                  </pic:blipFill>
                  <pic:spPr>
                    <a:xfrm>
                      <a:off x="0" y="0"/>
                      <a:ext cx="633851" cy="301078"/>
                    </a:xfrm>
                    <a:prstGeom prst="rect">
                      <a:avLst/>
                    </a:prstGeom>
                    <a:ln>
                      <a:noFill/>
                    </a:ln>
                  </pic:spPr>
                </pic:pic>
              </a:graphicData>
            </a:graphic>
          </wp:anchor>
        </w:drawing>
      </w:r>
    </w:p>
    <w:p w14:paraId="38660D2E" w14:textId="77777777" w:rsidR="007F5874" w:rsidRDefault="00402798">
      <w:r>
        <w:t>Signature:</w:t>
      </w:r>
    </w:p>
    <w:p w14:paraId="3E146498" w14:textId="77777777" w:rsidR="007F5874" w:rsidRDefault="00402798">
      <w:r>
        <w:t>Date:  04-05-2024</w:t>
      </w:r>
    </w:p>
    <w:p w14:paraId="2F63EE9E" w14:textId="77777777" w:rsidR="007F5874" w:rsidRDefault="007F5874"/>
    <w:p w14:paraId="27C5DD3F" w14:textId="77777777" w:rsidR="007F5874" w:rsidRDefault="007F5874"/>
    <w:p w14:paraId="6CC5760D" w14:textId="77777777" w:rsidR="007F5874" w:rsidRDefault="007F5874"/>
    <w:p w14:paraId="6E4ECB74" w14:textId="77777777" w:rsidR="007F5874" w:rsidRDefault="007F5874"/>
    <w:p w14:paraId="5FE00F5C" w14:textId="77777777" w:rsidR="007F5874" w:rsidRDefault="007F5874"/>
    <w:p w14:paraId="31BA1DC1" w14:textId="77777777" w:rsidR="007F5874" w:rsidRDefault="007F5874"/>
    <w:p w14:paraId="4C144D14" w14:textId="77777777" w:rsidR="007F5874" w:rsidRDefault="007F5874"/>
    <w:p w14:paraId="41DDDB8C" w14:textId="77777777" w:rsidR="007F5874" w:rsidRDefault="007F5874"/>
    <w:p w14:paraId="773C572F" w14:textId="77777777" w:rsidR="007F5874" w:rsidRDefault="007F5874"/>
    <w:p w14:paraId="60E9914C" w14:textId="77777777" w:rsidR="007F5874" w:rsidRDefault="007F5874"/>
    <w:p w14:paraId="7B77E7BF" w14:textId="77777777" w:rsidR="007F5874" w:rsidRDefault="007F5874"/>
    <w:p w14:paraId="4202941B" w14:textId="77777777" w:rsidR="007F5874" w:rsidRDefault="007F5874"/>
    <w:p w14:paraId="77F8A440" w14:textId="77777777" w:rsidR="007F5874" w:rsidRDefault="007F5874"/>
    <w:p w14:paraId="18C2204A" w14:textId="77777777" w:rsidR="007F5874" w:rsidRDefault="007F5874"/>
    <w:p w14:paraId="6A5D863B" w14:textId="77777777" w:rsidR="007F5874" w:rsidRDefault="007F5874"/>
    <w:p w14:paraId="20F36CFD" w14:textId="77777777" w:rsidR="007F5874" w:rsidRDefault="007F5874"/>
    <w:p w14:paraId="35A8DA70" w14:textId="77777777" w:rsidR="007F5874" w:rsidRDefault="007F5874"/>
    <w:p w14:paraId="29D0BAD4" w14:textId="77777777" w:rsidR="007F5874" w:rsidRDefault="007F5874"/>
    <w:p w14:paraId="479C1D13" w14:textId="77777777" w:rsidR="007F5874" w:rsidRDefault="007F5874"/>
    <w:p w14:paraId="4B14355F" w14:textId="77777777" w:rsidR="007F5874" w:rsidRDefault="007F5874"/>
    <w:p w14:paraId="615064B0" w14:textId="77777777" w:rsidR="007F5874" w:rsidRDefault="007F5874"/>
    <w:p w14:paraId="64339258" w14:textId="77777777" w:rsidR="007F5874" w:rsidRDefault="00402798">
      <w:pPr>
        <w:pStyle w:val="TOCHeading"/>
        <w:shd w:val="clear" w:color="auto" w:fill="E2EFD9"/>
        <w:jc w:val="center"/>
        <w:rPr>
          <w:rFonts w:ascii="Times New Roman" w:eastAsia="Times New Roman" w:hAnsi="Times New Roman" w:cs="Times New Roman"/>
          <w:b/>
          <w:bCs/>
          <w:color w:val="000000"/>
          <w:u w:color="000000"/>
        </w:rPr>
      </w:pPr>
      <w:r>
        <w:rPr>
          <w:rFonts w:ascii="Times New Roman" w:hAnsi="Times New Roman"/>
          <w:b/>
          <w:bCs/>
          <w:color w:val="000000"/>
          <w:u w:color="000000"/>
        </w:rPr>
        <w:lastRenderedPageBreak/>
        <w:t>TABLE OF CONTENTS</w:t>
      </w:r>
    </w:p>
    <w:p w14:paraId="29823514" w14:textId="77777777" w:rsidR="007F5874" w:rsidRDefault="007F5874"/>
    <w:p w14:paraId="033B0474" w14:textId="77777777" w:rsidR="007F5874" w:rsidRDefault="00402798">
      <w:r>
        <w:fldChar w:fldCharType="begin"/>
      </w:r>
      <w:r>
        <w:instrText xml:space="preserve"> TOC \t "heading 1, 1,heading 2, 2"</w:instrText>
      </w:r>
      <w:r>
        <w:fldChar w:fldCharType="separate"/>
      </w:r>
    </w:p>
    <w:p w14:paraId="0A2694DC" w14:textId="77777777" w:rsidR="007F5874" w:rsidRDefault="00402798">
      <w:pPr>
        <w:pStyle w:val="TOC11"/>
      </w:pPr>
      <w:r>
        <w:rPr>
          <w:rFonts w:eastAsia="Arial Unicode MS" w:cs="Arial Unicode MS"/>
        </w:rPr>
        <w:t>Chapter 1: 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6</w:t>
      </w:r>
      <w:r>
        <w:fldChar w:fldCharType="end"/>
      </w:r>
    </w:p>
    <w:p w14:paraId="052970AD" w14:textId="77777777" w:rsidR="007F5874" w:rsidRDefault="00402798">
      <w:pPr>
        <w:pStyle w:val="TOC21"/>
        <w:numPr>
          <w:ilvl w:val="1"/>
          <w:numId w:val="4"/>
        </w:numPr>
      </w:pPr>
      <w:r>
        <w:rPr>
          <w:rFonts w:eastAsia="Arial Unicode MS" w:cs="Arial Unicode MS"/>
        </w:rPr>
        <w:t>Background &amp; Problem Statement</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6</w:t>
      </w:r>
      <w:r>
        <w:fldChar w:fldCharType="end"/>
      </w:r>
    </w:p>
    <w:p w14:paraId="21D46286" w14:textId="77777777" w:rsidR="007F5874" w:rsidRDefault="00402798">
      <w:pPr>
        <w:pStyle w:val="TOC21"/>
      </w:pPr>
      <w:r>
        <w:rPr>
          <w:rFonts w:eastAsia="Arial Unicode MS" w:cs="Arial Unicode MS"/>
        </w:rPr>
        <w:t>1.2. Research Aim</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8</w:t>
      </w:r>
      <w:r>
        <w:fldChar w:fldCharType="end"/>
      </w:r>
    </w:p>
    <w:p w14:paraId="6BD47669" w14:textId="77777777" w:rsidR="007F5874" w:rsidRDefault="00402798">
      <w:pPr>
        <w:pStyle w:val="TOC21"/>
      </w:pPr>
      <w:r>
        <w:rPr>
          <w:rFonts w:eastAsia="Arial Unicode MS" w:cs="Arial Unicode MS"/>
        </w:rPr>
        <w:t>1.3. Research Objectives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8</w:t>
      </w:r>
      <w:r>
        <w:fldChar w:fldCharType="end"/>
      </w:r>
    </w:p>
    <w:p w14:paraId="50CF9B3F" w14:textId="77777777" w:rsidR="007F5874" w:rsidRDefault="00402798">
      <w:pPr>
        <w:pStyle w:val="TOC21"/>
      </w:pPr>
      <w:r>
        <w:rPr>
          <w:rFonts w:eastAsia="Arial Unicode MS" w:cs="Arial Unicode MS"/>
        </w:rPr>
        <w:t>1.4. Research Questions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8</w:t>
      </w:r>
      <w:r>
        <w:fldChar w:fldCharType="end"/>
      </w:r>
    </w:p>
    <w:p w14:paraId="47839887" w14:textId="77777777" w:rsidR="007F5874" w:rsidRDefault="00402798">
      <w:pPr>
        <w:pStyle w:val="TOC21"/>
      </w:pPr>
      <w:r>
        <w:rPr>
          <w:rFonts w:eastAsia="Arial Unicode MS" w:cs="Arial Unicode MS"/>
        </w:rPr>
        <w:t>1.5. Significance of Study</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9</w:t>
      </w:r>
      <w:r>
        <w:fldChar w:fldCharType="end"/>
      </w:r>
    </w:p>
    <w:p w14:paraId="1E7F4850" w14:textId="77777777" w:rsidR="007F5874" w:rsidRDefault="00402798">
      <w:pPr>
        <w:pStyle w:val="TOC21"/>
      </w:pPr>
      <w:r>
        <w:rPr>
          <w:rFonts w:eastAsia="Arial Unicode MS" w:cs="Arial Unicode MS"/>
        </w:rPr>
        <w:t>1.6. Brief Research Methodology</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9</w:t>
      </w:r>
      <w:r>
        <w:fldChar w:fldCharType="end"/>
      </w:r>
    </w:p>
    <w:p w14:paraId="1405F3AA" w14:textId="77777777" w:rsidR="007F5874" w:rsidRDefault="00402798">
      <w:pPr>
        <w:pStyle w:val="TOC21"/>
      </w:pPr>
      <w:r>
        <w:rPr>
          <w:rFonts w:eastAsia="Arial Unicode MS" w:cs="Arial Unicode MS"/>
        </w:rPr>
        <w:t>1.7. Definitions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10</w:t>
      </w:r>
      <w:r>
        <w:fldChar w:fldCharType="end"/>
      </w:r>
    </w:p>
    <w:p w14:paraId="436188FD" w14:textId="77777777" w:rsidR="007F5874" w:rsidRDefault="00402798">
      <w:pPr>
        <w:pStyle w:val="TOC21"/>
      </w:pPr>
      <w:r>
        <w:rPr>
          <w:rFonts w:eastAsia="Arial Unicode MS" w:cs="Arial Unicode MS"/>
        </w:rPr>
        <w:t>1.8. Structure of rest of project</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11</w:t>
      </w:r>
      <w:r>
        <w:fldChar w:fldCharType="end"/>
      </w:r>
    </w:p>
    <w:p w14:paraId="0FD12FA6" w14:textId="77777777" w:rsidR="007F5874" w:rsidRDefault="00402798">
      <w:pPr>
        <w:pStyle w:val="TOC11"/>
      </w:pPr>
      <w:r>
        <w:rPr>
          <w:rFonts w:eastAsia="Arial Unicode MS" w:cs="Arial Unicode MS"/>
        </w:rPr>
        <w:t>Chapter 2: REVIEW OF LITERATURE</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12</w:t>
      </w:r>
      <w:r>
        <w:fldChar w:fldCharType="end"/>
      </w:r>
    </w:p>
    <w:p w14:paraId="671DAFB2" w14:textId="77777777" w:rsidR="007F5874" w:rsidRDefault="00402798">
      <w:pPr>
        <w:pStyle w:val="TOC21"/>
      </w:pPr>
      <w:r>
        <w:rPr>
          <w:rFonts w:eastAsia="Arial Unicode MS" w:cs="Arial Unicode MS"/>
        </w:rPr>
        <w:t>2.1. Introduction</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12</w:t>
      </w:r>
      <w:r>
        <w:fldChar w:fldCharType="end"/>
      </w:r>
    </w:p>
    <w:p w14:paraId="78EA28EF" w14:textId="77777777" w:rsidR="007F5874" w:rsidRDefault="00402798">
      <w:pPr>
        <w:pStyle w:val="TOC21"/>
      </w:pPr>
      <w:r>
        <w:rPr>
          <w:rFonts w:eastAsia="Arial Unicode MS" w:cs="Arial Unicode MS"/>
        </w:rPr>
        <w:t>2.2. Dynamic Capability Theory and Firm Performance</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12</w:t>
      </w:r>
      <w:r>
        <w:fldChar w:fldCharType="end"/>
      </w:r>
    </w:p>
    <w:p w14:paraId="4A3160E5" w14:textId="77777777" w:rsidR="007F5874" w:rsidRDefault="00402798">
      <w:pPr>
        <w:pStyle w:val="TOC21"/>
      </w:pPr>
      <w:r>
        <w:rPr>
          <w:rFonts w:eastAsia="Arial Unicode MS" w:cs="Arial Unicode MS"/>
        </w:rPr>
        <w:t>2.3. Empirical Evidence on Capital Structure and Firm Performance</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14</w:t>
      </w:r>
      <w:r>
        <w:fldChar w:fldCharType="end"/>
      </w:r>
    </w:p>
    <w:p w14:paraId="635F05A2" w14:textId="77777777" w:rsidR="007F5874" w:rsidRDefault="00402798">
      <w:pPr>
        <w:pStyle w:val="TOC21"/>
      </w:pPr>
      <w:r>
        <w:rPr>
          <w:rFonts w:eastAsia="Arial Unicode MS" w:cs="Arial Unicode MS"/>
        </w:rPr>
        <w:t>2.4. Resource-Based View (RBV) Theory and Capital Structure Decisions</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16</w:t>
      </w:r>
      <w:r>
        <w:fldChar w:fldCharType="end"/>
      </w:r>
    </w:p>
    <w:p w14:paraId="4F680CE4" w14:textId="77777777" w:rsidR="007F5874" w:rsidRDefault="00402798">
      <w:pPr>
        <w:pStyle w:val="TOC21"/>
      </w:pPr>
      <w:r>
        <w:rPr>
          <w:rFonts w:eastAsia="Arial Unicode MS" w:cs="Arial Unicode MS"/>
        </w:rPr>
        <w:t>2.5. Industry-Specific Factors and Capital Structure Dynamics</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18</w:t>
      </w:r>
      <w:r>
        <w:fldChar w:fldCharType="end"/>
      </w:r>
    </w:p>
    <w:p w14:paraId="65C35606" w14:textId="77777777" w:rsidR="007F5874" w:rsidRDefault="00402798">
      <w:pPr>
        <w:pStyle w:val="TOC21"/>
      </w:pPr>
      <w:r>
        <w:rPr>
          <w:rFonts w:eastAsia="Arial Unicode MS" w:cs="Arial Unicode MS"/>
        </w:rPr>
        <w:t>2.6. Conceptual Framework</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20</w:t>
      </w:r>
      <w:r>
        <w:fldChar w:fldCharType="end"/>
      </w:r>
    </w:p>
    <w:p w14:paraId="11C82429" w14:textId="77777777" w:rsidR="007F5874" w:rsidRDefault="00402798">
      <w:pPr>
        <w:pStyle w:val="TOC21"/>
      </w:pPr>
      <w:r>
        <w:rPr>
          <w:rFonts w:eastAsia="Arial Unicode MS" w:cs="Arial Unicode MS"/>
        </w:rPr>
        <w:t>2.7. Conclusion</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21</w:t>
      </w:r>
      <w:r>
        <w:fldChar w:fldCharType="end"/>
      </w:r>
    </w:p>
    <w:p w14:paraId="461FF5A9" w14:textId="77777777" w:rsidR="007F5874" w:rsidRDefault="00402798">
      <w:pPr>
        <w:pStyle w:val="TOC11"/>
      </w:pPr>
      <w:r>
        <w:rPr>
          <w:rFonts w:eastAsia="Arial Unicode MS" w:cs="Arial Unicode MS"/>
        </w:rPr>
        <w:t>CHAPTER 3: RESEARCH METHODOLOGY</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22</w:t>
      </w:r>
      <w:r>
        <w:fldChar w:fldCharType="end"/>
      </w:r>
    </w:p>
    <w:p w14:paraId="53203A25" w14:textId="77777777" w:rsidR="007F5874" w:rsidRDefault="00402798">
      <w:pPr>
        <w:pStyle w:val="TOC21"/>
      </w:pPr>
      <w:r>
        <w:rPr>
          <w:rFonts w:eastAsia="Arial Unicode MS" w:cs="Arial Unicode MS"/>
        </w:rPr>
        <w:t>3.1. Introduction</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22</w:t>
      </w:r>
      <w:r>
        <w:fldChar w:fldCharType="end"/>
      </w:r>
    </w:p>
    <w:p w14:paraId="166390E9" w14:textId="77777777" w:rsidR="007F5874" w:rsidRDefault="00402798">
      <w:pPr>
        <w:pStyle w:val="TOC21"/>
      </w:pPr>
      <w:r>
        <w:rPr>
          <w:rFonts w:eastAsia="Arial Unicode MS" w:cs="Arial Unicode MS"/>
        </w:rPr>
        <w:t>3.2. Research Philosophies and Assumptions</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23</w:t>
      </w:r>
      <w:r>
        <w:fldChar w:fldCharType="end"/>
      </w:r>
    </w:p>
    <w:p w14:paraId="04BAEA9A" w14:textId="77777777" w:rsidR="007F5874" w:rsidRDefault="00402798">
      <w:pPr>
        <w:pStyle w:val="TOC21"/>
      </w:pPr>
      <w:r>
        <w:rPr>
          <w:rFonts w:eastAsia="Arial Unicode MS" w:cs="Arial Unicode MS"/>
        </w:rPr>
        <w:t>3.3. Research Design</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24</w:t>
      </w:r>
      <w:r>
        <w:fldChar w:fldCharType="end"/>
      </w:r>
    </w:p>
    <w:p w14:paraId="11C6D304" w14:textId="77777777" w:rsidR="007F5874" w:rsidRDefault="00402798">
      <w:pPr>
        <w:pStyle w:val="TOC21"/>
      </w:pPr>
      <w:r>
        <w:rPr>
          <w:rFonts w:eastAsia="Arial Unicode MS" w:cs="Arial Unicode MS"/>
        </w:rPr>
        <w:t>3.4. Research Approaches</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25</w:t>
      </w:r>
      <w:r>
        <w:fldChar w:fldCharType="end"/>
      </w:r>
    </w:p>
    <w:p w14:paraId="1399F55B" w14:textId="77777777" w:rsidR="007F5874" w:rsidRDefault="00402798">
      <w:pPr>
        <w:pStyle w:val="TOC21"/>
      </w:pPr>
      <w:r>
        <w:rPr>
          <w:rFonts w:eastAsia="Arial Unicode MS" w:cs="Arial Unicode MS"/>
        </w:rPr>
        <w:t>3.5. Ethical Considerations</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25</w:t>
      </w:r>
      <w:r>
        <w:fldChar w:fldCharType="end"/>
      </w:r>
    </w:p>
    <w:p w14:paraId="146660AE" w14:textId="77777777" w:rsidR="007F5874" w:rsidRDefault="00402798">
      <w:pPr>
        <w:pStyle w:val="TOC21"/>
      </w:pPr>
      <w:r>
        <w:rPr>
          <w:rFonts w:eastAsia="Arial Unicode MS" w:cs="Arial Unicode MS"/>
        </w:rPr>
        <w:t>3.6. Conclusion</w:t>
      </w:r>
      <w:r>
        <w:rPr>
          <w:rFonts w:eastAsia="Arial Unicode MS" w:cs="Arial Unicode MS"/>
        </w:rPr>
        <w:tab/>
      </w:r>
      <w:r>
        <w:fldChar w:fldCharType="begin"/>
      </w:r>
      <w:r>
        <w:instrText xml:space="preserve"> PAGEREF _Toc23 \h </w:instrText>
      </w:r>
      <w:r>
        <w:fldChar w:fldCharType="separate"/>
      </w:r>
      <w:r>
        <w:rPr>
          <w:rFonts w:eastAsia="Arial Unicode MS" w:cs="Arial Unicode MS"/>
        </w:rPr>
        <w:t>26</w:t>
      </w:r>
      <w:r>
        <w:fldChar w:fldCharType="end"/>
      </w:r>
    </w:p>
    <w:p w14:paraId="3697A4AA" w14:textId="77777777" w:rsidR="007F5874" w:rsidRDefault="00402798">
      <w:pPr>
        <w:pStyle w:val="TOC11"/>
      </w:pPr>
      <w:r>
        <w:rPr>
          <w:rFonts w:eastAsia="Arial Unicode MS" w:cs="Arial Unicode MS"/>
        </w:rPr>
        <w:t>Chapter 4: RESULTS, ANALYSIS AND DISCUSSION</w:t>
      </w:r>
      <w:r>
        <w:rPr>
          <w:rFonts w:eastAsia="Arial Unicode MS" w:cs="Arial Unicode MS"/>
        </w:rPr>
        <w:tab/>
      </w:r>
      <w:r>
        <w:fldChar w:fldCharType="begin"/>
      </w:r>
      <w:r>
        <w:instrText xml:space="preserve"> PAGEREF _Toc24 \h </w:instrText>
      </w:r>
      <w:r>
        <w:fldChar w:fldCharType="separate"/>
      </w:r>
      <w:r>
        <w:rPr>
          <w:rFonts w:eastAsia="Arial Unicode MS" w:cs="Arial Unicode MS"/>
        </w:rPr>
        <w:t>27</w:t>
      </w:r>
      <w:r>
        <w:fldChar w:fldCharType="end"/>
      </w:r>
    </w:p>
    <w:p w14:paraId="7294E319" w14:textId="77777777" w:rsidR="007F5874" w:rsidRDefault="00402798">
      <w:pPr>
        <w:pStyle w:val="TOC21"/>
      </w:pPr>
      <w:r>
        <w:rPr>
          <w:rFonts w:eastAsia="Arial Unicode MS" w:cs="Arial Unicode MS"/>
        </w:rPr>
        <w:lastRenderedPageBreak/>
        <w:t>4.1. Summary</w:t>
      </w:r>
      <w:r>
        <w:rPr>
          <w:rFonts w:eastAsia="Arial Unicode MS" w:cs="Arial Unicode MS"/>
        </w:rPr>
        <w:tab/>
      </w:r>
      <w:r>
        <w:fldChar w:fldCharType="begin"/>
      </w:r>
      <w:r>
        <w:instrText xml:space="preserve"> PAGEREF _Toc25 \h </w:instrText>
      </w:r>
      <w:r>
        <w:fldChar w:fldCharType="separate"/>
      </w:r>
      <w:r>
        <w:rPr>
          <w:rFonts w:eastAsia="Arial Unicode MS" w:cs="Arial Unicode MS"/>
        </w:rPr>
        <w:t>27</w:t>
      </w:r>
      <w:r>
        <w:fldChar w:fldCharType="end"/>
      </w:r>
    </w:p>
    <w:p w14:paraId="54D93203" w14:textId="77777777" w:rsidR="007F5874" w:rsidRDefault="00402798">
      <w:pPr>
        <w:pStyle w:val="TOC21"/>
      </w:pPr>
      <w:r>
        <w:rPr>
          <w:rFonts w:eastAsia="Arial Unicode MS" w:cs="Arial Unicode MS"/>
        </w:rPr>
        <w:t>4.2. Analysis of Capital Structure of the Tata Steel Ltd.</w:t>
      </w:r>
      <w:r>
        <w:rPr>
          <w:rFonts w:eastAsia="Arial Unicode MS" w:cs="Arial Unicode MS"/>
        </w:rPr>
        <w:tab/>
      </w:r>
      <w:r>
        <w:fldChar w:fldCharType="begin"/>
      </w:r>
      <w:r>
        <w:instrText xml:space="preserve"> PAGEREF _Toc26 \h </w:instrText>
      </w:r>
      <w:r>
        <w:fldChar w:fldCharType="separate"/>
      </w:r>
      <w:r>
        <w:rPr>
          <w:rFonts w:eastAsia="Arial Unicode MS" w:cs="Arial Unicode MS"/>
        </w:rPr>
        <w:t>28</w:t>
      </w:r>
      <w:r>
        <w:fldChar w:fldCharType="end"/>
      </w:r>
    </w:p>
    <w:p w14:paraId="2B6087B7" w14:textId="77777777" w:rsidR="007F5874" w:rsidRDefault="00402798">
      <w:pPr>
        <w:pStyle w:val="TOC21"/>
      </w:pPr>
      <w:r>
        <w:rPr>
          <w:rFonts w:eastAsia="Arial Unicode MS" w:cs="Arial Unicode MS"/>
        </w:rPr>
        <w:t>4.3. Analysis of Financial Performance of Tata Steel Ltd.</w:t>
      </w:r>
      <w:r>
        <w:rPr>
          <w:rFonts w:eastAsia="Arial Unicode MS" w:cs="Arial Unicode MS"/>
        </w:rPr>
        <w:tab/>
      </w:r>
      <w:r>
        <w:fldChar w:fldCharType="begin"/>
      </w:r>
      <w:r>
        <w:instrText xml:space="preserve"> PAGEREF _Toc27 \h </w:instrText>
      </w:r>
      <w:r>
        <w:fldChar w:fldCharType="separate"/>
      </w:r>
      <w:r>
        <w:rPr>
          <w:rFonts w:eastAsia="Arial Unicode MS" w:cs="Arial Unicode MS"/>
        </w:rPr>
        <w:t>38</w:t>
      </w:r>
      <w:r>
        <w:fldChar w:fldCharType="end"/>
      </w:r>
    </w:p>
    <w:p w14:paraId="31433D2A" w14:textId="77777777" w:rsidR="007F5874" w:rsidRDefault="00402798">
      <w:pPr>
        <w:pStyle w:val="TOC21"/>
      </w:pPr>
      <w:r>
        <w:rPr>
          <w:rFonts w:eastAsia="Arial Unicode MS" w:cs="Arial Unicode MS"/>
        </w:rPr>
        <w:t>4.4. Analysis of impact of capital structure on the financial performance of Tata Steel Ltd.</w:t>
      </w:r>
      <w:r>
        <w:rPr>
          <w:rFonts w:eastAsia="Arial Unicode MS" w:cs="Arial Unicode MS"/>
        </w:rPr>
        <w:tab/>
      </w:r>
      <w:r>
        <w:fldChar w:fldCharType="begin"/>
      </w:r>
      <w:r>
        <w:instrText xml:space="preserve"> PAGEREF _Toc28 \h </w:instrText>
      </w:r>
      <w:r>
        <w:fldChar w:fldCharType="separate"/>
      </w:r>
      <w:r>
        <w:rPr>
          <w:rFonts w:eastAsia="Arial Unicode MS" w:cs="Arial Unicode MS"/>
        </w:rPr>
        <w:t>45</w:t>
      </w:r>
      <w:r>
        <w:fldChar w:fldCharType="end"/>
      </w:r>
    </w:p>
    <w:p w14:paraId="7B8E4B3F" w14:textId="77777777" w:rsidR="007F5874" w:rsidRDefault="00402798">
      <w:pPr>
        <w:pStyle w:val="TOC21"/>
      </w:pPr>
      <w:r>
        <w:rPr>
          <w:rFonts w:eastAsia="Arial Unicode MS" w:cs="Arial Unicode MS"/>
        </w:rPr>
        <w:t>4.5. Discussion</w:t>
      </w:r>
      <w:r>
        <w:rPr>
          <w:rFonts w:eastAsia="Arial Unicode MS" w:cs="Arial Unicode MS"/>
        </w:rPr>
        <w:tab/>
      </w:r>
      <w:r>
        <w:fldChar w:fldCharType="begin"/>
      </w:r>
      <w:r>
        <w:instrText xml:space="preserve"> PAGEREF _Toc29 \h </w:instrText>
      </w:r>
      <w:r>
        <w:fldChar w:fldCharType="separate"/>
      </w:r>
      <w:r>
        <w:rPr>
          <w:rFonts w:eastAsia="Arial Unicode MS" w:cs="Arial Unicode MS"/>
        </w:rPr>
        <w:t>47</w:t>
      </w:r>
      <w:r>
        <w:fldChar w:fldCharType="end"/>
      </w:r>
    </w:p>
    <w:p w14:paraId="1CE9ABAC" w14:textId="77777777" w:rsidR="007F5874" w:rsidRDefault="00402798">
      <w:pPr>
        <w:pStyle w:val="TOC11"/>
      </w:pPr>
      <w:r>
        <w:rPr>
          <w:rFonts w:eastAsia="Arial Unicode MS" w:cs="Arial Unicode MS"/>
        </w:rPr>
        <w:t>Chapter 5: CONCLUSIONS AND RECOMMENDATIONS</w:t>
      </w:r>
      <w:r>
        <w:rPr>
          <w:rFonts w:eastAsia="Arial Unicode MS" w:cs="Arial Unicode MS"/>
        </w:rPr>
        <w:tab/>
      </w:r>
      <w:r>
        <w:fldChar w:fldCharType="begin"/>
      </w:r>
      <w:r>
        <w:instrText xml:space="preserve"> PAGEREF _Toc30 \h </w:instrText>
      </w:r>
      <w:r>
        <w:fldChar w:fldCharType="separate"/>
      </w:r>
      <w:r>
        <w:rPr>
          <w:rFonts w:eastAsia="Arial Unicode MS" w:cs="Arial Unicode MS"/>
        </w:rPr>
        <w:t>50</w:t>
      </w:r>
      <w:r>
        <w:fldChar w:fldCharType="end"/>
      </w:r>
    </w:p>
    <w:p w14:paraId="4B6B9BA8" w14:textId="77777777" w:rsidR="007F5874" w:rsidRDefault="00402798">
      <w:pPr>
        <w:pStyle w:val="TOC21"/>
      </w:pPr>
      <w:r>
        <w:rPr>
          <w:rFonts w:eastAsia="Arial Unicode MS" w:cs="Arial Unicode MS"/>
        </w:rPr>
        <w:t>5.1. Summary of main findings</w:t>
      </w:r>
      <w:r>
        <w:rPr>
          <w:rFonts w:eastAsia="Arial Unicode MS" w:cs="Arial Unicode MS"/>
        </w:rPr>
        <w:tab/>
      </w:r>
      <w:r>
        <w:fldChar w:fldCharType="begin"/>
      </w:r>
      <w:r>
        <w:instrText xml:space="preserve"> PAGEREF _Toc31 \h </w:instrText>
      </w:r>
      <w:r>
        <w:fldChar w:fldCharType="separate"/>
      </w:r>
      <w:r>
        <w:rPr>
          <w:rFonts w:eastAsia="Arial Unicode MS" w:cs="Arial Unicode MS"/>
        </w:rPr>
        <w:t>50</w:t>
      </w:r>
      <w:r>
        <w:fldChar w:fldCharType="end"/>
      </w:r>
    </w:p>
    <w:p w14:paraId="7A3F6261" w14:textId="77777777" w:rsidR="007F5874" w:rsidRDefault="00402798">
      <w:pPr>
        <w:pStyle w:val="TOC21"/>
      </w:pPr>
      <w:r>
        <w:rPr>
          <w:rFonts w:eastAsia="Arial Unicode MS" w:cs="Arial Unicode MS"/>
        </w:rPr>
        <w:t>5.2. Conclusion based on the research questions</w:t>
      </w:r>
      <w:r>
        <w:rPr>
          <w:rFonts w:eastAsia="Arial Unicode MS" w:cs="Arial Unicode MS"/>
        </w:rPr>
        <w:tab/>
      </w:r>
      <w:r>
        <w:fldChar w:fldCharType="begin"/>
      </w:r>
      <w:r>
        <w:instrText xml:space="preserve"> PAGEREF _Toc32 \h </w:instrText>
      </w:r>
      <w:r>
        <w:fldChar w:fldCharType="separate"/>
      </w:r>
      <w:r>
        <w:rPr>
          <w:rFonts w:eastAsia="Arial Unicode MS" w:cs="Arial Unicode MS"/>
        </w:rPr>
        <w:t>51</w:t>
      </w:r>
      <w:r>
        <w:fldChar w:fldCharType="end"/>
      </w:r>
    </w:p>
    <w:p w14:paraId="6CAE2815" w14:textId="77777777" w:rsidR="007F5874" w:rsidRDefault="00402798">
      <w:pPr>
        <w:pStyle w:val="TOC21"/>
      </w:pPr>
      <w:r>
        <w:rPr>
          <w:rFonts w:eastAsia="Arial Unicode MS" w:cs="Arial Unicode MS"/>
        </w:rPr>
        <w:t>5.3. Recommendations (Practical and Theoretical)</w:t>
      </w:r>
      <w:r>
        <w:rPr>
          <w:rFonts w:eastAsia="Arial Unicode MS" w:cs="Arial Unicode MS"/>
        </w:rPr>
        <w:tab/>
      </w:r>
      <w:r>
        <w:fldChar w:fldCharType="begin"/>
      </w:r>
      <w:r>
        <w:instrText xml:space="preserve"> PAGEREF _Toc33 \h </w:instrText>
      </w:r>
      <w:r>
        <w:fldChar w:fldCharType="separate"/>
      </w:r>
      <w:r>
        <w:rPr>
          <w:rFonts w:eastAsia="Arial Unicode MS" w:cs="Arial Unicode MS"/>
        </w:rPr>
        <w:t>53</w:t>
      </w:r>
      <w:r>
        <w:fldChar w:fldCharType="end"/>
      </w:r>
    </w:p>
    <w:p w14:paraId="7044AFC7" w14:textId="77777777" w:rsidR="007F5874" w:rsidRDefault="00402798">
      <w:pPr>
        <w:pStyle w:val="TOC21"/>
      </w:pPr>
      <w:r>
        <w:rPr>
          <w:rFonts w:eastAsia="Arial Unicode MS" w:cs="Arial Unicode MS"/>
        </w:rPr>
        <w:t>5.4. Limitations of Research</w:t>
      </w:r>
      <w:r>
        <w:rPr>
          <w:rFonts w:eastAsia="Arial Unicode MS" w:cs="Arial Unicode MS"/>
        </w:rPr>
        <w:tab/>
      </w:r>
      <w:r>
        <w:fldChar w:fldCharType="begin"/>
      </w:r>
      <w:r>
        <w:instrText xml:space="preserve"> PAGEREF _Toc34 \h </w:instrText>
      </w:r>
      <w:r>
        <w:fldChar w:fldCharType="separate"/>
      </w:r>
      <w:r>
        <w:rPr>
          <w:rFonts w:eastAsia="Arial Unicode MS" w:cs="Arial Unicode MS"/>
        </w:rPr>
        <w:t>54</w:t>
      </w:r>
      <w:r>
        <w:fldChar w:fldCharType="end"/>
      </w:r>
    </w:p>
    <w:p w14:paraId="161852C4" w14:textId="77777777" w:rsidR="007F5874" w:rsidRDefault="00402798">
      <w:pPr>
        <w:pStyle w:val="TOC21"/>
      </w:pPr>
      <w:r>
        <w:rPr>
          <w:rFonts w:eastAsia="Arial Unicode MS" w:cs="Arial Unicode MS"/>
        </w:rPr>
        <w:t>5.5. Recommendations for Future Work</w:t>
      </w:r>
      <w:r>
        <w:rPr>
          <w:rFonts w:eastAsia="Arial Unicode MS" w:cs="Arial Unicode MS"/>
        </w:rPr>
        <w:tab/>
      </w:r>
      <w:r>
        <w:fldChar w:fldCharType="begin"/>
      </w:r>
      <w:r>
        <w:instrText xml:space="preserve"> PAGEREF _Toc35 \h </w:instrText>
      </w:r>
      <w:r>
        <w:fldChar w:fldCharType="separate"/>
      </w:r>
      <w:r>
        <w:rPr>
          <w:rFonts w:eastAsia="Arial Unicode MS" w:cs="Arial Unicode MS"/>
        </w:rPr>
        <w:t>54</w:t>
      </w:r>
      <w:r>
        <w:fldChar w:fldCharType="end"/>
      </w:r>
    </w:p>
    <w:p w14:paraId="3E2BEB37" w14:textId="77777777" w:rsidR="007F5874" w:rsidRDefault="00402798">
      <w:pPr>
        <w:pStyle w:val="TOC11"/>
      </w:pPr>
      <w:r>
        <w:rPr>
          <w:rFonts w:eastAsia="Arial Unicode MS" w:cs="Arial Unicode MS"/>
        </w:rPr>
        <w:t>REFERENCES</w:t>
      </w:r>
      <w:r>
        <w:rPr>
          <w:rFonts w:eastAsia="Arial Unicode MS" w:cs="Arial Unicode MS"/>
        </w:rPr>
        <w:tab/>
      </w:r>
      <w:r>
        <w:fldChar w:fldCharType="begin"/>
      </w:r>
      <w:r>
        <w:instrText xml:space="preserve"> PAGEREF _Toc36 \h </w:instrText>
      </w:r>
      <w:r>
        <w:fldChar w:fldCharType="separate"/>
      </w:r>
      <w:r>
        <w:rPr>
          <w:rFonts w:eastAsia="Arial Unicode MS" w:cs="Arial Unicode MS"/>
        </w:rPr>
        <w:t>56</w:t>
      </w:r>
      <w:r>
        <w:fldChar w:fldCharType="end"/>
      </w:r>
    </w:p>
    <w:p w14:paraId="35EB77CB" w14:textId="77777777" w:rsidR="007F5874" w:rsidRDefault="00402798">
      <w:r>
        <w:fldChar w:fldCharType="end"/>
      </w:r>
    </w:p>
    <w:p w14:paraId="255F8648" w14:textId="77777777" w:rsidR="007F5874" w:rsidRDefault="007F5874"/>
    <w:p w14:paraId="5CAF4255" w14:textId="77777777" w:rsidR="007F5874" w:rsidRDefault="007F5874"/>
    <w:p w14:paraId="4A90B056" w14:textId="77777777" w:rsidR="007F5874" w:rsidRDefault="007F5874"/>
    <w:p w14:paraId="2BC9BDF1" w14:textId="77777777" w:rsidR="007F5874" w:rsidRDefault="007F5874"/>
    <w:p w14:paraId="75889333" w14:textId="77777777" w:rsidR="007F5874" w:rsidRDefault="007F5874"/>
    <w:p w14:paraId="138404C4" w14:textId="77777777" w:rsidR="007F5874" w:rsidRDefault="007F5874"/>
    <w:p w14:paraId="4AB782C8" w14:textId="77777777" w:rsidR="007F5874" w:rsidRDefault="007F5874"/>
    <w:p w14:paraId="7D21199B" w14:textId="77777777" w:rsidR="007F5874" w:rsidRDefault="007F5874"/>
    <w:p w14:paraId="79E03F2C" w14:textId="77777777" w:rsidR="007F5874" w:rsidRDefault="007F5874"/>
    <w:p w14:paraId="2AE48288" w14:textId="77777777" w:rsidR="007F5874" w:rsidRDefault="007F5874"/>
    <w:p w14:paraId="1B706583" w14:textId="77777777" w:rsidR="007F5874" w:rsidRDefault="007F5874"/>
    <w:p w14:paraId="41F31EB8" w14:textId="77777777" w:rsidR="007F5874" w:rsidRDefault="007F5874"/>
    <w:p w14:paraId="26EE414D" w14:textId="77777777" w:rsidR="007F5874" w:rsidRDefault="007F5874"/>
    <w:p w14:paraId="1D4BF341" w14:textId="77777777" w:rsidR="007F5874" w:rsidRDefault="007F5874"/>
    <w:p w14:paraId="05BFB4A5" w14:textId="77777777" w:rsidR="007F5874" w:rsidRDefault="007F5874"/>
    <w:p w14:paraId="2681E1FA" w14:textId="77777777" w:rsidR="007F5874" w:rsidRDefault="00402798">
      <w:pPr>
        <w:shd w:val="clear" w:color="auto" w:fill="E2EFD9"/>
        <w:rPr>
          <w:rFonts w:ascii="Times New Roman" w:eastAsia="Times New Roman" w:hAnsi="Times New Roman" w:cs="Times New Roman"/>
          <w:b/>
          <w:bCs/>
          <w:sz w:val="32"/>
          <w:szCs w:val="32"/>
        </w:rPr>
      </w:pPr>
      <w:r>
        <w:rPr>
          <w:rFonts w:ascii="Times New Roman" w:hAnsi="Times New Roman"/>
          <w:b/>
          <w:bCs/>
          <w:sz w:val="32"/>
          <w:szCs w:val="32"/>
        </w:rPr>
        <w:t>LIST OF TABLES</w:t>
      </w:r>
    </w:p>
    <w:p w14:paraId="5FC70AF6" w14:textId="77777777" w:rsidR="007F5874" w:rsidRDefault="007F5874"/>
    <w:p w14:paraId="71FC62B8"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 w:history="1">
        <w:r w:rsidR="00402798">
          <w:rPr>
            <w:rStyle w:val="Hyperlink0"/>
            <w:rFonts w:eastAsia="Calibri"/>
          </w:rPr>
          <w:t>Table 1: Current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28</w:t>
      </w:r>
    </w:p>
    <w:p w14:paraId="7A642780"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1" w:history="1">
        <w:r w:rsidR="00402798">
          <w:rPr>
            <w:rStyle w:val="Hyperlink0"/>
            <w:rFonts w:eastAsia="Calibri"/>
          </w:rPr>
          <w:t>Table 2: Total Debt/Equity</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30</w:t>
      </w:r>
    </w:p>
    <w:p w14:paraId="6F4C40AC"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2" w:history="1">
        <w:r w:rsidR="00402798">
          <w:rPr>
            <w:rStyle w:val="Hyperlink0"/>
            <w:rFonts w:eastAsia="Calibri"/>
          </w:rPr>
          <w:t>Table 3: Quick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32</w:t>
      </w:r>
    </w:p>
    <w:p w14:paraId="5B5A0B55"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3" w:history="1">
        <w:r w:rsidR="00402798">
          <w:rPr>
            <w:rStyle w:val="Hyperlink0"/>
            <w:rFonts w:eastAsia="Calibri"/>
          </w:rPr>
          <w:t>Table 4: Inventory Turnover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34</w:t>
      </w:r>
    </w:p>
    <w:p w14:paraId="287197AB"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4" w:history="1">
        <w:r w:rsidR="00402798">
          <w:rPr>
            <w:rStyle w:val="Hyperlink0"/>
            <w:rFonts w:eastAsia="Calibri"/>
          </w:rPr>
          <w:t>Table 5: Dividend Payout Ratio (DPR)</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36</w:t>
      </w:r>
    </w:p>
    <w:p w14:paraId="28D44228"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5" w:history="1">
        <w:r w:rsidR="00402798">
          <w:rPr>
            <w:rStyle w:val="Hyperlink0"/>
            <w:rFonts w:eastAsia="Calibri"/>
          </w:rPr>
          <w:t xml:space="preserve">Table </w:t>
        </w:r>
        <w:proofErr w:type="gramStart"/>
        <w:r w:rsidR="00402798">
          <w:rPr>
            <w:rStyle w:val="Hyperlink0"/>
            <w:rFonts w:eastAsia="Calibri"/>
          </w:rPr>
          <w:t>6 :</w:t>
        </w:r>
        <w:proofErr w:type="gramEnd"/>
        <w:r w:rsidR="00402798">
          <w:rPr>
            <w:rStyle w:val="Hyperlink0"/>
            <w:rFonts w:eastAsia="Calibri"/>
          </w:rPr>
          <w:t xml:space="preserve"> Net profit Margin (NPM)</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38</w:t>
      </w:r>
    </w:p>
    <w:p w14:paraId="71FAB37F"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6" w:history="1">
        <w:r w:rsidR="00402798">
          <w:rPr>
            <w:rStyle w:val="Hyperlink0"/>
            <w:rFonts w:eastAsia="Calibri"/>
          </w:rPr>
          <w:t>Table 7: Return on Equity (ROE)</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40</w:t>
      </w:r>
    </w:p>
    <w:p w14:paraId="39C50D77"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7" w:history="1">
        <w:r w:rsidR="00402798">
          <w:rPr>
            <w:rStyle w:val="Hyperlink0"/>
            <w:rFonts w:eastAsia="Calibri"/>
          </w:rPr>
          <w:t>Table 8: Return on Assets (ROA)</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41</w:t>
      </w:r>
    </w:p>
    <w:p w14:paraId="57A271A9"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8" w:history="1">
        <w:r w:rsidR="00402798">
          <w:rPr>
            <w:rStyle w:val="Hyperlink0"/>
            <w:rFonts w:eastAsia="Calibri"/>
          </w:rPr>
          <w:t>Table 9: Return on Capital Employed (ROCE)</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43</w:t>
      </w:r>
    </w:p>
    <w:p w14:paraId="0DEF3BA9" w14:textId="77777777" w:rsidR="007F5874" w:rsidRDefault="002A1453">
      <w:pPr>
        <w:pStyle w:val="TableofFigures"/>
        <w:tabs>
          <w:tab w:val="right" w:leader="dot" w:pos="9000"/>
        </w:tabs>
        <w:spacing w:line="360" w:lineRule="auto"/>
        <w:rPr>
          <w:rFonts w:ascii="Times New Roman" w:eastAsia="Times New Roman" w:hAnsi="Times New Roman" w:cs="Times New Roman"/>
          <w:sz w:val="24"/>
          <w:szCs w:val="24"/>
        </w:rPr>
      </w:pPr>
      <w:hyperlink w:anchor="bookmark9" w:history="1">
        <w:r w:rsidR="00402798">
          <w:rPr>
            <w:rStyle w:val="Hyperlink0"/>
            <w:rFonts w:eastAsia="Calibri"/>
          </w:rPr>
          <w:t>Table 9: Correlation Analysis</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44</w:t>
      </w:r>
    </w:p>
    <w:p w14:paraId="2DD07F03" w14:textId="77777777" w:rsidR="007F5874" w:rsidRDefault="007F5874">
      <w:pPr>
        <w:spacing w:line="360" w:lineRule="auto"/>
      </w:pPr>
    </w:p>
    <w:p w14:paraId="32A56DE8" w14:textId="77777777" w:rsidR="007F5874" w:rsidRDefault="007F5874"/>
    <w:p w14:paraId="0F7632A1" w14:textId="77777777" w:rsidR="007F5874" w:rsidRDefault="007F5874"/>
    <w:p w14:paraId="4480F9B1" w14:textId="77777777" w:rsidR="007F5874" w:rsidRDefault="00402798">
      <w:pPr>
        <w:shd w:val="clear" w:color="auto" w:fill="E2EFD9"/>
        <w:rPr>
          <w:rFonts w:ascii="Times New Roman" w:eastAsia="Times New Roman" w:hAnsi="Times New Roman" w:cs="Times New Roman"/>
          <w:b/>
          <w:bCs/>
          <w:sz w:val="32"/>
          <w:szCs w:val="32"/>
        </w:rPr>
      </w:pPr>
      <w:r>
        <w:rPr>
          <w:rFonts w:ascii="Times New Roman" w:hAnsi="Times New Roman"/>
          <w:b/>
          <w:bCs/>
          <w:sz w:val="32"/>
          <w:szCs w:val="32"/>
        </w:rPr>
        <w:t>LIST OF FIGURES</w:t>
      </w:r>
    </w:p>
    <w:p w14:paraId="22F7E5C7" w14:textId="77777777" w:rsidR="007F5874" w:rsidRDefault="007F5874"/>
    <w:p w14:paraId="1B36BB0B"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0" w:history="1">
        <w:r w:rsidR="00402798">
          <w:rPr>
            <w:rStyle w:val="Hyperlink0"/>
            <w:rFonts w:eastAsia="Calibri"/>
          </w:rPr>
          <w:t>Figure 1: Current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29</w:t>
      </w:r>
    </w:p>
    <w:p w14:paraId="1DB24DDE"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1" w:history="1">
        <w:r w:rsidR="00402798">
          <w:rPr>
            <w:rStyle w:val="Hyperlink0"/>
            <w:rFonts w:eastAsia="Calibri"/>
          </w:rPr>
          <w:t>Figure 2: Total Debt/Equity</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30</w:t>
      </w:r>
    </w:p>
    <w:p w14:paraId="5C621251"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2" w:history="1">
        <w:r w:rsidR="00402798">
          <w:rPr>
            <w:rStyle w:val="Hyperlink0"/>
            <w:rFonts w:eastAsia="Calibri"/>
          </w:rPr>
          <w:t>Figure 3: Quick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32</w:t>
      </w:r>
    </w:p>
    <w:p w14:paraId="39659102"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3" w:history="1">
        <w:r w:rsidR="00402798">
          <w:rPr>
            <w:rStyle w:val="Hyperlink0"/>
            <w:rFonts w:eastAsia="Calibri"/>
          </w:rPr>
          <w:t>Figure 4: Inventory Turnover Ratio</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34</w:t>
      </w:r>
    </w:p>
    <w:p w14:paraId="0878BC91"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4" w:history="1">
        <w:r w:rsidR="00402798">
          <w:rPr>
            <w:rStyle w:val="Hyperlink0"/>
            <w:rFonts w:eastAsia="Calibri"/>
          </w:rPr>
          <w:t>Figure 5: Dividend Payout Ratio (DPR)</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36</w:t>
      </w:r>
    </w:p>
    <w:p w14:paraId="1AE6BB0E"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5" w:history="1">
        <w:r w:rsidR="00402798">
          <w:rPr>
            <w:rStyle w:val="Hyperlink0"/>
            <w:rFonts w:eastAsia="Calibri"/>
          </w:rPr>
          <w:t>Figure 6: Net profit Margin (NPM)</w:t>
        </w:r>
        <w:r w:rsidR="00402798">
          <w:rPr>
            <w:rFonts w:ascii="Times New Roman" w:eastAsia="Times New Roman" w:hAnsi="Times New Roman" w:cs="Times New Roman"/>
            <w:sz w:val="24"/>
            <w:szCs w:val="24"/>
          </w:rPr>
          <w:tab/>
        </w:r>
      </w:hyperlink>
      <w:r w:rsidR="00402798">
        <w:rPr>
          <w:rFonts w:ascii="Times New Roman" w:hAnsi="Times New Roman"/>
          <w:sz w:val="24"/>
          <w:szCs w:val="24"/>
        </w:rPr>
        <w:t>38</w:t>
      </w:r>
    </w:p>
    <w:p w14:paraId="20A2BA4A"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6" w:history="1">
        <w:r w:rsidR="00402798">
          <w:rPr>
            <w:rStyle w:val="Hyperlink0"/>
            <w:rFonts w:eastAsia="Calibri"/>
          </w:rPr>
          <w:t>Figure 7: Return on Equity (ROE)</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40</w:t>
      </w:r>
    </w:p>
    <w:p w14:paraId="1DD1772F"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7" w:history="1">
        <w:r w:rsidR="00402798">
          <w:rPr>
            <w:rStyle w:val="Hyperlink0"/>
            <w:rFonts w:eastAsia="Calibri"/>
          </w:rPr>
          <w:t>Figure 8: Return on Assets (ROA)</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41</w:t>
      </w:r>
    </w:p>
    <w:p w14:paraId="07D618CC" w14:textId="77777777" w:rsidR="007F5874" w:rsidRDefault="002A1453">
      <w:pPr>
        <w:pStyle w:val="TableofFigures"/>
        <w:tabs>
          <w:tab w:val="right" w:leader="dot" w:pos="9000"/>
        </w:tabs>
        <w:spacing w:line="360" w:lineRule="auto"/>
        <w:rPr>
          <w:rFonts w:ascii="Times New Roman" w:eastAsia="Times New Roman" w:hAnsi="Times New Roman" w:cs="Times New Roman"/>
          <w:kern w:val="2"/>
          <w:sz w:val="24"/>
          <w:szCs w:val="24"/>
        </w:rPr>
      </w:pPr>
      <w:hyperlink w:anchor="bookmark18" w:history="1">
        <w:r w:rsidR="00402798">
          <w:rPr>
            <w:rStyle w:val="Hyperlink0"/>
            <w:rFonts w:eastAsia="Calibri"/>
          </w:rPr>
          <w:t>Figure 9: Return on Capital Employed (ROCE)</w:t>
        </w:r>
        <w:r w:rsidR="00402798">
          <w:rPr>
            <w:rFonts w:ascii="Times New Roman" w:eastAsia="Times New Roman" w:hAnsi="Times New Roman" w:cs="Times New Roman"/>
            <w:sz w:val="24"/>
            <w:szCs w:val="24"/>
          </w:rPr>
          <w:tab/>
        </w:r>
      </w:hyperlink>
      <w:r w:rsidR="00402798">
        <w:rPr>
          <w:rFonts w:ascii="Times New Roman" w:hAnsi="Times New Roman"/>
          <w:sz w:val="24"/>
          <w:szCs w:val="24"/>
        </w:rPr>
        <w:t>43</w:t>
      </w:r>
    </w:p>
    <w:p w14:paraId="3B8211F7" w14:textId="77777777" w:rsidR="007F5874" w:rsidRDefault="007F5874">
      <w:pPr>
        <w:spacing w:line="360" w:lineRule="auto"/>
        <w:rPr>
          <w:rFonts w:ascii="Times New Roman" w:eastAsia="Times New Roman" w:hAnsi="Times New Roman" w:cs="Times New Roman"/>
          <w:sz w:val="24"/>
          <w:szCs w:val="24"/>
        </w:rPr>
      </w:pPr>
    </w:p>
    <w:p w14:paraId="07F811FE" w14:textId="77777777" w:rsidR="007F5874" w:rsidRDefault="007F5874">
      <w:pPr>
        <w:spacing w:line="360" w:lineRule="auto"/>
        <w:rPr>
          <w:rFonts w:ascii="Times New Roman" w:eastAsia="Times New Roman" w:hAnsi="Times New Roman" w:cs="Times New Roman"/>
          <w:sz w:val="24"/>
          <w:szCs w:val="24"/>
        </w:rPr>
      </w:pPr>
    </w:p>
    <w:p w14:paraId="52D6E7E8" w14:textId="77777777" w:rsidR="007F5874" w:rsidRDefault="007F5874">
      <w:pPr>
        <w:spacing w:line="360" w:lineRule="auto"/>
        <w:rPr>
          <w:rFonts w:ascii="Times New Roman" w:eastAsia="Times New Roman" w:hAnsi="Times New Roman" w:cs="Times New Roman"/>
          <w:sz w:val="24"/>
          <w:szCs w:val="24"/>
        </w:rPr>
      </w:pPr>
    </w:p>
    <w:p w14:paraId="198B96AF" w14:textId="77777777" w:rsidR="007F5874" w:rsidRDefault="007F5874"/>
    <w:p w14:paraId="1B208487" w14:textId="77777777" w:rsidR="007F5874" w:rsidRDefault="007F5874"/>
    <w:p w14:paraId="5F50444B" w14:textId="442A6836" w:rsidR="006A3FCE" w:rsidRDefault="006A3FCE"/>
    <w:p w14:paraId="3C75A1C0" w14:textId="77777777" w:rsidR="006A3FCE" w:rsidRPr="002A1453" w:rsidRDefault="006A3FCE" w:rsidP="006A3FCE">
      <w:pPr>
        <w:shd w:val="clear" w:color="auto" w:fill="E2EFD9" w:themeFill="accent6" w:themeFillTint="33"/>
        <w:rPr>
          <w:rFonts w:ascii="Times New Roman" w:hAnsi="Times New Roman" w:cs="Times New Roman"/>
          <w:b/>
          <w:sz w:val="24"/>
          <w:szCs w:val="24"/>
        </w:rPr>
      </w:pPr>
      <w:r>
        <w:br w:type="page"/>
      </w:r>
      <w:r w:rsidRPr="002A1453">
        <w:rPr>
          <w:rFonts w:ascii="Times New Roman" w:hAnsi="Times New Roman" w:cs="Times New Roman"/>
          <w:b/>
          <w:sz w:val="24"/>
          <w:szCs w:val="24"/>
        </w:rPr>
        <w:lastRenderedPageBreak/>
        <w:t>ABSTRACT</w:t>
      </w:r>
    </w:p>
    <w:p w14:paraId="07CB1972" w14:textId="4F4C97B9" w:rsidR="006A3FCE" w:rsidRPr="002A1453" w:rsidRDefault="006A3FCE" w:rsidP="006A3FCE">
      <w:pPr>
        <w:spacing w:after="0" w:line="360" w:lineRule="auto"/>
        <w:ind w:firstLine="720"/>
        <w:jc w:val="both"/>
        <w:rPr>
          <w:rFonts w:ascii="Times New Roman" w:eastAsia="Times New Roman" w:hAnsi="Times New Roman" w:cs="Times New Roman"/>
          <w:sz w:val="24"/>
          <w:szCs w:val="24"/>
        </w:rPr>
      </w:pPr>
      <w:r w:rsidRPr="002A1453">
        <w:rPr>
          <w:rFonts w:ascii="Times New Roman" w:hAnsi="Times New Roman" w:cs="Times New Roman"/>
          <w:sz w:val="24"/>
          <w:szCs w:val="24"/>
        </w:rPr>
        <w:t xml:space="preserve">The study intends to understand the impact of capital structure on the financial performance of the Tata steel, which is a pioneer steel organization in India. The research is based on positivist-quantitative design. The data required for the study was collected from the financial statements of Tata steel, which were accessed from the Money control database ranging from 2019-2023. </w:t>
      </w:r>
      <w:r w:rsidRPr="002A1453">
        <w:rPr>
          <w:rFonts w:ascii="Times New Roman" w:eastAsia="Times New Roman" w:hAnsi="Times New Roman" w:cs="Times New Roman"/>
          <w:sz w:val="24"/>
          <w:szCs w:val="24"/>
        </w:rPr>
        <w:t xml:space="preserve">The examination of Tata Steel's capital structure using diverse financial parameters uncovers notable alterations and obstacles during the last five years. The variations in indicators such as the current ratio, total debt/equity ratio, quick ratio, inventory turnover ratio, and dividend payout ratio highlight the company's changing financial condition and the necessity for a comprehensive funding strategy. Despite experiencing fluctuations, Tata Steel has shown resilience and flexibility, consistently maintaining positive profitability and efficiency indicators such as net profit margin, return on equity, return on assets, and return on capital invested. Correlation analysis underscores the significance of liquidity, debt management, and inventory control in influencing financial performance. This emphasizes the necessity of adopting a well-rounded approach to financial management to ensure long-term sustainability and resilience in a constantly changing market environment. The theoretical and practical implications were provided. </w:t>
      </w:r>
    </w:p>
    <w:p w14:paraId="159BE3F6" w14:textId="72709351" w:rsidR="006A3FCE" w:rsidRPr="002A1453" w:rsidRDefault="006A3FCE" w:rsidP="006A3FCE">
      <w:pPr>
        <w:spacing w:after="0" w:line="360" w:lineRule="auto"/>
        <w:jc w:val="both"/>
        <w:rPr>
          <w:rFonts w:ascii="Times New Roman" w:eastAsia="Times New Roman" w:hAnsi="Times New Roman" w:cs="Times New Roman"/>
          <w:sz w:val="24"/>
          <w:szCs w:val="24"/>
        </w:rPr>
      </w:pPr>
      <w:r w:rsidRPr="002A1453">
        <w:rPr>
          <w:rFonts w:ascii="Times New Roman" w:eastAsia="Times New Roman" w:hAnsi="Times New Roman" w:cs="Times New Roman"/>
          <w:sz w:val="24"/>
          <w:szCs w:val="24"/>
        </w:rPr>
        <w:t>Keywords: Capital structure, Firm performance, Impact, Ratios.</w:t>
      </w:r>
    </w:p>
    <w:p w14:paraId="18851B07" w14:textId="77777777" w:rsidR="006A3FCE" w:rsidRPr="00F45F3E" w:rsidRDefault="006A3FCE" w:rsidP="006A3FCE">
      <w:pPr>
        <w:spacing w:line="360" w:lineRule="auto"/>
        <w:ind w:firstLine="360"/>
        <w:jc w:val="both"/>
        <w:rPr>
          <w:rFonts w:ascii="Arial" w:hAnsi="Arial" w:cs="Arial"/>
          <w:sz w:val="24"/>
          <w:szCs w:val="24"/>
        </w:rPr>
      </w:pPr>
    </w:p>
    <w:p w14:paraId="29ECB70F" w14:textId="456A9A08" w:rsidR="006A3FCE" w:rsidRDefault="006A3FCE">
      <w:pPr>
        <w:spacing w:after="0" w:line="240" w:lineRule="auto"/>
      </w:pPr>
    </w:p>
    <w:p w14:paraId="5F4DBBCC" w14:textId="77777777" w:rsidR="006A3FCE" w:rsidRDefault="006A3FCE"/>
    <w:p w14:paraId="2688D5E9" w14:textId="5F85AFA0" w:rsidR="007F5874" w:rsidRDefault="00402798">
      <w:pPr>
        <w:pStyle w:val="Heading1"/>
        <w:shd w:val="clear" w:color="auto" w:fill="E2EFD9"/>
        <w:jc w:val="center"/>
        <w:rPr>
          <w:rFonts w:ascii="Times New Roman" w:eastAsia="Times New Roman" w:hAnsi="Times New Roman" w:cs="Times New Roman"/>
          <w:b/>
          <w:bCs/>
          <w:color w:val="000000"/>
          <w:u w:color="000000"/>
        </w:rPr>
      </w:pPr>
      <w:bookmarkStart w:id="0" w:name="_Toc"/>
      <w:r>
        <w:rPr>
          <w:rFonts w:ascii="Times New Roman" w:hAnsi="Times New Roman"/>
          <w:b/>
          <w:bCs/>
          <w:color w:val="000000"/>
          <w:u w:color="000000"/>
        </w:rPr>
        <w:t>Chapter 1: INTRODUCTION</w:t>
      </w:r>
      <w:bookmarkEnd w:id="0"/>
    </w:p>
    <w:p w14:paraId="6A82FFCB" w14:textId="77777777" w:rsidR="007F5874" w:rsidRDefault="007F5874"/>
    <w:p w14:paraId="3E9BF8C5" w14:textId="77777777" w:rsidR="007F5874" w:rsidRDefault="007F5874"/>
    <w:p w14:paraId="00A3783C" w14:textId="77777777" w:rsidR="007F5874" w:rsidRDefault="00402798">
      <w:pPr>
        <w:pStyle w:val="Heading2"/>
        <w:numPr>
          <w:ilvl w:val="1"/>
          <w:numId w:val="5"/>
        </w:numPr>
        <w:spacing w:line="360" w:lineRule="auto"/>
        <w:rPr>
          <w:rFonts w:ascii="Times New Roman" w:eastAsia="Times New Roman" w:hAnsi="Times New Roman" w:cs="Times New Roman"/>
          <w:b/>
          <w:bCs/>
          <w:color w:val="000000"/>
        </w:rPr>
      </w:pPr>
      <w:bookmarkStart w:id="1" w:name="_Toc1"/>
      <w:r>
        <w:rPr>
          <w:rFonts w:ascii="Times New Roman" w:hAnsi="Times New Roman"/>
          <w:b/>
          <w:bCs/>
          <w:color w:val="000000"/>
          <w:u w:color="000000"/>
        </w:rPr>
        <w:t>Background &amp; Problem Statement</w:t>
      </w:r>
      <w:bookmarkEnd w:id="1"/>
    </w:p>
    <w:p w14:paraId="1A484108" w14:textId="77777777" w:rsidR="007F5874" w:rsidRDefault="00402798">
      <w:pPr>
        <w:rPr>
          <w:sz w:val="24"/>
          <w:szCs w:val="24"/>
        </w:rPr>
      </w:pPr>
      <w:r>
        <w:rPr>
          <w:rFonts w:ascii="Times New Roman" w:hAnsi="Times New Roman"/>
          <w:b/>
          <w:bCs/>
          <w:sz w:val="24"/>
          <w:szCs w:val="24"/>
        </w:rPr>
        <w:t xml:space="preserve">1.1.1. Background of the Study </w:t>
      </w:r>
    </w:p>
    <w:p w14:paraId="60F3A254" w14:textId="3FCEA8C9"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way companies raise the money needed to run the business by combing debt and equity (the capital structure) has been the most analyzed factor to determine corporate performance. Dawar (2014) and Pal (2022) in their research, investigated India's capital structure and its correlation to the performance of firms. The research conducted by Dawar (2014</w:t>
      </w:r>
      <w:proofErr w:type="gramStart"/>
      <w:r>
        <w:rPr>
          <w:rFonts w:ascii="Times New Roman" w:hAnsi="Times New Roman"/>
          <w:sz w:val="24"/>
          <w:szCs w:val="24"/>
        </w:rPr>
        <w:t>),</w:t>
      </w:r>
      <w:proofErr w:type="gramEnd"/>
      <w:r>
        <w:rPr>
          <w:rFonts w:ascii="Times New Roman" w:hAnsi="Times New Roman"/>
          <w:sz w:val="24"/>
          <w:szCs w:val="24"/>
        </w:rPr>
        <w:t xml:space="preserve"> it has been noted that capital structure selection on business performance does not bring any significant effect. Conversely, Pal (2022) focused their study on Indian manufacturing companies and concluded that the capital structure did play an important role in the </w:t>
      </w:r>
      <w:r>
        <w:rPr>
          <w:rFonts w:ascii="Times New Roman" w:hAnsi="Times New Roman"/>
          <w:sz w:val="24"/>
          <w:szCs w:val="24"/>
        </w:rPr>
        <w:lastRenderedPageBreak/>
        <w:t xml:space="preserve">performance of these enterprises. </w:t>
      </w:r>
      <w:r w:rsidR="006A3FCE">
        <w:rPr>
          <w:rFonts w:ascii="Times New Roman" w:hAnsi="Times New Roman"/>
          <w:sz w:val="24"/>
          <w:szCs w:val="24"/>
        </w:rPr>
        <w:t>Saddik</w:t>
      </w:r>
      <w:r>
        <w:rPr>
          <w:rFonts w:ascii="Times New Roman" w:hAnsi="Times New Roman"/>
          <w:sz w:val="24"/>
          <w:szCs w:val="24"/>
        </w:rPr>
        <w:t xml:space="preserve">, </w:t>
      </w:r>
      <w:r w:rsidR="006A3FCE">
        <w:rPr>
          <w:rFonts w:ascii="Times New Roman" w:hAnsi="Times New Roman"/>
          <w:sz w:val="24"/>
          <w:szCs w:val="24"/>
        </w:rPr>
        <w:t>Kaviraj</w:t>
      </w:r>
      <w:r>
        <w:rPr>
          <w:rFonts w:ascii="Times New Roman" w:hAnsi="Times New Roman"/>
          <w:sz w:val="24"/>
          <w:szCs w:val="24"/>
        </w:rPr>
        <w:t xml:space="preserve"> and </w:t>
      </w:r>
      <w:proofErr w:type="spellStart"/>
      <w:r>
        <w:rPr>
          <w:rFonts w:ascii="Times New Roman" w:hAnsi="Times New Roman"/>
          <w:sz w:val="24"/>
          <w:szCs w:val="24"/>
        </w:rPr>
        <w:t>Joghee</w:t>
      </w:r>
      <w:proofErr w:type="spellEnd"/>
      <w:r>
        <w:rPr>
          <w:rFonts w:ascii="Times New Roman" w:hAnsi="Times New Roman"/>
          <w:sz w:val="24"/>
          <w:szCs w:val="24"/>
        </w:rPr>
        <w:t xml:space="preserve"> (2017) considered the implications of capital structure on the efficiency of banks in Bangladesh bringing forth the indispensable role of capital structure in driving the business outcome. Nguyen, Pham and Nguyen (2020) provided evidence on the impact of human capital, capital structure selection, and corporate profitability on the economic performance of enterprises in Vietnam. This study pointed out that the borrowing of additional money to fund the capital structure enhances firm performance at the onset, but the usefulness of this approach eventually fades off. </w:t>
      </w:r>
      <w:proofErr w:type="gramStart"/>
      <w:r>
        <w:rPr>
          <w:rFonts w:ascii="Times New Roman" w:hAnsi="Times New Roman"/>
          <w:sz w:val="24"/>
          <w:szCs w:val="24"/>
        </w:rPr>
        <w:t>Moreover</w:t>
      </w:r>
      <w:proofErr w:type="gramEnd"/>
      <w:r>
        <w:rPr>
          <w:rFonts w:ascii="Times New Roman" w:hAnsi="Times New Roman"/>
          <w:sz w:val="24"/>
          <w:szCs w:val="24"/>
        </w:rPr>
        <w:t xml:space="preserve"> Jha and Arora (2013) elaborated on the theme of strategic leadership centered on sustainable development at Tata Steel. They pinpoint how Tata Steel has successfully made the integration of sustainable development approaches into corporate governance to achieve business excellence, a key focus area for the company. These joint studies however, all point to the fact that capital structure decision is integral and influence company performance, with different conclusions on the exact shape of the link. While few studies examine a positive impact of capital structure on companies' success, others suggest negative or ineffective this effect. The managers and policymakers are required in depth knowledge of the </w:t>
      </w:r>
      <w:proofErr w:type="spellStart"/>
      <w:r>
        <w:rPr>
          <w:rFonts w:ascii="Times New Roman" w:hAnsi="Times New Roman"/>
          <w:sz w:val="24"/>
          <w:szCs w:val="24"/>
        </w:rPr>
        <w:t>intrinsicities</w:t>
      </w:r>
      <w:proofErr w:type="spellEnd"/>
      <w:r>
        <w:rPr>
          <w:rFonts w:ascii="Times New Roman" w:hAnsi="Times New Roman"/>
          <w:sz w:val="24"/>
          <w:szCs w:val="24"/>
        </w:rPr>
        <w:t xml:space="preserve"> of capital structure choices and the way they influence the performance of the company. Such knowledge is fundamental in the making of intelligent and recommendable financial decisions.</w:t>
      </w:r>
    </w:p>
    <w:p w14:paraId="7DA74E5C" w14:textId="77777777" w:rsidR="007F5874" w:rsidRDefault="00402798">
      <w:pPr>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1.1.2. Problem statement</w:t>
      </w:r>
    </w:p>
    <w:p w14:paraId="16761FDA"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capital structure determinants as well as the performance of Tata Steel are still not understood by the experts well concerning industry-specific factors including volatility, capital intensity and competitiveness. The past literature has mainly focused on general factors that affect the capital structure with reference to the industries. The extant literature tends to miss out on studies that examine the intricate connection between factors such as industry peculiarities and the debt-equity structure of steel firms using Tata Steel as a case example.  Thus, the effect of the specific features of industrial activities of steel manufacturing companies on Tata Steel's decisions related to their capital structure comprises the topic of this section and the subsequent part focuses on the result of such decisions on the performance of the company. This study aims to put forward both the theoretical and practical ramifications for Tata Steel and the steel industry that will be addressed through an assessment of the trajectory of Tata Steel's capital structure, an exploration of its financial performance and an estimation of the impact of capital structure choices on company performance. The relationship between the capital structure and the performance of Tata steel can be assessed to give substantially useful information on strategic financial decisions in the steel industry.</w:t>
      </w:r>
    </w:p>
    <w:p w14:paraId="4CB0AE8F"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 w:name="_Toc2"/>
      <w:r>
        <w:rPr>
          <w:rFonts w:ascii="Times New Roman" w:hAnsi="Times New Roman"/>
          <w:b/>
          <w:bCs/>
          <w:color w:val="000000"/>
          <w:u w:color="000000"/>
        </w:rPr>
        <w:lastRenderedPageBreak/>
        <w:t xml:space="preserve">1.2. Research Aim </w:t>
      </w:r>
      <w:bookmarkEnd w:id="2"/>
    </w:p>
    <w:p w14:paraId="31257EEA" w14:textId="77777777" w:rsidR="007F5874" w:rsidRDefault="00402798">
      <w:pPr>
        <w:spacing w:line="36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The study intends to understand the impact of capital structure on the financial performance of the Tata steel, which is a pioneer steel organization in India. </w:t>
      </w:r>
    </w:p>
    <w:p w14:paraId="06829E1E"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 w:name="_Toc3"/>
      <w:r>
        <w:rPr>
          <w:rFonts w:ascii="Times New Roman" w:hAnsi="Times New Roman"/>
          <w:b/>
          <w:bCs/>
          <w:color w:val="000000"/>
          <w:u w:color="000000"/>
        </w:rPr>
        <w:t>1.3. Research Objectives</w:t>
      </w:r>
      <w:bookmarkEnd w:id="3"/>
    </w:p>
    <w:p w14:paraId="5BF8A6D5" w14:textId="77777777" w:rsidR="007F5874" w:rsidRDefault="00402798">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 xml:space="preserve">To </w:t>
      </w:r>
      <w:proofErr w:type="spellStart"/>
      <w:r>
        <w:rPr>
          <w:rFonts w:ascii="Times New Roman" w:hAnsi="Times New Roman"/>
          <w:sz w:val="24"/>
          <w:szCs w:val="24"/>
        </w:rPr>
        <w:t>analyse</w:t>
      </w:r>
      <w:proofErr w:type="spellEnd"/>
      <w:r>
        <w:rPr>
          <w:rFonts w:ascii="Times New Roman" w:hAnsi="Times New Roman"/>
          <w:sz w:val="24"/>
          <w:szCs w:val="24"/>
        </w:rPr>
        <w:t xml:space="preserve"> the trend of capital structure position of the Tata steel by using relevant accounting ratios. </w:t>
      </w:r>
    </w:p>
    <w:p w14:paraId="6D253396" w14:textId="77777777" w:rsidR="007F5874" w:rsidRDefault="00402798">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 xml:space="preserve">To </w:t>
      </w:r>
      <w:proofErr w:type="spellStart"/>
      <w:r>
        <w:rPr>
          <w:rFonts w:ascii="Times New Roman" w:hAnsi="Times New Roman"/>
          <w:sz w:val="24"/>
          <w:szCs w:val="24"/>
        </w:rPr>
        <w:t>analyse</w:t>
      </w:r>
      <w:proofErr w:type="spellEnd"/>
      <w:r>
        <w:rPr>
          <w:rFonts w:ascii="Times New Roman" w:hAnsi="Times New Roman"/>
          <w:sz w:val="24"/>
          <w:szCs w:val="24"/>
        </w:rPr>
        <w:t xml:space="preserve"> the financial performance of the Tata steel by using relevant accounting ratios. </w:t>
      </w:r>
    </w:p>
    <w:p w14:paraId="4738E526" w14:textId="77777777" w:rsidR="007F5874" w:rsidRDefault="00402798">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 xml:space="preserve">To </w:t>
      </w:r>
      <w:proofErr w:type="spellStart"/>
      <w:r>
        <w:rPr>
          <w:rFonts w:ascii="Times New Roman" w:hAnsi="Times New Roman"/>
          <w:sz w:val="24"/>
          <w:szCs w:val="24"/>
        </w:rPr>
        <w:t>analyse</w:t>
      </w:r>
      <w:proofErr w:type="spellEnd"/>
      <w:r>
        <w:rPr>
          <w:rFonts w:ascii="Times New Roman" w:hAnsi="Times New Roman"/>
          <w:sz w:val="24"/>
          <w:szCs w:val="24"/>
        </w:rPr>
        <w:t xml:space="preserve"> the impact of capital structure decisions on the financial performance of the Tata steel.</w:t>
      </w:r>
    </w:p>
    <w:p w14:paraId="6CBBACC2" w14:textId="77777777" w:rsidR="007F5874" w:rsidRDefault="00402798">
      <w:pPr>
        <w:pStyle w:val="ListParagraph"/>
        <w:numPr>
          <w:ilvl w:val="0"/>
          <w:numId w:val="6"/>
        </w:numPr>
        <w:spacing w:line="360" w:lineRule="auto"/>
        <w:jc w:val="both"/>
        <w:rPr>
          <w:rFonts w:ascii="Times New Roman" w:hAnsi="Times New Roman"/>
          <w:sz w:val="24"/>
          <w:szCs w:val="24"/>
        </w:rPr>
      </w:pPr>
      <w:r>
        <w:rPr>
          <w:rFonts w:ascii="Times New Roman" w:hAnsi="Times New Roman"/>
          <w:sz w:val="24"/>
          <w:szCs w:val="24"/>
        </w:rPr>
        <w:t xml:space="preserve">To provide theoretical and practical implications to the </w:t>
      </w:r>
      <w:proofErr w:type="spellStart"/>
      <w:r>
        <w:rPr>
          <w:rFonts w:ascii="Times New Roman" w:hAnsi="Times New Roman"/>
          <w:sz w:val="24"/>
          <w:szCs w:val="24"/>
        </w:rPr>
        <w:t>organisation</w:t>
      </w:r>
      <w:proofErr w:type="spellEnd"/>
      <w:r>
        <w:rPr>
          <w:rFonts w:ascii="Times New Roman" w:hAnsi="Times New Roman"/>
          <w:sz w:val="24"/>
          <w:szCs w:val="24"/>
        </w:rPr>
        <w:t xml:space="preserve"> and industry. </w:t>
      </w:r>
    </w:p>
    <w:p w14:paraId="76DF7307" w14:textId="77777777" w:rsidR="007F5874" w:rsidRDefault="00402798">
      <w:pPr>
        <w:pStyle w:val="Heading2"/>
        <w:rPr>
          <w:rFonts w:ascii="Times New Roman" w:eastAsia="Times New Roman" w:hAnsi="Times New Roman" w:cs="Times New Roman"/>
          <w:b/>
          <w:bCs/>
          <w:color w:val="000000"/>
          <w:u w:color="000000"/>
        </w:rPr>
      </w:pPr>
      <w:bookmarkStart w:id="4" w:name="_Toc4"/>
      <w:r>
        <w:rPr>
          <w:rFonts w:ascii="Times New Roman" w:hAnsi="Times New Roman"/>
          <w:b/>
          <w:bCs/>
          <w:color w:val="000000"/>
          <w:u w:color="000000"/>
        </w:rPr>
        <w:t>1.4. Research Questions</w:t>
      </w:r>
      <w:bookmarkEnd w:id="4"/>
    </w:p>
    <w:p w14:paraId="754CCAC0" w14:textId="77777777" w:rsidR="007F5874" w:rsidRDefault="007F5874"/>
    <w:p w14:paraId="1E0B27A8" w14:textId="77777777" w:rsidR="007F5874" w:rsidRDefault="00402798">
      <w:pPr>
        <w:pStyle w:val="ListParagraph"/>
        <w:numPr>
          <w:ilvl w:val="0"/>
          <w:numId w:val="7"/>
        </w:numPr>
        <w:spacing w:line="360" w:lineRule="auto"/>
        <w:jc w:val="both"/>
        <w:rPr>
          <w:rFonts w:ascii="Times New Roman" w:hAnsi="Times New Roman"/>
          <w:sz w:val="24"/>
          <w:szCs w:val="24"/>
        </w:rPr>
      </w:pPr>
      <w:r>
        <w:rPr>
          <w:rFonts w:ascii="Times New Roman" w:hAnsi="Times New Roman"/>
          <w:sz w:val="24"/>
          <w:szCs w:val="24"/>
        </w:rPr>
        <w:t>What is the trend of capital structure position of the Tata steel by using relevant accounting ratios?</w:t>
      </w:r>
    </w:p>
    <w:p w14:paraId="2CFD0DE8" w14:textId="77777777" w:rsidR="007F5874" w:rsidRDefault="00402798">
      <w:pPr>
        <w:pStyle w:val="ListParagraph"/>
        <w:numPr>
          <w:ilvl w:val="0"/>
          <w:numId w:val="7"/>
        </w:numPr>
        <w:spacing w:line="360" w:lineRule="auto"/>
        <w:jc w:val="both"/>
        <w:rPr>
          <w:rFonts w:ascii="Times New Roman" w:hAnsi="Times New Roman"/>
          <w:sz w:val="24"/>
          <w:szCs w:val="24"/>
        </w:rPr>
      </w:pPr>
      <w:r>
        <w:rPr>
          <w:rFonts w:ascii="Times New Roman" w:hAnsi="Times New Roman"/>
          <w:sz w:val="24"/>
          <w:szCs w:val="24"/>
        </w:rPr>
        <w:t>What is the status of financial performance of the Tata steel by using relevant accounting ratios?</w:t>
      </w:r>
    </w:p>
    <w:p w14:paraId="030B47C4" w14:textId="77777777" w:rsidR="007F5874" w:rsidRDefault="00402798">
      <w:pPr>
        <w:pStyle w:val="ListParagraph"/>
        <w:numPr>
          <w:ilvl w:val="0"/>
          <w:numId w:val="7"/>
        </w:numPr>
        <w:spacing w:line="360" w:lineRule="auto"/>
        <w:jc w:val="both"/>
        <w:rPr>
          <w:rFonts w:ascii="Times New Roman" w:hAnsi="Times New Roman"/>
          <w:sz w:val="24"/>
          <w:szCs w:val="24"/>
        </w:rPr>
      </w:pPr>
      <w:r>
        <w:rPr>
          <w:rFonts w:ascii="Times New Roman" w:hAnsi="Times New Roman"/>
          <w:sz w:val="24"/>
          <w:szCs w:val="24"/>
        </w:rPr>
        <w:t>What is the impact of capital structure decisions on the financial performance of the Tata steel?</w:t>
      </w:r>
    </w:p>
    <w:p w14:paraId="62CCCC72"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5" w:name="_Toc5"/>
      <w:r>
        <w:rPr>
          <w:rFonts w:ascii="Times New Roman" w:hAnsi="Times New Roman"/>
          <w:b/>
          <w:bCs/>
          <w:color w:val="000000"/>
          <w:u w:color="000000"/>
        </w:rPr>
        <w:t xml:space="preserve">1.5. Significance of Study </w:t>
      </w:r>
      <w:bookmarkEnd w:id="5"/>
    </w:p>
    <w:p w14:paraId="65CC0BA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current research is of great relevance and different aspects of it are discussed below. The primary task here is to evaluate the capital structure of Tata Steel using the ratios that are especially relevant for accounting. Moreover, accounting ratios provide a comprehensive indication of the company's resource utilization efficiency, which means the study would further illuminate into the financial performance of Tata Steel (P K Das, 2023). Notwithstanding, the exploration of the relationship between capital structure decisions and the financial performance of Tata Steel is as important. This type of analysis can provide one with information about the influence that strategic financial decisions have on the overall earnings of the organization (S Chadha and Sharma, 2015). This section represents an integral part of the analysis which offers invaluable information to Tata Steel to help them to make educated </w:t>
      </w:r>
      <w:r>
        <w:rPr>
          <w:rFonts w:ascii="Times New Roman" w:hAnsi="Times New Roman"/>
          <w:sz w:val="24"/>
          <w:szCs w:val="24"/>
        </w:rPr>
        <w:lastRenderedPageBreak/>
        <w:t>decisions regarding capital structure in order to achieve their financial goals.  Moreover, the study is also aimed to contribute involving theoretical and practical implications for Tata Steel and the entire industry. This study intends to increase the existing knowledge about the causes and effects of capital structure decision on company outcomes through evaluating the correlation between capital structure and company performance. Through supplying reports based on the current data, industries (e.g. manufacturing) in India can take broader perspective, covering both the pre- and post- economic crises.  Overall, the current study is significant in that it brings a detailed analysis of the capital structure of Tata Steel, the fiscal performance, the repercussions of capital structure choices and both the theoretical and practical perspectives. The scrutiny of these elements will play a vital role in the research, thus giving the ideas to Tata Steel and other industry followers, where crucial decisions regarding financial performance are taken.</w:t>
      </w:r>
    </w:p>
    <w:p w14:paraId="5FE704A4"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6" w:name="_Toc6"/>
      <w:r>
        <w:rPr>
          <w:rFonts w:ascii="Times New Roman" w:hAnsi="Times New Roman"/>
          <w:b/>
          <w:bCs/>
          <w:color w:val="000000"/>
          <w:u w:color="000000"/>
        </w:rPr>
        <w:t xml:space="preserve">1.6. Brief Research Methodology </w:t>
      </w:r>
      <w:bookmarkEnd w:id="6"/>
    </w:p>
    <w:p w14:paraId="3CA9E9A9"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current research is based upon positivist paradigm. Positivism makes possible a systematic way of assessing numerical data that is appropriate for our study which the ultimate target is looking objectively at the connection between capital structure choices and financial performance results. The study will adopt </w:t>
      </w:r>
      <w:proofErr w:type="gramStart"/>
      <w:r>
        <w:rPr>
          <w:rFonts w:ascii="Times New Roman" w:hAnsi="Times New Roman"/>
          <w:sz w:val="24"/>
          <w:szCs w:val="24"/>
        </w:rPr>
        <w:t>a quantitative research</w:t>
      </w:r>
      <w:proofErr w:type="gramEnd"/>
      <w:r>
        <w:rPr>
          <w:rFonts w:ascii="Times New Roman" w:hAnsi="Times New Roman"/>
          <w:sz w:val="24"/>
          <w:szCs w:val="24"/>
        </w:rPr>
        <w:t xml:space="preserve"> with the aim to get numerical findings from the information that was gathered between 2019 and 2023. Therewith the study will gain a profound knowledge about Tata Steel's capital structure dynamics and the way they influence the company's financials. The primary method of data collection will be through the analysis of Tata Steel's annual reports which will be procured from </w:t>
      </w:r>
      <w:proofErr w:type="spellStart"/>
      <w:r>
        <w:rPr>
          <w:rFonts w:ascii="Times New Roman" w:hAnsi="Times New Roman"/>
          <w:sz w:val="24"/>
          <w:szCs w:val="24"/>
        </w:rPr>
        <w:t>Moneycontrol</w:t>
      </w:r>
      <w:proofErr w:type="spellEnd"/>
      <w:r>
        <w:rPr>
          <w:rFonts w:ascii="Times New Roman" w:hAnsi="Times New Roman"/>
          <w:sz w:val="24"/>
          <w:szCs w:val="24"/>
        </w:rPr>
        <w:t xml:space="preserve">. This is one of the reputed financial databases that holds trustworthy financial reports. The time range of the research from 2019 to 2023 offers to include the latest and the relevant data that will ascertain a concise analysis of the trends and patterns of the capital structure and the financial performance of Tata Steel. </w:t>
      </w:r>
    </w:p>
    <w:p w14:paraId="5D75C95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research will </w:t>
      </w:r>
      <w:proofErr w:type="spellStart"/>
      <w:r>
        <w:rPr>
          <w:rFonts w:ascii="Times New Roman" w:hAnsi="Times New Roman"/>
          <w:sz w:val="24"/>
          <w:szCs w:val="24"/>
        </w:rPr>
        <w:t>analyse</w:t>
      </w:r>
      <w:proofErr w:type="spellEnd"/>
      <w:r>
        <w:rPr>
          <w:rFonts w:ascii="Times New Roman" w:hAnsi="Times New Roman"/>
          <w:sz w:val="24"/>
          <w:szCs w:val="24"/>
        </w:rPr>
        <w:t xml:space="preserve"> the capital structure of Tata Steel by using relevant accounting ratios, particularly the </w:t>
      </w:r>
      <w:proofErr w:type="gramStart"/>
      <w:r>
        <w:rPr>
          <w:rFonts w:ascii="Times New Roman" w:hAnsi="Times New Roman"/>
          <w:sz w:val="24"/>
          <w:szCs w:val="24"/>
        </w:rPr>
        <w:t>debt to equity</w:t>
      </w:r>
      <w:proofErr w:type="gramEnd"/>
      <w:r>
        <w:rPr>
          <w:rFonts w:ascii="Times New Roman" w:hAnsi="Times New Roman"/>
          <w:sz w:val="24"/>
          <w:szCs w:val="24"/>
        </w:rPr>
        <w:t xml:space="preserve"> ratio, inventory turnover ratios etc. As these ratios present numerical indicators related to the Tata Steel's level of debt and its capital structure composition within the given time frame, they enable thorough analysis both of the possible change patterns and fluctuations. Besides, the financial performance of the Tata Steel will be examined taking into account certain accounting principles such as the return on equity (ROE), return on assets (ROA), and the profit margin. The report aims to offer an in-depth analysis of Tata Steel's profitability, effectiveness, and financial stability by examining various </w:t>
      </w:r>
      <w:r>
        <w:rPr>
          <w:rFonts w:ascii="Times New Roman" w:hAnsi="Times New Roman"/>
          <w:sz w:val="24"/>
          <w:szCs w:val="24"/>
        </w:rPr>
        <w:lastRenderedPageBreak/>
        <w:t xml:space="preserve">aspects. The correlation analysis will be done to understand the effects of capital structure on Tata Steel's financial performance. The objective of the study is to numerically establish the intensity and direction of the correlation using the financial statements to evaluate the relationship between the capital structure ratios and financial performance ratios. This research aims at employing a quantitative approach to obtain experimental data on Tata Steel's capital structure choices and their effect on the financial performance of the company. While dealing with the research, ethical issues are given the top priority. The study will provide academic integrity and intellectual honesty by only citing and referring back to the sources that have used. Therefore, this research has a relevant and important contribution to make to the connection between capital structure and business performance, by carrying out the research ethically and using powerful quantitative methods. </w:t>
      </w:r>
    </w:p>
    <w:p w14:paraId="0AB908DD"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7" w:name="_Toc7"/>
      <w:r>
        <w:rPr>
          <w:rFonts w:ascii="Times New Roman" w:hAnsi="Times New Roman"/>
          <w:b/>
          <w:bCs/>
          <w:color w:val="000000"/>
          <w:u w:color="000000"/>
        </w:rPr>
        <w:t>1.7. Definitions</w:t>
      </w:r>
      <w:bookmarkEnd w:id="7"/>
    </w:p>
    <w:p w14:paraId="7795B0FE" w14:textId="77777777" w:rsidR="007F5874" w:rsidRDefault="00402798">
      <w:pPr>
        <w:spacing w:line="360" w:lineRule="auto"/>
        <w:jc w:val="both"/>
        <w:rPr>
          <w:rFonts w:ascii="Times New Roman" w:eastAsia="Times New Roman" w:hAnsi="Times New Roman" w:cs="Times New Roman"/>
          <w:color w:val="1F1F1F"/>
          <w:sz w:val="24"/>
          <w:szCs w:val="24"/>
          <w:u w:color="1F1F1F"/>
          <w:shd w:val="clear" w:color="auto" w:fill="FFFFFF"/>
        </w:rPr>
      </w:pPr>
      <w:r>
        <w:rPr>
          <w:rFonts w:ascii="Times New Roman" w:hAnsi="Times New Roman"/>
          <w:b/>
          <w:bCs/>
          <w:sz w:val="24"/>
          <w:szCs w:val="24"/>
        </w:rPr>
        <w:t>Capital structure</w:t>
      </w:r>
      <w:proofErr w:type="gramStart"/>
      <w:r>
        <w:rPr>
          <w:rFonts w:ascii="Times New Roman" w:hAnsi="Times New Roman"/>
          <w:sz w:val="24"/>
          <w:szCs w:val="24"/>
        </w:rPr>
        <w:t xml:space="preserve">: </w:t>
      </w:r>
      <w:r>
        <w:rPr>
          <w:rFonts w:ascii="Times New Roman" w:hAnsi="Times New Roman"/>
          <w:color w:val="1F1F1F"/>
          <w:sz w:val="24"/>
          <w:szCs w:val="24"/>
          <w:u w:color="1F1F1F"/>
          <w:shd w:val="clear" w:color="auto" w:fill="FFFFFF"/>
        </w:rPr>
        <w:t xml:space="preserve"> “</w:t>
      </w:r>
      <w:proofErr w:type="gramEnd"/>
      <w:r>
        <w:rPr>
          <w:rFonts w:ascii="Times New Roman" w:hAnsi="Times New Roman"/>
          <w:color w:val="1F1F1F"/>
          <w:sz w:val="24"/>
          <w:szCs w:val="24"/>
          <w:u w:color="1F1F1F"/>
          <w:shd w:val="clear" w:color="auto" w:fill="FFFFFF"/>
        </w:rPr>
        <w:t>Capital structure as the mix of long-term debt and equity maintained by the firm”</w:t>
      </w:r>
      <w:r>
        <w:rPr>
          <w:rFonts w:ascii="Times New Roman" w:hAnsi="Times New Roman"/>
          <w:sz w:val="24"/>
          <w:szCs w:val="24"/>
        </w:rPr>
        <w:t xml:space="preserve"> (Gitman and Zutter, 2011, p. 12)</w:t>
      </w:r>
    </w:p>
    <w:p w14:paraId="44B3EEA5" w14:textId="77777777" w:rsidR="007F5874" w:rsidRDefault="00402798">
      <w:pPr>
        <w:spacing w:line="360" w:lineRule="auto"/>
        <w:jc w:val="both"/>
        <w:rPr>
          <w:rFonts w:ascii="Times New Roman" w:eastAsia="Times New Roman" w:hAnsi="Times New Roman" w:cs="Times New Roman"/>
          <w:color w:val="1F1F1F"/>
          <w:sz w:val="24"/>
          <w:szCs w:val="24"/>
          <w:u w:color="1F1F1F"/>
          <w:shd w:val="clear" w:color="auto" w:fill="FFFFFF"/>
        </w:rPr>
      </w:pPr>
      <w:r>
        <w:rPr>
          <w:rFonts w:ascii="Times New Roman" w:hAnsi="Times New Roman"/>
          <w:b/>
          <w:bCs/>
          <w:color w:val="1F1F1F"/>
          <w:sz w:val="24"/>
          <w:szCs w:val="24"/>
          <w:u w:color="1F1F1F"/>
          <w:shd w:val="clear" w:color="auto" w:fill="FFFFFF"/>
        </w:rPr>
        <w:t>Financial Performance</w:t>
      </w:r>
      <w:r>
        <w:rPr>
          <w:rFonts w:ascii="Times New Roman" w:hAnsi="Times New Roman"/>
          <w:color w:val="1F1F1F"/>
          <w:sz w:val="24"/>
          <w:szCs w:val="24"/>
          <w:u w:color="1F1F1F"/>
          <w:shd w:val="clear" w:color="auto" w:fill="FFFFFF"/>
        </w:rPr>
        <w:t xml:space="preserve">:  According to “Financial performance refers to the ability of a company to generate profits and increase shareholder value over time. It is a measure of how well a company is managing its resources and achieving its financial goals” (Daoud and Kammoun, 2017). </w:t>
      </w:r>
    </w:p>
    <w:p w14:paraId="45D6F8D9"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8" w:name="_Toc8"/>
      <w:r>
        <w:rPr>
          <w:rFonts w:ascii="Times New Roman" w:hAnsi="Times New Roman"/>
          <w:b/>
          <w:bCs/>
          <w:color w:val="000000"/>
          <w:u w:color="000000"/>
        </w:rPr>
        <w:t>1.8. Structure of rest of project</w:t>
      </w:r>
      <w:bookmarkEnd w:id="8"/>
    </w:p>
    <w:p w14:paraId="63156C8E" w14:textId="77777777" w:rsidR="007F5874" w:rsidRDefault="00402798">
      <w:pPr>
        <w:spacing w:line="360" w:lineRule="auto"/>
        <w:ind w:firstLine="720"/>
        <w:jc w:val="both"/>
        <w:rPr>
          <w:rFonts w:ascii="Times New Roman" w:eastAsia="Times New Roman" w:hAnsi="Times New Roman" w:cs="Times New Roman"/>
          <w:color w:val="0D0D0D"/>
          <w:sz w:val="24"/>
          <w:szCs w:val="24"/>
          <w:u w:color="0D0D0D"/>
          <w:shd w:val="clear" w:color="auto" w:fill="FFFFFF"/>
        </w:rPr>
      </w:pPr>
      <w:r>
        <w:rPr>
          <w:rFonts w:ascii="Times New Roman" w:hAnsi="Times New Roman"/>
          <w:color w:val="0D0D0D"/>
          <w:sz w:val="24"/>
          <w:szCs w:val="24"/>
          <w:u w:color="0D0D0D"/>
          <w:shd w:val="clear" w:color="auto" w:fill="FFFFFF"/>
        </w:rPr>
        <w:t>The dissertation is structured into the following cohesive chapters, each serving a distinct purpose in the exploration of the relationship between capital structure and firm performance, with Tata Steel as a case study. Chapter two, the literature review, sets the stage by critically reviewing existing research areas and topics, synthesizing insights from dynamic capability theory and the resource-based view. A conceptual framework is developed to guide the subsequent analysis. Chapter three, research Methodology, justifies the chosen positivism paradigm and quantitative research design, detailing the rationale behind research approaches, data collection methods, and ethical considerations. Chapter four presents the findings, results, analysis, and discussion, offering a comprehensive examination of Tata Steel's capital structure trends and their impact on financial performance, linking back to the literature. Finally, chapter five, conclusions and recommendations, summarizes key findings, draws conclusions, and offers practical and theoretical recommendations, while also acknowledging research limitations and suggesting avenues for future inquiry.</w:t>
      </w:r>
    </w:p>
    <w:p w14:paraId="47F2679D" w14:textId="77777777" w:rsidR="007F5874" w:rsidRDefault="007F5874">
      <w:pPr>
        <w:spacing w:line="360" w:lineRule="auto"/>
        <w:jc w:val="both"/>
        <w:rPr>
          <w:rFonts w:ascii="Times New Roman" w:eastAsia="Times New Roman" w:hAnsi="Times New Roman" w:cs="Times New Roman"/>
          <w:color w:val="0D0D0D"/>
          <w:sz w:val="24"/>
          <w:szCs w:val="24"/>
          <w:u w:color="0D0D0D"/>
          <w:shd w:val="clear" w:color="auto" w:fill="FFFFFF"/>
        </w:rPr>
      </w:pPr>
    </w:p>
    <w:p w14:paraId="397DDEAF" w14:textId="77777777" w:rsidR="007F5874" w:rsidRDefault="007F5874">
      <w:pPr>
        <w:spacing w:line="360" w:lineRule="auto"/>
        <w:jc w:val="both"/>
        <w:rPr>
          <w:rFonts w:ascii="Times New Roman" w:eastAsia="Times New Roman" w:hAnsi="Times New Roman" w:cs="Times New Roman"/>
          <w:color w:val="0D0D0D"/>
          <w:sz w:val="24"/>
          <w:szCs w:val="24"/>
          <w:u w:color="0D0D0D"/>
          <w:shd w:val="clear" w:color="auto" w:fill="FFFFFF"/>
        </w:rPr>
      </w:pPr>
    </w:p>
    <w:p w14:paraId="2CD4A196" w14:textId="77777777" w:rsidR="007F5874" w:rsidRDefault="007F5874"/>
    <w:p w14:paraId="7447D24D" w14:textId="77777777" w:rsidR="007F5874" w:rsidRDefault="007F5874"/>
    <w:p w14:paraId="025BD9E0" w14:textId="77777777" w:rsidR="007F5874" w:rsidRDefault="007F5874"/>
    <w:p w14:paraId="18C20A45" w14:textId="77777777" w:rsidR="007F5874" w:rsidRDefault="007F5874"/>
    <w:p w14:paraId="6710ACC4" w14:textId="77777777" w:rsidR="007F5874" w:rsidRDefault="007F5874"/>
    <w:p w14:paraId="05C0D8C9" w14:textId="77777777" w:rsidR="007F5874" w:rsidRDefault="007F5874"/>
    <w:p w14:paraId="52495AFB" w14:textId="77777777" w:rsidR="007F5874" w:rsidRDefault="007F5874"/>
    <w:p w14:paraId="63341F5B" w14:textId="77777777" w:rsidR="007F5874" w:rsidRDefault="007F5874"/>
    <w:p w14:paraId="61A3CD88" w14:textId="77777777" w:rsidR="007F5874" w:rsidRDefault="007F5874"/>
    <w:p w14:paraId="6410D4B0" w14:textId="77777777" w:rsidR="007F5874" w:rsidRDefault="007F5874"/>
    <w:p w14:paraId="74BC4E8F" w14:textId="77777777" w:rsidR="007F5874" w:rsidRDefault="007F5874"/>
    <w:p w14:paraId="771EAFFE" w14:textId="77777777" w:rsidR="007F5874" w:rsidRDefault="007F5874"/>
    <w:p w14:paraId="6F52A0C7" w14:textId="77777777" w:rsidR="007F5874" w:rsidRDefault="007F5874"/>
    <w:p w14:paraId="4FEED5B9" w14:textId="77777777" w:rsidR="007F5874" w:rsidRDefault="007F5874"/>
    <w:p w14:paraId="1889F58C" w14:textId="77777777" w:rsidR="007F5874" w:rsidRDefault="007F5874"/>
    <w:p w14:paraId="7F9DBF71" w14:textId="77777777" w:rsidR="007F5874" w:rsidRDefault="007F5874"/>
    <w:p w14:paraId="61C64C1B" w14:textId="77777777" w:rsidR="007F5874" w:rsidRDefault="00402798">
      <w:pPr>
        <w:pStyle w:val="Heading1"/>
        <w:shd w:val="clear" w:color="auto" w:fill="E2EFD9"/>
        <w:jc w:val="center"/>
        <w:rPr>
          <w:rFonts w:ascii="Times New Roman" w:eastAsia="Times New Roman" w:hAnsi="Times New Roman" w:cs="Times New Roman"/>
          <w:b/>
          <w:bCs/>
          <w:color w:val="000000"/>
          <w:u w:color="000000"/>
        </w:rPr>
      </w:pPr>
      <w:bookmarkStart w:id="9" w:name="_Toc9"/>
      <w:r>
        <w:rPr>
          <w:rFonts w:ascii="Times New Roman" w:hAnsi="Times New Roman"/>
          <w:b/>
          <w:bCs/>
          <w:color w:val="000000"/>
          <w:u w:color="000000"/>
        </w:rPr>
        <w:t>Chapter 2: REVIEW OF LITERATURE</w:t>
      </w:r>
      <w:bookmarkEnd w:id="9"/>
    </w:p>
    <w:p w14:paraId="0F62A3F8" w14:textId="77777777" w:rsidR="007F5874" w:rsidRDefault="007F5874"/>
    <w:p w14:paraId="563913BF" w14:textId="77777777" w:rsidR="007F5874" w:rsidRDefault="007F5874"/>
    <w:p w14:paraId="66B75822"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0" w:name="_Toc10"/>
      <w:r>
        <w:rPr>
          <w:rFonts w:ascii="Times New Roman" w:hAnsi="Times New Roman"/>
          <w:b/>
          <w:bCs/>
          <w:color w:val="000000"/>
          <w:u w:color="000000"/>
        </w:rPr>
        <w:t>2.1. Introduction</w:t>
      </w:r>
      <w:bookmarkEnd w:id="10"/>
    </w:p>
    <w:p w14:paraId="22BCF0B6" w14:textId="77777777" w:rsidR="007F5874" w:rsidRDefault="00402798">
      <w:pPr>
        <w:spacing w:after="24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literature review chapter rigorously analyses fundamental theoretical frameworks and empirical evidence relevant to comprehending the correlation between capital structure decisions and company performance. Firstly, it explores the Dynamic Capability Theory, which explains how a company's capacity to adjust and innovate in reaction to changing conditions affects its overall success. Additionally, it consolidates empirical research on the connection between decisions regarding capital structure and the performance of a company, offering valuable insights into the various elements that influence this relationship. Additionally, it examines the Resource-Based View (RBV) Theory, which </w:t>
      </w:r>
      <w:proofErr w:type="spellStart"/>
      <w:r>
        <w:rPr>
          <w:rFonts w:ascii="Times New Roman" w:hAnsi="Times New Roman"/>
          <w:sz w:val="24"/>
          <w:szCs w:val="24"/>
        </w:rPr>
        <w:t>emphasises</w:t>
      </w:r>
      <w:proofErr w:type="spellEnd"/>
      <w:r>
        <w:rPr>
          <w:rFonts w:ascii="Times New Roman" w:hAnsi="Times New Roman"/>
          <w:sz w:val="24"/>
          <w:szCs w:val="24"/>
        </w:rPr>
        <w:t xml:space="preserve"> the importance of internal resources and skills in influencing decisions on capital structure. </w:t>
      </w:r>
      <w:r>
        <w:rPr>
          <w:rFonts w:ascii="Times New Roman" w:hAnsi="Times New Roman"/>
          <w:sz w:val="24"/>
          <w:szCs w:val="24"/>
        </w:rPr>
        <w:lastRenderedPageBreak/>
        <w:t xml:space="preserve">Furthermore, it examines industry-specific variables that influence the dynamics of capital structure, taking into account the distinct characteristics and difficulties of the steel industry. The interrelationship between theoretical ideas and empirical facts is depicted through a conceptual framework. Finally, the chapter finishes by </w:t>
      </w:r>
      <w:proofErr w:type="spellStart"/>
      <w:r>
        <w:rPr>
          <w:rFonts w:ascii="Times New Roman" w:hAnsi="Times New Roman"/>
          <w:sz w:val="24"/>
          <w:szCs w:val="24"/>
        </w:rPr>
        <w:t>emphasising</w:t>
      </w:r>
      <w:proofErr w:type="spellEnd"/>
      <w:r>
        <w:rPr>
          <w:rFonts w:ascii="Times New Roman" w:hAnsi="Times New Roman"/>
          <w:sz w:val="24"/>
          <w:szCs w:val="24"/>
        </w:rPr>
        <w:t xml:space="preserve"> the deficiencies in the current body of literature and delineating how the research contributes to filling these gaps.</w:t>
      </w:r>
    </w:p>
    <w:p w14:paraId="456B4039"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1" w:name="_Toc11"/>
      <w:r>
        <w:rPr>
          <w:rFonts w:ascii="Times New Roman" w:hAnsi="Times New Roman"/>
          <w:b/>
          <w:bCs/>
          <w:color w:val="000000"/>
          <w:u w:color="000000"/>
        </w:rPr>
        <w:t>2.2. Dynamic Capability Theory and Firm Performance</w:t>
      </w:r>
      <w:bookmarkEnd w:id="11"/>
    </w:p>
    <w:p w14:paraId="3E8B96D6"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Dynamic Capability Theory is a key theory in strategic management which focuses on an organization's ingenuity to form, implement and save specific skill sets that it uses to realize competitive advantage (</w:t>
      </w:r>
      <w:proofErr w:type="spellStart"/>
      <w:r>
        <w:rPr>
          <w:rFonts w:ascii="Times New Roman" w:hAnsi="Times New Roman"/>
          <w:sz w:val="24"/>
          <w:szCs w:val="24"/>
        </w:rPr>
        <w:t>Shiamwama</w:t>
      </w:r>
      <w:proofErr w:type="spellEnd"/>
      <w:r>
        <w:rPr>
          <w:rFonts w:ascii="Times New Roman" w:hAnsi="Times New Roman"/>
          <w:sz w:val="24"/>
          <w:szCs w:val="24"/>
        </w:rPr>
        <w:t xml:space="preserve">, 2022). From proposition of </w:t>
      </w:r>
      <w:proofErr w:type="spellStart"/>
      <w:r>
        <w:rPr>
          <w:rFonts w:ascii="Times New Roman" w:hAnsi="Times New Roman"/>
          <w:sz w:val="24"/>
          <w:szCs w:val="24"/>
        </w:rPr>
        <w:t>Shiamwama</w:t>
      </w:r>
      <w:proofErr w:type="spellEnd"/>
      <w:r>
        <w:rPr>
          <w:rFonts w:ascii="Times New Roman" w:hAnsi="Times New Roman"/>
          <w:sz w:val="24"/>
          <w:szCs w:val="24"/>
        </w:rPr>
        <w:t xml:space="preserve"> (2022), this theory suggests that firms having strong dynamic capabilities are more likely to reach exceptional performance relative to those which have weak capabilities. The idea, however, broadly goes beyond qualitative difference in available resources to determine how companies seek and utilize resources in synchrony to their market conditions, therefore accounting for difference in performance between the companies (</w:t>
      </w:r>
      <w:proofErr w:type="spellStart"/>
      <w:r>
        <w:rPr>
          <w:rFonts w:ascii="Times New Roman" w:hAnsi="Times New Roman"/>
          <w:sz w:val="24"/>
          <w:szCs w:val="24"/>
        </w:rPr>
        <w:t>Mudalige</w:t>
      </w:r>
      <w:proofErr w:type="spellEnd"/>
      <w:r>
        <w:rPr>
          <w:rFonts w:ascii="Times New Roman" w:hAnsi="Times New Roman"/>
          <w:sz w:val="24"/>
          <w:szCs w:val="24"/>
        </w:rPr>
        <w:t xml:space="preserve">, Ismail and Malek, 2018).  Research has shown that dynamic capabilities are the main thing required to achieve higher performance of firms. These skills allow the </w:t>
      </w:r>
      <w:proofErr w:type="spellStart"/>
      <w:r>
        <w:rPr>
          <w:rFonts w:ascii="Times New Roman" w:hAnsi="Times New Roman"/>
          <w:sz w:val="24"/>
          <w:szCs w:val="24"/>
        </w:rPr>
        <w:t>organisation</w:t>
      </w:r>
      <w:proofErr w:type="spellEnd"/>
      <w:r>
        <w:rPr>
          <w:rFonts w:ascii="Times New Roman" w:hAnsi="Times New Roman"/>
          <w:sz w:val="24"/>
          <w:szCs w:val="24"/>
        </w:rPr>
        <w:t xml:space="preserve"> to discern and exploit emerging opportunities, manage risk and channel their resources to adjust to different client needs (Aminu and Mahmood, 2015). These abilities are important for firms to rapidly and easily adapt to changing market conditions giving companies long-run competitive edge and higher business performance (Kitenga et al., 2020). Additionally, there are many forms of innovation which are a result of dynamic skills, this makes organizations function better. </w:t>
      </w:r>
    </w:p>
    <w:p w14:paraId="0C265834"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Studies have also explored how dynamic competencies modes hold different positions in various situations. In the pharmaceutical industry, it is the dynamic capabilities are the mechanisms linking strategy orientations and company’s performance by emphasizing their role in dynamic contexts (Zaman, Salman and Malik, 2019). </w:t>
      </w:r>
      <w:proofErr w:type="gramStart"/>
      <w:r>
        <w:rPr>
          <w:rFonts w:ascii="Times New Roman" w:hAnsi="Times New Roman"/>
          <w:sz w:val="24"/>
          <w:szCs w:val="24"/>
        </w:rPr>
        <w:t>Therefore</w:t>
      </w:r>
      <w:proofErr w:type="gramEnd"/>
      <w:r>
        <w:rPr>
          <w:rFonts w:ascii="Times New Roman" w:hAnsi="Times New Roman"/>
          <w:sz w:val="24"/>
          <w:szCs w:val="24"/>
        </w:rPr>
        <w:t xml:space="preserve"> companies benefit even more from characteristics like creativity and absorptive ability when they are confronted with social failures, like the COVID-19 pandemic (Wu </w:t>
      </w:r>
      <w:r>
        <w:rPr>
          <w:rFonts w:ascii="Times New Roman" w:hAnsi="Times New Roman"/>
          <w:i/>
          <w:iCs/>
          <w:sz w:val="24"/>
          <w:szCs w:val="24"/>
        </w:rPr>
        <w:t>et al.</w:t>
      </w:r>
      <w:r>
        <w:rPr>
          <w:rFonts w:ascii="Times New Roman" w:hAnsi="Times New Roman"/>
          <w:sz w:val="24"/>
          <w:szCs w:val="24"/>
        </w:rPr>
        <w:t xml:space="preserve">, 2023).  The dynamic capacity of </w:t>
      </w:r>
      <w:proofErr w:type="spellStart"/>
      <w:r>
        <w:rPr>
          <w:rFonts w:ascii="Times New Roman" w:hAnsi="Times New Roman"/>
          <w:sz w:val="24"/>
          <w:szCs w:val="24"/>
        </w:rPr>
        <w:t>organisations</w:t>
      </w:r>
      <w:proofErr w:type="spellEnd"/>
      <w:r>
        <w:rPr>
          <w:rFonts w:ascii="Times New Roman" w:hAnsi="Times New Roman"/>
          <w:sz w:val="24"/>
          <w:szCs w:val="24"/>
        </w:rPr>
        <w:t xml:space="preserve"> is critical in the description of how performance is improved through the restructuring of the capital structures. In accordance to this hypothesis, we believe, that the capital structures of companies with robust dynamic capacities can be adjusted quickly in response to a changing environment (Schilke, 2013). The firms which can predict and understand the changes in the environment successfully can make better decisions about their capital structures (Zhou </w:t>
      </w:r>
      <w:r>
        <w:rPr>
          <w:rFonts w:ascii="Times New Roman" w:hAnsi="Times New Roman"/>
          <w:i/>
          <w:iCs/>
          <w:sz w:val="24"/>
          <w:szCs w:val="24"/>
        </w:rPr>
        <w:t>et al.</w:t>
      </w:r>
      <w:r>
        <w:rPr>
          <w:rFonts w:ascii="Times New Roman" w:hAnsi="Times New Roman"/>
          <w:sz w:val="24"/>
          <w:szCs w:val="24"/>
        </w:rPr>
        <w:t xml:space="preserve">, 2017), thus leading to an enhanced performance. On the one </w:t>
      </w:r>
      <w:r>
        <w:rPr>
          <w:rFonts w:ascii="Times New Roman" w:hAnsi="Times New Roman"/>
          <w:sz w:val="24"/>
          <w:szCs w:val="24"/>
        </w:rPr>
        <w:lastRenderedPageBreak/>
        <w:t xml:space="preserve">hand, dynamic talents facilitate linkages between other elements such as intellectual capital, corporate social responsibility, and open innovation to the performance of the company. Relationship among this </w:t>
      </w:r>
      <w:proofErr w:type="gramStart"/>
      <w:r>
        <w:rPr>
          <w:rFonts w:ascii="Times New Roman" w:hAnsi="Times New Roman"/>
          <w:sz w:val="24"/>
          <w:szCs w:val="24"/>
        </w:rPr>
        <w:t>are</w:t>
      </w:r>
      <w:proofErr w:type="gramEnd"/>
      <w:r>
        <w:rPr>
          <w:rFonts w:ascii="Times New Roman" w:hAnsi="Times New Roman"/>
          <w:sz w:val="24"/>
          <w:szCs w:val="24"/>
        </w:rPr>
        <w:t xml:space="preserve"> addressed (</w:t>
      </w:r>
      <w:proofErr w:type="spellStart"/>
      <w:r>
        <w:rPr>
          <w:rFonts w:ascii="Times New Roman" w:hAnsi="Times New Roman"/>
          <w:sz w:val="24"/>
          <w:szCs w:val="24"/>
        </w:rPr>
        <w:t>Pundzienė</w:t>
      </w:r>
      <w:proofErr w:type="spellEnd"/>
      <w:r>
        <w:rPr>
          <w:rFonts w:ascii="Times New Roman" w:hAnsi="Times New Roman"/>
          <w:sz w:val="24"/>
          <w:szCs w:val="24"/>
        </w:rPr>
        <w:t xml:space="preserve">, Nikou and Bouwman, 2021; Easmon </w:t>
      </w:r>
      <w:r>
        <w:rPr>
          <w:rFonts w:ascii="Times New Roman" w:hAnsi="Times New Roman"/>
          <w:i/>
          <w:iCs/>
          <w:sz w:val="24"/>
          <w:szCs w:val="24"/>
        </w:rPr>
        <w:t>et al.</w:t>
      </w:r>
      <w:r>
        <w:rPr>
          <w:rFonts w:ascii="Times New Roman" w:hAnsi="Times New Roman"/>
          <w:sz w:val="24"/>
          <w:szCs w:val="24"/>
        </w:rPr>
        <w:t>, 2019). Such competencies help enterprises to efficiently and effectively integrate and redesign resources. This in turn enables them to establish long-term and sustainable competitive advantages which in the end lead to higher performance (Long and Liao, 2022). Moreover, individual-level dynamic managerial abilities in managing business outcomes bring into focus the importance of managerial talent as a determinant of organizational performance (</w:t>
      </w:r>
      <w:proofErr w:type="spellStart"/>
      <w:r>
        <w:rPr>
          <w:rFonts w:ascii="Times New Roman" w:hAnsi="Times New Roman"/>
          <w:sz w:val="24"/>
          <w:szCs w:val="24"/>
        </w:rPr>
        <w:t>Heubeck</w:t>
      </w:r>
      <w:proofErr w:type="spellEnd"/>
      <w:r>
        <w:rPr>
          <w:rFonts w:ascii="Times New Roman" w:hAnsi="Times New Roman"/>
          <w:sz w:val="24"/>
          <w:szCs w:val="24"/>
        </w:rPr>
        <w:t xml:space="preserve"> and </w:t>
      </w:r>
      <w:proofErr w:type="spellStart"/>
      <w:r>
        <w:rPr>
          <w:rFonts w:ascii="Times New Roman" w:hAnsi="Times New Roman"/>
          <w:sz w:val="24"/>
          <w:szCs w:val="24"/>
        </w:rPr>
        <w:t>Meckl</w:t>
      </w:r>
      <w:proofErr w:type="spellEnd"/>
      <w:r>
        <w:rPr>
          <w:rFonts w:ascii="Times New Roman" w:hAnsi="Times New Roman"/>
          <w:sz w:val="24"/>
          <w:szCs w:val="24"/>
        </w:rPr>
        <w:t xml:space="preserve">, 2022). </w:t>
      </w:r>
    </w:p>
    <w:p w14:paraId="361268CE"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Tata steel, one of the key steel players in the business, has proved a purposeful </w:t>
      </w:r>
      <w:proofErr w:type="spellStart"/>
      <w:r>
        <w:rPr>
          <w:rFonts w:ascii="Times New Roman" w:hAnsi="Times New Roman"/>
          <w:sz w:val="24"/>
          <w:szCs w:val="24"/>
        </w:rPr>
        <w:t>utilisation</w:t>
      </w:r>
      <w:proofErr w:type="spellEnd"/>
      <w:r>
        <w:rPr>
          <w:rFonts w:ascii="Times New Roman" w:hAnsi="Times New Roman"/>
          <w:sz w:val="24"/>
          <w:szCs w:val="24"/>
        </w:rPr>
        <w:t xml:space="preserve"> of its flexible skills to bench its financial systems with market forces. Dynamic Capability Theory lays stress on the company’s aptitude to develop, deploy, and safeguard skills that are completely owned by the company to thrive in the competition. For Tata Steel, this involves Tata Steel's ability to see changes in the market, case in example fluctuation of demand, bargain patterns, or technology adoption, and then change its financial structure to fit their new circumstances (Hsu and Wang, 2010).  Tata Steel exhibits its dynamic capabilities through operational decisions as investing in new technologies such as coke dry quenching (CDQ) units, implementing higher techniques including oxygen steelmaking processes, and undertaking some strategic initiatives including developing commercial products such as </w:t>
      </w:r>
      <w:proofErr w:type="spellStart"/>
      <w:r>
        <w:rPr>
          <w:rFonts w:ascii="Times New Roman" w:hAnsi="Times New Roman"/>
          <w:sz w:val="24"/>
          <w:szCs w:val="24"/>
        </w:rPr>
        <w:t>superbainite</w:t>
      </w:r>
      <w:proofErr w:type="spellEnd"/>
      <w:r>
        <w:rPr>
          <w:rFonts w:ascii="Times New Roman" w:hAnsi="Times New Roman"/>
          <w:sz w:val="24"/>
          <w:szCs w:val="24"/>
        </w:rPr>
        <w:t xml:space="preserve"> armor plate. Through the above activities one can conclude that Tata Steel is capable to adopt best technology available, revise existing production techniques and widen its range of products in order to become more competitive and efficient. Also, the strategic leadership Tata Steel shows in sustainable corporate development (Jha and Arora, 2013) as well as the emphasis on sustainable practices connect with the idea that dynamic capabilities lead to great performance over time. Tata Steels strategy of inclusion of sustainability issues in its core strategy is more than simply addressing market expectations which desire eco-friendly operations. These initiatives also develop the company’s ability to resist changing economic and competitive conditions in the industry. Moreover, Singh and Rao (2016) explain the significance of intellectual capital with regard to dynamic capacities. This may give insights on how Tata Steel can </w:t>
      </w:r>
      <w:proofErr w:type="spellStart"/>
      <w:r>
        <w:rPr>
          <w:rFonts w:ascii="Times New Roman" w:hAnsi="Times New Roman"/>
          <w:sz w:val="24"/>
          <w:szCs w:val="24"/>
        </w:rPr>
        <w:t>maximise</w:t>
      </w:r>
      <w:proofErr w:type="spellEnd"/>
      <w:r>
        <w:rPr>
          <w:rFonts w:ascii="Times New Roman" w:hAnsi="Times New Roman"/>
          <w:sz w:val="24"/>
          <w:szCs w:val="24"/>
        </w:rPr>
        <w:t xml:space="preserve"> its knowledge resources in order to alter the capital mix. Through learning and innovation as well as acquiring knowledge and experience Tata Steel can become more capable in adapting to unforeseen changes. To sum up, Tata Steel was really flexible in their capital structures adapting to the swings in the market forces and competitive </w:t>
      </w:r>
      <w:r>
        <w:rPr>
          <w:rFonts w:ascii="Times New Roman" w:hAnsi="Times New Roman"/>
          <w:sz w:val="24"/>
          <w:szCs w:val="24"/>
        </w:rPr>
        <w:lastRenderedPageBreak/>
        <w:t>pressure by their strategic objectives, operational decisions, and sustainability focus. This provides evidence of the company's mastery of capturing dynamic strengths such as processing capacity. Tata Steel can get better results; they can uphold their competitive gains and also navigate the deep-seated issues in the steel industries by incorporating dynamic capabilities into their strategic decision making.</w:t>
      </w:r>
    </w:p>
    <w:p w14:paraId="7B4B7D3A"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2" w:name="_Toc12"/>
      <w:r>
        <w:rPr>
          <w:rFonts w:ascii="Times New Roman" w:hAnsi="Times New Roman"/>
          <w:b/>
          <w:bCs/>
          <w:color w:val="000000"/>
          <w:u w:color="000000"/>
        </w:rPr>
        <w:t>2.3. Empirical Evidence on Capital Structure and Firm Performance</w:t>
      </w:r>
      <w:bookmarkEnd w:id="12"/>
    </w:p>
    <w:p w14:paraId="1A100479"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Different empirical studies have been conducted, analyzing the link between capital structure choices and the performance of a business, by looking at factors that include profitability, growth, and market value. Such research has generated useful knowledge of this influence depending on the capital structure choice and the industries as well as the geographical regions involved. </w:t>
      </w:r>
      <w:proofErr w:type="spellStart"/>
      <w:r>
        <w:rPr>
          <w:rFonts w:ascii="Times New Roman" w:hAnsi="Times New Roman"/>
          <w:sz w:val="24"/>
          <w:szCs w:val="24"/>
        </w:rPr>
        <w:t>Abuzayed</w:t>
      </w:r>
      <w:proofErr w:type="spellEnd"/>
      <w:r>
        <w:rPr>
          <w:rFonts w:ascii="Times New Roman" w:hAnsi="Times New Roman"/>
          <w:sz w:val="24"/>
          <w:szCs w:val="24"/>
        </w:rPr>
        <w:t xml:space="preserve"> (2012) did </w:t>
      </w:r>
      <w:proofErr w:type="gramStart"/>
      <w:r>
        <w:rPr>
          <w:rFonts w:ascii="Times New Roman" w:hAnsi="Times New Roman"/>
          <w:sz w:val="24"/>
          <w:szCs w:val="24"/>
        </w:rPr>
        <w:t>a research</w:t>
      </w:r>
      <w:proofErr w:type="gramEnd"/>
      <w:r>
        <w:rPr>
          <w:rFonts w:ascii="Times New Roman" w:hAnsi="Times New Roman"/>
          <w:sz w:val="24"/>
          <w:szCs w:val="24"/>
        </w:rPr>
        <w:t xml:space="preserve"> in Jordan to see the relationship between </w:t>
      </w:r>
      <w:proofErr w:type="spellStart"/>
      <w:r>
        <w:rPr>
          <w:rFonts w:ascii="Times New Roman" w:hAnsi="Times New Roman"/>
          <w:sz w:val="24"/>
          <w:szCs w:val="24"/>
        </w:rPr>
        <w:t>wokring</w:t>
      </w:r>
      <w:proofErr w:type="spellEnd"/>
      <w:r>
        <w:rPr>
          <w:rFonts w:ascii="Times New Roman" w:hAnsi="Times New Roman"/>
          <w:sz w:val="24"/>
          <w:szCs w:val="24"/>
        </w:rPr>
        <w:t xml:space="preserve"> capital management and performance of firms. The analysis has highlighted the utility of proper management of working capital for better performance of companies. Al‐Haddad </w:t>
      </w:r>
      <w:r>
        <w:rPr>
          <w:rFonts w:ascii="Times New Roman" w:hAnsi="Times New Roman"/>
          <w:i/>
          <w:iCs/>
          <w:sz w:val="24"/>
          <w:szCs w:val="24"/>
        </w:rPr>
        <w:t>et al.</w:t>
      </w:r>
      <w:r>
        <w:rPr>
          <w:rFonts w:ascii="Times New Roman" w:hAnsi="Times New Roman"/>
          <w:sz w:val="24"/>
          <w:szCs w:val="24"/>
        </w:rPr>
        <w:t xml:space="preserve">, (2023) carried out </w:t>
      </w:r>
      <w:proofErr w:type="gramStart"/>
      <w:r>
        <w:rPr>
          <w:rFonts w:ascii="Times New Roman" w:hAnsi="Times New Roman"/>
          <w:sz w:val="24"/>
          <w:szCs w:val="24"/>
        </w:rPr>
        <w:t>a research</w:t>
      </w:r>
      <w:proofErr w:type="gramEnd"/>
      <w:r>
        <w:rPr>
          <w:rFonts w:ascii="Times New Roman" w:hAnsi="Times New Roman"/>
          <w:sz w:val="24"/>
          <w:szCs w:val="24"/>
        </w:rPr>
        <w:t xml:space="preserve"> in Jordan in order to see how the capital structure impacts the family company’s performance. The research lays down the emphasis on the fact that capital structure decision is the key executive factor in determining rise or fall of the company. Khan, (2012) investigated the engineering industry in Pakistan, displaying greater capital structure impact on the company performance in that specific area. Pal (2022) conducted research on the resilience of Indian manufacturers against capital structure using real data. The study contends that levered capital structure erodes profitability.</w:t>
      </w:r>
    </w:p>
    <w:p w14:paraId="738846BC"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Additionally, analysis from different countries also has promoted our understanding of the linkage between capital structure and business achievement. </w:t>
      </w:r>
      <w:proofErr w:type="spellStart"/>
      <w:r>
        <w:rPr>
          <w:rFonts w:ascii="Times New Roman" w:hAnsi="Times New Roman"/>
          <w:sz w:val="24"/>
          <w:szCs w:val="24"/>
        </w:rPr>
        <w:t>Ebaid</w:t>
      </w:r>
      <w:proofErr w:type="spellEnd"/>
      <w:r>
        <w:rPr>
          <w:rFonts w:ascii="Times New Roman" w:hAnsi="Times New Roman"/>
          <w:sz w:val="24"/>
          <w:szCs w:val="24"/>
        </w:rPr>
        <w:t xml:space="preserve"> (2009) undertook a study to determine how different financing options impact firms' performances in Egypt. The research gives a deep understanding of how the capital structure is structured in developing economies. In its assessment of the relationship between capital structure and financial performance in Ghana, Nigeria, the study by Opoku-Asante </w:t>
      </w:r>
      <w:r>
        <w:rPr>
          <w:rFonts w:ascii="Times New Roman" w:hAnsi="Times New Roman"/>
          <w:i/>
          <w:iCs/>
          <w:sz w:val="24"/>
          <w:szCs w:val="24"/>
        </w:rPr>
        <w:t>et al.</w:t>
      </w:r>
      <w:r>
        <w:rPr>
          <w:rFonts w:ascii="Times New Roman" w:hAnsi="Times New Roman"/>
          <w:sz w:val="24"/>
          <w:szCs w:val="24"/>
        </w:rPr>
        <w:t xml:space="preserve"> (2022) is concerned. The results demonstrated negative relationship between these two elements. Rahman </w:t>
      </w:r>
      <w:r>
        <w:rPr>
          <w:rFonts w:ascii="Times New Roman" w:hAnsi="Times New Roman"/>
          <w:i/>
          <w:iCs/>
          <w:sz w:val="24"/>
          <w:szCs w:val="24"/>
        </w:rPr>
        <w:t>et al.</w:t>
      </w:r>
      <w:r>
        <w:rPr>
          <w:rFonts w:ascii="Times New Roman" w:hAnsi="Times New Roman"/>
          <w:sz w:val="24"/>
          <w:szCs w:val="24"/>
        </w:rPr>
        <w:t xml:space="preserve"> (2019) took a look at the impact of debt funding on company, performance in an economically developing country. They noted the positive performance link between this issue and capital structure. In the study of </w:t>
      </w:r>
      <w:proofErr w:type="spellStart"/>
      <w:r>
        <w:rPr>
          <w:rFonts w:ascii="Times New Roman" w:hAnsi="Times New Roman"/>
          <w:sz w:val="24"/>
          <w:szCs w:val="24"/>
        </w:rPr>
        <w:t>Uremadu</w:t>
      </w:r>
      <w:proofErr w:type="spellEnd"/>
      <w:r>
        <w:rPr>
          <w:rFonts w:ascii="Times New Roman" w:hAnsi="Times New Roman"/>
          <w:sz w:val="24"/>
          <w:szCs w:val="24"/>
        </w:rPr>
        <w:t xml:space="preserve"> (</w:t>
      </w:r>
      <w:proofErr w:type="gramStart"/>
      <w:r>
        <w:rPr>
          <w:rFonts w:ascii="Times New Roman" w:hAnsi="Times New Roman"/>
          <w:sz w:val="24"/>
          <w:szCs w:val="24"/>
        </w:rPr>
        <w:t>2018)capital</w:t>
      </w:r>
      <w:proofErr w:type="gramEnd"/>
      <w:r>
        <w:rPr>
          <w:rFonts w:ascii="Times New Roman" w:hAnsi="Times New Roman"/>
          <w:sz w:val="24"/>
          <w:szCs w:val="24"/>
        </w:rPr>
        <w:t xml:space="preserve"> structure of companies in the consumer goods sector in Nigeria the performance is explained. The research methods based on numbers helped in knowing how capital structure choices influence the value of firms.  Such empirical studies develop the studies which tells about the relationship between capital structure and </w:t>
      </w:r>
      <w:r>
        <w:rPr>
          <w:rFonts w:ascii="Times New Roman" w:hAnsi="Times New Roman"/>
          <w:sz w:val="24"/>
          <w:szCs w:val="24"/>
        </w:rPr>
        <w:lastRenderedPageBreak/>
        <w:t>performance of any company. They continue to help researchers compile the current knowledge and are applicable to practitioners, decision-makers, and scholars of varying contexts who are researching on how the capital structure choices are related to performance metrics.</w:t>
      </w:r>
    </w:p>
    <w:p w14:paraId="4E0E7DA7"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When evaluating the methods used by scholars in researching the connection between balance sheet structure decisions and company performance, we will do the study of the techniques disclosed in referenced sources. </w:t>
      </w:r>
      <w:proofErr w:type="spellStart"/>
      <w:r>
        <w:rPr>
          <w:rFonts w:ascii="Times New Roman" w:hAnsi="Times New Roman"/>
          <w:sz w:val="24"/>
          <w:szCs w:val="24"/>
        </w:rPr>
        <w:t>Attom</w:t>
      </w:r>
      <w:proofErr w:type="spellEnd"/>
      <w:r>
        <w:rPr>
          <w:rFonts w:ascii="Times New Roman" w:hAnsi="Times New Roman"/>
          <w:sz w:val="24"/>
          <w:szCs w:val="24"/>
        </w:rPr>
        <w:t xml:space="preserve"> and Hamza (2021) did an analysis of the relationship between firm performance and capital structure. They based their research on four performance indicators (Earnings per Share, Return-On-Equity, Return-On-Asset, and Tobin's Q) being the dependent variables and three capital ratios (short-term indebtedness, long-term indebtedness, and total indebtedness) as independent variables. The study was based on the use of statistical study to compare capital structure with firm performance.  </w:t>
      </w:r>
      <w:proofErr w:type="spellStart"/>
      <w:r>
        <w:rPr>
          <w:rFonts w:ascii="Times New Roman" w:hAnsi="Times New Roman"/>
          <w:sz w:val="24"/>
          <w:szCs w:val="24"/>
        </w:rPr>
        <w:t>Ebaid</w:t>
      </w:r>
      <w:proofErr w:type="spellEnd"/>
      <w:r>
        <w:rPr>
          <w:rFonts w:ascii="Times New Roman" w:hAnsi="Times New Roman"/>
          <w:sz w:val="24"/>
          <w:szCs w:val="24"/>
        </w:rPr>
        <w:t xml:space="preserve"> (2009) researched on the relationship between capital structure and the performance of Egyptian companies, it is shown that when equity financing predominates, companies tend to perform better. Utilized as the instruments of the financial study were the indicators of financial functioning like the return on under employed, return on assets or assets employed and gross profit margin. The study was about an observative study through a selected equally-sized population of non-financial Egyptian listed companies for a certain period of time. The main purpose its was to investigate the link between capital structure and company result. For example, Wang (2013) did an experiment to test the difference in the best capital structure for the public sector and the private sector. The research most likely </w:t>
      </w:r>
      <w:proofErr w:type="spellStart"/>
      <w:r>
        <w:rPr>
          <w:rFonts w:ascii="Times New Roman" w:hAnsi="Times New Roman"/>
          <w:sz w:val="24"/>
          <w:szCs w:val="24"/>
        </w:rPr>
        <w:t>comparied</w:t>
      </w:r>
      <w:proofErr w:type="spellEnd"/>
      <w:r>
        <w:rPr>
          <w:rFonts w:ascii="Times New Roman" w:hAnsi="Times New Roman"/>
          <w:sz w:val="24"/>
          <w:szCs w:val="24"/>
        </w:rPr>
        <w:t xml:space="preserve"> the two business types, studied their choices in capital structure, and examined the financial outcomes associated with these decisions. As a rule, the obtained data was analyzed quantitatively using statistics, modelling and interpretation with the help of the correlation between the decisions about the levels of leverage and corporate prosperity. Researchers aimed at determining the effect that </w:t>
      </w:r>
      <w:proofErr w:type="gramStart"/>
      <w:r>
        <w:rPr>
          <w:rFonts w:ascii="Times New Roman" w:hAnsi="Times New Roman"/>
          <w:sz w:val="24"/>
          <w:szCs w:val="24"/>
        </w:rPr>
        <w:t>the each</w:t>
      </w:r>
      <w:proofErr w:type="gramEnd"/>
      <w:r>
        <w:rPr>
          <w:rFonts w:ascii="Times New Roman" w:hAnsi="Times New Roman"/>
          <w:sz w:val="24"/>
          <w:szCs w:val="24"/>
        </w:rPr>
        <w:t xml:space="preserve"> capital structure decision has on various elements of business performance such as financial indicators and capital structure ratios with the aid of the relevant statistical methods. The central goal of the research was to increase understanding that proper capital structure decision-making process builds long-term firm value.</w:t>
      </w:r>
    </w:p>
    <w:p w14:paraId="1CF7441D"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3" w:name="_Toc13"/>
      <w:r>
        <w:rPr>
          <w:rFonts w:ascii="Times New Roman" w:hAnsi="Times New Roman"/>
          <w:b/>
          <w:bCs/>
          <w:color w:val="000000"/>
          <w:u w:color="000000"/>
        </w:rPr>
        <w:t>2.4. Resource-Based View (RBV) Theory and Capital Structure Decisions</w:t>
      </w:r>
      <w:bookmarkEnd w:id="13"/>
    </w:p>
    <w:p w14:paraId="54FCDB35"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In order to conceptualize the framework under which the companies such as Tata Steel manage and utilize their resources for optimal capital structure decisions, it is possible to elucidating the Resource-Based View (RBV) theory. Crook </w:t>
      </w:r>
      <w:r>
        <w:rPr>
          <w:rFonts w:ascii="Times New Roman" w:hAnsi="Times New Roman"/>
          <w:i/>
          <w:iCs/>
          <w:sz w:val="24"/>
          <w:szCs w:val="24"/>
        </w:rPr>
        <w:t>et al.</w:t>
      </w:r>
      <w:r>
        <w:rPr>
          <w:rFonts w:ascii="Times New Roman" w:hAnsi="Times New Roman"/>
          <w:sz w:val="24"/>
          <w:szCs w:val="24"/>
        </w:rPr>
        <w:t xml:space="preserve"> (2011) showed the crucial </w:t>
      </w:r>
      <w:r>
        <w:rPr>
          <w:rFonts w:ascii="Times New Roman" w:hAnsi="Times New Roman"/>
          <w:sz w:val="24"/>
          <w:szCs w:val="24"/>
        </w:rPr>
        <w:lastRenderedPageBreak/>
        <w:t xml:space="preserve">role of human capital as in the first-class assets that impact considerably companies’ performance. Tata Steel heavily relies on its human capital by using highly qualified individuals, knowledge, and expertise to make serious decisions on what form of financing to apply to the organization. The use of strategic capital structure decisions by Tata Steel can be maximized based on the proper coordination between its human capital and the deployment of resources.  The study by Adam </w:t>
      </w:r>
      <w:r>
        <w:rPr>
          <w:rFonts w:ascii="Times New Roman" w:hAnsi="Times New Roman"/>
          <w:i/>
          <w:iCs/>
          <w:sz w:val="24"/>
          <w:szCs w:val="24"/>
        </w:rPr>
        <w:t>et al.</w:t>
      </w:r>
      <w:r>
        <w:rPr>
          <w:rFonts w:ascii="Times New Roman" w:hAnsi="Times New Roman"/>
          <w:sz w:val="24"/>
          <w:szCs w:val="24"/>
        </w:rPr>
        <w:t xml:space="preserve"> (</w:t>
      </w:r>
      <w:proofErr w:type="gramStart"/>
      <w:r>
        <w:rPr>
          <w:rFonts w:ascii="Times New Roman" w:hAnsi="Times New Roman"/>
          <w:sz w:val="24"/>
          <w:szCs w:val="24"/>
        </w:rPr>
        <w:t>2022)aims</w:t>
      </w:r>
      <w:proofErr w:type="gramEnd"/>
      <w:r>
        <w:rPr>
          <w:rFonts w:ascii="Times New Roman" w:hAnsi="Times New Roman"/>
          <w:sz w:val="24"/>
          <w:szCs w:val="24"/>
        </w:rPr>
        <w:t xml:space="preserve"> at whether RBV theory brings business sustainability among women microbusiness owners. This paper underlines the role of businesses' resources, comprising material, human and organizational capital, in the support of sustainable success. Tata Steel may utilize its physical assets, workforce, and organizational competencies in order to implement lean asset allocation, and thus provide an optimal solution for its capital structure, therefore assuring sustainable performance.  Hamdan and Kassim (2022) evaluated the impacts of Islamic microfinancing, human capita, and ICT use on the performance of female micro-entrepreneurs, through the lens of the RBV doctrine. The study pinpoints the importance of particular endowments in shaping performance levels. Tata Steel may </w:t>
      </w:r>
      <w:proofErr w:type="spellStart"/>
      <w:r>
        <w:rPr>
          <w:rFonts w:ascii="Times New Roman" w:hAnsi="Times New Roman"/>
          <w:sz w:val="24"/>
          <w:szCs w:val="24"/>
        </w:rPr>
        <w:t>capitalise</w:t>
      </w:r>
      <w:proofErr w:type="spellEnd"/>
      <w:r>
        <w:rPr>
          <w:rFonts w:ascii="Times New Roman" w:hAnsi="Times New Roman"/>
          <w:sz w:val="24"/>
          <w:szCs w:val="24"/>
        </w:rPr>
        <w:t xml:space="preserve"> on its special resources by deciding on prudent strategic decisions for capital structure </w:t>
      </w:r>
      <w:proofErr w:type="spellStart"/>
      <w:r>
        <w:rPr>
          <w:rFonts w:ascii="Times New Roman" w:hAnsi="Times New Roman"/>
          <w:sz w:val="24"/>
          <w:szCs w:val="24"/>
        </w:rPr>
        <w:t>optimisation</w:t>
      </w:r>
      <w:proofErr w:type="spellEnd"/>
      <w:r>
        <w:rPr>
          <w:rFonts w:ascii="Times New Roman" w:hAnsi="Times New Roman"/>
          <w:sz w:val="24"/>
          <w:szCs w:val="24"/>
        </w:rPr>
        <w:t xml:space="preserve"> taking account of unique financial instruments, human capital, and technological skills. </w:t>
      </w:r>
    </w:p>
    <w:p w14:paraId="037275D2"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According to the RBV theory, Tata Steel can take this strategy into account for better structuring its human capital, physical assets and technological skills to gain maximum access to capital structure. The completion of this task can be achieved by blending different references. This may be achieved through earmarking the utilization of resources for the realization of Tata Steel's strategic plans and the market dynamics. This will lead to competitive advantage, sustainable operations, and </w:t>
      </w:r>
      <w:proofErr w:type="gramStart"/>
      <w:r>
        <w:rPr>
          <w:rFonts w:ascii="Times New Roman" w:hAnsi="Times New Roman"/>
          <w:sz w:val="24"/>
          <w:szCs w:val="24"/>
        </w:rPr>
        <w:t>long term</w:t>
      </w:r>
      <w:proofErr w:type="gramEnd"/>
      <w:r>
        <w:rPr>
          <w:rFonts w:ascii="Times New Roman" w:hAnsi="Times New Roman"/>
          <w:sz w:val="24"/>
          <w:szCs w:val="24"/>
        </w:rPr>
        <w:t xml:space="preserve"> success in the steel industry. To fully explain the role of Tata Steel's unique resource endowments, which include physical resources, human capital, and intellectual capital, on the decisions related to capital structure of the company and its general performance. The presented examples give valuable suggestions how to manage a resource and by what means business can be </w:t>
      </w:r>
      <w:proofErr w:type="gramStart"/>
      <w:r>
        <w:rPr>
          <w:rFonts w:ascii="Times New Roman" w:hAnsi="Times New Roman"/>
          <w:sz w:val="24"/>
          <w:szCs w:val="24"/>
        </w:rPr>
        <w:t>performed.(</w:t>
      </w:r>
      <w:proofErr w:type="gramEnd"/>
      <w:r>
        <w:rPr>
          <w:rFonts w:ascii="Times New Roman" w:hAnsi="Times New Roman"/>
          <w:sz w:val="24"/>
          <w:szCs w:val="24"/>
        </w:rPr>
        <w:t xml:space="preserve">Sirmon and Hitt, 2003; Crook </w:t>
      </w:r>
      <w:r>
        <w:rPr>
          <w:rFonts w:ascii="Times New Roman" w:hAnsi="Times New Roman"/>
          <w:i/>
          <w:iCs/>
          <w:sz w:val="24"/>
          <w:szCs w:val="24"/>
        </w:rPr>
        <w:t>et al.</w:t>
      </w:r>
      <w:r>
        <w:rPr>
          <w:rFonts w:ascii="Times New Roman" w:hAnsi="Times New Roman"/>
          <w:sz w:val="24"/>
          <w:szCs w:val="24"/>
        </w:rPr>
        <w:t xml:space="preserve">, 2011).  Sirmon and Hitt (2003) explores the resource management issues in family businesses, demonstrating the key influence of resource leveraging on the enterprise. It can be said that Tata Steel holds many tangible assets, including factories, mines, and infrastructural provisions, which are the principal contributions that may shape the company’s financial structure choice. Properly employing these assets as tangible resources to a large extent will reflect on the company’s financial leverage and result in better performance.  Crook </w:t>
      </w:r>
      <w:r>
        <w:rPr>
          <w:rFonts w:ascii="Times New Roman" w:hAnsi="Times New Roman"/>
          <w:i/>
          <w:iCs/>
          <w:sz w:val="24"/>
          <w:szCs w:val="24"/>
        </w:rPr>
        <w:t>et al.</w:t>
      </w:r>
      <w:r>
        <w:rPr>
          <w:rFonts w:ascii="Times New Roman" w:hAnsi="Times New Roman"/>
          <w:sz w:val="24"/>
          <w:szCs w:val="24"/>
        </w:rPr>
        <w:t xml:space="preserve"> </w:t>
      </w:r>
      <w:r>
        <w:rPr>
          <w:rFonts w:ascii="Times New Roman" w:hAnsi="Times New Roman"/>
          <w:sz w:val="24"/>
          <w:szCs w:val="24"/>
        </w:rPr>
        <w:lastRenderedPageBreak/>
        <w:t xml:space="preserve">(2011) investigates the influence between human capital and company performance. A skilled and a competent </w:t>
      </w:r>
      <w:proofErr w:type="spellStart"/>
      <w:r>
        <w:rPr>
          <w:rFonts w:ascii="Times New Roman" w:hAnsi="Times New Roman"/>
          <w:sz w:val="24"/>
          <w:szCs w:val="24"/>
        </w:rPr>
        <w:t>labour</w:t>
      </w:r>
      <w:proofErr w:type="spellEnd"/>
      <w:r>
        <w:rPr>
          <w:rFonts w:ascii="Times New Roman" w:hAnsi="Times New Roman"/>
          <w:sz w:val="24"/>
          <w:szCs w:val="24"/>
        </w:rPr>
        <w:t xml:space="preserve"> force of Tata Steel is the invaluable human resource asset with their specialized skills, knowledge and experience. Tata Steel is able to make the best use of its capital structure decisions and improve its performance by devoting more money to schemes to build and maintain its firm-specific human capital and to tie those activities with strategic objectives. The investigation work by Mata, Fuerst and Barney (1995) evaluates the extent to which information technology is a source of a competitive advantage, using the RBV perspective. Tata Steel has significant non-tangible assets in the form of knowledge properties, which encompasses its unique technology and processes. Through technology application and intellectual property rights, companies may train their decisions in capital structure, stimulate innovation and bring about better profitability. Tata Steel will relocate the economic decisions of the capital structure through the effective allocation and use of their physical possessions, human resources, and intellectual property obtained with the use of this literature. Tata Steel could strengthen its competitive advantage, effectively deliver sustainable performance and succeed in the </w:t>
      </w:r>
      <w:proofErr w:type="gramStart"/>
      <w:r>
        <w:rPr>
          <w:rFonts w:ascii="Times New Roman" w:hAnsi="Times New Roman"/>
          <w:sz w:val="24"/>
          <w:szCs w:val="24"/>
        </w:rPr>
        <w:t>long term</w:t>
      </w:r>
      <w:proofErr w:type="gramEnd"/>
      <w:r>
        <w:rPr>
          <w:rFonts w:ascii="Times New Roman" w:hAnsi="Times New Roman"/>
          <w:sz w:val="24"/>
          <w:szCs w:val="24"/>
        </w:rPr>
        <w:t xml:space="preserve"> steel industry by ensuring the resources they acquire are VRIN as far as possible (valuable, rare, inimitability, or non-substitutability).</w:t>
      </w:r>
    </w:p>
    <w:p w14:paraId="591EAC8A" w14:textId="77777777" w:rsidR="007F5874" w:rsidRDefault="007F5874"/>
    <w:p w14:paraId="08CE0D44"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4" w:name="_Toc14"/>
      <w:r>
        <w:rPr>
          <w:rFonts w:ascii="Times New Roman" w:hAnsi="Times New Roman"/>
          <w:b/>
          <w:bCs/>
          <w:color w:val="000000"/>
          <w:u w:color="000000"/>
        </w:rPr>
        <w:t>2.5. Industry-Specific Factors and Capital Structure Dynamics</w:t>
      </w:r>
      <w:bookmarkEnd w:id="14"/>
    </w:p>
    <w:p w14:paraId="63DFA917"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It is very important to know the precise aspects that affect the decisions on how a company finances its operations and how these decisions affect the overall performance of firms in the steel manufacturing sector. Rowley, Behrens and </w:t>
      </w:r>
      <w:proofErr w:type="spellStart"/>
      <w:r>
        <w:rPr>
          <w:rFonts w:ascii="Times New Roman" w:hAnsi="Times New Roman"/>
          <w:sz w:val="24"/>
          <w:szCs w:val="24"/>
        </w:rPr>
        <w:t>Krackhardt</w:t>
      </w:r>
      <w:proofErr w:type="spellEnd"/>
      <w:r>
        <w:rPr>
          <w:rFonts w:ascii="Times New Roman" w:hAnsi="Times New Roman"/>
          <w:sz w:val="24"/>
          <w:szCs w:val="24"/>
        </w:rPr>
        <w:t xml:space="preserve"> (2000) examined the effects of the steel industry that stems from governance systems, structural relations, and relational connections, with particular emphasis on the impact of governance systems. The study basically emphasizes effects of industry-specific factors, e.g. governance practices and alliances, on capital structure choices in the steel industry and, thereby, on the outcomes of firms. Kayo and Kimura (2011) focused on the sector-specific features that define the capital structure of organizations in particular and to the factors that impact the steel industry companies’ capital structure as an example. The analysis of debt, economics, and capital structure help to establish the basis of industry specific drivers and their impact on the organization's capital structure, which leads to the success of the organization. Goyal, </w:t>
      </w:r>
      <w:proofErr w:type="spellStart"/>
      <w:r>
        <w:rPr>
          <w:rFonts w:ascii="Times New Roman" w:hAnsi="Times New Roman"/>
          <w:sz w:val="24"/>
          <w:szCs w:val="24"/>
        </w:rPr>
        <w:t>Routroy</w:t>
      </w:r>
      <w:proofErr w:type="spellEnd"/>
      <w:r>
        <w:rPr>
          <w:rFonts w:ascii="Times New Roman" w:hAnsi="Times New Roman"/>
          <w:sz w:val="24"/>
          <w:szCs w:val="24"/>
        </w:rPr>
        <w:t xml:space="preserve"> and Singhal (2019) covers the challenges that lead to levels of sustainability in the steel manufacturing industry. To narrow down the scope, it focuses on how capital structure decisions are affected by current industry-specific conditions. This research analyzes how </w:t>
      </w:r>
      <w:r>
        <w:rPr>
          <w:rFonts w:ascii="Times New Roman" w:hAnsi="Times New Roman"/>
          <w:sz w:val="24"/>
          <w:szCs w:val="24"/>
        </w:rPr>
        <w:lastRenderedPageBreak/>
        <w:t>typical industry factors impact on the capital structure decisions and firm performances from the steel sector using intellectual capital disclosures, statistic of patent, and firm performance as an example.</w:t>
      </w:r>
    </w:p>
    <w:p w14:paraId="1666CAD3" w14:textId="77777777" w:rsidR="007F5874" w:rsidRDefault="0040279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Pal (2022) studies how capital structure impacts on the performance of companies especially in the Indian manufacturing sector where this paper looks at the steel industry. These findings shed light on the fact that the issues of the particular industry, e.g. legal, tax shield, and human capital, have a bearing on capital structure decision and ultimately business performance, in the case of steel manufacturing sector. Through synthesizing the information from a variety of sources, we may derive an in-depth level of knowledge on how industry-specific factors, governance structures, engagement and hierarchy components, and sustainability enablers affect the choice of capital structure and the performance of companies in the metallurgical sector. Such findings serve as important points of reference for steel companies, one of which is Tata Steel, in analyzing the different ways of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capital structure to get the desired performance and competitiveness in the steel industry. Titman and Wessels (1988) conducted a study on the factors that determine capital structure and discuss, in detail, the current inconsistent results found in relation to volatility and leverage. Such a study is expected to provide the valuable insight on how Tata Steel may strategically incorporate the industry fluctuations into its capital structure consideration and the assessment of possible effects of such decisions on the company performance in the whole. Campbell and Rogers (2018) deals with the capital structure instability issues in European countries, with main emphasis on the impacts of operating and investing on the volatility of the debt ratio. This research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to evaluate how Tata Steel as a company in capital intensive industry can make strategic choices for its capital structure with the intention to achieve better operational results, especially when it comes to in-sector volatility. </w:t>
      </w:r>
      <w:proofErr w:type="spellStart"/>
      <w:r>
        <w:rPr>
          <w:rFonts w:ascii="Times New Roman" w:eastAsia="Times New Roman" w:hAnsi="Times New Roman" w:cs="Times New Roman"/>
          <w:sz w:val="24"/>
          <w:szCs w:val="24"/>
        </w:rPr>
        <w:t>Dakua</w:t>
      </w:r>
      <w:proofErr w:type="spellEnd"/>
      <w:r>
        <w:rPr>
          <w:rFonts w:ascii="Times New Roman" w:eastAsia="Times New Roman" w:hAnsi="Times New Roman" w:cs="Times New Roman"/>
          <w:sz w:val="24"/>
          <w:szCs w:val="24"/>
        </w:rPr>
        <w:t xml:space="preserve"> (2018) investigates the issues that contribute to the size of the debt that the Indian steel industry has. Its framework centers around the connection between the determinants of capital structure and the degree of debt exploitation by firms. This study objective is to provide the company with information on key areas for industry-specific assessment, such as volatility and capital intensity, in order to establish the most appropriate capital structure alternatives, which will support their business objectives. Tata Steel is able to implement knowledge from these sources while assessing industry features, such as volatility, capital intensity, and competitiveness factors in order to build strategic capital structure plan. Learning about the influence of these factors on the choice of capital structure will help Tata Steel optimally use leverage, manage risks well, and enhance their performance in steel manufacturing sector.</w:t>
      </w:r>
    </w:p>
    <w:p w14:paraId="007FB09C" w14:textId="77777777" w:rsidR="007F5874" w:rsidRDefault="00402798">
      <w:pPr>
        <w:pStyle w:val="Heading2"/>
        <w:rPr>
          <w:rFonts w:ascii="Times New Roman" w:eastAsia="Times New Roman" w:hAnsi="Times New Roman" w:cs="Times New Roman"/>
          <w:b/>
          <w:bCs/>
          <w:color w:val="000000"/>
          <w:u w:color="000000"/>
        </w:rPr>
      </w:pPr>
      <w:bookmarkStart w:id="15" w:name="_Toc15"/>
      <w:r>
        <w:rPr>
          <w:rFonts w:ascii="Times New Roman" w:hAnsi="Times New Roman"/>
          <w:b/>
          <w:bCs/>
          <w:color w:val="000000"/>
          <w:u w:color="000000"/>
        </w:rPr>
        <w:lastRenderedPageBreak/>
        <w:t>2.6. Conceptual Framework</w:t>
      </w:r>
      <w:bookmarkEnd w:id="15"/>
    </w:p>
    <w:p w14:paraId="3DA70DBD" w14:textId="77777777" w:rsidR="007F5874" w:rsidRDefault="00402798">
      <w:pPr>
        <w:pStyle w:val="NormalWeb"/>
        <w:jc w:val="center"/>
      </w:pPr>
      <w:r>
        <w:rPr>
          <w:noProof/>
        </w:rPr>
        <w:drawing>
          <wp:inline distT="0" distB="0" distL="0" distR="0" wp14:anchorId="48557CCC" wp14:editId="12A1818B">
            <wp:extent cx="5020055" cy="2463501"/>
            <wp:effectExtent l="0" t="0" r="0" b="0"/>
            <wp:docPr id="1027" name="officeArt object" descr="C:\Users\Swathi\Downloads\Untitled Diagram (15).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officeArt object"/>
                    <pic:cNvPicPr/>
                  </pic:nvPicPr>
                  <pic:blipFill>
                    <a:blip r:embed="rId8" cstate="print"/>
                    <a:srcRect/>
                    <a:stretch/>
                  </pic:blipFill>
                  <pic:spPr>
                    <a:xfrm>
                      <a:off x="0" y="0"/>
                      <a:ext cx="5020055" cy="2463501"/>
                    </a:xfrm>
                    <a:prstGeom prst="rect">
                      <a:avLst/>
                    </a:prstGeom>
                    <a:ln>
                      <a:noFill/>
                    </a:ln>
                  </pic:spPr>
                </pic:pic>
              </a:graphicData>
            </a:graphic>
          </wp:inline>
        </w:drawing>
      </w:r>
    </w:p>
    <w:p w14:paraId="4CC6E6EC" w14:textId="77777777" w:rsidR="007F5874" w:rsidRDefault="00402798">
      <w:pPr>
        <w:pStyle w:val="NormalWeb"/>
        <w:jc w:val="center"/>
        <w:rPr>
          <w:i/>
          <w:iCs/>
          <w:sz w:val="20"/>
          <w:szCs w:val="20"/>
        </w:rPr>
      </w:pPr>
      <w:r>
        <w:rPr>
          <w:i/>
          <w:iCs/>
          <w:sz w:val="20"/>
          <w:szCs w:val="20"/>
        </w:rPr>
        <w:t>Figure 1: Conceptual Framework</w:t>
      </w:r>
    </w:p>
    <w:p w14:paraId="0595DA2F"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research aims to investigate the impact of capital structure on the financial performance of Tata Steel, a prominent steel corporation in India. The investigation is </w:t>
      </w:r>
      <w:proofErr w:type="spellStart"/>
      <w:r>
        <w:rPr>
          <w:rFonts w:ascii="Times New Roman" w:hAnsi="Times New Roman"/>
          <w:sz w:val="24"/>
          <w:szCs w:val="24"/>
        </w:rPr>
        <w:t>organised</w:t>
      </w:r>
      <w:proofErr w:type="spellEnd"/>
      <w:r>
        <w:rPr>
          <w:rFonts w:ascii="Times New Roman" w:hAnsi="Times New Roman"/>
          <w:sz w:val="24"/>
          <w:szCs w:val="24"/>
        </w:rPr>
        <w:t xml:space="preserve"> based on three main research objectives. Firstly, the study aims to examine the pattern of Tata Steel's capital structure by </w:t>
      </w:r>
      <w:proofErr w:type="spellStart"/>
      <w:r>
        <w:rPr>
          <w:rFonts w:ascii="Times New Roman" w:hAnsi="Times New Roman"/>
          <w:sz w:val="24"/>
          <w:szCs w:val="24"/>
        </w:rPr>
        <w:t>utilising</w:t>
      </w:r>
      <w:proofErr w:type="spellEnd"/>
      <w:r>
        <w:rPr>
          <w:rFonts w:ascii="Times New Roman" w:hAnsi="Times New Roman"/>
          <w:sz w:val="24"/>
          <w:szCs w:val="24"/>
        </w:rPr>
        <w:t xml:space="preserve"> relevant accounting ratios. This entails evaluating many financial metrics, including the debt-to-equity ratio, debt ratio, and other indicators, to comprehend the composition and changes in Tata Steel's capital structure throughout time.  Furthermore, the research aims to </w:t>
      </w:r>
      <w:proofErr w:type="spellStart"/>
      <w:r>
        <w:rPr>
          <w:rFonts w:ascii="Times New Roman" w:hAnsi="Times New Roman"/>
          <w:sz w:val="24"/>
          <w:szCs w:val="24"/>
        </w:rPr>
        <w:t>analyse</w:t>
      </w:r>
      <w:proofErr w:type="spellEnd"/>
      <w:r>
        <w:rPr>
          <w:rFonts w:ascii="Times New Roman" w:hAnsi="Times New Roman"/>
          <w:sz w:val="24"/>
          <w:szCs w:val="24"/>
        </w:rPr>
        <w:t xml:space="preserve"> the financial performance of Tata Steel by </w:t>
      </w:r>
      <w:proofErr w:type="spellStart"/>
      <w:r>
        <w:rPr>
          <w:rFonts w:ascii="Times New Roman" w:hAnsi="Times New Roman"/>
          <w:sz w:val="24"/>
          <w:szCs w:val="24"/>
        </w:rPr>
        <w:t>utilising</w:t>
      </w:r>
      <w:proofErr w:type="spellEnd"/>
      <w:r>
        <w:rPr>
          <w:rFonts w:ascii="Times New Roman" w:hAnsi="Times New Roman"/>
          <w:sz w:val="24"/>
          <w:szCs w:val="24"/>
        </w:rPr>
        <w:t xml:space="preserve"> appropriate accounting ratios. These ratios include indicators like as Return on Equity (ROE), Return on Assets (ROA), and profit margins, among other measurements. The study seeks to obtain insights into the company's overall financial health, efficiency, and profitability by </w:t>
      </w:r>
      <w:proofErr w:type="spellStart"/>
      <w:r>
        <w:rPr>
          <w:rFonts w:ascii="Times New Roman" w:hAnsi="Times New Roman"/>
          <w:sz w:val="24"/>
          <w:szCs w:val="24"/>
        </w:rPr>
        <w:t>analysing</w:t>
      </w:r>
      <w:proofErr w:type="spellEnd"/>
      <w:r>
        <w:rPr>
          <w:rFonts w:ascii="Times New Roman" w:hAnsi="Times New Roman"/>
          <w:sz w:val="24"/>
          <w:szCs w:val="24"/>
        </w:rPr>
        <w:t xml:space="preserve"> these variables. Finally, the research seeks to examine the influence of capital structure choices on Tata Steel's financial performance. This entails performing correlation analysis to determine any statistically significant associations between the capital structure measures and financial performance indicators. This analysis aims to clarify the impact of changes in Tata Steel's capital structure, such as variations in debt levels or equity financing, on its financial performance metrics.  To </w:t>
      </w:r>
      <w:proofErr w:type="spellStart"/>
      <w:r>
        <w:rPr>
          <w:rFonts w:ascii="Times New Roman" w:hAnsi="Times New Roman"/>
          <w:sz w:val="24"/>
          <w:szCs w:val="24"/>
        </w:rPr>
        <w:t>summarise</w:t>
      </w:r>
      <w:proofErr w:type="spellEnd"/>
      <w:r>
        <w:rPr>
          <w:rFonts w:ascii="Times New Roman" w:hAnsi="Times New Roman"/>
          <w:sz w:val="24"/>
          <w:szCs w:val="24"/>
        </w:rPr>
        <w:t xml:space="preserve">, the research study takes a methodical approach, starting with an evaluation of Tata Steel's capital structure trends using accounting ratios, and then </w:t>
      </w:r>
      <w:proofErr w:type="spellStart"/>
      <w:r>
        <w:rPr>
          <w:rFonts w:ascii="Times New Roman" w:hAnsi="Times New Roman"/>
          <w:sz w:val="24"/>
          <w:szCs w:val="24"/>
        </w:rPr>
        <w:t>analysing</w:t>
      </w:r>
      <w:proofErr w:type="spellEnd"/>
      <w:r>
        <w:rPr>
          <w:rFonts w:ascii="Times New Roman" w:hAnsi="Times New Roman"/>
          <w:sz w:val="24"/>
          <w:szCs w:val="24"/>
        </w:rPr>
        <w:t xml:space="preserve"> its financial performance using appropriate measures. The study concludes with an examination of the relationship between capital structure decisions and financial performance, with the goal of offering significant insights for stakeholders and decision-makers at Tata Steel and in the wider steel sector. </w:t>
      </w:r>
    </w:p>
    <w:p w14:paraId="60DFE682" w14:textId="77777777" w:rsidR="007F5874" w:rsidRDefault="007F5874"/>
    <w:p w14:paraId="089AF43A"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6" w:name="_Toc16"/>
      <w:r>
        <w:rPr>
          <w:rFonts w:ascii="Times New Roman" w:hAnsi="Times New Roman"/>
          <w:b/>
          <w:bCs/>
          <w:color w:val="000000"/>
          <w:u w:color="000000"/>
        </w:rPr>
        <w:lastRenderedPageBreak/>
        <w:t>2.7. Conclusion</w:t>
      </w:r>
      <w:bookmarkEnd w:id="16"/>
    </w:p>
    <w:p w14:paraId="3B98173C"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current body of research offers valuable insights into the correlation between capital structure and company success in different industries and circumstances. Nevertheless, there is a requirement for a concentrated examination that explicitly explores the factors that determine the capital structure and their influence on the financial performance of a prominent steel corporation such as Tata Steel. By focusing specifically on Tata Steel, this study can provide significant insights that are directly relevant to the steel industry, which possesses distinct characteristics in comparison to other industries. In order to address this research deficiency, the study can </w:t>
      </w:r>
      <w:proofErr w:type="spellStart"/>
      <w:r>
        <w:rPr>
          <w:rFonts w:ascii="Times New Roman" w:hAnsi="Times New Roman"/>
          <w:sz w:val="24"/>
          <w:szCs w:val="24"/>
        </w:rPr>
        <w:t>utilise</w:t>
      </w:r>
      <w:proofErr w:type="spellEnd"/>
      <w:r>
        <w:rPr>
          <w:rFonts w:ascii="Times New Roman" w:hAnsi="Times New Roman"/>
          <w:sz w:val="24"/>
          <w:szCs w:val="24"/>
        </w:rPr>
        <w:t xml:space="preserve"> existing research, such as the study conducted by Al‐Haddad </w:t>
      </w:r>
      <w:r>
        <w:rPr>
          <w:rFonts w:ascii="Times New Roman" w:hAnsi="Times New Roman"/>
          <w:i/>
          <w:iCs/>
          <w:sz w:val="24"/>
          <w:szCs w:val="24"/>
        </w:rPr>
        <w:t>et al.</w:t>
      </w:r>
      <w:r>
        <w:rPr>
          <w:rFonts w:ascii="Times New Roman" w:hAnsi="Times New Roman"/>
          <w:sz w:val="24"/>
          <w:szCs w:val="24"/>
        </w:rPr>
        <w:t xml:space="preserve"> (2023), which </w:t>
      </w:r>
      <w:proofErr w:type="spellStart"/>
      <w:r>
        <w:rPr>
          <w:rFonts w:ascii="Times New Roman" w:hAnsi="Times New Roman"/>
          <w:sz w:val="24"/>
          <w:szCs w:val="24"/>
        </w:rPr>
        <w:t>emphasises</w:t>
      </w:r>
      <w:proofErr w:type="spellEnd"/>
      <w:r>
        <w:rPr>
          <w:rFonts w:ascii="Times New Roman" w:hAnsi="Times New Roman"/>
          <w:sz w:val="24"/>
          <w:szCs w:val="24"/>
        </w:rPr>
        <w:t xml:space="preserve"> the detrimental effect of capital structure on the financial performance of family firms. Additionally, the study conducted by Pathak and Chandani (2021) investigates the correlation between capital structure and firm-specific factors in Indian companies. Furthermore, the research conducted by Ahmed and Afza (2019) highlights the significance of taking product market competitiveness into account when examining the connection between capital structure and company performance. This research might provide useful insights into the competitive dynamics within the steel sector.  By amalgamating various viewpoints and concentrating on Tata Steel, this research can enhance the current knowledge base by offering industry-specific discoveries that illuminate the influence of capital structure decisions on the financial performance of a prominent steel firm in India. </w:t>
      </w:r>
    </w:p>
    <w:p w14:paraId="54C01B2F" w14:textId="77777777" w:rsidR="007F5874" w:rsidRDefault="007F5874"/>
    <w:p w14:paraId="68DFB15D" w14:textId="77777777" w:rsidR="007F5874" w:rsidRDefault="007F5874"/>
    <w:p w14:paraId="68A42E13" w14:textId="77777777" w:rsidR="007F5874" w:rsidRDefault="007F5874"/>
    <w:p w14:paraId="7D888150" w14:textId="77777777" w:rsidR="007F5874" w:rsidRDefault="007F5874"/>
    <w:p w14:paraId="78D5E846" w14:textId="77777777" w:rsidR="007F5874" w:rsidRDefault="007F5874"/>
    <w:p w14:paraId="413CBC57" w14:textId="77777777" w:rsidR="007F5874" w:rsidRDefault="007F5874"/>
    <w:p w14:paraId="521239A2" w14:textId="77777777" w:rsidR="007F5874" w:rsidRDefault="007F5874"/>
    <w:p w14:paraId="2039E880" w14:textId="77777777" w:rsidR="007F5874" w:rsidRDefault="007F5874"/>
    <w:p w14:paraId="68993882" w14:textId="77777777" w:rsidR="007F5874" w:rsidRDefault="007F5874"/>
    <w:p w14:paraId="5919D467" w14:textId="77777777" w:rsidR="007F5874" w:rsidRDefault="007F5874"/>
    <w:p w14:paraId="4EF652F3" w14:textId="77777777" w:rsidR="007F5874" w:rsidRDefault="007F5874"/>
    <w:p w14:paraId="5AD924D1" w14:textId="77777777" w:rsidR="007F5874" w:rsidRDefault="007F5874"/>
    <w:p w14:paraId="57665F62" w14:textId="77777777" w:rsidR="007F5874" w:rsidRDefault="007F5874"/>
    <w:p w14:paraId="0D661D4E" w14:textId="77777777" w:rsidR="007F5874" w:rsidRDefault="007F5874"/>
    <w:p w14:paraId="217EDFA0" w14:textId="77777777" w:rsidR="007F5874" w:rsidRDefault="007F5874"/>
    <w:p w14:paraId="1B55D000" w14:textId="77777777" w:rsidR="007F5874" w:rsidRDefault="007F5874"/>
    <w:p w14:paraId="46193F6E" w14:textId="77777777" w:rsidR="007F5874" w:rsidRDefault="007F5874"/>
    <w:p w14:paraId="51A337FA" w14:textId="77777777" w:rsidR="007F5874" w:rsidRDefault="007F5874"/>
    <w:p w14:paraId="7DA74390" w14:textId="77777777" w:rsidR="007F5874" w:rsidRDefault="007F5874"/>
    <w:p w14:paraId="14D7F209" w14:textId="77777777" w:rsidR="007F5874" w:rsidRDefault="007F5874"/>
    <w:p w14:paraId="3B6D0D86" w14:textId="77777777" w:rsidR="007F5874" w:rsidRDefault="007F5874"/>
    <w:p w14:paraId="61ACA7BE" w14:textId="77777777" w:rsidR="007F5874" w:rsidRDefault="007F5874"/>
    <w:p w14:paraId="37AC0A9A" w14:textId="77777777" w:rsidR="007F5874" w:rsidRDefault="007F5874"/>
    <w:p w14:paraId="5E1F82F8" w14:textId="77777777" w:rsidR="007F5874" w:rsidRDefault="007F5874"/>
    <w:p w14:paraId="79F059CE" w14:textId="77777777" w:rsidR="007F5874" w:rsidRDefault="007F5874"/>
    <w:p w14:paraId="14B21B64" w14:textId="77777777" w:rsidR="007F5874" w:rsidRDefault="007F5874"/>
    <w:p w14:paraId="0FD18002" w14:textId="77777777" w:rsidR="007F5874" w:rsidRDefault="00402798">
      <w:pPr>
        <w:pStyle w:val="Heading1"/>
        <w:shd w:val="clear" w:color="auto" w:fill="E2EFD9"/>
        <w:jc w:val="center"/>
        <w:rPr>
          <w:rFonts w:ascii="Times New Roman" w:eastAsia="Times New Roman" w:hAnsi="Times New Roman" w:cs="Times New Roman"/>
          <w:b/>
          <w:bCs/>
          <w:color w:val="000000"/>
          <w:u w:color="000000"/>
        </w:rPr>
      </w:pPr>
      <w:bookmarkStart w:id="17" w:name="_Toc17"/>
      <w:r>
        <w:rPr>
          <w:rFonts w:ascii="Times New Roman" w:hAnsi="Times New Roman"/>
          <w:b/>
          <w:bCs/>
          <w:color w:val="000000"/>
          <w:u w:color="000000"/>
        </w:rPr>
        <w:t>CHAPTER 3: RESEARCH METHODOLOGY</w:t>
      </w:r>
      <w:bookmarkEnd w:id="17"/>
    </w:p>
    <w:p w14:paraId="73287470" w14:textId="77777777" w:rsidR="007F5874" w:rsidRDefault="007F5874"/>
    <w:p w14:paraId="7207D0DD"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8" w:name="_Toc18"/>
      <w:r>
        <w:rPr>
          <w:rFonts w:ascii="Times New Roman" w:hAnsi="Times New Roman"/>
          <w:b/>
          <w:bCs/>
          <w:color w:val="000000"/>
          <w:u w:color="000000"/>
        </w:rPr>
        <w:t xml:space="preserve">3.1. Introduction </w:t>
      </w:r>
      <w:bookmarkEnd w:id="18"/>
    </w:p>
    <w:p w14:paraId="30E4A8F2"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methodology chapter of this study describes the methodical technique used to examine the correlation between capital structure and firm performance, specifically focusing on Tata Steel as a case study. Based on the positivist paradigm, the research philosophy focuses on using empirical observation, objective measurement, and quantitative data analysis to objectively evaluate this relationship. The chapter explores the research philosophies and assumptions that underpin the study, as well as the selected research design, methodologies, and ethical considerations. The study intends to use a quantitative research design to </w:t>
      </w:r>
      <w:proofErr w:type="spellStart"/>
      <w:r>
        <w:rPr>
          <w:rFonts w:ascii="Times New Roman" w:hAnsi="Times New Roman"/>
          <w:sz w:val="24"/>
          <w:szCs w:val="24"/>
        </w:rPr>
        <w:t>analyse</w:t>
      </w:r>
      <w:proofErr w:type="spellEnd"/>
      <w:r>
        <w:rPr>
          <w:rFonts w:ascii="Times New Roman" w:hAnsi="Times New Roman"/>
          <w:sz w:val="24"/>
          <w:szCs w:val="24"/>
        </w:rPr>
        <w:t xml:space="preserve"> data collected from 2019 to 2023. The focus will be on Tata Steel's capital structure dynamics and how they affect financial performance metrics. Emphasis is placed on ethical issues to guarantee academic integrity and safeguard the privacy and confidentiality of all parties concerned.</w:t>
      </w:r>
    </w:p>
    <w:p w14:paraId="4F320CBA"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19" w:name="_Toc19"/>
      <w:r>
        <w:rPr>
          <w:rFonts w:ascii="Times New Roman" w:hAnsi="Times New Roman"/>
          <w:b/>
          <w:bCs/>
          <w:color w:val="000000"/>
          <w:u w:color="000000"/>
        </w:rPr>
        <w:t xml:space="preserve">3.2. Research Philosophies and Assumptions </w:t>
      </w:r>
      <w:bookmarkEnd w:id="19"/>
    </w:p>
    <w:p w14:paraId="4E1F19FB"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Positivist paradigm has a well-define structure which aids analysis of the intricate connection between the capital structure and the firm performance. Positivism helps us in analysis of the trend of Tata Steel's capital structure using accounting ratios and the method has been used as it involves empirical observation and objective measurement (Park, Konge </w:t>
      </w:r>
      <w:r>
        <w:rPr>
          <w:rFonts w:ascii="Times New Roman" w:hAnsi="Times New Roman"/>
          <w:sz w:val="24"/>
          <w:szCs w:val="24"/>
        </w:rPr>
        <w:lastRenderedPageBreak/>
        <w:t xml:space="preserve">and Artino Jr, 2020). Through the use of quantitative data analysis, researcher can do a precise and meaningful change analysis of the company's capital structure over time. This can give them a substantial insight into how financial decision-making processes of the company function. Moreover, the positivist approach to be able to measure Tata Steel’s financial performance through applicable accounting ratios is an effective technique. The facts and figures generated through the use of quantitative data and statistical analysis positivism helps to objectively measure different financial statistics reflecting the financial standing of Tata Steel. The use of a systematic and </w:t>
      </w:r>
      <w:proofErr w:type="gramStart"/>
      <w:r>
        <w:rPr>
          <w:rFonts w:ascii="Times New Roman" w:hAnsi="Times New Roman"/>
          <w:sz w:val="24"/>
          <w:szCs w:val="24"/>
        </w:rPr>
        <w:t>standards based</w:t>
      </w:r>
      <w:proofErr w:type="gramEnd"/>
      <w:r>
        <w:rPr>
          <w:rFonts w:ascii="Times New Roman" w:hAnsi="Times New Roman"/>
          <w:sz w:val="24"/>
          <w:szCs w:val="24"/>
        </w:rPr>
        <w:t xml:space="preserve"> approach by researchers allows to bring consistent and recurring patterns and emerging tendencies into the public space concerning Tata Steel financial performance indicators. Thus, placing all related information at their disposal empowers the administration to make informed decisions and well-reasoned strategies.</w:t>
      </w:r>
    </w:p>
    <w:p w14:paraId="1A3486EE"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Last but not the least, the positivist paradigm perspective, which focuses on the tangible causal factors that can be explained by evidence (</w:t>
      </w:r>
      <w:proofErr w:type="spellStart"/>
      <w:r>
        <w:rPr>
          <w:rFonts w:ascii="Times New Roman" w:hAnsi="Times New Roman"/>
          <w:sz w:val="24"/>
          <w:szCs w:val="24"/>
        </w:rPr>
        <w:t>Alharahsheh</w:t>
      </w:r>
      <w:proofErr w:type="spellEnd"/>
      <w:r>
        <w:rPr>
          <w:rFonts w:ascii="Times New Roman" w:hAnsi="Times New Roman"/>
          <w:sz w:val="24"/>
          <w:szCs w:val="24"/>
        </w:rPr>
        <w:t xml:space="preserve"> and Pius, 2020), is a very useful approach in analyzing the impact of capital structure decisions on Tata Steel's financial performance. Scholars have the option to employ </w:t>
      </w:r>
      <w:proofErr w:type="gramStart"/>
      <w:r>
        <w:rPr>
          <w:rFonts w:ascii="Times New Roman" w:hAnsi="Times New Roman"/>
          <w:sz w:val="24"/>
          <w:szCs w:val="24"/>
        </w:rPr>
        <w:t>a sophisticated qualitative research</w:t>
      </w:r>
      <w:proofErr w:type="gramEnd"/>
      <w:r>
        <w:rPr>
          <w:rFonts w:ascii="Times New Roman" w:hAnsi="Times New Roman"/>
          <w:sz w:val="24"/>
          <w:szCs w:val="24"/>
        </w:rPr>
        <w:t xml:space="preserve"> to show the connection between different capital structure related choices and financial metrics. This intensifies the understanding that is between capital structure decisions and the results of the companies in regards financial performance, and thus making it possible for the Tata Steel and its stakeholders to make better financial plans. Thus, positivism can be called the supreme philosophy to analyze complexities of capital structure and company performance in the case of Tata Steel only. First of all, the reliance on empirical observation, objective measurement, and quantitative data analysis in this method is obviously a good starting point to explore the intricate financial linkages. However, it is vital for the researchers to know that a single paradigm has a limited scope, and hence they ought to be ready to explore qualitative approaches, together with positivist methodologies, in order to attain a more encompassing understanding of Tata Steel's capital structure dynamics and their relationship with financial performance.</w:t>
      </w:r>
    </w:p>
    <w:p w14:paraId="6C291CA5"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0" w:name="_Toc20"/>
      <w:r>
        <w:rPr>
          <w:rFonts w:ascii="Times New Roman" w:hAnsi="Times New Roman"/>
          <w:b/>
          <w:bCs/>
          <w:color w:val="000000"/>
          <w:u w:color="000000"/>
        </w:rPr>
        <w:t xml:space="preserve">3.3. Research Design </w:t>
      </w:r>
      <w:bookmarkEnd w:id="20"/>
    </w:p>
    <w:p w14:paraId="003CCB06"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Quantitative research design is highly appropriate for the current study. Since the quantitative research design is made up to explore the numerical data (Fryer, Larson-Hall and Stewart, 2018), it thus become the appropriate methodology to achieve such objectives. This technique enables the scholars to precisely find the uniformities, tendencies and highs and lows </w:t>
      </w:r>
      <w:r>
        <w:rPr>
          <w:rFonts w:ascii="Times New Roman" w:hAnsi="Times New Roman"/>
          <w:sz w:val="24"/>
          <w:szCs w:val="24"/>
        </w:rPr>
        <w:lastRenderedPageBreak/>
        <w:t>in Tata Steel's capital. Moreover, using a quantitative research strategy makes it possible to carry out thorough and impartial analysis based on accounting ratios assessing the company's results. Researchers will be given a clear presentation of Tata Steel's financial health via financial indicators like profitability ratios, liquidity ratios, and leverage ratios. Through application of the statistical techniques the researchers can uncover correlations, causalities and patterns, which give the researchers some important information on how the performance of the company is evolving. As well as when examining the influence of the decisions related to capital structure of Tata Steel on the financial performance quantitative tools provide the clear method of finding the cause and effect. The Using the tools of regression analysis or other statistical methods to find the connection between variables related to capital structure with the financial performance metrics via expressing them in quantifiable terms. This makes it easy for a learner to know how capital structure does matters concerning the financial aspects of the company that may offer practical ideas for doing various decisions in the company. In short, the quantitative research approach is a great method for answering the complex interaction between Tata Steel’s capital structure and the company performance in its particular context. Numerical data analysis, statistical tools, and objective measurement are primary study objectives which align well with the study’s aims. However, from now on, researcher ought to think about the limitations of quantitative methodologies and expect they would also adopt qualitative methodologies to acquire a more comprehensive understanding of the phenomenon under study.</w:t>
      </w:r>
    </w:p>
    <w:p w14:paraId="37455A01"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1" w:name="_Toc21"/>
      <w:r>
        <w:rPr>
          <w:rFonts w:ascii="Times New Roman" w:hAnsi="Times New Roman"/>
          <w:b/>
          <w:bCs/>
          <w:color w:val="000000"/>
          <w:u w:color="000000"/>
        </w:rPr>
        <w:t xml:space="preserve">3.4. Research Approaches </w:t>
      </w:r>
      <w:bookmarkEnd w:id="21"/>
    </w:p>
    <w:p w14:paraId="7A9AB460"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present study is based on the positivist paradigm, which supports a methodical evaluation of quantitative data, in line with the purpose of objectively investigating the correlation between capital structure decisions and financial performance results. In order to accomplish this goal, the research employs a quantitative methodology, with the intention of obtaining numerical results from data gathered between the years 2019 and 2023. This methodology allows for a thorough comprehension of Tata Steel's capital structure dynamics and their influence on the company's financials.  The main approach to gathering data entails examining Tata Steel's yearly reports obtained from </w:t>
      </w:r>
      <w:proofErr w:type="spellStart"/>
      <w:r>
        <w:rPr>
          <w:rFonts w:ascii="Times New Roman" w:hAnsi="Times New Roman"/>
          <w:sz w:val="24"/>
          <w:szCs w:val="24"/>
        </w:rPr>
        <w:t>Moneycontrol</w:t>
      </w:r>
      <w:proofErr w:type="spellEnd"/>
      <w:r>
        <w:rPr>
          <w:rFonts w:ascii="Times New Roman" w:hAnsi="Times New Roman"/>
          <w:sz w:val="24"/>
          <w:szCs w:val="24"/>
        </w:rPr>
        <w:t xml:space="preserve">, a renowned financial database </w:t>
      </w:r>
      <w:proofErr w:type="spellStart"/>
      <w:r>
        <w:rPr>
          <w:rFonts w:ascii="Times New Roman" w:hAnsi="Times New Roman"/>
          <w:sz w:val="24"/>
          <w:szCs w:val="24"/>
        </w:rPr>
        <w:t>recognised</w:t>
      </w:r>
      <w:proofErr w:type="spellEnd"/>
      <w:r>
        <w:rPr>
          <w:rFonts w:ascii="Times New Roman" w:hAnsi="Times New Roman"/>
          <w:sz w:val="24"/>
          <w:szCs w:val="24"/>
        </w:rPr>
        <w:t xml:space="preserve"> for its reliable financial records. The chosen time period from 2019 to 2023 guarantees the incorporation of the most recent and pertinent data, enabling a succinct examination of capital structure trends and patterns, along with financial performance metrics. When examining Tata Steel's capital structure, the analysis concentrates on pertinent </w:t>
      </w:r>
      <w:r>
        <w:rPr>
          <w:rFonts w:ascii="Times New Roman" w:hAnsi="Times New Roman"/>
          <w:sz w:val="24"/>
          <w:szCs w:val="24"/>
        </w:rPr>
        <w:lastRenderedPageBreak/>
        <w:t xml:space="preserve">accounting parameters, like the </w:t>
      </w:r>
      <w:proofErr w:type="gramStart"/>
      <w:r>
        <w:rPr>
          <w:rFonts w:ascii="Times New Roman" w:hAnsi="Times New Roman"/>
          <w:sz w:val="24"/>
          <w:szCs w:val="24"/>
        </w:rPr>
        <w:t>debt to equity</w:t>
      </w:r>
      <w:proofErr w:type="gramEnd"/>
      <w:r>
        <w:rPr>
          <w:rFonts w:ascii="Times New Roman" w:hAnsi="Times New Roman"/>
          <w:sz w:val="24"/>
          <w:szCs w:val="24"/>
        </w:rPr>
        <w:t xml:space="preserve"> ratio and inventory turnover ratios, among others. These ratios act as numerical indicators of Tata Steel's debt levels and composition of capital structure, facilitating a comprehensive analysis of probable trends and swings in change.  Similarly, the financial performance of Tata Steel would be evaluated based on fundamental accounting rules like return on equity (ROE), return on assets (ROA), and profit margin. This assessment is to provide a comprehensive overview of Tata Steel's profitability, efficiency, and financial stability. Moreover, a correlation study will be performed to provide insights into the impact of Tata Steel's capital structure on its financial performance. The study aims to quantitatively determine the strength and direction of the relationship between capital structure ratios and financial performance ratios, using financial statements as the main data source. </w:t>
      </w:r>
    </w:p>
    <w:p w14:paraId="1C06B133" w14:textId="77777777" w:rsidR="007F5874" w:rsidRDefault="007F5874">
      <w:pPr>
        <w:spacing w:after="0" w:line="360" w:lineRule="auto"/>
        <w:jc w:val="both"/>
        <w:rPr>
          <w:rFonts w:ascii="Times New Roman" w:eastAsia="Times New Roman" w:hAnsi="Times New Roman" w:cs="Times New Roman"/>
          <w:sz w:val="24"/>
          <w:szCs w:val="24"/>
        </w:rPr>
      </w:pPr>
    </w:p>
    <w:p w14:paraId="47C8C1C7"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2" w:name="_Toc22"/>
      <w:r>
        <w:rPr>
          <w:rFonts w:ascii="Times New Roman" w:hAnsi="Times New Roman"/>
          <w:b/>
          <w:bCs/>
          <w:color w:val="000000"/>
          <w:u w:color="000000"/>
        </w:rPr>
        <w:t>3.5. Ethical Considerations</w:t>
      </w:r>
      <w:bookmarkEnd w:id="22"/>
    </w:p>
    <w:p w14:paraId="7BBEB75F" w14:textId="77777777" w:rsidR="007F5874" w:rsidRDefault="00402798">
      <w:pPr>
        <w:spacing w:after="0" w:line="360" w:lineRule="auto"/>
        <w:ind w:firstLine="360"/>
        <w:jc w:val="both"/>
        <w:rPr>
          <w:rFonts w:ascii="Times New Roman" w:eastAsia="Times New Roman" w:hAnsi="Times New Roman" w:cs="Times New Roman"/>
          <w:sz w:val="24"/>
          <w:szCs w:val="24"/>
        </w:rPr>
      </w:pPr>
      <w:r>
        <w:rPr>
          <w:rFonts w:ascii="Times New Roman" w:hAnsi="Times New Roman"/>
          <w:sz w:val="24"/>
          <w:szCs w:val="24"/>
        </w:rPr>
        <w:t xml:space="preserve">Ensuring ethical concerns is of utmost importance throughout the entire study. The study maintains academic integrity and intellectual honesty by giving priority to ethical ideals at all stages. This entails guaranteeing the appropriate attribution and referencing of all </w:t>
      </w:r>
      <w:proofErr w:type="spellStart"/>
      <w:r>
        <w:rPr>
          <w:rFonts w:ascii="Times New Roman" w:hAnsi="Times New Roman"/>
          <w:sz w:val="24"/>
          <w:szCs w:val="24"/>
        </w:rPr>
        <w:t>utilised</w:t>
      </w:r>
      <w:proofErr w:type="spellEnd"/>
      <w:r>
        <w:rPr>
          <w:rFonts w:ascii="Times New Roman" w:hAnsi="Times New Roman"/>
          <w:sz w:val="24"/>
          <w:szCs w:val="24"/>
        </w:rPr>
        <w:t xml:space="preserve"> sources, so demonstrating respect for the intellectual property rights of others. Furthermore, the research ensures transparency in both data collection methods and analytic procedures, offering explicit documentation of the research process to permit replication and verification by peers (Connelly, 2014).  Furthermore, stringent measures are implemented to ensure the protection of privacy and confidentiality for both individuals and </w:t>
      </w:r>
      <w:proofErr w:type="spellStart"/>
      <w:r>
        <w:rPr>
          <w:rFonts w:ascii="Times New Roman" w:hAnsi="Times New Roman"/>
          <w:sz w:val="24"/>
          <w:szCs w:val="24"/>
        </w:rPr>
        <w:t>organisations</w:t>
      </w:r>
      <w:proofErr w:type="spellEnd"/>
      <w:r>
        <w:rPr>
          <w:rFonts w:ascii="Times New Roman" w:hAnsi="Times New Roman"/>
          <w:sz w:val="24"/>
          <w:szCs w:val="24"/>
        </w:rPr>
        <w:t xml:space="preserve"> participating in the study, with a specific focus on Tata Steel. These measures are in place to prevent any </w:t>
      </w:r>
      <w:proofErr w:type="spellStart"/>
      <w:r>
        <w:rPr>
          <w:rFonts w:ascii="Times New Roman" w:hAnsi="Times New Roman"/>
          <w:sz w:val="24"/>
          <w:szCs w:val="24"/>
        </w:rPr>
        <w:t>unauthorised</w:t>
      </w:r>
      <w:proofErr w:type="spellEnd"/>
      <w:r>
        <w:rPr>
          <w:rFonts w:ascii="Times New Roman" w:hAnsi="Times New Roman"/>
          <w:sz w:val="24"/>
          <w:szCs w:val="24"/>
        </w:rPr>
        <w:t xml:space="preserve"> release of sensitive information. In addition, the research strictly follows ethical norms and regulations that regulate research activities, guaranteeing that all processes are carried out in a morally upright and accountable manner (</w:t>
      </w:r>
      <w:proofErr w:type="spellStart"/>
      <w:r>
        <w:rPr>
          <w:rFonts w:ascii="Times New Roman" w:hAnsi="Times New Roman"/>
          <w:sz w:val="24"/>
          <w:szCs w:val="24"/>
        </w:rPr>
        <w:t>Cacciattolo</w:t>
      </w:r>
      <w:proofErr w:type="spellEnd"/>
      <w:r>
        <w:rPr>
          <w:rFonts w:ascii="Times New Roman" w:hAnsi="Times New Roman"/>
          <w:sz w:val="24"/>
          <w:szCs w:val="24"/>
        </w:rPr>
        <w:t>, 2015). By adhering to these ethical principles, the study significantly enhances our comprehension of the correlation between capital structure and business performance, while also preserving the confidence and esteem of all parties involved.</w:t>
      </w:r>
    </w:p>
    <w:p w14:paraId="5E8DADAC"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3" w:name="_Toc23"/>
      <w:r>
        <w:rPr>
          <w:rFonts w:ascii="Times New Roman" w:hAnsi="Times New Roman"/>
          <w:b/>
          <w:bCs/>
          <w:color w:val="000000"/>
          <w:u w:color="000000"/>
        </w:rPr>
        <w:t xml:space="preserve">3.6. Conclusion </w:t>
      </w:r>
      <w:bookmarkEnd w:id="23"/>
    </w:p>
    <w:p w14:paraId="7C4C8A8E"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Overall, this methodology chapter </w:t>
      </w:r>
      <w:proofErr w:type="spellStart"/>
      <w:r>
        <w:rPr>
          <w:rFonts w:ascii="Times New Roman" w:hAnsi="Times New Roman"/>
          <w:sz w:val="24"/>
          <w:szCs w:val="24"/>
        </w:rPr>
        <w:t>emphasises</w:t>
      </w:r>
      <w:proofErr w:type="spellEnd"/>
      <w:r>
        <w:rPr>
          <w:rFonts w:ascii="Times New Roman" w:hAnsi="Times New Roman"/>
          <w:sz w:val="24"/>
          <w:szCs w:val="24"/>
        </w:rPr>
        <w:t xml:space="preserve"> the methodical and thorough approach used in this study to examine the correlation between capital structure and company performance, specifically in the case of Tata Steel. The research philosophy is based on the positivist paradigm and focuses on empirical observation, objective measurement, and quantitative data analysis. This approach is in line with the study's aims of objectively </w:t>
      </w:r>
      <w:r>
        <w:rPr>
          <w:rFonts w:ascii="Times New Roman" w:hAnsi="Times New Roman"/>
          <w:sz w:val="24"/>
          <w:szCs w:val="24"/>
        </w:rPr>
        <w:lastRenderedPageBreak/>
        <w:t xml:space="preserve">evaluating the relationship between capital structure decisions and financial performance outcomes. </w:t>
      </w:r>
      <w:proofErr w:type="spellStart"/>
      <w:r>
        <w:rPr>
          <w:rFonts w:ascii="Times New Roman" w:hAnsi="Times New Roman"/>
          <w:sz w:val="24"/>
          <w:szCs w:val="24"/>
        </w:rPr>
        <w:t>Utilising</w:t>
      </w:r>
      <w:proofErr w:type="spellEnd"/>
      <w:r>
        <w:rPr>
          <w:rFonts w:ascii="Times New Roman" w:hAnsi="Times New Roman"/>
          <w:sz w:val="24"/>
          <w:szCs w:val="24"/>
        </w:rPr>
        <w:t xml:space="preserve"> a quantitative research strategy allows for accurate examination of numerical data, enabling researchers to detect patterns, trends, and correlations in Tata Steel's financial indicators. Moreover, the research method places a high importance on ethical issues, guaranteeing academic integrity, intellectual honesty, and the safeguarding of privacy and confidentiality for all those involved. This study seeks to enhance our comprehension of the intricate relationship between capital structure and business success by following ethical principles and </w:t>
      </w:r>
      <w:proofErr w:type="spellStart"/>
      <w:r>
        <w:rPr>
          <w:rFonts w:ascii="Times New Roman" w:hAnsi="Times New Roman"/>
          <w:sz w:val="24"/>
          <w:szCs w:val="24"/>
        </w:rPr>
        <w:t>utilising</w:t>
      </w:r>
      <w:proofErr w:type="spellEnd"/>
      <w:r>
        <w:rPr>
          <w:rFonts w:ascii="Times New Roman" w:hAnsi="Times New Roman"/>
          <w:sz w:val="24"/>
          <w:szCs w:val="24"/>
        </w:rPr>
        <w:t xml:space="preserve"> rigorous quantitative approaches. It also </w:t>
      </w:r>
      <w:proofErr w:type="spellStart"/>
      <w:r>
        <w:rPr>
          <w:rFonts w:ascii="Times New Roman" w:hAnsi="Times New Roman"/>
          <w:sz w:val="24"/>
          <w:szCs w:val="24"/>
        </w:rPr>
        <w:t>prioritises</w:t>
      </w:r>
      <w:proofErr w:type="spellEnd"/>
      <w:r>
        <w:rPr>
          <w:rFonts w:ascii="Times New Roman" w:hAnsi="Times New Roman"/>
          <w:sz w:val="24"/>
          <w:szCs w:val="24"/>
        </w:rPr>
        <w:t xml:space="preserve"> maintaining the utmost standards of research integrity.</w:t>
      </w:r>
    </w:p>
    <w:p w14:paraId="1F6C5915" w14:textId="77777777" w:rsidR="007F5874" w:rsidRDefault="007F5874"/>
    <w:p w14:paraId="1AA238E6" w14:textId="77777777" w:rsidR="007F5874" w:rsidRDefault="007F5874"/>
    <w:p w14:paraId="5C6D80DB" w14:textId="77777777" w:rsidR="007F5874" w:rsidRDefault="007F5874"/>
    <w:p w14:paraId="6FF53F53" w14:textId="77777777" w:rsidR="007F5874" w:rsidRDefault="007F5874"/>
    <w:p w14:paraId="2E8B5754" w14:textId="77777777" w:rsidR="007F5874" w:rsidRDefault="007F5874"/>
    <w:p w14:paraId="32A1F4E1" w14:textId="77777777" w:rsidR="007F5874" w:rsidRDefault="007F5874"/>
    <w:p w14:paraId="0A3C1A88" w14:textId="77777777" w:rsidR="007F5874" w:rsidRDefault="00402798">
      <w:pPr>
        <w:pStyle w:val="Heading1"/>
        <w:shd w:val="clear" w:color="auto" w:fill="E2EFD9"/>
        <w:jc w:val="center"/>
        <w:rPr>
          <w:rFonts w:ascii="Times New Roman" w:eastAsia="Times New Roman" w:hAnsi="Times New Roman" w:cs="Times New Roman"/>
          <w:b/>
          <w:bCs/>
          <w:color w:val="000000"/>
          <w:u w:color="000000"/>
        </w:rPr>
      </w:pPr>
      <w:bookmarkStart w:id="24" w:name="_Toc24"/>
      <w:r>
        <w:rPr>
          <w:rFonts w:ascii="Times New Roman" w:hAnsi="Times New Roman"/>
          <w:b/>
          <w:bCs/>
          <w:color w:val="000000"/>
          <w:u w:color="000000"/>
        </w:rPr>
        <w:t>Chapter 4: RESULTS, ANALYSIS AND DISCUSSION</w:t>
      </w:r>
      <w:bookmarkEnd w:id="24"/>
    </w:p>
    <w:p w14:paraId="3ED28F20" w14:textId="77777777" w:rsidR="007F5874" w:rsidRDefault="007F5874">
      <w:pPr>
        <w:pStyle w:val="Heading2"/>
        <w:spacing w:line="360" w:lineRule="auto"/>
        <w:rPr>
          <w:rFonts w:ascii="Times New Roman" w:eastAsia="Times New Roman" w:hAnsi="Times New Roman" w:cs="Times New Roman"/>
          <w:b/>
          <w:bCs/>
          <w:color w:val="000000"/>
          <w:u w:color="000000"/>
        </w:rPr>
      </w:pPr>
    </w:p>
    <w:p w14:paraId="2EC98F8D"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5" w:name="_Toc25"/>
      <w:r>
        <w:rPr>
          <w:rFonts w:ascii="Times New Roman" w:hAnsi="Times New Roman"/>
          <w:b/>
          <w:bCs/>
          <w:color w:val="000000"/>
          <w:u w:color="000000"/>
        </w:rPr>
        <w:t>4.1. Summary</w:t>
      </w:r>
      <w:bookmarkEnd w:id="25"/>
    </w:p>
    <w:p w14:paraId="0594CE4C" w14:textId="77777777" w:rsidR="007F5874" w:rsidRDefault="00402798">
      <w:pPr>
        <w:spacing w:after="24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In the analysis of several financial ratios to study the capital structure position of the Tata steel, such as the current ratio (CR), total debt/equity ratio, quick ratio (QR), inventory turnover ratio (ITR), and dividend payout ratio (DPR), it can be inferred that Tata Steel's capital structure has experienced significant changes and difficulties in the last five years. The current ratio, which measures the company's ability to meet short-term obligations, has shown volatility, suggesting different levels of liquidity and dependence on short-term funding. This indicates possible challenges in handling immediate financial responsibilities and </w:t>
      </w:r>
      <w:proofErr w:type="spellStart"/>
      <w:r>
        <w:rPr>
          <w:rFonts w:ascii="Times New Roman" w:hAnsi="Times New Roman"/>
          <w:sz w:val="24"/>
          <w:szCs w:val="24"/>
        </w:rPr>
        <w:t>emphasises</w:t>
      </w:r>
      <w:proofErr w:type="spellEnd"/>
      <w:r>
        <w:rPr>
          <w:rFonts w:ascii="Times New Roman" w:hAnsi="Times New Roman"/>
          <w:sz w:val="24"/>
          <w:szCs w:val="24"/>
        </w:rPr>
        <w:t xml:space="preserve"> the importance of adopting a well-rounded strategy for funding. Similarly, the overall debt-to-equity ratio exhibits variations, reflecting shifts in the company's level of borrowing and risk exposure. A greater ratio indicates elevated financial risk, whilst a lower ratio signifies a more cautious approach to managing debt. The quick ratio, which measures liquidity without including inventory, has experienced considerable fluctuations, affecting the company's capacity to fulfil short-term obligations and effectively manage working capital. Moreover, the inventory turnover ratio serves as an indicator of improvements or declines in the efficiency of managing inventory, which subsequently impacts the capital structure and the requirement for </w:t>
      </w:r>
      <w:r>
        <w:rPr>
          <w:rFonts w:ascii="Times New Roman" w:hAnsi="Times New Roman"/>
          <w:sz w:val="24"/>
          <w:szCs w:val="24"/>
        </w:rPr>
        <w:lastRenderedPageBreak/>
        <w:t xml:space="preserve">external financing. Finally, the dividend payout ratio highlights the company's approach to distributing dividends, which in turn affects decisions regarding retained earnings and capital structure. Tata Steel's capital structure is shaped by several factors, such as managing liquidity, </w:t>
      </w:r>
      <w:proofErr w:type="spellStart"/>
      <w:r>
        <w:rPr>
          <w:rFonts w:ascii="Times New Roman" w:hAnsi="Times New Roman"/>
          <w:sz w:val="24"/>
          <w:szCs w:val="24"/>
        </w:rPr>
        <w:t>utilising</w:t>
      </w:r>
      <w:proofErr w:type="spellEnd"/>
      <w:r>
        <w:rPr>
          <w:rFonts w:ascii="Times New Roman" w:hAnsi="Times New Roman"/>
          <w:sz w:val="24"/>
          <w:szCs w:val="24"/>
        </w:rPr>
        <w:t xml:space="preserve"> debt, </w:t>
      </w:r>
      <w:proofErr w:type="spellStart"/>
      <w:r>
        <w:rPr>
          <w:rFonts w:ascii="Times New Roman" w:hAnsi="Times New Roman"/>
          <w:sz w:val="24"/>
          <w:szCs w:val="24"/>
        </w:rPr>
        <w:t>optimising</w:t>
      </w:r>
      <w:proofErr w:type="spellEnd"/>
      <w:r>
        <w:rPr>
          <w:rFonts w:ascii="Times New Roman" w:hAnsi="Times New Roman"/>
          <w:sz w:val="24"/>
          <w:szCs w:val="24"/>
        </w:rPr>
        <w:t xml:space="preserve"> inventory, and implementing dividend policies. This highlights the significance of adopting a well-balanced and strategic approach to financial management for long-term sustainability and resilience. </w:t>
      </w:r>
    </w:p>
    <w:p w14:paraId="38BAE452"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After </w:t>
      </w:r>
      <w:proofErr w:type="spellStart"/>
      <w:r>
        <w:rPr>
          <w:rFonts w:ascii="Times New Roman" w:hAnsi="Times New Roman"/>
          <w:sz w:val="24"/>
          <w:szCs w:val="24"/>
        </w:rPr>
        <w:t>analysing</w:t>
      </w:r>
      <w:proofErr w:type="spellEnd"/>
      <w:r>
        <w:rPr>
          <w:rFonts w:ascii="Times New Roman" w:hAnsi="Times New Roman"/>
          <w:sz w:val="24"/>
          <w:szCs w:val="24"/>
        </w:rPr>
        <w:t xml:space="preserve"> multiple financial performance indicators, such as net profit margin (NPM), return on equity (ROE), return on assets (ROA), and return on capital employed (ROCE), it can be inferred that Tata Steel has encountered fluctuations in its financial performance in the last five years. The net profit margin, which indicates the company's level of profitability, has exhibited fluctuations, reaching its peak in 2022 and its nadir in 2023. Despite the variations, Tata Steel has consistently maintained a </w:t>
      </w:r>
      <w:proofErr w:type="spellStart"/>
      <w:r>
        <w:rPr>
          <w:rFonts w:ascii="Times New Roman" w:hAnsi="Times New Roman"/>
          <w:sz w:val="24"/>
          <w:szCs w:val="24"/>
        </w:rPr>
        <w:t>favourable</w:t>
      </w:r>
      <w:proofErr w:type="spellEnd"/>
      <w:r>
        <w:rPr>
          <w:rFonts w:ascii="Times New Roman" w:hAnsi="Times New Roman"/>
          <w:sz w:val="24"/>
          <w:szCs w:val="24"/>
        </w:rPr>
        <w:t xml:space="preserve"> net profit margin, demonstrating its capacity to produce money from its economic </w:t>
      </w:r>
      <w:proofErr w:type="spellStart"/>
      <w:r>
        <w:rPr>
          <w:rFonts w:ascii="Times New Roman" w:hAnsi="Times New Roman"/>
          <w:sz w:val="24"/>
          <w:szCs w:val="24"/>
        </w:rPr>
        <w:t>endeavours</w:t>
      </w:r>
      <w:proofErr w:type="spellEnd"/>
      <w:r>
        <w:rPr>
          <w:rFonts w:ascii="Times New Roman" w:hAnsi="Times New Roman"/>
          <w:sz w:val="24"/>
          <w:szCs w:val="24"/>
        </w:rPr>
        <w:t xml:space="preserve">. Similarly, the return on equity has shown fluctuations, reaching its highest points in 2022 and 2021, indicating effective use of shareholder capital to generate profits. Nevertheless, there were instances of downturns, notably in 2020, which </w:t>
      </w:r>
      <w:proofErr w:type="spellStart"/>
      <w:r>
        <w:rPr>
          <w:rFonts w:ascii="Times New Roman" w:hAnsi="Times New Roman"/>
          <w:sz w:val="24"/>
          <w:szCs w:val="24"/>
        </w:rPr>
        <w:t>signalled</w:t>
      </w:r>
      <w:proofErr w:type="spellEnd"/>
      <w:r>
        <w:rPr>
          <w:rFonts w:ascii="Times New Roman" w:hAnsi="Times New Roman"/>
          <w:sz w:val="24"/>
          <w:szCs w:val="24"/>
        </w:rPr>
        <w:t xml:space="preserve"> difficulties in achieving profitability and </w:t>
      </w:r>
      <w:proofErr w:type="spellStart"/>
      <w:r>
        <w:rPr>
          <w:rFonts w:ascii="Times New Roman" w:hAnsi="Times New Roman"/>
          <w:sz w:val="24"/>
          <w:szCs w:val="24"/>
        </w:rPr>
        <w:t>optimising</w:t>
      </w:r>
      <w:proofErr w:type="spellEnd"/>
      <w:r>
        <w:rPr>
          <w:rFonts w:ascii="Times New Roman" w:hAnsi="Times New Roman"/>
          <w:sz w:val="24"/>
          <w:szCs w:val="24"/>
        </w:rPr>
        <w:t xml:space="preserve"> asset </w:t>
      </w:r>
      <w:proofErr w:type="spellStart"/>
      <w:r>
        <w:rPr>
          <w:rFonts w:ascii="Times New Roman" w:hAnsi="Times New Roman"/>
          <w:sz w:val="24"/>
          <w:szCs w:val="24"/>
        </w:rPr>
        <w:t>utilisation</w:t>
      </w:r>
      <w:proofErr w:type="spellEnd"/>
      <w:r>
        <w:rPr>
          <w:rFonts w:ascii="Times New Roman" w:hAnsi="Times New Roman"/>
          <w:sz w:val="24"/>
          <w:szCs w:val="24"/>
        </w:rPr>
        <w:t xml:space="preserve">. The return on assets has also varied, with greater values reflecting improved </w:t>
      </w:r>
      <w:proofErr w:type="spellStart"/>
      <w:r>
        <w:rPr>
          <w:rFonts w:ascii="Times New Roman" w:hAnsi="Times New Roman"/>
          <w:sz w:val="24"/>
          <w:szCs w:val="24"/>
        </w:rPr>
        <w:t>utilisation</w:t>
      </w:r>
      <w:proofErr w:type="spellEnd"/>
      <w:r>
        <w:rPr>
          <w:rFonts w:ascii="Times New Roman" w:hAnsi="Times New Roman"/>
          <w:sz w:val="24"/>
          <w:szCs w:val="24"/>
        </w:rPr>
        <w:t xml:space="preserve"> and profitability of assets. The return on capital employed has exhibited fluctuations, reaching its peak in 2022 and its nadir in 2020, so indicating shifts in both profitability and capital efficiency. Tata Steel has shown resilience and adaptability in its financial performance, successfully navigating market dynamics. It has experienced periods of strong profitability and efficiency, but has also faced challenges that require strategic decision-making and resource management to maintain shareholder value and financial success.</w:t>
      </w:r>
    </w:p>
    <w:p w14:paraId="74D5E5CB"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correlation analysis reveals noteworthy associations between Tata Steel Ltd.'s capital structure and financial performance. There is a clear and significant relationship between the current ratio (CR) and all financial performance metrics, highlighting the need to retain sufficient liquidity in order to enhance profitability and efficiency. Moreover, there is a significant and positive relationship between the total debt/equity ratio and financial performance metrics, highlighting the importance of responsible debt management in improving profitability. The quick ratio (QR) and inventory turnover ratio (ITR) are both related to certain financial indicators, such as profitability and asset efficiency, but their effects differ. Effective inventory management has been proven to have a substantial impact on both profitability and asset performance. These findings </w:t>
      </w:r>
      <w:proofErr w:type="spellStart"/>
      <w:r>
        <w:rPr>
          <w:rFonts w:ascii="Times New Roman" w:hAnsi="Times New Roman"/>
          <w:sz w:val="24"/>
          <w:szCs w:val="24"/>
        </w:rPr>
        <w:t>emphasise</w:t>
      </w:r>
      <w:proofErr w:type="spellEnd"/>
      <w:r>
        <w:rPr>
          <w:rFonts w:ascii="Times New Roman" w:hAnsi="Times New Roman"/>
          <w:sz w:val="24"/>
          <w:szCs w:val="24"/>
        </w:rPr>
        <w:t xml:space="preserve"> the need of Tata Steel </w:t>
      </w:r>
      <w:r>
        <w:rPr>
          <w:rFonts w:ascii="Times New Roman" w:hAnsi="Times New Roman"/>
          <w:sz w:val="24"/>
          <w:szCs w:val="24"/>
        </w:rPr>
        <w:lastRenderedPageBreak/>
        <w:t xml:space="preserve">maintaining a balance between liquidity, leverage, and asset management in order to </w:t>
      </w:r>
      <w:proofErr w:type="spellStart"/>
      <w:r>
        <w:rPr>
          <w:rFonts w:ascii="Times New Roman" w:hAnsi="Times New Roman"/>
          <w:sz w:val="24"/>
          <w:szCs w:val="24"/>
        </w:rPr>
        <w:t>maximise</w:t>
      </w:r>
      <w:proofErr w:type="spellEnd"/>
      <w:r>
        <w:rPr>
          <w:rFonts w:ascii="Times New Roman" w:hAnsi="Times New Roman"/>
          <w:sz w:val="24"/>
          <w:szCs w:val="24"/>
        </w:rPr>
        <w:t xml:space="preserve"> financial performance and ensure long-term sustainability.</w:t>
      </w:r>
    </w:p>
    <w:p w14:paraId="4CDD8BF0" w14:textId="77777777" w:rsidR="007F5874" w:rsidRDefault="00402798">
      <w:pPr>
        <w:pStyle w:val="Heading2"/>
        <w:spacing w:line="360" w:lineRule="auto"/>
        <w:jc w:val="both"/>
        <w:rPr>
          <w:rFonts w:ascii="Times New Roman" w:eastAsia="Times New Roman" w:hAnsi="Times New Roman" w:cs="Times New Roman"/>
          <w:b/>
          <w:bCs/>
          <w:color w:val="000000"/>
          <w:u w:color="000000"/>
        </w:rPr>
      </w:pPr>
      <w:bookmarkStart w:id="26" w:name="_Toc26"/>
      <w:r>
        <w:rPr>
          <w:rFonts w:ascii="Times New Roman" w:hAnsi="Times New Roman"/>
          <w:b/>
          <w:bCs/>
          <w:color w:val="000000"/>
          <w:u w:color="000000"/>
        </w:rPr>
        <w:t xml:space="preserve">4.2. Analysis of Capital Structure of the Tata Steel Ltd. </w:t>
      </w:r>
      <w:bookmarkEnd w:id="26"/>
    </w:p>
    <w:p w14:paraId="6A4E654E" w14:textId="77777777" w:rsidR="007F5874" w:rsidRDefault="00402798">
      <w:pPr>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 following ratios are used to assess the capital structure position of Tata Steel Ltd. </w:t>
      </w:r>
    </w:p>
    <w:p w14:paraId="5C91497C"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4.2.1. Current ratio (CR)</w:t>
      </w:r>
    </w:p>
    <w:p w14:paraId="4CBD065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current ratio is a liquidity measure that is typically used to evaluate a company's capacity to pay its short-term obligations by comparing its current assets to its current liabilities.  Data analysis shows that Tata Steel's current ratio has gone through a number of changes over the years, suggesting liquidity levels at different time periods. Last year, the 2023 ratio increased marginally to 0.73 from the prior year’s 0.58 and hence, it may be concluded that there was some moderate improvement in the short-term solvency of the company. Tata Steel, on the other hand, recorded a contraction of liquidity after a considerable reduction in 2022, thus raising concerns regarding the stability of its cash management. 2021 also had a comparatively satisfactory value of a healthy ratio of 0.97 not too far from the optimal threshold which is 1. On the other hand, it fell to 0.65 in 2020, which may reflect the fact that the financial institutions faced substantial financial problems. In 2019, there was a slight rise compared to 2018, but the ratio was still below one, demonstrating persistent issues with our country’s fulfillment of its immediate obligations. The fact that Tata Steel's current ratio does change may thus indicate its adjustment to the changes in capital structure dynamics. A longstanding current ratio issues signals that a business is too dependent on short-term funding in order to satisfy short-term financial demands, implying a capital structure that relies heavily on short-term loans. This vulnerability can be triggered by a lot of different factors such as active investment strategies, operational deficiencies, and the inability to access the long-term funding. It is indeed significant for the firm to deal with urgent financial obligations but to maintain a balance between short-term and long-term finance is also crucial, which leads to long-term growth and stability. Therefore, the current trend in ratios throughout the last five years indicates that Tata Steel is having problems adequately keeping a lot of liquidity. In other words, the company can be financially structured in such a way that it may be utilizing short-term financing as a part of its financial scheme. However, businesses might experience liquidity fluctuations. Nevertheless, this fact goes to show that the watchful monitoring of short-term liabilities is a must. Nevertheless, a deep analysis of Tata Steel's capital structure can be explained with the help of some supplementary ratios, as well as qualitative data that can give a more complete view of the financial health of the company.</w:t>
      </w:r>
    </w:p>
    <w:p w14:paraId="0AA83D53"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lastRenderedPageBreak/>
        <w:t>Table 1: Current ratio</w:t>
      </w:r>
    </w:p>
    <w:tbl>
      <w:tblPr>
        <w:tblW w:w="931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497"/>
        <w:gridCol w:w="763"/>
        <w:gridCol w:w="763"/>
        <w:gridCol w:w="763"/>
        <w:gridCol w:w="763"/>
        <w:gridCol w:w="763"/>
      </w:tblGrid>
      <w:tr w:rsidR="007F5874" w14:paraId="5C192F30"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73456234" w14:textId="77777777" w:rsidR="007F5874" w:rsidRDefault="00402798">
            <w:r>
              <w:rPr>
                <w:rFonts w:ascii="Times New Roman" w:hAnsi="Times New Roman"/>
                <w:b/>
                <w:bCs/>
                <w:sz w:val="24"/>
                <w:szCs w:val="24"/>
              </w:rPr>
              <w:t>Years</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47D568EA" w14:textId="77777777" w:rsidR="007F5874" w:rsidRDefault="00402798">
            <w:pPr>
              <w:spacing w:after="0" w:line="240" w:lineRule="auto"/>
              <w:jc w:val="center"/>
            </w:pPr>
            <w:r>
              <w:rPr>
                <w:rFonts w:ascii="Times New Roman" w:hAnsi="Times New Roman"/>
                <w:b/>
                <w:bCs/>
                <w:sz w:val="24"/>
                <w:szCs w:val="24"/>
              </w:rPr>
              <w:t>2023</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126B4F1"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4F87CE2"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BDBC330" w14:textId="77777777" w:rsidR="007F5874" w:rsidRDefault="00402798">
            <w:pPr>
              <w:spacing w:after="0" w:line="240" w:lineRule="auto"/>
              <w:jc w:val="center"/>
            </w:pPr>
            <w:r>
              <w:rPr>
                <w:rFonts w:ascii="Times New Roman" w:hAnsi="Times New Roman"/>
                <w:b/>
                <w:bCs/>
                <w:sz w:val="24"/>
                <w:szCs w:val="24"/>
              </w:rPr>
              <w:t>2020</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8DC0784" w14:textId="77777777" w:rsidR="007F5874" w:rsidRDefault="00402798">
            <w:pPr>
              <w:spacing w:after="0" w:line="240" w:lineRule="auto"/>
              <w:jc w:val="center"/>
            </w:pPr>
            <w:r>
              <w:rPr>
                <w:rFonts w:ascii="Times New Roman" w:hAnsi="Times New Roman"/>
                <w:b/>
                <w:bCs/>
                <w:sz w:val="24"/>
                <w:szCs w:val="24"/>
              </w:rPr>
              <w:t>2019</w:t>
            </w:r>
          </w:p>
        </w:tc>
      </w:tr>
      <w:tr w:rsidR="007F5874" w14:paraId="77491C98"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4D343547" w14:textId="77777777" w:rsidR="007F5874" w:rsidRDefault="00402798">
            <w:pPr>
              <w:spacing w:after="0" w:line="240" w:lineRule="auto"/>
            </w:pPr>
            <w:r>
              <w:rPr>
                <w:rFonts w:ascii="Times New Roman" w:hAnsi="Times New Roman"/>
                <w:b/>
                <w:bCs/>
                <w:sz w:val="24"/>
                <w:szCs w:val="24"/>
              </w:rPr>
              <w:t>Current ratio</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ECD3C2" w14:textId="77777777" w:rsidR="007F5874" w:rsidRDefault="00402798">
            <w:pPr>
              <w:spacing w:after="0" w:line="240" w:lineRule="auto"/>
              <w:jc w:val="center"/>
            </w:pPr>
            <w:r>
              <w:rPr>
                <w:rFonts w:ascii="Times New Roman" w:hAnsi="Times New Roman"/>
                <w:color w:val="333333"/>
                <w:sz w:val="24"/>
                <w:szCs w:val="24"/>
                <w:u w:color="333333"/>
              </w:rPr>
              <w:t>0.73</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84BA0E" w14:textId="77777777" w:rsidR="007F5874" w:rsidRDefault="00402798">
            <w:pPr>
              <w:spacing w:after="0" w:line="240" w:lineRule="auto"/>
              <w:jc w:val="center"/>
            </w:pPr>
            <w:r>
              <w:rPr>
                <w:rFonts w:ascii="Times New Roman" w:hAnsi="Times New Roman"/>
                <w:color w:val="333333"/>
                <w:sz w:val="24"/>
                <w:szCs w:val="24"/>
                <w:u w:color="333333"/>
              </w:rPr>
              <w:t>0.58</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E2793C" w14:textId="77777777" w:rsidR="007F5874" w:rsidRDefault="00402798">
            <w:pPr>
              <w:spacing w:after="0" w:line="240" w:lineRule="auto"/>
              <w:jc w:val="center"/>
            </w:pPr>
            <w:r>
              <w:rPr>
                <w:rFonts w:ascii="Times New Roman" w:hAnsi="Times New Roman"/>
                <w:color w:val="333333"/>
                <w:sz w:val="24"/>
                <w:szCs w:val="24"/>
                <w:u w:color="333333"/>
              </w:rPr>
              <w:t>0.97</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51DDF2" w14:textId="77777777" w:rsidR="007F5874" w:rsidRDefault="00402798">
            <w:pPr>
              <w:spacing w:after="0" w:line="240" w:lineRule="auto"/>
              <w:jc w:val="center"/>
            </w:pPr>
            <w:r>
              <w:rPr>
                <w:rFonts w:ascii="Times New Roman" w:hAnsi="Times New Roman"/>
                <w:color w:val="333333"/>
                <w:sz w:val="24"/>
                <w:szCs w:val="24"/>
                <w:u w:color="333333"/>
              </w:rPr>
              <w:t>0.65</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BC5D04" w14:textId="77777777" w:rsidR="007F5874" w:rsidRDefault="00402798">
            <w:pPr>
              <w:spacing w:after="0" w:line="240" w:lineRule="auto"/>
              <w:jc w:val="center"/>
            </w:pPr>
            <w:r>
              <w:rPr>
                <w:rFonts w:ascii="Times New Roman" w:hAnsi="Times New Roman"/>
                <w:color w:val="333333"/>
                <w:sz w:val="24"/>
                <w:szCs w:val="24"/>
                <w:u w:color="333333"/>
              </w:rPr>
              <w:t>0.67</w:t>
            </w:r>
          </w:p>
        </w:tc>
      </w:tr>
    </w:tbl>
    <w:p w14:paraId="4ADAF19F"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4C744B16" w14:textId="77777777" w:rsidR="007F5874" w:rsidRDefault="007F5874"/>
    <w:p w14:paraId="24715B2B"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1: Current ratio</w:t>
      </w:r>
    </w:p>
    <w:p w14:paraId="2BC341BC" w14:textId="77777777" w:rsidR="007F5874" w:rsidRDefault="00402798">
      <w:pPr>
        <w:jc w:val="center"/>
      </w:pPr>
      <w:r>
        <w:rPr>
          <w:noProof/>
        </w:rPr>
        <w:drawing>
          <wp:inline distT="0" distB="0" distL="114300" distR="114300" wp14:anchorId="58F36665" wp14:editId="0CAC13AD">
            <wp:extent cx="4669531" cy="2742278"/>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BD9D37" w14:textId="77777777" w:rsidR="007F5874" w:rsidRDefault="007F5874">
      <w:pPr>
        <w:jc w:val="center"/>
      </w:pPr>
    </w:p>
    <w:p w14:paraId="1145319B"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4.2.2. Total Debt/Equity</w:t>
      </w:r>
    </w:p>
    <w:p w14:paraId="268CCD12"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total debt/equity ratio measures the degree of financial leverage a company uses to manage its capital structure by comparing its total debt to shareholders' equity. It is understood that a higher debt-to-equity ratio means having more debt and therefore bigger financial risks. The lower ratio demonstrates a more researched capital structure with less debt. Through the observation of the data, it can be easily seen that the Total Debt/Equity Ratio of Tata Steel has variations over the five years studied, suggesting vast changes in the company capitalization structure. In 2023, the debt-to-equity ratio is 0.28, and the company has, therefore, debt 28 cents for every dollar of equity. This suggests a moderate level of debt, from which parts of the fundings are coming from equity. While this ratio is consistent in relation to the previous year, it shows a cautious and even accounting method towards government debt financing. While by the end of 2022 Total Debt/Equity ratio had decreased to 0.26, this was still within the range of decreasing financial leverage compared to the previous year. This affects the decision-making concerning more conservative debt management strategies or more investments in </w:t>
      </w:r>
      <w:r>
        <w:rPr>
          <w:rFonts w:ascii="Times New Roman" w:hAnsi="Times New Roman"/>
          <w:sz w:val="24"/>
          <w:szCs w:val="24"/>
        </w:rPr>
        <w:lastRenderedPageBreak/>
        <w:t>equity. To be frank, in the year of 2021, the ratio went up to 0.34, meaning a further dependence on the debt financing as against the equity one. This might be a sign of strategic taking of loans to facilitate growth or expansion but the same time reveals an adverse possibility of financial burden. In the year 2020, there was an extraordinary increase in the Total Debt/Equity ratio of 0.53, which indicates a significant rise in debt from the Equity. This, in turn, shows that the forceful borrowing of funds can be used for big projects that need a huge amount of capital allocations or simply to avert the moment of difficulties financially. Increased debt/equity ratio could be interpreted as lowered financial resilience of Tata Steel and lead to concerns about its ability to cope with debt repayments during difficult economic conditions and industry weather-related instabilities. Nevertheless, in 2019 the ratio fell to 0.38, which shows that the financial leverage marginally decreased as compared to 2018. This implies, however, the effort to repay the debt or change the source of funding to sale of stocks, thus, stabilizing the financial rate or increasing financial flexibility.</w:t>
      </w:r>
    </w:p>
    <w:p w14:paraId="02A3E324"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Therefore, Tata Steel's Total Debt/Equity ratios which have fluctuated over the last five years demonstrate the way management tries to balance its capital structure and the level of leverage. The lower capitalization ratios mean a conservative approach to lower debt whilst the higher capitalization ratios illustrate higher debt dependence and, consequently, more financial risk. The firm’s debt management has fluctuated between conservative and aggressive approaches which further reinforces the importance of debt management policy and maintaining a stable and balanced financial structure to create long-term financial sustainability and resilience.</w:t>
      </w:r>
    </w:p>
    <w:p w14:paraId="644D8703" w14:textId="77777777" w:rsidR="007F5874" w:rsidRDefault="007F5874">
      <w:pPr>
        <w:spacing w:line="360" w:lineRule="auto"/>
        <w:jc w:val="both"/>
        <w:rPr>
          <w:rFonts w:ascii="Times New Roman" w:eastAsia="Times New Roman" w:hAnsi="Times New Roman" w:cs="Times New Roman"/>
          <w:sz w:val="24"/>
          <w:szCs w:val="24"/>
        </w:rPr>
      </w:pPr>
    </w:p>
    <w:p w14:paraId="0D415B02"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2: Total Debt/Equity</w:t>
      </w:r>
    </w:p>
    <w:tbl>
      <w:tblPr>
        <w:tblW w:w="931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497"/>
        <w:gridCol w:w="763"/>
        <w:gridCol w:w="763"/>
        <w:gridCol w:w="763"/>
        <w:gridCol w:w="763"/>
        <w:gridCol w:w="763"/>
      </w:tblGrid>
      <w:tr w:rsidR="007F5874" w14:paraId="4ED3F732"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1F4D08D6" w14:textId="77777777" w:rsidR="007F5874" w:rsidRDefault="00402798">
            <w:r>
              <w:rPr>
                <w:rFonts w:ascii="Times New Roman" w:hAnsi="Times New Roman"/>
                <w:b/>
                <w:bCs/>
                <w:sz w:val="24"/>
                <w:szCs w:val="24"/>
              </w:rPr>
              <w:t>Years</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958BA8E" w14:textId="77777777" w:rsidR="007F5874" w:rsidRDefault="00402798">
            <w:pPr>
              <w:spacing w:after="0" w:line="240" w:lineRule="auto"/>
              <w:jc w:val="center"/>
            </w:pPr>
            <w:r>
              <w:rPr>
                <w:rFonts w:ascii="Times New Roman" w:hAnsi="Times New Roman"/>
                <w:b/>
                <w:bCs/>
                <w:sz w:val="24"/>
                <w:szCs w:val="24"/>
              </w:rPr>
              <w:t>2023</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0BF9B800"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06148662"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C7421C9" w14:textId="77777777" w:rsidR="007F5874" w:rsidRDefault="00402798">
            <w:pPr>
              <w:spacing w:after="0" w:line="240" w:lineRule="auto"/>
              <w:jc w:val="center"/>
            </w:pPr>
            <w:r>
              <w:rPr>
                <w:rFonts w:ascii="Times New Roman" w:hAnsi="Times New Roman"/>
                <w:b/>
                <w:bCs/>
                <w:sz w:val="24"/>
                <w:szCs w:val="24"/>
              </w:rPr>
              <w:t>2020</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E410118" w14:textId="77777777" w:rsidR="007F5874" w:rsidRDefault="00402798">
            <w:pPr>
              <w:spacing w:after="0" w:line="240" w:lineRule="auto"/>
              <w:jc w:val="center"/>
            </w:pPr>
            <w:r>
              <w:rPr>
                <w:rFonts w:ascii="Times New Roman" w:hAnsi="Times New Roman"/>
                <w:b/>
                <w:bCs/>
                <w:sz w:val="24"/>
                <w:szCs w:val="24"/>
              </w:rPr>
              <w:t>2019</w:t>
            </w:r>
          </w:p>
        </w:tc>
      </w:tr>
      <w:tr w:rsidR="007F5874" w14:paraId="7841A974"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34BF0E35" w14:textId="77777777" w:rsidR="007F5874" w:rsidRDefault="00402798">
            <w:pPr>
              <w:spacing w:after="0" w:line="240" w:lineRule="auto"/>
            </w:pPr>
            <w:r>
              <w:rPr>
                <w:rFonts w:ascii="Times New Roman" w:hAnsi="Times New Roman"/>
                <w:b/>
                <w:bCs/>
                <w:sz w:val="24"/>
                <w:szCs w:val="24"/>
              </w:rPr>
              <w:t>Total Debt/Equity</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0E750" w14:textId="77777777" w:rsidR="007F5874" w:rsidRDefault="00402798">
            <w:pPr>
              <w:spacing w:after="0" w:line="240" w:lineRule="auto"/>
              <w:jc w:val="center"/>
            </w:pPr>
            <w:r>
              <w:rPr>
                <w:rFonts w:ascii="Times New Roman" w:hAnsi="Times New Roman"/>
                <w:color w:val="333333"/>
                <w:sz w:val="24"/>
                <w:szCs w:val="24"/>
                <w:u w:color="333333"/>
              </w:rPr>
              <w:t>0.28</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6BCA7" w14:textId="77777777" w:rsidR="007F5874" w:rsidRDefault="00402798">
            <w:pPr>
              <w:spacing w:after="0" w:line="240" w:lineRule="auto"/>
              <w:jc w:val="center"/>
            </w:pPr>
            <w:r>
              <w:rPr>
                <w:rFonts w:ascii="Times New Roman" w:hAnsi="Times New Roman"/>
                <w:color w:val="333333"/>
                <w:sz w:val="24"/>
                <w:szCs w:val="24"/>
                <w:u w:color="333333"/>
              </w:rPr>
              <w:t>0.26</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055A5" w14:textId="77777777" w:rsidR="007F5874" w:rsidRDefault="00402798">
            <w:pPr>
              <w:spacing w:after="0" w:line="240" w:lineRule="auto"/>
              <w:jc w:val="center"/>
            </w:pPr>
            <w:r>
              <w:rPr>
                <w:rFonts w:ascii="Times New Roman" w:hAnsi="Times New Roman"/>
                <w:color w:val="333333"/>
                <w:sz w:val="24"/>
                <w:szCs w:val="24"/>
                <w:u w:color="333333"/>
              </w:rPr>
              <w:t>0.34</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261E6" w14:textId="77777777" w:rsidR="007F5874" w:rsidRDefault="00402798">
            <w:pPr>
              <w:spacing w:after="0" w:line="240" w:lineRule="auto"/>
              <w:jc w:val="center"/>
            </w:pPr>
            <w:r>
              <w:rPr>
                <w:rFonts w:ascii="Times New Roman" w:hAnsi="Times New Roman"/>
                <w:color w:val="333333"/>
                <w:sz w:val="24"/>
                <w:szCs w:val="24"/>
                <w:u w:color="333333"/>
              </w:rPr>
              <w:t>0.53</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528EEC" w14:textId="77777777" w:rsidR="007F5874" w:rsidRDefault="00402798">
            <w:pPr>
              <w:spacing w:after="0" w:line="240" w:lineRule="auto"/>
              <w:jc w:val="center"/>
            </w:pPr>
            <w:r>
              <w:rPr>
                <w:rFonts w:ascii="Times New Roman" w:hAnsi="Times New Roman"/>
                <w:color w:val="333333"/>
                <w:sz w:val="24"/>
                <w:szCs w:val="24"/>
                <w:u w:color="333333"/>
              </w:rPr>
              <w:t>0.38</w:t>
            </w:r>
          </w:p>
        </w:tc>
      </w:tr>
    </w:tbl>
    <w:p w14:paraId="0A0ED06A"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755E1CFD" w14:textId="77777777" w:rsidR="007F5874" w:rsidRDefault="007F5874">
      <w:pPr>
        <w:rPr>
          <w:rFonts w:ascii="Times New Roman" w:eastAsia="Times New Roman" w:hAnsi="Times New Roman" w:cs="Times New Roman"/>
          <w:b/>
          <w:bCs/>
          <w:sz w:val="24"/>
          <w:szCs w:val="24"/>
        </w:rPr>
      </w:pPr>
    </w:p>
    <w:p w14:paraId="368B15BD"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2: Total Debt/Equity</w:t>
      </w:r>
    </w:p>
    <w:p w14:paraId="10CDC902" w14:textId="77777777" w:rsidR="007F5874" w:rsidRDefault="00402798">
      <w:pPr>
        <w:jc w:val="center"/>
      </w:pPr>
      <w:r>
        <w:rPr>
          <w:noProof/>
        </w:rPr>
        <w:lastRenderedPageBreak/>
        <w:drawing>
          <wp:inline distT="0" distB="0" distL="114300" distR="114300" wp14:anchorId="407B854D" wp14:editId="5DB5B051">
            <wp:extent cx="4669531" cy="2742278"/>
            <wp:effectExtent l="0" t="0" r="0" b="0"/>
            <wp:docPr id="103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A500EE" w14:textId="77777777" w:rsidR="007F5874" w:rsidRDefault="007F5874">
      <w:pPr>
        <w:rPr>
          <w:rFonts w:ascii="Times New Roman" w:eastAsia="Times New Roman" w:hAnsi="Times New Roman" w:cs="Times New Roman"/>
          <w:b/>
          <w:bCs/>
          <w:sz w:val="24"/>
          <w:szCs w:val="24"/>
        </w:rPr>
      </w:pPr>
    </w:p>
    <w:p w14:paraId="722194EE"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4.2.3. Quick ratio (QR)</w:t>
      </w:r>
    </w:p>
    <w:p w14:paraId="0D5B72F0"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Quick ratio, also known as the Acid-test ratio, describes a company’s capability to pay for its short-term obligations from the most immediately available assets, typically inventory is excluded. In this case, a higher Quick ratio implies a better liquidity position for the firm, which could enable it to pay its short-term obligations effortlessly. When </w:t>
      </w:r>
      <w:proofErr w:type="spellStart"/>
      <w:r>
        <w:rPr>
          <w:rFonts w:ascii="Times New Roman" w:hAnsi="Times New Roman"/>
          <w:sz w:val="24"/>
          <w:szCs w:val="24"/>
        </w:rPr>
        <w:t>scrutinise</w:t>
      </w:r>
      <w:proofErr w:type="spellEnd"/>
      <w:r>
        <w:rPr>
          <w:rFonts w:ascii="Times New Roman" w:hAnsi="Times New Roman"/>
          <w:sz w:val="24"/>
          <w:szCs w:val="24"/>
        </w:rPr>
        <w:t xml:space="preserve"> the data, it is clear that Tata Steel's Acid-test ratio has varied from the trough to the peak in the five-year period. These fluctuations demonstrate whether the company is liquid or not, thus meaning that the capital structure of the company might also be affected in a way. The quick ratio of Tata Steel is 0.28 in 2023, which indicates that there are 0.28 units of the company's highly liquid assets available for every 1 unit of short-term liabilities. This signifies an unexpectedly low liquidity position in comparison to past years which may be a red flag to institutional investors that the company might be unable to pay short-term obligations without invoking accounts receivable. The Quick ratio as of 2022 is 0.21 which implies that the company’s liquidity has been decreasing when compared to last year’s value. A drop in the Quick ratio may indicate a compromise in the quick transformation of assets into cash, which may affect Tata Steel's capability of active responds to unpredictable financial obligations or entrepreneurial opportunities. Such a dip in cash flow may prompt the review of the firm's cash management policy and the implementation of liquidity risk mitigations. Even though in 2021 the Quick ratio is in the range of 0.55, this can be interpreted as an indication of improved liquidity strength. Such data points to the fact that Tata Steel has enhanced its ability of timely short-term debt repayment with the help of its assets that are quickly accessible, be it through </w:t>
      </w:r>
      <w:r>
        <w:rPr>
          <w:rFonts w:ascii="Times New Roman" w:hAnsi="Times New Roman"/>
          <w:sz w:val="24"/>
          <w:szCs w:val="24"/>
        </w:rPr>
        <w:lastRenderedPageBreak/>
        <w:t xml:space="preserve">effective cash management or paying short-term liabilities in advance. An increased Owners' &amp; Creditors' Quick ratio is likely to promote financial strength and flexibility which will, in turn, make the business more resilient in terms of </w:t>
      </w:r>
      <w:proofErr w:type="gramStart"/>
      <w:r>
        <w:rPr>
          <w:rFonts w:ascii="Times New Roman" w:hAnsi="Times New Roman"/>
          <w:sz w:val="24"/>
          <w:szCs w:val="24"/>
        </w:rPr>
        <w:t>it</w:t>
      </w:r>
      <w:proofErr w:type="gramEnd"/>
      <w:r>
        <w:rPr>
          <w:rFonts w:ascii="Times New Roman" w:hAnsi="Times New Roman"/>
          <w:sz w:val="24"/>
          <w:szCs w:val="24"/>
        </w:rPr>
        <w:t xml:space="preserve"> capital structure. Quick ratio in 2020 marginally dropped to 0.30 compared to the previous year, indicating a scarce liquidity level. While the liquidity level, at 0.26, is still above the threshold of 0.25 which is perceived as optimal, the decline should however be monitored closely to make certain that Tata Steel LLC enjoys sufficient liquidity as it deals with the adverse market conditions and operational problems. In the year 2019, the Quick ratio is at 0.23, showing a slight improvement highlighted by the last year. This suggests an ongoing attempt to run the liquidity both in the short term and </w:t>
      </w:r>
      <w:proofErr w:type="gramStart"/>
      <w:r>
        <w:rPr>
          <w:rFonts w:ascii="Times New Roman" w:hAnsi="Times New Roman"/>
          <w:sz w:val="24"/>
          <w:szCs w:val="24"/>
        </w:rPr>
        <w:t>long term</w:t>
      </w:r>
      <w:proofErr w:type="gramEnd"/>
      <w:r>
        <w:rPr>
          <w:rFonts w:ascii="Times New Roman" w:hAnsi="Times New Roman"/>
          <w:sz w:val="24"/>
          <w:szCs w:val="24"/>
        </w:rPr>
        <w:t xml:space="preserve"> figures in Tata Steel's capital framework.</w:t>
      </w:r>
    </w:p>
    <w:p w14:paraId="08551A10"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Broadly speaking, the changes in Tata Steel's Quick Ratio during the past five years can be seen as consequences of the fluctuations that were happening to the company at this level, which can affect its capital structure. The implementation of liquidity-improving measures, as has been the case in the year 2021, can therefore lead to increased financial resilience and strengthened capital structures. On the contrary, a drop in the levels of liquidity may mean that there is a problem that needs to be addressed, such as an inability of management to properly manage working capital or a dependence on short-term financing. In order to ensure the management of its capital structure and to respond to uncertainties in the business environment, Tata Steel must take into consideration a range between liquidity, profitability, and leverage.</w:t>
      </w:r>
    </w:p>
    <w:p w14:paraId="43D5861E" w14:textId="77777777" w:rsidR="007F5874" w:rsidRDefault="007F5874">
      <w:pPr>
        <w:spacing w:line="360" w:lineRule="auto"/>
        <w:ind w:firstLine="720"/>
        <w:jc w:val="both"/>
        <w:rPr>
          <w:rFonts w:ascii="Times New Roman" w:eastAsia="Times New Roman" w:hAnsi="Times New Roman" w:cs="Times New Roman"/>
          <w:sz w:val="24"/>
          <w:szCs w:val="24"/>
        </w:rPr>
      </w:pPr>
    </w:p>
    <w:p w14:paraId="7187107A" w14:textId="77777777" w:rsidR="007F5874" w:rsidRDefault="007F5874">
      <w:pPr>
        <w:spacing w:line="360" w:lineRule="auto"/>
        <w:ind w:firstLine="720"/>
        <w:jc w:val="both"/>
        <w:rPr>
          <w:rFonts w:ascii="Times New Roman" w:eastAsia="Times New Roman" w:hAnsi="Times New Roman" w:cs="Times New Roman"/>
          <w:sz w:val="24"/>
          <w:szCs w:val="24"/>
        </w:rPr>
      </w:pPr>
    </w:p>
    <w:p w14:paraId="65900185" w14:textId="77777777" w:rsidR="007F5874" w:rsidRDefault="007F5874">
      <w:pPr>
        <w:spacing w:line="360" w:lineRule="auto"/>
        <w:ind w:firstLine="720"/>
        <w:jc w:val="both"/>
        <w:rPr>
          <w:rFonts w:ascii="Times New Roman" w:eastAsia="Times New Roman" w:hAnsi="Times New Roman" w:cs="Times New Roman"/>
          <w:sz w:val="24"/>
          <w:szCs w:val="24"/>
        </w:rPr>
      </w:pPr>
    </w:p>
    <w:p w14:paraId="6097260E"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3: Quick ratio</w:t>
      </w:r>
    </w:p>
    <w:tbl>
      <w:tblPr>
        <w:tblW w:w="931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497"/>
        <w:gridCol w:w="763"/>
        <w:gridCol w:w="763"/>
        <w:gridCol w:w="763"/>
        <w:gridCol w:w="763"/>
        <w:gridCol w:w="763"/>
      </w:tblGrid>
      <w:tr w:rsidR="007F5874" w14:paraId="59D016A7"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219BBFA7" w14:textId="77777777" w:rsidR="007F5874" w:rsidRDefault="00402798">
            <w:r>
              <w:rPr>
                <w:rFonts w:ascii="Times New Roman" w:hAnsi="Times New Roman"/>
                <w:b/>
                <w:bCs/>
                <w:sz w:val="24"/>
                <w:szCs w:val="24"/>
              </w:rPr>
              <w:t>Years</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F1437F7" w14:textId="77777777" w:rsidR="007F5874" w:rsidRDefault="00402798">
            <w:pPr>
              <w:spacing w:after="0" w:line="240" w:lineRule="auto"/>
              <w:jc w:val="center"/>
            </w:pPr>
            <w:r>
              <w:rPr>
                <w:rFonts w:ascii="Times New Roman" w:hAnsi="Times New Roman"/>
                <w:b/>
                <w:bCs/>
                <w:sz w:val="24"/>
                <w:szCs w:val="24"/>
              </w:rPr>
              <w:t>2023</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5B3F7D0"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436D4C9"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68DDDFE" w14:textId="77777777" w:rsidR="007F5874" w:rsidRDefault="00402798">
            <w:pPr>
              <w:spacing w:after="0" w:line="240" w:lineRule="auto"/>
              <w:jc w:val="center"/>
            </w:pPr>
            <w:r>
              <w:rPr>
                <w:rFonts w:ascii="Times New Roman" w:hAnsi="Times New Roman"/>
                <w:b/>
                <w:bCs/>
                <w:sz w:val="24"/>
                <w:szCs w:val="24"/>
              </w:rPr>
              <w:t>2020</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B8A0AE0" w14:textId="77777777" w:rsidR="007F5874" w:rsidRDefault="00402798">
            <w:pPr>
              <w:spacing w:after="0" w:line="240" w:lineRule="auto"/>
              <w:jc w:val="center"/>
            </w:pPr>
            <w:r>
              <w:rPr>
                <w:rFonts w:ascii="Times New Roman" w:hAnsi="Times New Roman"/>
                <w:b/>
                <w:bCs/>
                <w:sz w:val="24"/>
                <w:szCs w:val="24"/>
              </w:rPr>
              <w:t>2019</w:t>
            </w:r>
          </w:p>
        </w:tc>
      </w:tr>
      <w:tr w:rsidR="007F5874" w14:paraId="484C583A"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1F01F85C" w14:textId="77777777" w:rsidR="007F5874" w:rsidRDefault="00402798">
            <w:pPr>
              <w:spacing w:after="0" w:line="240" w:lineRule="auto"/>
            </w:pPr>
            <w:r>
              <w:rPr>
                <w:rFonts w:ascii="Times New Roman" w:hAnsi="Times New Roman"/>
                <w:b/>
                <w:bCs/>
                <w:sz w:val="24"/>
                <w:szCs w:val="24"/>
              </w:rPr>
              <w:t>Quick ratio (QR)</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A1A648" w14:textId="77777777" w:rsidR="007F5874" w:rsidRDefault="00402798">
            <w:pPr>
              <w:spacing w:after="0" w:line="240" w:lineRule="auto"/>
              <w:jc w:val="center"/>
            </w:pPr>
            <w:r>
              <w:rPr>
                <w:rFonts w:ascii="Times New Roman" w:hAnsi="Times New Roman"/>
                <w:color w:val="333333"/>
                <w:sz w:val="24"/>
                <w:szCs w:val="24"/>
                <w:u w:color="333333"/>
              </w:rPr>
              <w:t>0.28</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4EF39" w14:textId="77777777" w:rsidR="007F5874" w:rsidRDefault="00402798">
            <w:pPr>
              <w:spacing w:after="0" w:line="240" w:lineRule="auto"/>
              <w:jc w:val="center"/>
            </w:pPr>
            <w:r>
              <w:rPr>
                <w:rFonts w:ascii="Times New Roman" w:hAnsi="Times New Roman"/>
                <w:color w:val="333333"/>
                <w:sz w:val="24"/>
                <w:szCs w:val="24"/>
                <w:u w:color="333333"/>
              </w:rPr>
              <w:t>0.21</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A3A18" w14:textId="77777777" w:rsidR="007F5874" w:rsidRDefault="00402798">
            <w:pPr>
              <w:spacing w:after="0" w:line="240" w:lineRule="auto"/>
              <w:jc w:val="center"/>
            </w:pPr>
            <w:r>
              <w:rPr>
                <w:rFonts w:ascii="Times New Roman" w:hAnsi="Times New Roman"/>
                <w:color w:val="333333"/>
                <w:sz w:val="24"/>
                <w:szCs w:val="24"/>
                <w:u w:color="333333"/>
              </w:rPr>
              <w:t>0.55</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38322" w14:textId="77777777" w:rsidR="007F5874" w:rsidRDefault="00402798">
            <w:pPr>
              <w:spacing w:after="0" w:line="240" w:lineRule="auto"/>
              <w:jc w:val="center"/>
            </w:pPr>
            <w:r>
              <w:rPr>
                <w:rFonts w:ascii="Times New Roman" w:hAnsi="Times New Roman"/>
                <w:color w:val="333333"/>
                <w:sz w:val="24"/>
                <w:szCs w:val="24"/>
                <w:u w:color="333333"/>
              </w:rPr>
              <w:t>0.30</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AA9614" w14:textId="77777777" w:rsidR="007F5874" w:rsidRDefault="00402798">
            <w:pPr>
              <w:spacing w:after="0" w:line="240" w:lineRule="auto"/>
              <w:jc w:val="center"/>
            </w:pPr>
            <w:r>
              <w:rPr>
                <w:rFonts w:ascii="Times New Roman" w:hAnsi="Times New Roman"/>
                <w:color w:val="333333"/>
                <w:sz w:val="24"/>
                <w:szCs w:val="24"/>
                <w:u w:color="333333"/>
              </w:rPr>
              <w:t>0.23</w:t>
            </w:r>
          </w:p>
        </w:tc>
      </w:tr>
    </w:tbl>
    <w:p w14:paraId="33E1968B"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7059146E" w14:textId="77777777" w:rsidR="007F5874" w:rsidRDefault="007F5874">
      <w:pPr>
        <w:rPr>
          <w:rFonts w:ascii="Times New Roman" w:eastAsia="Times New Roman" w:hAnsi="Times New Roman" w:cs="Times New Roman"/>
          <w:b/>
          <w:bCs/>
          <w:sz w:val="24"/>
          <w:szCs w:val="24"/>
        </w:rPr>
      </w:pPr>
    </w:p>
    <w:p w14:paraId="2471BA2C"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3: Quick ratio</w:t>
      </w:r>
    </w:p>
    <w:p w14:paraId="39FFE75A" w14:textId="77777777" w:rsidR="007F5874" w:rsidRDefault="00402798">
      <w:pPr>
        <w:jc w:val="center"/>
        <w:rPr>
          <w:rFonts w:ascii="Times New Roman" w:eastAsia="Times New Roman" w:hAnsi="Times New Roman" w:cs="Times New Roman"/>
          <w:b/>
          <w:bCs/>
          <w:sz w:val="24"/>
          <w:szCs w:val="24"/>
        </w:rPr>
      </w:pPr>
      <w:r>
        <w:rPr>
          <w:noProof/>
        </w:rPr>
        <w:lastRenderedPageBreak/>
        <w:drawing>
          <wp:inline distT="0" distB="0" distL="114300" distR="114300" wp14:anchorId="1E39E8FF" wp14:editId="2EAC42BF">
            <wp:extent cx="4669531" cy="2742278"/>
            <wp:effectExtent l="0" t="0" r="0" b="0"/>
            <wp:docPr id="103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5B3878" w14:textId="77777777" w:rsidR="007F5874" w:rsidRDefault="007F5874">
      <w:pPr>
        <w:rPr>
          <w:rFonts w:ascii="Times New Roman" w:eastAsia="Times New Roman" w:hAnsi="Times New Roman" w:cs="Times New Roman"/>
          <w:b/>
          <w:bCs/>
          <w:sz w:val="24"/>
          <w:szCs w:val="24"/>
        </w:rPr>
      </w:pPr>
    </w:p>
    <w:p w14:paraId="2B922617"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4.2.4. Inventory Turnover Ratio (ITR)</w:t>
      </w:r>
    </w:p>
    <w:p w14:paraId="20CC19AC"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Inventory Turnover Ratio (ITR) gives the company a numerical representation of the efficiency with which it manages its inventory by showing how many times inventory is sold over a specific timeframe and replenished. A higher ratio indicates the management of inventory, while a lower ratio means that inventory is not moved quickly enough to be efficiently used for production. Reviewing the data reveals that the ITR of Tata Steel undergoes quite some variations during the period before and after the five years in reference. In 2023, Tata Steel but sold and replaced the same stock only 2.65 times. However, given the improvement compared to the last year, it signifies that the enterprise is still keeping inventory in its warehouses for a lengthy period of sales. This can be an extension of the capital </w:t>
      </w:r>
      <w:proofErr w:type="spellStart"/>
      <w:r>
        <w:rPr>
          <w:rFonts w:ascii="Times New Roman" w:hAnsi="Times New Roman"/>
          <w:sz w:val="24"/>
          <w:szCs w:val="24"/>
        </w:rPr>
        <w:t>immobilisation</w:t>
      </w:r>
      <w:proofErr w:type="spellEnd"/>
      <w:r>
        <w:rPr>
          <w:rFonts w:ascii="Times New Roman" w:hAnsi="Times New Roman"/>
          <w:sz w:val="24"/>
          <w:szCs w:val="24"/>
        </w:rPr>
        <w:t xml:space="preserve"> which in turn can affect the capital structure leading to the need for a greater dependence on external sources of financing for the successful running of operations. During 2022, the Inventory Turnover Ratio undergoes slight dropdown to 2.15 which shows a decline in the rate of turnover of the inventory compared to 2021. The reduced ratio may indicate that the sales or production processes are somehow inefficient and eventually lead to the creation of a large inventory. Such a situation may be very stressful for the company's budget and finances as well, it may make the financing of the company more difficult either by reducing the funds available or by raising the demand for short-term loans to accommodate the high level of inventory products. The ITR of Inventory in 2021 marks a decrease to 1.76 which is a sign of a decrease in the speed rate of an inventory sold. The ratio being lower implies that Tata is probably having trouble in paying off for its stocks, which might negatively affect the </w:t>
      </w:r>
      <w:r>
        <w:rPr>
          <w:rFonts w:ascii="Times New Roman" w:hAnsi="Times New Roman"/>
          <w:sz w:val="24"/>
          <w:szCs w:val="24"/>
        </w:rPr>
        <w:lastRenderedPageBreak/>
        <w:t>cash flow and hence working capital. In this regard, this factor could affect the capital structure since it can limit the ability of the firm to generate internal funding for projects or debt repayment. On the other hand, the Inventory Turnover Ratio has a stabilized expansion to 5.64 in the year 2020, meaning a considerable increase in the inventory turnover efficiency. In other words, the fact that steel inventories have decreased or sales procedures have been improved by Tata Steel may have created the opportunity for the repatriation of working capital to other areas of use. The high debt-to-equity ratio has a positive impact on the capital structure as it saves the firm from dependence on short-term and long-term debts and provides extra financial flexibility. At an IT of 6.27 in 2019, the company is said to have effective inventory management processes. It has become clear that Tata Steel achieved a very good level of inventory management. As a result, the company's capital structure can be positively affected as these funds are used more efficiently, and there is a limited need to obtain external funding.</w:t>
      </w:r>
    </w:p>
    <w:p w14:paraId="5101A2BE"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In general, therefore ITR gives Tata Steel, significant insights into inventory management efficiency and capital structure. The fluctuations in the usage of the current </w:t>
      </w:r>
      <w:proofErr w:type="gramStart"/>
      <w:r>
        <w:rPr>
          <w:rFonts w:ascii="Times New Roman" w:hAnsi="Times New Roman"/>
          <w:sz w:val="24"/>
          <w:szCs w:val="24"/>
        </w:rPr>
        <w:t>assets</w:t>
      </w:r>
      <w:proofErr w:type="gramEnd"/>
      <w:r>
        <w:rPr>
          <w:rFonts w:ascii="Times New Roman" w:hAnsi="Times New Roman"/>
          <w:sz w:val="24"/>
          <w:szCs w:val="24"/>
        </w:rPr>
        <w:t xml:space="preserve"> ratio over the past five years imply there is a change in the business' management of inventory, which may, in turn, affect the requirement for working capital and finance. An appropriate ratio reflects effective inventory turnover means better capital structure but by </w:t>
      </w:r>
      <w:proofErr w:type="spellStart"/>
      <w:r>
        <w:rPr>
          <w:rFonts w:ascii="Times New Roman" w:hAnsi="Times New Roman"/>
          <w:sz w:val="24"/>
          <w:szCs w:val="24"/>
        </w:rPr>
        <w:t>utilising</w:t>
      </w:r>
      <w:proofErr w:type="spellEnd"/>
      <w:r>
        <w:rPr>
          <w:rFonts w:ascii="Times New Roman" w:hAnsi="Times New Roman"/>
          <w:sz w:val="24"/>
          <w:szCs w:val="24"/>
        </w:rPr>
        <w:t xml:space="preserve"> resources and improving financial flexibility. Somewhat lower percentage definitely may be an indication of inadequacies in the business structure that could result in a negative effect on capital structure and hence an increased need for external funding.</w:t>
      </w:r>
    </w:p>
    <w:p w14:paraId="46CD22E6"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4: Inventory Turnover Ratio</w:t>
      </w:r>
    </w:p>
    <w:tbl>
      <w:tblPr>
        <w:tblW w:w="931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497"/>
        <w:gridCol w:w="763"/>
        <w:gridCol w:w="763"/>
        <w:gridCol w:w="763"/>
        <w:gridCol w:w="763"/>
        <w:gridCol w:w="763"/>
      </w:tblGrid>
      <w:tr w:rsidR="007F5874" w14:paraId="4DF837C3"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46C09D28" w14:textId="77777777" w:rsidR="007F5874" w:rsidRDefault="00402798">
            <w:r>
              <w:rPr>
                <w:rFonts w:ascii="Times New Roman" w:hAnsi="Times New Roman"/>
                <w:b/>
                <w:bCs/>
                <w:sz w:val="24"/>
                <w:szCs w:val="24"/>
              </w:rPr>
              <w:t>Years</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659EBEF" w14:textId="77777777" w:rsidR="007F5874" w:rsidRDefault="00402798">
            <w:pPr>
              <w:spacing w:after="0" w:line="240" w:lineRule="auto"/>
              <w:jc w:val="center"/>
            </w:pPr>
            <w:r>
              <w:rPr>
                <w:rFonts w:ascii="Times New Roman" w:hAnsi="Times New Roman"/>
                <w:b/>
                <w:bCs/>
                <w:sz w:val="24"/>
                <w:szCs w:val="24"/>
              </w:rPr>
              <w:t>2023</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2BD18F3"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4B72F60C"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456070C" w14:textId="77777777" w:rsidR="007F5874" w:rsidRDefault="00402798">
            <w:pPr>
              <w:spacing w:after="0" w:line="240" w:lineRule="auto"/>
              <w:jc w:val="center"/>
            </w:pPr>
            <w:r>
              <w:rPr>
                <w:rFonts w:ascii="Times New Roman" w:hAnsi="Times New Roman"/>
                <w:b/>
                <w:bCs/>
                <w:sz w:val="24"/>
                <w:szCs w:val="24"/>
              </w:rPr>
              <w:t>2020</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43592549" w14:textId="77777777" w:rsidR="007F5874" w:rsidRDefault="00402798">
            <w:pPr>
              <w:spacing w:after="0" w:line="240" w:lineRule="auto"/>
              <w:jc w:val="center"/>
            </w:pPr>
            <w:r>
              <w:rPr>
                <w:rFonts w:ascii="Times New Roman" w:hAnsi="Times New Roman"/>
                <w:b/>
                <w:bCs/>
                <w:sz w:val="24"/>
                <w:szCs w:val="24"/>
              </w:rPr>
              <w:t>2019</w:t>
            </w:r>
          </w:p>
        </w:tc>
      </w:tr>
      <w:tr w:rsidR="007F5874" w14:paraId="30AE03B8" w14:textId="77777777">
        <w:trPr>
          <w:trHeight w:val="467"/>
          <w:jc w:val="center"/>
        </w:trPr>
        <w:tc>
          <w:tcPr>
            <w:tcW w:w="5497"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4680104D" w14:textId="77777777" w:rsidR="007F5874" w:rsidRDefault="00402798">
            <w:pPr>
              <w:spacing w:after="0" w:line="240" w:lineRule="auto"/>
            </w:pPr>
            <w:r>
              <w:rPr>
                <w:rFonts w:ascii="Times New Roman" w:hAnsi="Times New Roman"/>
                <w:b/>
                <w:bCs/>
                <w:sz w:val="24"/>
                <w:szCs w:val="24"/>
              </w:rPr>
              <w:t>Inventory Turnover Ratio (ITR)</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FE395B" w14:textId="77777777" w:rsidR="007F5874" w:rsidRDefault="00402798">
            <w:pPr>
              <w:spacing w:after="0" w:line="240" w:lineRule="auto"/>
              <w:jc w:val="center"/>
            </w:pPr>
            <w:r>
              <w:rPr>
                <w:rFonts w:ascii="Times New Roman" w:hAnsi="Times New Roman"/>
                <w:color w:val="333333"/>
                <w:sz w:val="24"/>
                <w:szCs w:val="24"/>
                <w:u w:color="333333"/>
              </w:rPr>
              <w:t>2.65</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B3AA9" w14:textId="77777777" w:rsidR="007F5874" w:rsidRDefault="00402798">
            <w:pPr>
              <w:spacing w:after="0" w:line="240" w:lineRule="auto"/>
              <w:jc w:val="center"/>
            </w:pPr>
            <w:r>
              <w:rPr>
                <w:rFonts w:ascii="Times New Roman" w:hAnsi="Times New Roman"/>
                <w:color w:val="333333"/>
                <w:sz w:val="24"/>
                <w:szCs w:val="24"/>
                <w:u w:color="333333"/>
              </w:rPr>
              <w:t>2.15</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366719" w14:textId="77777777" w:rsidR="007F5874" w:rsidRDefault="00402798">
            <w:pPr>
              <w:spacing w:after="0" w:line="240" w:lineRule="auto"/>
              <w:jc w:val="center"/>
            </w:pPr>
            <w:r>
              <w:rPr>
                <w:rFonts w:ascii="Times New Roman" w:hAnsi="Times New Roman"/>
                <w:color w:val="333333"/>
                <w:sz w:val="24"/>
                <w:szCs w:val="24"/>
                <w:u w:color="333333"/>
              </w:rPr>
              <w:t>1.76</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1DEDAA" w14:textId="77777777" w:rsidR="007F5874" w:rsidRDefault="00402798">
            <w:pPr>
              <w:spacing w:after="0" w:line="240" w:lineRule="auto"/>
              <w:jc w:val="center"/>
            </w:pPr>
            <w:r>
              <w:rPr>
                <w:rFonts w:ascii="Times New Roman" w:hAnsi="Times New Roman"/>
                <w:color w:val="333333"/>
                <w:sz w:val="24"/>
                <w:szCs w:val="24"/>
                <w:u w:color="333333"/>
              </w:rPr>
              <w:t>5.64</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338CD2" w14:textId="77777777" w:rsidR="007F5874" w:rsidRDefault="00402798">
            <w:pPr>
              <w:spacing w:after="0" w:line="240" w:lineRule="auto"/>
              <w:jc w:val="center"/>
            </w:pPr>
            <w:r>
              <w:rPr>
                <w:rFonts w:ascii="Times New Roman" w:hAnsi="Times New Roman"/>
                <w:color w:val="333333"/>
                <w:sz w:val="24"/>
                <w:szCs w:val="24"/>
                <w:u w:color="333333"/>
              </w:rPr>
              <w:t>6.27</w:t>
            </w:r>
          </w:p>
        </w:tc>
      </w:tr>
    </w:tbl>
    <w:p w14:paraId="1ED182DC"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669603AB" w14:textId="77777777" w:rsidR="007F5874" w:rsidRDefault="007F5874">
      <w:pPr>
        <w:rPr>
          <w:rFonts w:ascii="Times New Roman" w:eastAsia="Times New Roman" w:hAnsi="Times New Roman" w:cs="Times New Roman"/>
          <w:b/>
          <w:bCs/>
          <w:sz w:val="24"/>
          <w:szCs w:val="24"/>
        </w:rPr>
      </w:pPr>
    </w:p>
    <w:p w14:paraId="2417977B"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4: Inventory Turnover Ratio</w:t>
      </w:r>
    </w:p>
    <w:p w14:paraId="381B13CA" w14:textId="77777777" w:rsidR="007F5874" w:rsidRDefault="00402798">
      <w:pPr>
        <w:jc w:val="center"/>
        <w:rPr>
          <w:rFonts w:ascii="Times New Roman" w:eastAsia="Times New Roman" w:hAnsi="Times New Roman" w:cs="Times New Roman"/>
          <w:b/>
          <w:bCs/>
          <w:sz w:val="24"/>
          <w:szCs w:val="24"/>
        </w:rPr>
      </w:pPr>
      <w:r>
        <w:rPr>
          <w:noProof/>
        </w:rPr>
        <w:lastRenderedPageBreak/>
        <w:drawing>
          <wp:inline distT="0" distB="0" distL="114300" distR="114300" wp14:anchorId="21897780" wp14:editId="31BA225F">
            <wp:extent cx="4669531" cy="2742278"/>
            <wp:effectExtent l="0" t="0" r="0" b="0"/>
            <wp:docPr id="103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1D2F884" w14:textId="77777777" w:rsidR="007F5874" w:rsidRDefault="007F5874">
      <w:pPr>
        <w:rPr>
          <w:rFonts w:ascii="Times New Roman" w:eastAsia="Times New Roman" w:hAnsi="Times New Roman" w:cs="Times New Roman"/>
          <w:b/>
          <w:bCs/>
          <w:sz w:val="24"/>
          <w:szCs w:val="24"/>
        </w:rPr>
      </w:pPr>
    </w:p>
    <w:p w14:paraId="1594820C"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4.2.5. Dividend Payout Ratio (DPR)</w:t>
      </w:r>
    </w:p>
    <w:p w14:paraId="7D4DD2A3"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dividend payout ratio (DPR) precisely shows what is the percentage of profit distributed to shareholders as dividends. A rising DPR means that an increasingly greater part of the company's revenue is put into paying dividends. This may affect the company’s retained earnings and capital to support new business and be able to manage its capital structure well. Based on this data, it is obvious that Tata Steel's Dividend Payout Ratio was on an up and down trend for the past five years. In 2023, DPR for the Tata Steel shares was 40.22% which meant that 40.22% of the company's earnings were distributed among its shareholders in the form of dividends that year. This means a marked change from the level of the last year, which shows a more aggressive move to observe dividend distribution. Shareholders can gain from the higher dividends but throwing a sizable chunk of the profit on the distribution of the earnings might impede the company's ability to reinvest money in growth plans or leave no leeway for financial flexibility. Distinguishing feature in 2022 is the decreasing Dividend Payout Ratio to 9.10%, which implies that there was a big cut in dividend payouts as compared to the previous year. The lower DPR implies that Tata steel decided to divert a larger part of its income to internal investment or to reduce its debt burden. Having leeway in financial capacities and trying to minimize dependence on external funding for growth might have a positive impact on a company's capital structure. Just like in 2021, where the dividend payout ratio was 6.70%, it is evident that the company was not able to fully utilize its earnings to affect the dividend distributions. A ratio less than one implies that Tata Steel is more concerned on capital expenditure and debt repayment and looks at cash as a tool for preserving earnings. Instead, </w:t>
      </w:r>
      <w:r>
        <w:rPr>
          <w:rFonts w:ascii="Times New Roman" w:hAnsi="Times New Roman"/>
          <w:sz w:val="24"/>
          <w:szCs w:val="24"/>
        </w:rPr>
        <w:lastRenderedPageBreak/>
        <w:t>this develops the company's capital base, making it easier for the company to meet its financial commitments and explore its growth opportunities. The DPR is 22.08% in year 2020, which is higher than in the previous two years, thus implying that a greater percentage of profits is paid in the form of dividends in the year 2020. Whilst the increase may not be as crucial as the ratio for 2023, it appears to be a slow but steady move towards more significant dividend distributions which could affect Tata Steel's retained earnings and its capital structure position. In 2019, DPR was 10.87% which means the company distributed its dividends in such a way that it is in proportion to its income. This is a demonstration of a well-balanced ratio of dividend payments, whereby Tata Steel can grant dividends to shareholders, while retaining enough earnings for internal investments and managing debts.</w:t>
      </w:r>
    </w:p>
    <w:p w14:paraId="2D96A49D"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Therefore, the DPR of Tata Steel over the last five years indicates that the company applied different principles to its dividend distribution strategy which in turn affected its financial framework. A higher DPR could indicate a more aggressive dividend policy, which could lead to some strategy problems concerning capital structure and retaining earnings. On one hand, a low DPR shows strategic thinking towards keeping the money for self-interest, favoring financial freedom and the aid to the growth strategies by decreasing the external funding required.</w:t>
      </w:r>
    </w:p>
    <w:p w14:paraId="0735D602" w14:textId="77777777" w:rsidR="007F5874" w:rsidRDefault="007F5874">
      <w:pPr>
        <w:spacing w:line="360" w:lineRule="auto"/>
        <w:ind w:firstLine="720"/>
        <w:jc w:val="both"/>
        <w:rPr>
          <w:rFonts w:ascii="Times New Roman" w:eastAsia="Times New Roman" w:hAnsi="Times New Roman" w:cs="Times New Roman"/>
          <w:sz w:val="24"/>
          <w:szCs w:val="24"/>
        </w:rPr>
      </w:pPr>
    </w:p>
    <w:p w14:paraId="375FBC54"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5: Dividend Payout Ratio (DPR)</w:t>
      </w:r>
    </w:p>
    <w:tbl>
      <w:tblPr>
        <w:tblW w:w="931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339"/>
        <w:gridCol w:w="815"/>
        <w:gridCol w:w="763"/>
        <w:gridCol w:w="763"/>
        <w:gridCol w:w="815"/>
        <w:gridCol w:w="816"/>
      </w:tblGrid>
      <w:tr w:rsidR="007F5874" w14:paraId="09F7D078" w14:textId="77777777">
        <w:trPr>
          <w:trHeight w:val="467"/>
          <w:jc w:val="center"/>
        </w:trPr>
        <w:tc>
          <w:tcPr>
            <w:tcW w:w="5338"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6EC8C5CB" w14:textId="77777777" w:rsidR="007F5874" w:rsidRDefault="00402798">
            <w:r>
              <w:rPr>
                <w:rFonts w:ascii="Times New Roman" w:hAnsi="Times New Roman"/>
                <w:b/>
                <w:bCs/>
                <w:sz w:val="24"/>
                <w:szCs w:val="24"/>
              </w:rPr>
              <w:t>Years</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758F070" w14:textId="77777777" w:rsidR="007F5874" w:rsidRDefault="00402798">
            <w:pPr>
              <w:spacing w:after="0" w:line="240" w:lineRule="auto"/>
              <w:jc w:val="center"/>
            </w:pPr>
            <w:r>
              <w:rPr>
                <w:rFonts w:ascii="Times New Roman" w:hAnsi="Times New Roman"/>
                <w:b/>
                <w:bCs/>
                <w:sz w:val="24"/>
                <w:szCs w:val="24"/>
              </w:rPr>
              <w:t>2023</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A0CBD8D"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5D07AEC" w14:textId="77777777" w:rsidR="007F5874" w:rsidRDefault="00402798">
            <w:pPr>
              <w:spacing w:after="0" w:line="240" w:lineRule="auto"/>
              <w:jc w:val="center"/>
            </w:pPr>
            <w:r>
              <w:rPr>
                <w:rFonts w:ascii="Times New Roman" w:hAnsi="Times New Roman"/>
                <w:b/>
                <w:bCs/>
                <w:sz w:val="24"/>
                <w:szCs w:val="24"/>
              </w:rPr>
              <w:t>2021</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A08B27C" w14:textId="77777777" w:rsidR="007F5874" w:rsidRDefault="00402798">
            <w:pPr>
              <w:spacing w:after="0" w:line="240" w:lineRule="auto"/>
              <w:jc w:val="center"/>
            </w:pPr>
            <w:r>
              <w:rPr>
                <w:rFonts w:ascii="Times New Roman" w:hAnsi="Times New Roman"/>
                <w:b/>
                <w:bCs/>
                <w:sz w:val="24"/>
                <w:szCs w:val="24"/>
              </w:rPr>
              <w:t>2020</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AB4178A" w14:textId="77777777" w:rsidR="007F5874" w:rsidRDefault="00402798">
            <w:pPr>
              <w:spacing w:after="0" w:line="240" w:lineRule="auto"/>
              <w:jc w:val="center"/>
            </w:pPr>
            <w:r>
              <w:rPr>
                <w:rFonts w:ascii="Times New Roman" w:hAnsi="Times New Roman"/>
                <w:b/>
                <w:bCs/>
                <w:sz w:val="24"/>
                <w:szCs w:val="24"/>
              </w:rPr>
              <w:t>2019</w:t>
            </w:r>
          </w:p>
        </w:tc>
      </w:tr>
      <w:tr w:rsidR="007F5874" w14:paraId="1034F914" w14:textId="77777777">
        <w:trPr>
          <w:trHeight w:val="467"/>
          <w:jc w:val="center"/>
        </w:trPr>
        <w:tc>
          <w:tcPr>
            <w:tcW w:w="5338"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03053C14" w14:textId="77777777" w:rsidR="007F5874" w:rsidRDefault="00402798">
            <w:pPr>
              <w:spacing w:after="0" w:line="240" w:lineRule="auto"/>
            </w:pPr>
            <w:r>
              <w:rPr>
                <w:rFonts w:ascii="Times New Roman" w:hAnsi="Times New Roman"/>
                <w:b/>
                <w:bCs/>
                <w:sz w:val="24"/>
                <w:szCs w:val="24"/>
              </w:rPr>
              <w:t>Dividend Payout Ratio (DPR)</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DE6C61" w14:textId="77777777" w:rsidR="007F5874" w:rsidRDefault="00402798">
            <w:pPr>
              <w:spacing w:after="0" w:line="240" w:lineRule="auto"/>
              <w:jc w:val="center"/>
            </w:pPr>
            <w:r>
              <w:rPr>
                <w:rFonts w:ascii="Times New Roman" w:hAnsi="Times New Roman"/>
                <w:color w:val="333333"/>
                <w:sz w:val="24"/>
                <w:szCs w:val="24"/>
                <w:u w:color="333333"/>
              </w:rPr>
              <w:t>40.22</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F0D062" w14:textId="77777777" w:rsidR="007F5874" w:rsidRDefault="00402798">
            <w:pPr>
              <w:spacing w:after="0" w:line="240" w:lineRule="auto"/>
              <w:jc w:val="center"/>
            </w:pPr>
            <w:r>
              <w:rPr>
                <w:rFonts w:ascii="Times New Roman" w:hAnsi="Times New Roman"/>
                <w:color w:val="333333"/>
                <w:sz w:val="24"/>
                <w:szCs w:val="24"/>
                <w:u w:color="333333"/>
              </w:rPr>
              <w:t>9.10</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7715D8" w14:textId="77777777" w:rsidR="007F5874" w:rsidRDefault="00402798">
            <w:pPr>
              <w:spacing w:after="0" w:line="240" w:lineRule="auto"/>
              <w:jc w:val="center"/>
            </w:pPr>
            <w:r>
              <w:rPr>
                <w:rFonts w:ascii="Times New Roman" w:hAnsi="Times New Roman"/>
                <w:color w:val="333333"/>
                <w:sz w:val="24"/>
                <w:szCs w:val="24"/>
                <w:u w:color="333333"/>
              </w:rPr>
              <w:t>6.70</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8DDBEE" w14:textId="77777777" w:rsidR="007F5874" w:rsidRDefault="00402798">
            <w:pPr>
              <w:spacing w:after="0" w:line="240" w:lineRule="auto"/>
              <w:jc w:val="center"/>
            </w:pPr>
            <w:r>
              <w:rPr>
                <w:rFonts w:ascii="Times New Roman" w:hAnsi="Times New Roman"/>
                <w:color w:val="333333"/>
                <w:sz w:val="24"/>
                <w:szCs w:val="24"/>
                <w:u w:color="333333"/>
              </w:rPr>
              <w:t>22.08</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3B18D8" w14:textId="77777777" w:rsidR="007F5874" w:rsidRDefault="00402798">
            <w:pPr>
              <w:spacing w:after="0" w:line="240" w:lineRule="auto"/>
              <w:jc w:val="center"/>
            </w:pPr>
            <w:r>
              <w:rPr>
                <w:rFonts w:ascii="Times New Roman" w:hAnsi="Times New Roman"/>
                <w:color w:val="333333"/>
                <w:sz w:val="24"/>
                <w:szCs w:val="24"/>
                <w:u w:color="333333"/>
              </w:rPr>
              <w:t>10.87</w:t>
            </w:r>
          </w:p>
        </w:tc>
      </w:tr>
    </w:tbl>
    <w:p w14:paraId="5B44293D"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60EEF31B" w14:textId="77777777" w:rsidR="007F5874" w:rsidRDefault="007F5874">
      <w:pPr>
        <w:rPr>
          <w:rFonts w:ascii="Times New Roman" w:eastAsia="Times New Roman" w:hAnsi="Times New Roman" w:cs="Times New Roman"/>
          <w:b/>
          <w:bCs/>
          <w:sz w:val="24"/>
          <w:szCs w:val="24"/>
        </w:rPr>
      </w:pPr>
    </w:p>
    <w:p w14:paraId="49F14CDE" w14:textId="77777777" w:rsidR="007F5874" w:rsidRDefault="007F5874">
      <w:pPr>
        <w:rPr>
          <w:rFonts w:ascii="Times New Roman" w:eastAsia="Times New Roman" w:hAnsi="Times New Roman" w:cs="Times New Roman"/>
          <w:b/>
          <w:bCs/>
          <w:sz w:val="24"/>
          <w:szCs w:val="24"/>
        </w:rPr>
      </w:pPr>
    </w:p>
    <w:p w14:paraId="491EB65E" w14:textId="77777777" w:rsidR="007F5874" w:rsidRDefault="007F5874">
      <w:pPr>
        <w:rPr>
          <w:rFonts w:ascii="Times New Roman" w:eastAsia="Times New Roman" w:hAnsi="Times New Roman" w:cs="Times New Roman"/>
          <w:b/>
          <w:bCs/>
          <w:sz w:val="24"/>
          <w:szCs w:val="24"/>
        </w:rPr>
      </w:pPr>
    </w:p>
    <w:p w14:paraId="3A470632" w14:textId="77777777" w:rsidR="007F5874" w:rsidRDefault="007F5874">
      <w:pPr>
        <w:rPr>
          <w:rFonts w:ascii="Times New Roman" w:eastAsia="Times New Roman" w:hAnsi="Times New Roman" w:cs="Times New Roman"/>
          <w:b/>
          <w:bCs/>
          <w:sz w:val="24"/>
          <w:szCs w:val="24"/>
        </w:rPr>
      </w:pPr>
    </w:p>
    <w:p w14:paraId="51C58208" w14:textId="77777777" w:rsidR="007F5874" w:rsidRDefault="007F5874">
      <w:pPr>
        <w:rPr>
          <w:rFonts w:ascii="Times New Roman" w:eastAsia="Times New Roman" w:hAnsi="Times New Roman" w:cs="Times New Roman"/>
          <w:b/>
          <w:bCs/>
          <w:sz w:val="24"/>
          <w:szCs w:val="24"/>
        </w:rPr>
      </w:pPr>
    </w:p>
    <w:p w14:paraId="211A4CE4"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5: Dividend Payout Ratio (DPR)</w:t>
      </w:r>
    </w:p>
    <w:p w14:paraId="09049475" w14:textId="77777777" w:rsidR="007F5874" w:rsidRDefault="00402798">
      <w:pPr>
        <w:jc w:val="center"/>
        <w:rPr>
          <w:rFonts w:ascii="Times New Roman" w:eastAsia="Times New Roman" w:hAnsi="Times New Roman" w:cs="Times New Roman"/>
          <w:b/>
          <w:bCs/>
          <w:sz w:val="24"/>
          <w:szCs w:val="24"/>
        </w:rPr>
      </w:pPr>
      <w:r>
        <w:rPr>
          <w:noProof/>
        </w:rPr>
        <w:lastRenderedPageBreak/>
        <w:drawing>
          <wp:inline distT="0" distB="0" distL="114300" distR="114300" wp14:anchorId="4CC56B2E" wp14:editId="4CADA74A">
            <wp:extent cx="4669531" cy="2742278"/>
            <wp:effectExtent l="0" t="0" r="0" b="0"/>
            <wp:docPr id="103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C006E0" w14:textId="77777777" w:rsidR="007F5874" w:rsidRDefault="007F5874">
      <w:pPr>
        <w:rPr>
          <w:rFonts w:ascii="Times New Roman" w:eastAsia="Times New Roman" w:hAnsi="Times New Roman" w:cs="Times New Roman"/>
          <w:b/>
          <w:bCs/>
          <w:sz w:val="24"/>
          <w:szCs w:val="24"/>
        </w:rPr>
      </w:pPr>
    </w:p>
    <w:p w14:paraId="54D485F5" w14:textId="77777777" w:rsidR="007F5874" w:rsidRDefault="00402798">
      <w:pPr>
        <w:pStyle w:val="Heading2"/>
        <w:spacing w:line="360" w:lineRule="auto"/>
        <w:jc w:val="both"/>
        <w:rPr>
          <w:rFonts w:ascii="Times New Roman" w:eastAsia="Times New Roman" w:hAnsi="Times New Roman" w:cs="Times New Roman"/>
          <w:b/>
          <w:bCs/>
          <w:color w:val="000000"/>
          <w:u w:color="000000"/>
        </w:rPr>
      </w:pPr>
      <w:bookmarkStart w:id="27" w:name="_Toc27"/>
      <w:r>
        <w:rPr>
          <w:rFonts w:ascii="Times New Roman" w:hAnsi="Times New Roman"/>
          <w:b/>
          <w:bCs/>
          <w:color w:val="000000"/>
          <w:u w:color="000000"/>
        </w:rPr>
        <w:t xml:space="preserve">4.3. Analysis of Financial Performance of Tata Steel Ltd. </w:t>
      </w:r>
      <w:bookmarkEnd w:id="27"/>
    </w:p>
    <w:p w14:paraId="7823E5E3"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following ratios are used to assess the financial performance of the Tata Steel Ltd. </w:t>
      </w:r>
    </w:p>
    <w:p w14:paraId="14372629"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4.3.1. Net profit Margin (NPM)</w:t>
      </w:r>
    </w:p>
    <w:p w14:paraId="22BFAD9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Net Profit Margin (NPM) is a measure that measures how much of the revenue remains as net profit after deducting all expenses, such as the operational and tax expenses and interest. A pronounced NPM refers to a greater profitability, which is a clear demonstration of the company’s ability to make earnings from its economic activities. From the analysis of data, it can observe that Tata Steel of the Net Profit Margin demonstrates fluctuations over the five-year period. Tata Steel earned a Net Profit Margin of 12.01% in 2023. It demonstrating the ratio of revenue that we had converted into net profit during the year under discussion. This amount, even though it is the lowest over time, yet shows a good level of profitability for the company. A reduced NPM in comparison to the previous year implies the presence of factors or the increase in costs, which are dragging down profitability. Tata Steel’s overall financial performance in 2022 was on the strong side with the company’s Net Profit Margin as high as 25.58%. NPM which is higher as good expense and operation control produces high net profit turning greater part of the income into net profit. This varies widely depending on different factors like increased cost control efficiency, rising sales price, better operational performance or others. In the year of 2021 the NPM reaches to 20.29%, which is a sign of still high profitability of the company. A healthy Net Profit Margin reveals that the company has been able to deliver excellent financial performance, and its activities despite </w:t>
      </w:r>
      <w:proofErr w:type="spellStart"/>
      <w:r>
        <w:rPr>
          <w:rFonts w:ascii="Times New Roman" w:hAnsi="Times New Roman"/>
          <w:sz w:val="24"/>
          <w:szCs w:val="24"/>
        </w:rPr>
        <w:t>unfavourable</w:t>
      </w:r>
      <w:proofErr w:type="spellEnd"/>
      <w:r>
        <w:rPr>
          <w:rFonts w:ascii="Times New Roman" w:hAnsi="Times New Roman"/>
          <w:sz w:val="24"/>
          <w:szCs w:val="24"/>
        </w:rPr>
        <w:t xml:space="preserve"> market conditions or economic fluctuates are still profitable. NPM of 2020 measure 11.15%, indicated </w:t>
      </w:r>
      <w:r>
        <w:rPr>
          <w:rFonts w:ascii="Times New Roman" w:hAnsi="Times New Roman"/>
          <w:sz w:val="24"/>
          <w:szCs w:val="24"/>
        </w:rPr>
        <w:lastRenderedPageBreak/>
        <w:t>a decrease in profitability vs previous years. These obstacles could have a variety of causes, such as an increase in operating costs, reduced sales volumes and down-market conditions. Although, fortunately, the NPM is still in the positive territory, this decline indicates that Tata Steel started to be exposed to some sort of profitability problems. Furthermore, the company's NPM is 14.91% in 2019 that shows the company is making a quite good amount of profit. NPM value, which is a percent lower than the highest one, that was observed in 2022, however, suggests that Tata Steel still was earning the required profit contribution to its business activities, which in its turn is a strong indicator of its general financial health.</w:t>
      </w:r>
    </w:p>
    <w:p w14:paraId="2E724FC5"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In summary, the changes in the company's Net Profit Margin in the preceding five years suggest the alterations in Tata Steel's financial performance and profitability. The greater NPM number above 0 indicates high performance and efficiency while a lower number suggests the company may encounter difficulties or incur additional costs that negatively affect the bottom line. For a long time now, Tata Steels has demonstrated well enough its capacity to withstand and adapt to the dynamics of the market and changes in the economic situation mainly because of a satisfactory level of profitability.</w:t>
      </w:r>
    </w:p>
    <w:p w14:paraId="726B05F7"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 xml:space="preserve">Table </w:t>
      </w:r>
      <w:proofErr w:type="gramStart"/>
      <w:r>
        <w:rPr>
          <w:rFonts w:ascii="Times New Roman" w:hAnsi="Times New Roman"/>
          <w:b/>
          <w:bCs/>
          <w:i w:val="0"/>
          <w:iCs w:val="0"/>
          <w:color w:val="000000"/>
          <w:sz w:val="24"/>
          <w:szCs w:val="24"/>
          <w:u w:color="000000"/>
        </w:rPr>
        <w:t>6 :</w:t>
      </w:r>
      <w:proofErr w:type="gramEnd"/>
      <w:r>
        <w:rPr>
          <w:rFonts w:ascii="Times New Roman" w:hAnsi="Times New Roman"/>
          <w:b/>
          <w:bCs/>
          <w:i w:val="0"/>
          <w:iCs w:val="0"/>
          <w:color w:val="000000"/>
          <w:sz w:val="24"/>
          <w:szCs w:val="24"/>
          <w:u w:color="000000"/>
        </w:rPr>
        <w:t xml:space="preserve"> Net profit Margin (NPM)</w:t>
      </w:r>
    </w:p>
    <w:tbl>
      <w:tblPr>
        <w:tblW w:w="931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233"/>
        <w:gridCol w:w="816"/>
        <w:gridCol w:w="815"/>
        <w:gridCol w:w="816"/>
        <w:gridCol w:w="815"/>
        <w:gridCol w:w="816"/>
      </w:tblGrid>
      <w:tr w:rsidR="007F5874" w14:paraId="7DD5471B" w14:textId="77777777">
        <w:trPr>
          <w:trHeight w:val="467"/>
          <w:jc w:val="center"/>
        </w:trPr>
        <w:tc>
          <w:tcPr>
            <w:tcW w:w="5232"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0ED0C6ED" w14:textId="77777777" w:rsidR="007F5874" w:rsidRDefault="00402798">
            <w:r>
              <w:rPr>
                <w:rFonts w:ascii="Times New Roman" w:hAnsi="Times New Roman"/>
                <w:b/>
                <w:bCs/>
                <w:sz w:val="24"/>
                <w:szCs w:val="24"/>
              </w:rPr>
              <w:t>Years</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A6C1EAD" w14:textId="77777777" w:rsidR="007F5874" w:rsidRDefault="00402798">
            <w:pPr>
              <w:spacing w:after="0" w:line="240" w:lineRule="auto"/>
              <w:jc w:val="center"/>
            </w:pPr>
            <w:r>
              <w:rPr>
                <w:rFonts w:ascii="Times New Roman" w:hAnsi="Times New Roman"/>
                <w:b/>
                <w:bCs/>
                <w:sz w:val="24"/>
                <w:szCs w:val="24"/>
              </w:rPr>
              <w:t>2023</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0E1D5F9" w14:textId="77777777" w:rsidR="007F5874" w:rsidRDefault="00402798">
            <w:pPr>
              <w:spacing w:after="0" w:line="240" w:lineRule="auto"/>
              <w:jc w:val="center"/>
            </w:pPr>
            <w:r>
              <w:rPr>
                <w:rFonts w:ascii="Times New Roman" w:hAnsi="Times New Roman"/>
                <w:b/>
                <w:bCs/>
                <w:sz w:val="24"/>
                <w:szCs w:val="24"/>
              </w:rPr>
              <w:t>2022</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2DA8681" w14:textId="77777777" w:rsidR="007F5874" w:rsidRDefault="00402798">
            <w:pPr>
              <w:spacing w:after="0" w:line="240" w:lineRule="auto"/>
              <w:jc w:val="center"/>
            </w:pPr>
            <w:r>
              <w:rPr>
                <w:rFonts w:ascii="Times New Roman" w:hAnsi="Times New Roman"/>
                <w:b/>
                <w:bCs/>
                <w:sz w:val="24"/>
                <w:szCs w:val="24"/>
              </w:rPr>
              <w:t>2021</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466BC8E" w14:textId="77777777" w:rsidR="007F5874" w:rsidRDefault="00402798">
            <w:pPr>
              <w:spacing w:after="0" w:line="240" w:lineRule="auto"/>
              <w:jc w:val="center"/>
            </w:pPr>
            <w:r>
              <w:rPr>
                <w:rFonts w:ascii="Times New Roman" w:hAnsi="Times New Roman"/>
                <w:b/>
                <w:bCs/>
                <w:sz w:val="24"/>
                <w:szCs w:val="24"/>
              </w:rPr>
              <w:t>2020</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45C8E8B" w14:textId="77777777" w:rsidR="007F5874" w:rsidRDefault="00402798">
            <w:pPr>
              <w:spacing w:after="0" w:line="240" w:lineRule="auto"/>
              <w:jc w:val="center"/>
            </w:pPr>
            <w:r>
              <w:rPr>
                <w:rFonts w:ascii="Times New Roman" w:hAnsi="Times New Roman"/>
                <w:b/>
                <w:bCs/>
                <w:sz w:val="24"/>
                <w:szCs w:val="24"/>
              </w:rPr>
              <w:t>2019</w:t>
            </w:r>
          </w:p>
        </w:tc>
      </w:tr>
      <w:tr w:rsidR="007F5874" w14:paraId="15D06AE5" w14:textId="77777777">
        <w:trPr>
          <w:trHeight w:val="800"/>
          <w:jc w:val="center"/>
        </w:trPr>
        <w:tc>
          <w:tcPr>
            <w:tcW w:w="5232"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7A15C420" w14:textId="77777777" w:rsidR="007F5874" w:rsidRDefault="00402798">
            <w:pPr>
              <w:pStyle w:val="Caption"/>
            </w:pPr>
            <w:r>
              <w:rPr>
                <w:rFonts w:ascii="Times New Roman" w:hAnsi="Times New Roman"/>
                <w:b/>
                <w:bCs/>
                <w:i w:val="0"/>
                <w:iCs w:val="0"/>
                <w:color w:val="000000"/>
                <w:sz w:val="24"/>
                <w:szCs w:val="24"/>
                <w:u w:color="000000"/>
              </w:rPr>
              <w:t>Net profit Margin (NPM)</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2006E" w14:textId="77777777" w:rsidR="007F5874" w:rsidRDefault="00402798">
            <w:pPr>
              <w:spacing w:after="0" w:line="240" w:lineRule="auto"/>
              <w:jc w:val="center"/>
            </w:pPr>
            <w:r>
              <w:rPr>
                <w:rFonts w:ascii="Times New Roman" w:hAnsi="Times New Roman"/>
                <w:color w:val="333333"/>
                <w:sz w:val="24"/>
                <w:szCs w:val="24"/>
                <w:u w:color="333333"/>
              </w:rPr>
              <w:t>12.01</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A738BA" w14:textId="77777777" w:rsidR="007F5874" w:rsidRDefault="00402798">
            <w:pPr>
              <w:spacing w:after="0" w:line="240" w:lineRule="auto"/>
              <w:jc w:val="center"/>
            </w:pPr>
            <w:r>
              <w:rPr>
                <w:rFonts w:ascii="Times New Roman" w:hAnsi="Times New Roman"/>
                <w:color w:val="333333"/>
                <w:sz w:val="24"/>
                <w:szCs w:val="24"/>
                <w:u w:color="333333"/>
              </w:rPr>
              <w:t>25.58</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81D52" w14:textId="77777777" w:rsidR="007F5874" w:rsidRDefault="00402798">
            <w:pPr>
              <w:spacing w:after="0" w:line="240" w:lineRule="auto"/>
              <w:jc w:val="center"/>
            </w:pPr>
            <w:r>
              <w:rPr>
                <w:rFonts w:ascii="Times New Roman" w:hAnsi="Times New Roman"/>
                <w:color w:val="333333"/>
                <w:sz w:val="24"/>
                <w:szCs w:val="24"/>
                <w:u w:color="333333"/>
              </w:rPr>
              <w:t>20.29</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9C641" w14:textId="77777777" w:rsidR="007F5874" w:rsidRDefault="00402798">
            <w:pPr>
              <w:spacing w:after="0" w:line="240" w:lineRule="auto"/>
              <w:jc w:val="center"/>
            </w:pPr>
            <w:r>
              <w:rPr>
                <w:rFonts w:ascii="Times New Roman" w:hAnsi="Times New Roman"/>
                <w:color w:val="333333"/>
                <w:sz w:val="24"/>
                <w:szCs w:val="24"/>
                <w:u w:color="333333"/>
              </w:rPr>
              <w:t>11.15</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781EF" w14:textId="77777777" w:rsidR="007F5874" w:rsidRDefault="00402798">
            <w:pPr>
              <w:spacing w:after="0" w:line="240" w:lineRule="auto"/>
              <w:jc w:val="center"/>
            </w:pPr>
            <w:r>
              <w:rPr>
                <w:rFonts w:ascii="Times New Roman" w:hAnsi="Times New Roman"/>
                <w:color w:val="333333"/>
                <w:sz w:val="24"/>
                <w:szCs w:val="24"/>
                <w:u w:color="333333"/>
              </w:rPr>
              <w:t>14.91</w:t>
            </w:r>
          </w:p>
        </w:tc>
      </w:tr>
    </w:tbl>
    <w:p w14:paraId="77A18816"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0AEEBD57" w14:textId="77777777" w:rsidR="007F5874" w:rsidRDefault="007F5874">
      <w:pPr>
        <w:rPr>
          <w:rFonts w:ascii="Times New Roman" w:eastAsia="Times New Roman" w:hAnsi="Times New Roman" w:cs="Times New Roman"/>
          <w:b/>
          <w:bCs/>
          <w:sz w:val="24"/>
          <w:szCs w:val="24"/>
        </w:rPr>
      </w:pPr>
    </w:p>
    <w:p w14:paraId="03E26423" w14:textId="77777777" w:rsidR="007F5874" w:rsidRDefault="007F5874">
      <w:pPr>
        <w:rPr>
          <w:rFonts w:ascii="Times New Roman" w:eastAsia="Times New Roman" w:hAnsi="Times New Roman" w:cs="Times New Roman"/>
          <w:b/>
          <w:bCs/>
          <w:sz w:val="24"/>
          <w:szCs w:val="24"/>
        </w:rPr>
      </w:pPr>
    </w:p>
    <w:p w14:paraId="1F2848AA" w14:textId="77777777" w:rsidR="007F5874" w:rsidRDefault="007F5874">
      <w:pPr>
        <w:rPr>
          <w:rFonts w:ascii="Times New Roman" w:eastAsia="Times New Roman" w:hAnsi="Times New Roman" w:cs="Times New Roman"/>
          <w:b/>
          <w:bCs/>
          <w:sz w:val="24"/>
          <w:szCs w:val="24"/>
        </w:rPr>
      </w:pPr>
    </w:p>
    <w:p w14:paraId="67787334" w14:textId="77777777" w:rsidR="007F5874" w:rsidRDefault="007F5874">
      <w:pPr>
        <w:rPr>
          <w:rFonts w:ascii="Times New Roman" w:eastAsia="Times New Roman" w:hAnsi="Times New Roman" w:cs="Times New Roman"/>
          <w:b/>
          <w:bCs/>
          <w:sz w:val="24"/>
          <w:szCs w:val="24"/>
        </w:rPr>
      </w:pPr>
    </w:p>
    <w:p w14:paraId="12E87CBE" w14:textId="77777777" w:rsidR="007F5874" w:rsidRDefault="007F5874">
      <w:pPr>
        <w:rPr>
          <w:rFonts w:ascii="Times New Roman" w:eastAsia="Times New Roman" w:hAnsi="Times New Roman" w:cs="Times New Roman"/>
          <w:b/>
          <w:bCs/>
          <w:sz w:val="24"/>
          <w:szCs w:val="24"/>
        </w:rPr>
      </w:pPr>
    </w:p>
    <w:p w14:paraId="7C06393F" w14:textId="77777777" w:rsidR="007F5874" w:rsidRDefault="007F5874">
      <w:pPr>
        <w:rPr>
          <w:rFonts w:ascii="Times New Roman" w:eastAsia="Times New Roman" w:hAnsi="Times New Roman" w:cs="Times New Roman"/>
          <w:b/>
          <w:bCs/>
          <w:sz w:val="24"/>
          <w:szCs w:val="24"/>
        </w:rPr>
      </w:pPr>
    </w:p>
    <w:p w14:paraId="15CF16E2" w14:textId="77777777" w:rsidR="007F5874" w:rsidRDefault="007F5874">
      <w:pPr>
        <w:rPr>
          <w:rFonts w:ascii="Times New Roman" w:eastAsia="Times New Roman" w:hAnsi="Times New Roman" w:cs="Times New Roman"/>
          <w:b/>
          <w:bCs/>
          <w:sz w:val="24"/>
          <w:szCs w:val="24"/>
        </w:rPr>
      </w:pPr>
    </w:p>
    <w:p w14:paraId="44AD8C48" w14:textId="77777777" w:rsidR="007F5874" w:rsidRDefault="007F5874">
      <w:pPr>
        <w:rPr>
          <w:rFonts w:ascii="Times New Roman" w:eastAsia="Times New Roman" w:hAnsi="Times New Roman" w:cs="Times New Roman"/>
          <w:b/>
          <w:bCs/>
          <w:sz w:val="24"/>
          <w:szCs w:val="24"/>
        </w:rPr>
      </w:pPr>
    </w:p>
    <w:p w14:paraId="50EB7821" w14:textId="77777777" w:rsidR="007F5874" w:rsidRDefault="007F5874">
      <w:pPr>
        <w:rPr>
          <w:rFonts w:ascii="Times New Roman" w:eastAsia="Times New Roman" w:hAnsi="Times New Roman" w:cs="Times New Roman"/>
          <w:b/>
          <w:bCs/>
          <w:sz w:val="24"/>
          <w:szCs w:val="24"/>
        </w:rPr>
      </w:pPr>
    </w:p>
    <w:p w14:paraId="746C58E3"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6: Net profit Margin (NPM)</w:t>
      </w:r>
    </w:p>
    <w:p w14:paraId="7B9AE091" w14:textId="77777777" w:rsidR="007F5874" w:rsidRDefault="00402798">
      <w:pPr>
        <w:jc w:val="center"/>
        <w:rPr>
          <w:rFonts w:ascii="Times New Roman" w:eastAsia="Times New Roman" w:hAnsi="Times New Roman" w:cs="Times New Roman"/>
          <w:b/>
          <w:bCs/>
          <w:sz w:val="24"/>
          <w:szCs w:val="24"/>
        </w:rPr>
      </w:pPr>
      <w:r>
        <w:rPr>
          <w:noProof/>
        </w:rPr>
        <w:lastRenderedPageBreak/>
        <w:drawing>
          <wp:inline distT="0" distB="0" distL="114300" distR="114300" wp14:anchorId="3CF7AB15" wp14:editId="046B1F5F">
            <wp:extent cx="4669531" cy="2742278"/>
            <wp:effectExtent l="0" t="0" r="0" b="0"/>
            <wp:docPr id="1039"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A60E49"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4.3.2. Return on Equity (ROE)</w:t>
      </w:r>
    </w:p>
    <w:p w14:paraId="207F1137"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ROE evaluates how successfully this corporation uses equity to generate returns to investors. An ROE that is much higher than average would thus show that the company is adequately using their shareholder funds in generating profits, whereas a ROE that is smaller than average could signal inefficiency or poor performance. Upon the analysis, it can be argued that Tata Steel's Return on Equity displays volatility during the five years period. The ROE of Tata Steel in 2023 was 11.49%, implying that the corporate made a return of 11.49% on the money of its shareholders in the year. Nonetheless, the pay back is somewhat low as compared to the previous years, perhaps drawing a picture of a decline in the firm’s ability to allocate shareholder capital. The ROE was 26.31% in 2022, highlighting the strength in profitability and assets efficiency which was a result of the usage of the shareholders’ equity. As a greater ROE shows that the company has generated higher profits for its investors or shareholders which is a sign of </w:t>
      </w:r>
      <w:proofErr w:type="gramStart"/>
      <w:r>
        <w:rPr>
          <w:rFonts w:ascii="Times New Roman" w:hAnsi="Times New Roman"/>
          <w:sz w:val="24"/>
          <w:szCs w:val="24"/>
        </w:rPr>
        <w:t>best in class</w:t>
      </w:r>
      <w:proofErr w:type="gramEnd"/>
      <w:r>
        <w:rPr>
          <w:rFonts w:ascii="Times New Roman" w:hAnsi="Times New Roman"/>
          <w:sz w:val="24"/>
          <w:szCs w:val="24"/>
        </w:rPr>
        <w:t xml:space="preserve"> operational practices and management of liabilities and assets, Tata Steel has been able to generate a higher ROE. In 2021, ROE is 18.08% hence the company is performing extremely well at the creation of profits for shareholders. Tata Steel's high Return on Equity suggests that they implemented capital investment for shareholders reasonably and profitably to boost their shareholders' wealth and economic health of the nation. Nevertheless, in 2020, the Return on Equity shows as decline to 9.04% indicating a negative change of profitability and efficiency compared to the years before. The decrease of the ROE can be explained by various sources: expenses are growing, sales are not as good, or the market conditions are not </w:t>
      </w:r>
      <w:proofErr w:type="spellStart"/>
      <w:r>
        <w:rPr>
          <w:rFonts w:ascii="Times New Roman" w:hAnsi="Times New Roman"/>
          <w:sz w:val="24"/>
          <w:szCs w:val="24"/>
        </w:rPr>
        <w:t>favourable</w:t>
      </w:r>
      <w:proofErr w:type="spellEnd"/>
      <w:r>
        <w:rPr>
          <w:rFonts w:ascii="Times New Roman" w:hAnsi="Times New Roman"/>
          <w:sz w:val="24"/>
          <w:szCs w:val="24"/>
        </w:rPr>
        <w:t xml:space="preserve">. This affects the company's ability to produce profit for the shareholders. As for the ROE of 14.95% at the end of 2019, this shows that the firm is experiencing a moderate level of profitability, but also showing an efficient use of its </w:t>
      </w:r>
      <w:r>
        <w:rPr>
          <w:rFonts w:ascii="Times New Roman" w:hAnsi="Times New Roman"/>
          <w:sz w:val="24"/>
          <w:szCs w:val="24"/>
        </w:rPr>
        <w:lastRenderedPageBreak/>
        <w:t xml:space="preserve">shareholders' equity. However, although the Tata Steel´s ROE has been lower than in the record year 2022, the return still indicates the </w:t>
      </w:r>
      <w:proofErr w:type="spellStart"/>
      <w:r>
        <w:rPr>
          <w:rFonts w:ascii="Times New Roman" w:hAnsi="Times New Roman"/>
          <w:sz w:val="24"/>
          <w:szCs w:val="24"/>
        </w:rPr>
        <w:t>favourable</w:t>
      </w:r>
      <w:proofErr w:type="spellEnd"/>
      <w:r>
        <w:rPr>
          <w:rFonts w:ascii="Times New Roman" w:hAnsi="Times New Roman"/>
          <w:sz w:val="24"/>
          <w:szCs w:val="24"/>
        </w:rPr>
        <w:t xml:space="preserve"> operation to its shareholders, which directly leads to the higher value of shareholder and better financial performance.</w:t>
      </w:r>
    </w:p>
    <w:p w14:paraId="45C426D9"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In summary, the moving ROE of the company during last five years embodied a change in the company's financial performance and a way how its shareholder money was used. Higher ROE means a company is effective and profitable due to the ability of operations to turn into profit, while lower ROE indicates a company is not up to the standards for shareholders' returns. Tata Steel has been represented by various degrees of performance throughout time, but the fact is that a competent management and strategic decision making are significant things to make the shareholders happy and the financial performance good.</w:t>
      </w:r>
    </w:p>
    <w:p w14:paraId="111331B2"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7: Return on Equity (ROE)</w:t>
      </w:r>
    </w:p>
    <w:tbl>
      <w:tblPr>
        <w:tblW w:w="931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286"/>
        <w:gridCol w:w="816"/>
        <w:gridCol w:w="815"/>
        <w:gridCol w:w="815"/>
        <w:gridCol w:w="763"/>
        <w:gridCol w:w="816"/>
      </w:tblGrid>
      <w:tr w:rsidR="007F5874" w14:paraId="35B27D91" w14:textId="77777777">
        <w:trPr>
          <w:trHeight w:val="467"/>
          <w:jc w:val="center"/>
        </w:trPr>
        <w:tc>
          <w:tcPr>
            <w:tcW w:w="5285"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28662B7E" w14:textId="77777777" w:rsidR="007F5874" w:rsidRDefault="00402798">
            <w:r>
              <w:rPr>
                <w:rFonts w:ascii="Times New Roman" w:hAnsi="Times New Roman"/>
                <w:b/>
                <w:bCs/>
                <w:sz w:val="24"/>
                <w:szCs w:val="24"/>
              </w:rPr>
              <w:t>Years</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29F5298" w14:textId="77777777" w:rsidR="007F5874" w:rsidRDefault="00402798">
            <w:pPr>
              <w:spacing w:after="0" w:line="240" w:lineRule="auto"/>
              <w:jc w:val="center"/>
            </w:pPr>
            <w:r>
              <w:rPr>
                <w:rFonts w:ascii="Times New Roman" w:hAnsi="Times New Roman"/>
                <w:b/>
                <w:bCs/>
                <w:sz w:val="24"/>
                <w:szCs w:val="24"/>
              </w:rPr>
              <w:t>2023</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530788B" w14:textId="77777777" w:rsidR="007F5874" w:rsidRDefault="00402798">
            <w:pPr>
              <w:spacing w:after="0" w:line="240" w:lineRule="auto"/>
              <w:jc w:val="center"/>
            </w:pPr>
            <w:r>
              <w:rPr>
                <w:rFonts w:ascii="Times New Roman" w:hAnsi="Times New Roman"/>
                <w:b/>
                <w:bCs/>
                <w:sz w:val="24"/>
                <w:szCs w:val="24"/>
              </w:rPr>
              <w:t>2022</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0F8D58EC"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3C9902D7" w14:textId="77777777" w:rsidR="007F5874" w:rsidRDefault="00402798">
            <w:pPr>
              <w:spacing w:after="0" w:line="240" w:lineRule="auto"/>
              <w:jc w:val="center"/>
            </w:pPr>
            <w:r>
              <w:rPr>
                <w:rFonts w:ascii="Times New Roman" w:hAnsi="Times New Roman"/>
                <w:b/>
                <w:bCs/>
                <w:sz w:val="24"/>
                <w:szCs w:val="24"/>
              </w:rPr>
              <w:t>2020</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50ED948" w14:textId="77777777" w:rsidR="007F5874" w:rsidRDefault="00402798">
            <w:pPr>
              <w:spacing w:after="0" w:line="240" w:lineRule="auto"/>
              <w:jc w:val="center"/>
            </w:pPr>
            <w:r>
              <w:rPr>
                <w:rFonts w:ascii="Times New Roman" w:hAnsi="Times New Roman"/>
                <w:b/>
                <w:bCs/>
                <w:sz w:val="24"/>
                <w:szCs w:val="24"/>
              </w:rPr>
              <w:t>2019</w:t>
            </w:r>
          </w:p>
        </w:tc>
      </w:tr>
      <w:tr w:rsidR="007F5874" w14:paraId="0E26FFA3" w14:textId="77777777">
        <w:trPr>
          <w:trHeight w:val="467"/>
          <w:jc w:val="center"/>
        </w:trPr>
        <w:tc>
          <w:tcPr>
            <w:tcW w:w="5285"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1B87F86C" w14:textId="77777777" w:rsidR="007F5874" w:rsidRDefault="00402798">
            <w:pPr>
              <w:pStyle w:val="Caption"/>
            </w:pPr>
            <w:r>
              <w:rPr>
                <w:rFonts w:ascii="Times New Roman" w:hAnsi="Times New Roman"/>
                <w:b/>
                <w:bCs/>
                <w:i w:val="0"/>
                <w:iCs w:val="0"/>
                <w:color w:val="000000"/>
                <w:sz w:val="24"/>
                <w:szCs w:val="24"/>
                <w:u w:color="000000"/>
              </w:rPr>
              <w:t>Return on Equity (ROE)</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520B6B" w14:textId="77777777" w:rsidR="007F5874" w:rsidRDefault="00402798">
            <w:pPr>
              <w:spacing w:after="0" w:line="240" w:lineRule="auto"/>
              <w:jc w:val="center"/>
            </w:pPr>
            <w:r>
              <w:rPr>
                <w:rFonts w:ascii="Times New Roman" w:hAnsi="Times New Roman"/>
                <w:color w:val="333333"/>
                <w:sz w:val="24"/>
                <w:szCs w:val="24"/>
                <w:u w:color="333333"/>
              </w:rPr>
              <w:t>11.49</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CECF3" w14:textId="77777777" w:rsidR="007F5874" w:rsidRDefault="00402798">
            <w:pPr>
              <w:spacing w:after="0" w:line="240" w:lineRule="auto"/>
              <w:jc w:val="center"/>
            </w:pPr>
            <w:r>
              <w:rPr>
                <w:rFonts w:ascii="Times New Roman" w:hAnsi="Times New Roman"/>
                <w:color w:val="333333"/>
                <w:sz w:val="24"/>
                <w:szCs w:val="24"/>
                <w:u w:color="333333"/>
              </w:rPr>
              <w:t>26.31</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B0163" w14:textId="77777777" w:rsidR="007F5874" w:rsidRDefault="00402798">
            <w:pPr>
              <w:spacing w:after="0" w:line="240" w:lineRule="auto"/>
              <w:jc w:val="center"/>
            </w:pPr>
            <w:r>
              <w:rPr>
                <w:rFonts w:ascii="Times New Roman" w:hAnsi="Times New Roman"/>
                <w:color w:val="333333"/>
                <w:sz w:val="24"/>
                <w:szCs w:val="24"/>
                <w:u w:color="333333"/>
              </w:rPr>
              <w:t>18.08</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212E5F" w14:textId="77777777" w:rsidR="007F5874" w:rsidRDefault="00402798">
            <w:pPr>
              <w:spacing w:after="0" w:line="240" w:lineRule="auto"/>
              <w:jc w:val="center"/>
            </w:pPr>
            <w:r>
              <w:rPr>
                <w:rFonts w:ascii="Times New Roman" w:hAnsi="Times New Roman"/>
                <w:color w:val="333333"/>
                <w:sz w:val="24"/>
                <w:szCs w:val="24"/>
                <w:u w:color="333333"/>
              </w:rPr>
              <w:t>9.04</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FCD292" w14:textId="77777777" w:rsidR="007F5874" w:rsidRDefault="00402798">
            <w:pPr>
              <w:spacing w:after="0" w:line="240" w:lineRule="auto"/>
              <w:jc w:val="center"/>
            </w:pPr>
            <w:r>
              <w:rPr>
                <w:rFonts w:ascii="Times New Roman" w:hAnsi="Times New Roman"/>
                <w:color w:val="333333"/>
                <w:sz w:val="24"/>
                <w:szCs w:val="24"/>
                <w:u w:color="333333"/>
              </w:rPr>
              <w:t>14.95</w:t>
            </w:r>
          </w:p>
        </w:tc>
      </w:tr>
    </w:tbl>
    <w:p w14:paraId="0929C677"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22AF8A31" w14:textId="77777777" w:rsidR="007F5874" w:rsidRDefault="007F5874">
      <w:pPr>
        <w:rPr>
          <w:rFonts w:ascii="Times New Roman" w:eastAsia="Times New Roman" w:hAnsi="Times New Roman" w:cs="Times New Roman"/>
          <w:b/>
          <w:bCs/>
          <w:sz w:val="24"/>
          <w:szCs w:val="24"/>
        </w:rPr>
      </w:pPr>
    </w:p>
    <w:p w14:paraId="43552DCD"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7: Return on Equity (ROE)</w:t>
      </w:r>
    </w:p>
    <w:p w14:paraId="35CAED8F" w14:textId="77777777" w:rsidR="007F5874" w:rsidRDefault="00402798">
      <w:pPr>
        <w:jc w:val="center"/>
        <w:rPr>
          <w:rFonts w:ascii="Times New Roman" w:eastAsia="Times New Roman" w:hAnsi="Times New Roman" w:cs="Times New Roman"/>
          <w:b/>
          <w:bCs/>
          <w:sz w:val="24"/>
          <w:szCs w:val="24"/>
        </w:rPr>
      </w:pPr>
      <w:r>
        <w:rPr>
          <w:noProof/>
        </w:rPr>
        <w:drawing>
          <wp:inline distT="0" distB="0" distL="114300" distR="114300" wp14:anchorId="1C9F31B7" wp14:editId="224307C8">
            <wp:extent cx="4516071" cy="2399378"/>
            <wp:effectExtent l="0" t="0" r="0" b="0"/>
            <wp:docPr id="104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50869DB"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4.3.3. Return on Assets (ROA)</w:t>
      </w:r>
    </w:p>
    <w:p w14:paraId="6ED1C767"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ROA highlights company's ability to earn profits from available assets and to measure the efficiency by comparison with the overall assets. ROA value above the industry average implies high efficiency of assets, and vice versa: lower ROA indicates bad performance. Once the investigation was carried out, the oscillations of the Return on Assets of Tata Steel can be </w:t>
      </w:r>
      <w:r>
        <w:rPr>
          <w:rFonts w:ascii="Times New Roman" w:hAnsi="Times New Roman"/>
          <w:sz w:val="24"/>
          <w:szCs w:val="24"/>
        </w:rPr>
        <w:lastRenderedPageBreak/>
        <w:t xml:space="preserve">noticed throughout the five-year period. The ROA for Tata Steel in 2023 was 6.62%, which means it has received 6.62% return on its total assets during the particular year. Being profit, the result is evident; it means that asset turnover is going down since in comparison to previous years, company profits are less. An ROA of 14.87% in 2022 indicates a good level of profitability and utilization efficiency of the assets in the company. This implies that Tata steel has reached a high level of success based on its profitability provided by prudent operation of its resources. The year 2021 generated ROA at 9.46%, and thus another year of profits increased based on assets. This is a testimony to the fact that Tata Steel has managed to use its resources judiciously in order to earn profit accruals and thereby improve overall financial performance of the company from shareholders' standpoint. But it was only in 2020 that the Return on Assets dropped to 4.48%, which corresponds to decline in profitability and asset efficiency that we shouldn’t miss. Adequacy reasons for the reduction of ROA can be company's increasing expenditures, decline of revenues and adverse market conditions that in turn slow down the cash flow of company's assets. Also, the ROA in the 2019 amount to 7.66%, that corresponds to a moderate level of profitability and asset productivity. The ROA which is marginally down from the highest point but still exhibited fairly good returns from the assets in a way that boosted the total financial operation of the company. </w:t>
      </w:r>
    </w:p>
    <w:p w14:paraId="00DBBA40"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fluctuation in ROA of Tata Steel over the prior 5 years indicates alternations in the company's financial performance and efficiency on the </w:t>
      </w:r>
      <w:proofErr w:type="spellStart"/>
      <w:r>
        <w:rPr>
          <w:rFonts w:ascii="Times New Roman" w:hAnsi="Times New Roman"/>
          <w:sz w:val="24"/>
          <w:szCs w:val="24"/>
        </w:rPr>
        <w:t>utilising</w:t>
      </w:r>
      <w:proofErr w:type="spellEnd"/>
      <w:r>
        <w:rPr>
          <w:rFonts w:ascii="Times New Roman" w:hAnsi="Times New Roman"/>
          <w:sz w:val="24"/>
          <w:szCs w:val="24"/>
        </w:rPr>
        <w:t xml:space="preserve"> its assets. Higher ROA figures translate either to better </w:t>
      </w:r>
      <w:proofErr w:type="spellStart"/>
      <w:r>
        <w:rPr>
          <w:rFonts w:ascii="Times New Roman" w:hAnsi="Times New Roman"/>
          <w:sz w:val="24"/>
          <w:szCs w:val="24"/>
        </w:rPr>
        <w:t>utilisation</w:t>
      </w:r>
      <w:proofErr w:type="spellEnd"/>
      <w:r>
        <w:rPr>
          <w:rFonts w:ascii="Times New Roman" w:hAnsi="Times New Roman"/>
          <w:sz w:val="24"/>
          <w:szCs w:val="24"/>
        </w:rPr>
        <w:t xml:space="preserve"> and performance of assets or to problems to be able to generate profits from them. In different periods a high degree of efficiency in the Tata Steel asset utility in profits generation was demonstrated indicating the necessity of the competent resource management and strategic decision making for the financial result and shareholder value.</w:t>
      </w:r>
    </w:p>
    <w:p w14:paraId="0884D83C"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8: Return on Assets (ROA)</w:t>
      </w:r>
    </w:p>
    <w:tbl>
      <w:tblPr>
        <w:tblW w:w="931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444"/>
        <w:gridCol w:w="763"/>
        <w:gridCol w:w="816"/>
        <w:gridCol w:w="763"/>
        <w:gridCol w:w="763"/>
        <w:gridCol w:w="763"/>
      </w:tblGrid>
      <w:tr w:rsidR="007F5874" w14:paraId="0F8C686B" w14:textId="77777777">
        <w:trPr>
          <w:trHeight w:val="467"/>
          <w:jc w:val="center"/>
        </w:trPr>
        <w:tc>
          <w:tcPr>
            <w:tcW w:w="5444"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6B682500" w14:textId="77777777" w:rsidR="007F5874" w:rsidRDefault="00402798">
            <w:r>
              <w:rPr>
                <w:rFonts w:ascii="Times New Roman" w:hAnsi="Times New Roman"/>
                <w:b/>
                <w:bCs/>
                <w:sz w:val="24"/>
                <w:szCs w:val="24"/>
              </w:rPr>
              <w:t>Years</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156066FA" w14:textId="77777777" w:rsidR="007F5874" w:rsidRDefault="00402798">
            <w:pPr>
              <w:spacing w:after="0" w:line="240" w:lineRule="auto"/>
              <w:jc w:val="center"/>
            </w:pPr>
            <w:r>
              <w:rPr>
                <w:rFonts w:ascii="Times New Roman" w:hAnsi="Times New Roman"/>
                <w:b/>
                <w:bCs/>
                <w:sz w:val="24"/>
                <w:szCs w:val="24"/>
              </w:rPr>
              <w:t>2023</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E5B4B54" w14:textId="77777777" w:rsidR="007F5874" w:rsidRDefault="00402798">
            <w:pPr>
              <w:spacing w:after="0" w:line="240" w:lineRule="auto"/>
              <w:jc w:val="center"/>
            </w:pPr>
            <w:r>
              <w:rPr>
                <w:rFonts w:ascii="Times New Roman" w:hAnsi="Times New Roman"/>
                <w:b/>
                <w:bCs/>
                <w:sz w:val="24"/>
                <w:szCs w:val="24"/>
              </w:rPr>
              <w:t>2022</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F65AC6E"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A94ECC5" w14:textId="77777777" w:rsidR="007F5874" w:rsidRDefault="00402798">
            <w:pPr>
              <w:spacing w:after="0" w:line="240" w:lineRule="auto"/>
              <w:jc w:val="center"/>
            </w:pPr>
            <w:r>
              <w:rPr>
                <w:rFonts w:ascii="Times New Roman" w:hAnsi="Times New Roman"/>
                <w:b/>
                <w:bCs/>
                <w:sz w:val="24"/>
                <w:szCs w:val="24"/>
              </w:rPr>
              <w:t>2020</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3E4C48AA" w14:textId="77777777" w:rsidR="007F5874" w:rsidRDefault="00402798">
            <w:pPr>
              <w:spacing w:after="0" w:line="240" w:lineRule="auto"/>
              <w:jc w:val="center"/>
            </w:pPr>
            <w:r>
              <w:rPr>
                <w:rFonts w:ascii="Times New Roman" w:hAnsi="Times New Roman"/>
                <w:b/>
                <w:bCs/>
                <w:sz w:val="24"/>
                <w:szCs w:val="24"/>
              </w:rPr>
              <w:t>2019</w:t>
            </w:r>
          </w:p>
        </w:tc>
      </w:tr>
      <w:tr w:rsidR="007F5874" w14:paraId="386D9BA5" w14:textId="77777777">
        <w:trPr>
          <w:trHeight w:val="467"/>
          <w:jc w:val="center"/>
        </w:trPr>
        <w:tc>
          <w:tcPr>
            <w:tcW w:w="5444"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188E8F5D" w14:textId="77777777" w:rsidR="007F5874" w:rsidRDefault="00402798">
            <w:pPr>
              <w:pStyle w:val="Caption"/>
            </w:pPr>
            <w:r>
              <w:rPr>
                <w:rFonts w:ascii="Times New Roman" w:hAnsi="Times New Roman"/>
                <w:b/>
                <w:bCs/>
                <w:i w:val="0"/>
                <w:iCs w:val="0"/>
                <w:color w:val="000000"/>
                <w:sz w:val="24"/>
                <w:szCs w:val="24"/>
                <w:u w:color="000000"/>
              </w:rPr>
              <w:t>Return on Assets (ROA)</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EA8FF" w14:textId="77777777" w:rsidR="007F5874" w:rsidRDefault="00402798">
            <w:pPr>
              <w:spacing w:after="0" w:line="240" w:lineRule="auto"/>
              <w:jc w:val="center"/>
            </w:pPr>
            <w:r>
              <w:rPr>
                <w:rFonts w:ascii="Times New Roman" w:hAnsi="Times New Roman"/>
                <w:color w:val="333333"/>
                <w:sz w:val="24"/>
                <w:szCs w:val="24"/>
                <w:u w:color="333333"/>
              </w:rPr>
              <w:t>6.62</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45F9AF" w14:textId="77777777" w:rsidR="007F5874" w:rsidRDefault="00402798">
            <w:pPr>
              <w:spacing w:after="0" w:line="240" w:lineRule="auto"/>
              <w:jc w:val="center"/>
            </w:pPr>
            <w:r>
              <w:rPr>
                <w:rFonts w:ascii="Times New Roman" w:hAnsi="Times New Roman"/>
                <w:color w:val="333333"/>
                <w:sz w:val="24"/>
                <w:szCs w:val="24"/>
                <w:u w:color="333333"/>
              </w:rPr>
              <w:t>14.87</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886725" w14:textId="77777777" w:rsidR="007F5874" w:rsidRDefault="00402798">
            <w:pPr>
              <w:spacing w:after="0" w:line="240" w:lineRule="auto"/>
              <w:jc w:val="center"/>
            </w:pPr>
            <w:r>
              <w:rPr>
                <w:rFonts w:ascii="Times New Roman" w:hAnsi="Times New Roman"/>
                <w:color w:val="333333"/>
                <w:sz w:val="24"/>
                <w:szCs w:val="24"/>
                <w:u w:color="333333"/>
              </w:rPr>
              <w:t>9.46</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E9D599" w14:textId="77777777" w:rsidR="007F5874" w:rsidRDefault="00402798">
            <w:pPr>
              <w:spacing w:after="0" w:line="240" w:lineRule="auto"/>
              <w:jc w:val="center"/>
            </w:pPr>
            <w:r>
              <w:rPr>
                <w:rFonts w:ascii="Times New Roman" w:hAnsi="Times New Roman"/>
                <w:color w:val="333333"/>
                <w:sz w:val="24"/>
                <w:szCs w:val="24"/>
                <w:u w:color="333333"/>
              </w:rPr>
              <w:t>4.48</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B442A5" w14:textId="77777777" w:rsidR="007F5874" w:rsidRDefault="00402798">
            <w:pPr>
              <w:spacing w:after="0" w:line="240" w:lineRule="auto"/>
              <w:jc w:val="center"/>
            </w:pPr>
            <w:r>
              <w:rPr>
                <w:rFonts w:ascii="Times New Roman" w:hAnsi="Times New Roman"/>
                <w:color w:val="333333"/>
                <w:sz w:val="24"/>
                <w:szCs w:val="24"/>
                <w:u w:color="333333"/>
              </w:rPr>
              <w:t>7.66</w:t>
            </w:r>
          </w:p>
        </w:tc>
      </w:tr>
    </w:tbl>
    <w:p w14:paraId="5FF8CB67"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66A00CAD" w14:textId="77777777" w:rsidR="007F5874" w:rsidRDefault="007F5874"/>
    <w:p w14:paraId="25133605"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8: Return on Assets (ROA)</w:t>
      </w:r>
    </w:p>
    <w:p w14:paraId="6D0C2A3E" w14:textId="77777777" w:rsidR="007F5874" w:rsidRDefault="00402798">
      <w:pPr>
        <w:jc w:val="center"/>
        <w:rPr>
          <w:rFonts w:ascii="Times New Roman" w:eastAsia="Times New Roman" w:hAnsi="Times New Roman" w:cs="Times New Roman"/>
          <w:b/>
          <w:bCs/>
          <w:sz w:val="24"/>
          <w:szCs w:val="24"/>
        </w:rPr>
      </w:pPr>
      <w:r>
        <w:rPr>
          <w:noProof/>
        </w:rPr>
        <w:lastRenderedPageBreak/>
        <w:drawing>
          <wp:inline distT="0" distB="0" distL="114300" distR="114300" wp14:anchorId="008E5662" wp14:editId="6F948F18">
            <wp:extent cx="4582746" cy="2742278"/>
            <wp:effectExtent l="0" t="0" r="0" b="0"/>
            <wp:docPr id="104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6BD70DB" w14:textId="77777777" w:rsidR="007F5874" w:rsidRDefault="007F5874">
      <w:pPr>
        <w:rPr>
          <w:rFonts w:ascii="Times New Roman" w:eastAsia="Times New Roman" w:hAnsi="Times New Roman" w:cs="Times New Roman"/>
          <w:b/>
          <w:bCs/>
          <w:sz w:val="24"/>
          <w:szCs w:val="24"/>
        </w:rPr>
      </w:pPr>
    </w:p>
    <w:p w14:paraId="2C9F3D6E" w14:textId="77777777" w:rsidR="007F5874" w:rsidRDefault="00402798">
      <w:pPr>
        <w:rPr>
          <w:rFonts w:ascii="Times New Roman" w:eastAsia="Times New Roman" w:hAnsi="Times New Roman" w:cs="Times New Roman"/>
          <w:b/>
          <w:bCs/>
          <w:sz w:val="24"/>
          <w:szCs w:val="24"/>
        </w:rPr>
      </w:pPr>
      <w:r>
        <w:rPr>
          <w:rFonts w:ascii="Times New Roman" w:hAnsi="Times New Roman"/>
          <w:b/>
          <w:bCs/>
          <w:sz w:val="24"/>
          <w:szCs w:val="24"/>
        </w:rPr>
        <w:t>4.3.4. Return on Capital Employed (ROCE)</w:t>
      </w:r>
    </w:p>
    <w:p w14:paraId="74045D74"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ROCE is a measure that is employed to evaluate the profits generated from the relatively invested debt and equity funds of a company. Generating more profits per unit of employed capital is the meaning of higher ROCE, whereas lower ROCE reveals poor performance or inefficiency. By reviewing the data, we can see that the fluctuations appeared in the period of five years, in regard to Tata Steel's Return on Capital Employed. In 2023, Tata Steel managed to achieve a ROCE of 13.66%, which was an indication that a return of 13.66% was generated for every unit of the capital they utilized in that year. However, the figures show negative trend for the ROCE parameter in relation to the company’s previous years, which may lead to the overall falling in its efficiency. The ROCE in the year 2022 amounting to 27.99% signifies a strong level of profitability and the efficient usage of capital investment. With a higher ROCE, it can be said that Tata Steel has attained substantial profitability as a result of successful capital </w:t>
      </w:r>
      <w:proofErr w:type="spellStart"/>
      <w:r>
        <w:rPr>
          <w:rFonts w:ascii="Times New Roman" w:hAnsi="Times New Roman"/>
          <w:sz w:val="24"/>
          <w:szCs w:val="24"/>
        </w:rPr>
        <w:t>utilisation</w:t>
      </w:r>
      <w:proofErr w:type="spellEnd"/>
      <w:r>
        <w:rPr>
          <w:rFonts w:ascii="Times New Roman" w:hAnsi="Times New Roman"/>
          <w:sz w:val="24"/>
          <w:szCs w:val="24"/>
        </w:rPr>
        <w:t xml:space="preserve"> (Capital structure management). Just like that, the ROCE for 2021 year was 14.89%, granting another year of lucrative profit generation from the capital. Such a trend means that Tata Steel efficiently invested in capital to return the profits that improve its total financial performance and shareholder value. However, contrary to the fact, there is a minor fall to 9.49% for Return on Capital Employed in 2020, showing a dip in the commercial efficiency and profitability compared to the previous years. The decline in ROCE may be attributed to multiple factors, including the cost of inputs, sales, and uncertainty of the market conditions, which in turn have affected exceed returns on Tata Steel's invested capital. Consequently, the ROCE of 2019 at 17.12% is an indicator of a relatively high efficiency in </w:t>
      </w:r>
      <w:r>
        <w:rPr>
          <w:rFonts w:ascii="Times New Roman" w:hAnsi="Times New Roman"/>
          <w:sz w:val="24"/>
          <w:szCs w:val="24"/>
        </w:rPr>
        <w:lastRenderedPageBreak/>
        <w:t>capital usage and profitability. Whereby the ROCE is below the highest point attained in 2022, this metric shows the powerful positive relationship between the profits that the firm generates from its invested capital and the overall financial performance.</w:t>
      </w:r>
    </w:p>
    <w:p w14:paraId="668229B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In a nutshell, Tata Steels' divergent Return on Capital Employed in the last 5 years reflect its changes in profits and investment productivity. Higher ROCE figures point to a more efficient use of capital and higher income for the business. On the flip side, reduced ROCE ratios signify problems either in achieving returns from the employed capital or inadequate use of the resources. Tata Steel has been successful in capitalizing (using capital investments) at different rates at different times. That shows the importance of logical capital directions and wise decision taking in creating financial success and shareholder value.</w:t>
      </w:r>
    </w:p>
    <w:p w14:paraId="2A866390"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9: Return on Capital Employed (ROCE)</w:t>
      </w:r>
    </w:p>
    <w:tbl>
      <w:tblPr>
        <w:tblW w:w="931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5286"/>
        <w:gridCol w:w="816"/>
        <w:gridCol w:w="815"/>
        <w:gridCol w:w="815"/>
        <w:gridCol w:w="763"/>
        <w:gridCol w:w="816"/>
      </w:tblGrid>
      <w:tr w:rsidR="007F5874" w14:paraId="06D4C9F9" w14:textId="77777777">
        <w:trPr>
          <w:trHeight w:val="467"/>
          <w:jc w:val="center"/>
        </w:trPr>
        <w:tc>
          <w:tcPr>
            <w:tcW w:w="5285"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00A6533F" w14:textId="77777777" w:rsidR="007F5874" w:rsidRDefault="00402798">
            <w:r>
              <w:rPr>
                <w:rFonts w:ascii="Times New Roman" w:hAnsi="Times New Roman"/>
                <w:b/>
                <w:bCs/>
                <w:sz w:val="24"/>
                <w:szCs w:val="24"/>
              </w:rPr>
              <w:t>Years</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07D459C1" w14:textId="77777777" w:rsidR="007F5874" w:rsidRDefault="00402798">
            <w:pPr>
              <w:spacing w:after="0" w:line="240" w:lineRule="auto"/>
              <w:jc w:val="center"/>
            </w:pPr>
            <w:r>
              <w:rPr>
                <w:rFonts w:ascii="Times New Roman" w:hAnsi="Times New Roman"/>
                <w:b/>
                <w:bCs/>
                <w:sz w:val="24"/>
                <w:szCs w:val="24"/>
              </w:rPr>
              <w:t>2023</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883E7A0" w14:textId="77777777" w:rsidR="007F5874" w:rsidRDefault="00402798">
            <w:pPr>
              <w:spacing w:after="0" w:line="240" w:lineRule="auto"/>
              <w:jc w:val="center"/>
            </w:pPr>
            <w:r>
              <w:rPr>
                <w:rFonts w:ascii="Times New Roman" w:hAnsi="Times New Roman"/>
                <w:b/>
                <w:bCs/>
                <w:sz w:val="24"/>
                <w:szCs w:val="24"/>
              </w:rPr>
              <w:t>2022</w:t>
            </w:r>
          </w:p>
        </w:tc>
        <w:tc>
          <w:tcPr>
            <w:tcW w:w="815"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759D866" w14:textId="77777777" w:rsidR="007F5874" w:rsidRDefault="00402798">
            <w:pPr>
              <w:spacing w:after="0" w:line="240" w:lineRule="auto"/>
              <w:jc w:val="center"/>
            </w:pPr>
            <w:r>
              <w:rPr>
                <w:rFonts w:ascii="Times New Roman" w:hAnsi="Times New Roman"/>
                <w:b/>
                <w:bCs/>
                <w:sz w:val="24"/>
                <w:szCs w:val="24"/>
              </w:rPr>
              <w:t>2021</w:t>
            </w:r>
          </w:p>
        </w:tc>
        <w:tc>
          <w:tcPr>
            <w:tcW w:w="763"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4CCFBF9C" w14:textId="77777777" w:rsidR="007F5874" w:rsidRDefault="00402798">
            <w:pPr>
              <w:spacing w:after="0" w:line="240" w:lineRule="auto"/>
              <w:jc w:val="center"/>
            </w:pPr>
            <w:r>
              <w:rPr>
                <w:rFonts w:ascii="Times New Roman" w:hAnsi="Times New Roman"/>
                <w:b/>
                <w:bCs/>
                <w:sz w:val="24"/>
                <w:szCs w:val="24"/>
              </w:rPr>
              <w:t>2020</w:t>
            </w:r>
          </w:p>
        </w:tc>
        <w:tc>
          <w:tcPr>
            <w:tcW w:w="816"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58F69591" w14:textId="77777777" w:rsidR="007F5874" w:rsidRDefault="00402798">
            <w:pPr>
              <w:spacing w:after="0" w:line="240" w:lineRule="auto"/>
              <w:jc w:val="center"/>
            </w:pPr>
            <w:r>
              <w:rPr>
                <w:rFonts w:ascii="Times New Roman" w:hAnsi="Times New Roman"/>
                <w:b/>
                <w:bCs/>
                <w:sz w:val="24"/>
                <w:szCs w:val="24"/>
              </w:rPr>
              <w:t>2019</w:t>
            </w:r>
          </w:p>
        </w:tc>
      </w:tr>
      <w:tr w:rsidR="007F5874" w14:paraId="7F1E3563" w14:textId="77777777">
        <w:trPr>
          <w:trHeight w:val="467"/>
          <w:jc w:val="center"/>
        </w:trPr>
        <w:tc>
          <w:tcPr>
            <w:tcW w:w="5285" w:type="dxa"/>
            <w:tcBorders>
              <w:top w:val="single" w:sz="4" w:space="0" w:color="000000"/>
              <w:left w:val="single" w:sz="4" w:space="0" w:color="000000"/>
              <w:bottom w:val="single" w:sz="4" w:space="0" w:color="000000"/>
              <w:right w:val="single" w:sz="4" w:space="0" w:color="000000"/>
            </w:tcBorders>
            <w:shd w:val="clear" w:color="auto" w:fill="D0CECE"/>
            <w:tcMar>
              <w:top w:w="80" w:type="dxa"/>
              <w:left w:w="80" w:type="dxa"/>
              <w:bottom w:w="80" w:type="dxa"/>
              <w:right w:w="80" w:type="dxa"/>
            </w:tcMar>
          </w:tcPr>
          <w:p w14:paraId="2C551752" w14:textId="77777777" w:rsidR="007F5874" w:rsidRDefault="00402798">
            <w:pPr>
              <w:pStyle w:val="Caption"/>
            </w:pPr>
            <w:r>
              <w:rPr>
                <w:rFonts w:ascii="Times New Roman" w:hAnsi="Times New Roman"/>
                <w:b/>
                <w:bCs/>
                <w:i w:val="0"/>
                <w:iCs w:val="0"/>
                <w:color w:val="000000"/>
                <w:sz w:val="24"/>
                <w:szCs w:val="24"/>
                <w:u w:color="000000"/>
              </w:rPr>
              <w:t>Return on Capital Employed (ROCE)</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6C71AA" w14:textId="77777777" w:rsidR="007F5874" w:rsidRDefault="00402798">
            <w:pPr>
              <w:spacing w:after="0" w:line="240" w:lineRule="auto"/>
              <w:jc w:val="center"/>
            </w:pPr>
            <w:r>
              <w:rPr>
                <w:rFonts w:ascii="Times New Roman" w:hAnsi="Times New Roman"/>
                <w:color w:val="333333"/>
                <w:sz w:val="24"/>
                <w:szCs w:val="24"/>
                <w:u w:color="333333"/>
              </w:rPr>
              <w:t>13.66</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516E88" w14:textId="77777777" w:rsidR="007F5874" w:rsidRDefault="00402798">
            <w:pPr>
              <w:spacing w:after="0" w:line="240" w:lineRule="auto"/>
              <w:jc w:val="center"/>
            </w:pPr>
            <w:r>
              <w:rPr>
                <w:rFonts w:ascii="Times New Roman" w:hAnsi="Times New Roman"/>
                <w:color w:val="333333"/>
                <w:sz w:val="24"/>
                <w:szCs w:val="24"/>
                <w:u w:color="333333"/>
              </w:rPr>
              <w:t>27.99</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0A4733" w14:textId="77777777" w:rsidR="007F5874" w:rsidRDefault="00402798">
            <w:pPr>
              <w:spacing w:after="0" w:line="240" w:lineRule="auto"/>
              <w:jc w:val="center"/>
            </w:pPr>
            <w:r>
              <w:rPr>
                <w:rFonts w:ascii="Times New Roman" w:hAnsi="Times New Roman"/>
                <w:color w:val="333333"/>
                <w:sz w:val="24"/>
                <w:szCs w:val="24"/>
                <w:u w:color="333333"/>
              </w:rPr>
              <w:t>14.89</w:t>
            </w:r>
          </w:p>
        </w:tc>
        <w:tc>
          <w:tcPr>
            <w:tcW w:w="7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5A49AA" w14:textId="77777777" w:rsidR="007F5874" w:rsidRDefault="00402798">
            <w:pPr>
              <w:spacing w:after="0" w:line="240" w:lineRule="auto"/>
              <w:jc w:val="center"/>
            </w:pPr>
            <w:r>
              <w:rPr>
                <w:rFonts w:ascii="Times New Roman" w:hAnsi="Times New Roman"/>
                <w:color w:val="333333"/>
                <w:sz w:val="24"/>
                <w:szCs w:val="24"/>
                <w:u w:color="333333"/>
              </w:rPr>
              <w:t>9.49</w:t>
            </w:r>
          </w:p>
        </w:tc>
        <w:tc>
          <w:tcPr>
            <w:tcW w:w="8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8EC4D" w14:textId="77777777" w:rsidR="007F5874" w:rsidRDefault="00402798">
            <w:pPr>
              <w:spacing w:after="0" w:line="240" w:lineRule="auto"/>
              <w:jc w:val="center"/>
            </w:pPr>
            <w:r>
              <w:rPr>
                <w:rFonts w:ascii="Times New Roman" w:hAnsi="Times New Roman"/>
                <w:color w:val="333333"/>
                <w:sz w:val="24"/>
                <w:szCs w:val="24"/>
                <w:u w:color="333333"/>
              </w:rPr>
              <w:t>17.12</w:t>
            </w:r>
          </w:p>
        </w:tc>
      </w:tr>
    </w:tbl>
    <w:p w14:paraId="44F31AFD"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3D5F37D9" w14:textId="77777777" w:rsidR="007F5874" w:rsidRDefault="007F5874">
      <w:pPr>
        <w:rPr>
          <w:rFonts w:ascii="Times New Roman" w:eastAsia="Times New Roman" w:hAnsi="Times New Roman" w:cs="Times New Roman"/>
          <w:b/>
          <w:bCs/>
          <w:sz w:val="24"/>
          <w:szCs w:val="24"/>
        </w:rPr>
      </w:pPr>
    </w:p>
    <w:p w14:paraId="08EE54CE"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Figure 9: Return on Capital Employed (ROCE)</w:t>
      </w:r>
    </w:p>
    <w:p w14:paraId="3A381590" w14:textId="77777777" w:rsidR="007F5874" w:rsidRDefault="00402798">
      <w:pPr>
        <w:jc w:val="center"/>
        <w:rPr>
          <w:rFonts w:ascii="Times New Roman" w:eastAsia="Times New Roman" w:hAnsi="Times New Roman" w:cs="Times New Roman"/>
          <w:b/>
          <w:bCs/>
          <w:sz w:val="24"/>
          <w:szCs w:val="24"/>
        </w:rPr>
      </w:pPr>
      <w:r>
        <w:rPr>
          <w:noProof/>
        </w:rPr>
        <w:drawing>
          <wp:inline distT="0" distB="0" distL="114300" distR="114300" wp14:anchorId="31426CFA" wp14:editId="5C5B8F5B">
            <wp:extent cx="4582746" cy="2742278"/>
            <wp:effectExtent l="0" t="0" r="0" b="0"/>
            <wp:docPr id="104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A00E08" w14:textId="77777777" w:rsidR="007F5874" w:rsidRDefault="007F5874">
      <w:pPr>
        <w:rPr>
          <w:rFonts w:ascii="Times New Roman" w:eastAsia="Times New Roman" w:hAnsi="Times New Roman" w:cs="Times New Roman"/>
          <w:b/>
          <w:bCs/>
          <w:sz w:val="24"/>
          <w:szCs w:val="24"/>
        </w:rPr>
      </w:pPr>
    </w:p>
    <w:p w14:paraId="5B46FEC7" w14:textId="77777777" w:rsidR="007F5874" w:rsidRDefault="00402798">
      <w:pPr>
        <w:pStyle w:val="Heading2"/>
        <w:spacing w:line="360" w:lineRule="auto"/>
        <w:jc w:val="both"/>
        <w:rPr>
          <w:rFonts w:ascii="Times New Roman" w:eastAsia="Times New Roman" w:hAnsi="Times New Roman" w:cs="Times New Roman"/>
          <w:b/>
          <w:bCs/>
          <w:color w:val="000000"/>
          <w:u w:color="000000"/>
        </w:rPr>
      </w:pPr>
      <w:bookmarkStart w:id="28" w:name="_Toc28"/>
      <w:r>
        <w:rPr>
          <w:rFonts w:ascii="Times New Roman" w:hAnsi="Times New Roman"/>
          <w:b/>
          <w:bCs/>
          <w:color w:val="000000"/>
          <w:u w:color="000000"/>
        </w:rPr>
        <w:lastRenderedPageBreak/>
        <w:t xml:space="preserve">4.4. Analysis of impact of capital structure on the financial performance of Tata Steel Ltd. </w:t>
      </w:r>
      <w:bookmarkEnd w:id="28"/>
    </w:p>
    <w:p w14:paraId="4DA90922"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correlation analysis (Table 9) offers insights on the association between Tata Steel </w:t>
      </w:r>
      <w:proofErr w:type="spellStart"/>
      <w:r>
        <w:rPr>
          <w:rFonts w:ascii="Times New Roman" w:hAnsi="Times New Roman"/>
          <w:sz w:val="24"/>
          <w:szCs w:val="24"/>
        </w:rPr>
        <w:t>Ltd's</w:t>
      </w:r>
      <w:proofErr w:type="spellEnd"/>
      <w:r>
        <w:rPr>
          <w:rFonts w:ascii="Times New Roman" w:hAnsi="Times New Roman"/>
          <w:sz w:val="24"/>
          <w:szCs w:val="24"/>
        </w:rPr>
        <w:t xml:space="preserve"> capital structure and its financial performance. Such analysis reveals a high degree of positive correlation not only between the current ratio (CR) and those other financial indicators, i.e., net profit margin (NPM), return on equity (ROE), return on assets (ROA), and return on capital employed (ROCE), but also other performance indicators among themselves. This result implies that a firmer ratio of pervious assets to current debt leads to an improvement of Tata Steel financial performance in an overall perspective. Correspondingly, there is a close positive correlation between the general debt/equity ratio and the financial performance indexes, as well. This underlines the fact that borrowing more than own contribution equity leads to the better money success for the business. What this reveals is that capital decision making process should be done very carefully and have the intention of enhancing profitability and </w:t>
      </w:r>
      <w:proofErr w:type="spellStart"/>
      <w:proofErr w:type="gramStart"/>
      <w:r>
        <w:rPr>
          <w:rFonts w:ascii="Times New Roman" w:hAnsi="Times New Roman"/>
          <w:sz w:val="24"/>
          <w:szCs w:val="24"/>
        </w:rPr>
        <w:t>efficiency.The</w:t>
      </w:r>
      <w:proofErr w:type="spellEnd"/>
      <w:proofErr w:type="gramEnd"/>
      <w:r>
        <w:rPr>
          <w:rFonts w:ascii="Times New Roman" w:hAnsi="Times New Roman"/>
          <w:sz w:val="24"/>
          <w:szCs w:val="24"/>
        </w:rPr>
        <w:t xml:space="preserve"> association among the quick ratio (QR) and its stock turnover ratio (ITR) and different financial performance indicators is also quite significant. Clearly, the prompt relationship between QR and the NPM as well as ROCE is exceedingly stronger than those with ROE and ROA. This suggests that the placing of liquidity through assets which can easily be converted adds positively on profitability as well as efficiency in terms of capital. Nonetheless, the influence led by this trend on the shareholder returns and rate of asset </w:t>
      </w:r>
      <w:proofErr w:type="spellStart"/>
      <w:r>
        <w:rPr>
          <w:rFonts w:ascii="Times New Roman" w:hAnsi="Times New Roman"/>
          <w:sz w:val="24"/>
          <w:szCs w:val="24"/>
        </w:rPr>
        <w:t>utilisation</w:t>
      </w:r>
      <w:proofErr w:type="spellEnd"/>
      <w:r>
        <w:rPr>
          <w:rFonts w:ascii="Times New Roman" w:hAnsi="Times New Roman"/>
          <w:sz w:val="24"/>
          <w:szCs w:val="24"/>
        </w:rPr>
        <w:t xml:space="preserve"> might be rather light. The result shows that the ITR is positively correlated and have significant impact on NPM, ROE, and ROA, suggesting that the management of inventories plays the most important role in increasing profitability, equity returns, and asset performance. Notwithstanding, however, inventory turnover effect on ROCE is comparatively feeble, demonstrating an inverse link between inventory turnover and capital effectiveness.</w:t>
      </w:r>
    </w:p>
    <w:p w14:paraId="68D04C5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Basically, the correlation study draws a picture of relationship between the decisions of Tata Steel on its capital structure and the financial results that will consequently follow. The result reveals the relevance of balance amongst liquidity, leverage and asset balance in order to achieve the optimum customer profitability, shareholder return and capital efficiency. </w:t>
      </w:r>
      <w:proofErr w:type="gramStart"/>
      <w:r>
        <w:rPr>
          <w:rFonts w:ascii="Times New Roman" w:hAnsi="Times New Roman"/>
          <w:sz w:val="24"/>
          <w:szCs w:val="24"/>
        </w:rPr>
        <w:t>Thus</w:t>
      </w:r>
      <w:proofErr w:type="gramEnd"/>
      <w:r>
        <w:rPr>
          <w:rFonts w:ascii="Times New Roman" w:hAnsi="Times New Roman"/>
          <w:sz w:val="24"/>
          <w:szCs w:val="24"/>
        </w:rPr>
        <w:t xml:space="preserve"> Tata Steel can have capital structure </w:t>
      </w:r>
      <w:proofErr w:type="spellStart"/>
      <w:r>
        <w:rPr>
          <w:rFonts w:ascii="Times New Roman" w:hAnsi="Times New Roman"/>
          <w:sz w:val="24"/>
          <w:szCs w:val="24"/>
        </w:rPr>
        <w:t>optimised</w:t>
      </w:r>
      <w:proofErr w:type="spellEnd"/>
      <w:r>
        <w:rPr>
          <w:rFonts w:ascii="Times New Roman" w:hAnsi="Times New Roman"/>
          <w:sz w:val="24"/>
          <w:szCs w:val="24"/>
        </w:rPr>
        <w:t xml:space="preserve"> by understanding and utilizing these interconnections, by which it can make wise choices correlate to its strategic goals and enhance its financial wellbeing and durability.</w:t>
      </w:r>
    </w:p>
    <w:p w14:paraId="1A0CC001" w14:textId="77777777" w:rsidR="007F5874" w:rsidRDefault="00402798">
      <w:pPr>
        <w:pStyle w:val="Caption"/>
        <w:jc w:val="center"/>
        <w:rPr>
          <w:rFonts w:ascii="Times New Roman" w:eastAsia="Times New Roman" w:hAnsi="Times New Roman" w:cs="Times New Roman"/>
          <w:b/>
          <w:bCs/>
          <w:i w:val="0"/>
          <w:iCs w:val="0"/>
          <w:color w:val="000000"/>
          <w:sz w:val="24"/>
          <w:szCs w:val="24"/>
          <w:u w:color="000000"/>
        </w:rPr>
      </w:pPr>
      <w:r>
        <w:rPr>
          <w:rFonts w:ascii="Times New Roman" w:hAnsi="Times New Roman"/>
          <w:b/>
          <w:bCs/>
          <w:i w:val="0"/>
          <w:iCs w:val="0"/>
          <w:color w:val="000000"/>
          <w:sz w:val="24"/>
          <w:szCs w:val="24"/>
          <w:u w:color="000000"/>
        </w:rPr>
        <w:t>Table 9: Correlation Analysis</w:t>
      </w:r>
    </w:p>
    <w:tbl>
      <w:tblPr>
        <w:tblW w:w="902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CellMar>
          <w:left w:w="10" w:type="dxa"/>
          <w:right w:w="10" w:type="dxa"/>
        </w:tblCellMar>
        <w:tblLook w:val="04A0" w:firstRow="1" w:lastRow="0" w:firstColumn="1" w:lastColumn="0" w:noHBand="0" w:noVBand="1"/>
      </w:tblPr>
      <w:tblGrid>
        <w:gridCol w:w="1481"/>
        <w:gridCol w:w="3087"/>
        <w:gridCol w:w="1140"/>
        <w:gridCol w:w="1150"/>
        <w:gridCol w:w="1154"/>
        <w:gridCol w:w="1017"/>
      </w:tblGrid>
      <w:tr w:rsidR="007F5874" w14:paraId="03A07CCE" w14:textId="77777777">
        <w:trPr>
          <w:trHeight w:val="300"/>
          <w:jc w:val="center"/>
        </w:trPr>
        <w:tc>
          <w:tcPr>
            <w:tcW w:w="1481"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762EB483" w14:textId="77777777" w:rsidR="007F5874" w:rsidRDefault="00402798">
            <w:pPr>
              <w:spacing w:line="276" w:lineRule="auto"/>
            </w:pPr>
            <w:r>
              <w:rPr>
                <w:rFonts w:ascii="Times New Roman" w:hAnsi="Times New Roman"/>
                <w:b/>
                <w:bCs/>
                <w:sz w:val="24"/>
                <w:szCs w:val="24"/>
              </w:rPr>
              <w:lastRenderedPageBreak/>
              <w:t>Capital structure measures</w:t>
            </w:r>
          </w:p>
        </w:tc>
        <w:tc>
          <w:tcPr>
            <w:tcW w:w="3087"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78CFF0BC" w14:textId="77777777" w:rsidR="007F5874" w:rsidRDefault="00402798">
            <w:pPr>
              <w:tabs>
                <w:tab w:val="left" w:pos="705"/>
                <w:tab w:val="center" w:pos="1760"/>
              </w:tabs>
              <w:spacing w:after="0" w:line="276" w:lineRule="auto"/>
            </w:pPr>
            <w:r>
              <w:rPr>
                <w:rFonts w:ascii="Times New Roman" w:eastAsia="Times New Roman" w:hAnsi="Times New Roman" w:cs="Times New Roman"/>
                <w:b/>
                <w:bCs/>
                <w:sz w:val="24"/>
                <w:szCs w:val="24"/>
              </w:rPr>
              <w:tab/>
              <w:t>Correlation measures</w:t>
            </w:r>
          </w:p>
        </w:tc>
        <w:tc>
          <w:tcPr>
            <w:tcW w:w="4461" w:type="dxa"/>
            <w:gridSpan w:val="4"/>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5C5352E8" w14:textId="77777777" w:rsidR="007F5874" w:rsidRDefault="00402798">
            <w:pPr>
              <w:spacing w:after="0" w:line="276" w:lineRule="auto"/>
              <w:jc w:val="center"/>
            </w:pPr>
            <w:r>
              <w:rPr>
                <w:rFonts w:ascii="Times New Roman" w:hAnsi="Times New Roman"/>
                <w:b/>
                <w:bCs/>
                <w:sz w:val="24"/>
                <w:szCs w:val="24"/>
              </w:rPr>
              <w:t>Financial Performance measures</w:t>
            </w:r>
          </w:p>
        </w:tc>
      </w:tr>
      <w:tr w:rsidR="007F5874" w14:paraId="45B5281F" w14:textId="77777777">
        <w:trPr>
          <w:trHeight w:val="643"/>
          <w:jc w:val="center"/>
        </w:trPr>
        <w:tc>
          <w:tcPr>
            <w:tcW w:w="1481" w:type="dxa"/>
            <w:vMerge/>
            <w:tcBorders>
              <w:top w:val="single" w:sz="4" w:space="0" w:color="000000"/>
              <w:left w:val="single" w:sz="4" w:space="0" w:color="000000"/>
              <w:bottom w:val="single" w:sz="4" w:space="0" w:color="000000"/>
              <w:right w:val="single" w:sz="4" w:space="0" w:color="000000"/>
            </w:tcBorders>
            <w:shd w:val="clear" w:color="auto" w:fill="EDEDED"/>
          </w:tcPr>
          <w:p w14:paraId="3EE09B3D" w14:textId="77777777" w:rsidR="007F5874" w:rsidRDefault="007F5874"/>
        </w:tc>
        <w:tc>
          <w:tcPr>
            <w:tcW w:w="3087" w:type="dxa"/>
            <w:vMerge/>
            <w:tcBorders>
              <w:top w:val="single" w:sz="4" w:space="0" w:color="000000"/>
              <w:left w:val="single" w:sz="4" w:space="0" w:color="000000"/>
              <w:bottom w:val="single" w:sz="4" w:space="0" w:color="000000"/>
              <w:right w:val="single" w:sz="4" w:space="0" w:color="000000"/>
            </w:tcBorders>
            <w:shd w:val="clear" w:color="auto" w:fill="EDEDED"/>
          </w:tcPr>
          <w:p w14:paraId="49B05A09" w14:textId="77777777" w:rsidR="007F5874" w:rsidRDefault="007F5874"/>
        </w:tc>
        <w:tc>
          <w:tcPr>
            <w:tcW w:w="1140" w:type="dxa"/>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vAlign w:val="bottom"/>
          </w:tcPr>
          <w:p w14:paraId="0D7AF42C" w14:textId="77777777" w:rsidR="007F5874" w:rsidRDefault="00402798">
            <w:pPr>
              <w:spacing w:after="0" w:line="276" w:lineRule="auto"/>
              <w:jc w:val="center"/>
            </w:pPr>
            <w:r>
              <w:rPr>
                <w:rFonts w:ascii="Times New Roman" w:hAnsi="Times New Roman"/>
                <w:b/>
                <w:bCs/>
                <w:sz w:val="24"/>
                <w:szCs w:val="24"/>
              </w:rPr>
              <w:t>NPM</w:t>
            </w:r>
          </w:p>
        </w:tc>
        <w:tc>
          <w:tcPr>
            <w:tcW w:w="1150" w:type="dxa"/>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vAlign w:val="bottom"/>
          </w:tcPr>
          <w:p w14:paraId="40F5FAD9" w14:textId="77777777" w:rsidR="007F5874" w:rsidRDefault="00402798">
            <w:pPr>
              <w:spacing w:after="0" w:line="276" w:lineRule="auto"/>
              <w:jc w:val="center"/>
            </w:pPr>
            <w:r>
              <w:rPr>
                <w:rFonts w:ascii="Times New Roman" w:hAnsi="Times New Roman"/>
                <w:b/>
                <w:bCs/>
                <w:sz w:val="24"/>
                <w:szCs w:val="24"/>
              </w:rPr>
              <w:t>ROE</w:t>
            </w:r>
          </w:p>
        </w:tc>
        <w:tc>
          <w:tcPr>
            <w:tcW w:w="1154" w:type="dxa"/>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vAlign w:val="bottom"/>
          </w:tcPr>
          <w:p w14:paraId="37A53FE2" w14:textId="77777777" w:rsidR="007F5874" w:rsidRDefault="00402798">
            <w:pPr>
              <w:spacing w:after="0" w:line="276" w:lineRule="auto"/>
              <w:jc w:val="center"/>
            </w:pPr>
            <w:r>
              <w:rPr>
                <w:rFonts w:ascii="Times New Roman" w:hAnsi="Times New Roman"/>
                <w:b/>
                <w:bCs/>
                <w:sz w:val="24"/>
                <w:szCs w:val="24"/>
              </w:rPr>
              <w:t>ROA</w:t>
            </w:r>
          </w:p>
        </w:tc>
        <w:tc>
          <w:tcPr>
            <w:tcW w:w="1015" w:type="dxa"/>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59908DE7" w14:textId="77777777" w:rsidR="007F5874" w:rsidRDefault="007F5874">
            <w:pPr>
              <w:spacing w:after="0" w:line="276" w:lineRule="auto"/>
              <w:jc w:val="center"/>
              <w:rPr>
                <w:rFonts w:ascii="Times New Roman" w:eastAsia="Times New Roman" w:hAnsi="Times New Roman" w:cs="Times New Roman"/>
                <w:b/>
                <w:bCs/>
                <w:sz w:val="24"/>
                <w:szCs w:val="24"/>
              </w:rPr>
            </w:pPr>
          </w:p>
          <w:p w14:paraId="19A0B7BA" w14:textId="77777777" w:rsidR="007F5874" w:rsidRDefault="00402798">
            <w:pPr>
              <w:spacing w:after="0" w:line="276" w:lineRule="auto"/>
              <w:jc w:val="center"/>
            </w:pPr>
            <w:r>
              <w:rPr>
                <w:rFonts w:ascii="Times New Roman" w:hAnsi="Times New Roman"/>
                <w:b/>
                <w:bCs/>
                <w:sz w:val="24"/>
                <w:szCs w:val="24"/>
              </w:rPr>
              <w:t>ROCE</w:t>
            </w:r>
          </w:p>
        </w:tc>
      </w:tr>
      <w:tr w:rsidR="007F5874" w14:paraId="6C6F19A1" w14:textId="77777777">
        <w:trPr>
          <w:trHeight w:val="300"/>
          <w:jc w:val="center"/>
        </w:trPr>
        <w:tc>
          <w:tcPr>
            <w:tcW w:w="1481"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51D10706" w14:textId="77777777" w:rsidR="007F5874" w:rsidRDefault="00402798">
            <w:pPr>
              <w:spacing w:after="0" w:line="276" w:lineRule="auto"/>
            </w:pPr>
            <w:r>
              <w:rPr>
                <w:rFonts w:ascii="Times New Roman" w:hAnsi="Times New Roman"/>
                <w:b/>
                <w:bCs/>
                <w:sz w:val="24"/>
                <w:szCs w:val="24"/>
              </w:rPr>
              <w:t>CR</w:t>
            </w:r>
          </w:p>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7623F" w14:textId="77777777" w:rsidR="007F5874" w:rsidRDefault="00402798">
            <w:pPr>
              <w:spacing w:after="0" w:line="276" w:lineRule="auto"/>
            </w:pPr>
            <w:r>
              <w:rPr>
                <w:rFonts w:ascii="Times New Roman" w:hAnsi="Times New Roman"/>
                <w:sz w:val="24"/>
                <w:szCs w:val="24"/>
              </w:rPr>
              <w:t>Pearson Correlation</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4550E866" w14:textId="77777777" w:rsidR="007F5874" w:rsidRDefault="00402798">
            <w:pPr>
              <w:spacing w:after="0" w:line="276" w:lineRule="auto"/>
              <w:ind w:left="60" w:right="60"/>
              <w:jc w:val="center"/>
            </w:pPr>
            <w:r>
              <w:rPr>
                <w:rFonts w:ascii="Times New Roman" w:hAnsi="Times New Roman"/>
                <w:color w:val="010205"/>
                <w:sz w:val="24"/>
                <w:szCs w:val="24"/>
                <w:u w:color="010205"/>
              </w:rPr>
              <w:t>.918</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4BF05EE8" w14:textId="77777777" w:rsidR="007F5874" w:rsidRDefault="00402798">
            <w:pPr>
              <w:spacing w:after="0" w:line="276" w:lineRule="auto"/>
              <w:ind w:left="60" w:right="60"/>
              <w:jc w:val="center"/>
            </w:pPr>
            <w:r>
              <w:rPr>
                <w:rFonts w:ascii="Times New Roman" w:hAnsi="Times New Roman"/>
                <w:color w:val="010205"/>
                <w:sz w:val="24"/>
                <w:szCs w:val="24"/>
                <w:u w:color="010205"/>
              </w:rPr>
              <w:t>.890</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5F75B98E" w14:textId="77777777" w:rsidR="007F5874" w:rsidRDefault="00402798">
            <w:pPr>
              <w:spacing w:after="0" w:line="276" w:lineRule="auto"/>
              <w:ind w:left="60" w:right="60"/>
              <w:jc w:val="center"/>
            </w:pPr>
            <w:r>
              <w:rPr>
                <w:rFonts w:ascii="Times New Roman" w:hAnsi="Times New Roman"/>
                <w:color w:val="010205"/>
                <w:sz w:val="24"/>
                <w:szCs w:val="24"/>
                <w:u w:color="010205"/>
              </w:rPr>
              <w:t>.870</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425C5D2B" w14:textId="77777777" w:rsidR="007F5874" w:rsidRDefault="00402798">
            <w:pPr>
              <w:spacing w:after="0" w:line="276" w:lineRule="auto"/>
              <w:ind w:left="60" w:right="60"/>
              <w:jc w:val="center"/>
            </w:pPr>
            <w:r>
              <w:rPr>
                <w:rFonts w:ascii="Times New Roman" w:hAnsi="Times New Roman"/>
                <w:color w:val="010205"/>
                <w:sz w:val="24"/>
                <w:szCs w:val="24"/>
                <w:u w:color="010205"/>
              </w:rPr>
              <w:t>.911</w:t>
            </w:r>
          </w:p>
        </w:tc>
      </w:tr>
      <w:tr w:rsidR="007F5874" w14:paraId="319DFB0E" w14:textId="77777777">
        <w:trPr>
          <w:trHeight w:val="300"/>
          <w:jc w:val="center"/>
        </w:trPr>
        <w:tc>
          <w:tcPr>
            <w:tcW w:w="1481" w:type="dxa"/>
            <w:vMerge/>
            <w:tcBorders>
              <w:top w:val="single" w:sz="4" w:space="0" w:color="000000"/>
              <w:left w:val="single" w:sz="4" w:space="0" w:color="000000"/>
              <w:bottom w:val="single" w:sz="4" w:space="0" w:color="000000"/>
              <w:right w:val="single" w:sz="4" w:space="0" w:color="000000"/>
            </w:tcBorders>
            <w:shd w:val="clear" w:color="auto" w:fill="EDEDED"/>
          </w:tcPr>
          <w:p w14:paraId="7D371B9D" w14:textId="77777777" w:rsidR="007F5874" w:rsidRDefault="007F5874"/>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B460E" w14:textId="77777777" w:rsidR="007F5874" w:rsidRDefault="00402798">
            <w:pPr>
              <w:spacing w:after="0" w:line="276" w:lineRule="auto"/>
            </w:pPr>
            <w:r>
              <w:rPr>
                <w:rFonts w:ascii="Times New Roman" w:hAnsi="Times New Roman"/>
                <w:sz w:val="24"/>
                <w:szCs w:val="24"/>
              </w:rPr>
              <w:t>Sig. (2-tailed)</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052B4FD8" w14:textId="77777777" w:rsidR="007F5874" w:rsidRDefault="00402798">
            <w:pPr>
              <w:spacing w:after="0" w:line="276" w:lineRule="auto"/>
              <w:ind w:left="60" w:right="60"/>
              <w:jc w:val="center"/>
            </w:pPr>
            <w:r>
              <w:rPr>
                <w:rFonts w:ascii="Times New Roman" w:hAnsi="Times New Roman"/>
                <w:color w:val="010205"/>
                <w:sz w:val="24"/>
                <w:szCs w:val="24"/>
                <w:u w:color="010205"/>
              </w:rPr>
              <w:t>.001</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69A2D341" w14:textId="77777777" w:rsidR="007F5874" w:rsidRDefault="00402798">
            <w:pPr>
              <w:spacing w:after="0" w:line="276" w:lineRule="auto"/>
              <w:ind w:left="60" w:right="60"/>
              <w:jc w:val="center"/>
            </w:pPr>
            <w:r>
              <w:rPr>
                <w:rFonts w:ascii="Times New Roman" w:hAnsi="Times New Roman"/>
                <w:color w:val="010205"/>
                <w:sz w:val="24"/>
                <w:szCs w:val="24"/>
                <w:u w:color="010205"/>
              </w:rPr>
              <w:t>.013</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268F50E3" w14:textId="77777777" w:rsidR="007F5874" w:rsidRDefault="00402798">
            <w:pPr>
              <w:spacing w:after="0" w:line="276" w:lineRule="auto"/>
              <w:ind w:left="60" w:right="60"/>
              <w:jc w:val="center"/>
            </w:pPr>
            <w:r>
              <w:rPr>
                <w:rFonts w:ascii="Times New Roman" w:hAnsi="Times New Roman"/>
                <w:color w:val="010205"/>
                <w:sz w:val="24"/>
                <w:szCs w:val="24"/>
                <w:u w:color="010205"/>
              </w:rPr>
              <w:t>.038</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631ED9FF" w14:textId="77777777" w:rsidR="007F5874" w:rsidRDefault="00402798">
            <w:pPr>
              <w:spacing w:after="0" w:line="276" w:lineRule="auto"/>
              <w:ind w:left="60" w:right="60"/>
              <w:jc w:val="center"/>
            </w:pPr>
            <w:r>
              <w:rPr>
                <w:rFonts w:ascii="Times New Roman" w:hAnsi="Times New Roman"/>
                <w:color w:val="010205"/>
                <w:sz w:val="24"/>
                <w:szCs w:val="24"/>
                <w:u w:color="010205"/>
              </w:rPr>
              <w:t>.047</w:t>
            </w:r>
          </w:p>
        </w:tc>
      </w:tr>
      <w:tr w:rsidR="007F5874" w14:paraId="5E5CF002" w14:textId="77777777">
        <w:trPr>
          <w:trHeight w:val="300"/>
          <w:jc w:val="center"/>
        </w:trPr>
        <w:tc>
          <w:tcPr>
            <w:tcW w:w="1481"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14B525C0" w14:textId="77777777" w:rsidR="007F5874" w:rsidRDefault="00402798">
            <w:pPr>
              <w:spacing w:after="0" w:line="276" w:lineRule="auto"/>
            </w:pPr>
            <w:r>
              <w:rPr>
                <w:rFonts w:ascii="Times New Roman" w:hAnsi="Times New Roman"/>
                <w:b/>
                <w:bCs/>
                <w:sz w:val="24"/>
                <w:szCs w:val="24"/>
              </w:rPr>
              <w:t>Total Debt/ Equity</w:t>
            </w:r>
          </w:p>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75EC2E" w14:textId="77777777" w:rsidR="007F5874" w:rsidRDefault="00402798">
            <w:pPr>
              <w:spacing w:after="0" w:line="276" w:lineRule="auto"/>
            </w:pPr>
            <w:r>
              <w:rPr>
                <w:rFonts w:ascii="Times New Roman" w:hAnsi="Times New Roman"/>
                <w:sz w:val="24"/>
                <w:szCs w:val="24"/>
              </w:rPr>
              <w:t>Pearson Correlation</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AF24161" w14:textId="77777777" w:rsidR="007F5874" w:rsidRDefault="00402798">
            <w:pPr>
              <w:spacing w:after="0" w:line="276" w:lineRule="auto"/>
              <w:ind w:left="60" w:right="60"/>
              <w:jc w:val="center"/>
            </w:pPr>
            <w:r>
              <w:rPr>
                <w:rFonts w:ascii="Times New Roman" w:hAnsi="Times New Roman"/>
                <w:color w:val="010205"/>
                <w:sz w:val="24"/>
                <w:szCs w:val="24"/>
                <w:u w:color="010205"/>
              </w:rPr>
              <w:t>.988</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7AC30791" w14:textId="77777777" w:rsidR="007F5874" w:rsidRDefault="00402798">
            <w:pPr>
              <w:spacing w:after="0" w:line="276" w:lineRule="auto"/>
              <w:ind w:left="60" w:right="60"/>
              <w:jc w:val="center"/>
            </w:pPr>
            <w:r>
              <w:rPr>
                <w:rFonts w:ascii="Times New Roman" w:hAnsi="Times New Roman"/>
                <w:color w:val="010205"/>
                <w:sz w:val="24"/>
                <w:szCs w:val="24"/>
                <w:u w:color="010205"/>
              </w:rPr>
              <w:t>.952</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27064402" w14:textId="77777777" w:rsidR="007F5874" w:rsidRDefault="00402798">
            <w:pPr>
              <w:spacing w:after="0" w:line="276" w:lineRule="auto"/>
              <w:ind w:left="60" w:right="60"/>
              <w:jc w:val="center"/>
            </w:pPr>
            <w:r>
              <w:rPr>
                <w:rFonts w:ascii="Times New Roman" w:hAnsi="Times New Roman"/>
                <w:color w:val="010205"/>
                <w:sz w:val="24"/>
                <w:szCs w:val="24"/>
                <w:u w:color="010205"/>
              </w:rPr>
              <w:t>.999</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66BBDCB" w14:textId="77777777" w:rsidR="007F5874" w:rsidRDefault="00402798">
            <w:pPr>
              <w:spacing w:after="0" w:line="276" w:lineRule="auto"/>
              <w:ind w:left="60" w:right="60"/>
              <w:jc w:val="center"/>
            </w:pPr>
            <w:r>
              <w:rPr>
                <w:rFonts w:ascii="Times New Roman" w:hAnsi="Times New Roman"/>
                <w:color w:val="010205"/>
                <w:sz w:val="24"/>
                <w:szCs w:val="24"/>
                <w:u w:color="010205"/>
              </w:rPr>
              <w:t>.956</w:t>
            </w:r>
          </w:p>
        </w:tc>
      </w:tr>
      <w:tr w:rsidR="007F5874" w14:paraId="2859DF40" w14:textId="77777777">
        <w:trPr>
          <w:trHeight w:val="300"/>
          <w:jc w:val="center"/>
        </w:trPr>
        <w:tc>
          <w:tcPr>
            <w:tcW w:w="1481" w:type="dxa"/>
            <w:vMerge/>
            <w:tcBorders>
              <w:top w:val="single" w:sz="4" w:space="0" w:color="000000"/>
              <w:left w:val="single" w:sz="4" w:space="0" w:color="000000"/>
              <w:bottom w:val="single" w:sz="4" w:space="0" w:color="000000"/>
              <w:right w:val="single" w:sz="4" w:space="0" w:color="000000"/>
            </w:tcBorders>
            <w:shd w:val="clear" w:color="auto" w:fill="EDEDED"/>
          </w:tcPr>
          <w:p w14:paraId="2E705FB5" w14:textId="77777777" w:rsidR="007F5874" w:rsidRDefault="007F5874"/>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147A92" w14:textId="77777777" w:rsidR="007F5874" w:rsidRDefault="00402798">
            <w:pPr>
              <w:spacing w:after="0" w:line="276" w:lineRule="auto"/>
            </w:pPr>
            <w:r>
              <w:rPr>
                <w:rFonts w:ascii="Times New Roman" w:hAnsi="Times New Roman"/>
                <w:sz w:val="24"/>
                <w:szCs w:val="24"/>
              </w:rPr>
              <w:t>Sig. (2-tailed)</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4AF0862" w14:textId="77777777" w:rsidR="007F5874" w:rsidRDefault="00402798">
            <w:pPr>
              <w:spacing w:after="0" w:line="276" w:lineRule="auto"/>
              <w:ind w:left="60" w:right="60"/>
              <w:jc w:val="center"/>
            </w:pPr>
            <w:r>
              <w:rPr>
                <w:rFonts w:ascii="Times New Roman" w:hAnsi="Times New Roman"/>
                <w:color w:val="010205"/>
                <w:sz w:val="24"/>
                <w:szCs w:val="24"/>
                <w:u w:color="010205"/>
              </w:rPr>
              <w:t>.002</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9E16D2C" w14:textId="77777777" w:rsidR="007F5874" w:rsidRDefault="00402798">
            <w:pPr>
              <w:spacing w:after="0" w:line="276" w:lineRule="auto"/>
              <w:ind w:left="60" w:right="60"/>
              <w:jc w:val="center"/>
            </w:pPr>
            <w:r>
              <w:rPr>
                <w:rFonts w:ascii="Times New Roman" w:hAnsi="Times New Roman"/>
                <w:color w:val="010205"/>
                <w:sz w:val="24"/>
                <w:szCs w:val="24"/>
                <w:u w:color="010205"/>
              </w:rPr>
              <w:t>.003</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1825F519" w14:textId="77777777" w:rsidR="007F5874" w:rsidRDefault="00402798">
            <w:pPr>
              <w:spacing w:after="0" w:line="276" w:lineRule="auto"/>
              <w:ind w:left="60" w:right="60"/>
              <w:jc w:val="center"/>
            </w:pPr>
            <w:r>
              <w:rPr>
                <w:rFonts w:ascii="Times New Roman" w:hAnsi="Times New Roman"/>
                <w:color w:val="010205"/>
                <w:sz w:val="24"/>
                <w:szCs w:val="24"/>
                <w:u w:color="010205"/>
              </w:rPr>
              <w:t>.000</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033877D5" w14:textId="77777777" w:rsidR="007F5874" w:rsidRDefault="00402798">
            <w:pPr>
              <w:spacing w:after="0" w:line="276" w:lineRule="auto"/>
              <w:ind w:left="60" w:right="60"/>
              <w:jc w:val="center"/>
            </w:pPr>
            <w:r>
              <w:rPr>
                <w:rFonts w:ascii="Times New Roman" w:hAnsi="Times New Roman"/>
                <w:color w:val="010205"/>
                <w:sz w:val="24"/>
                <w:szCs w:val="24"/>
                <w:u w:color="010205"/>
              </w:rPr>
              <w:t>.005</w:t>
            </w:r>
          </w:p>
        </w:tc>
      </w:tr>
      <w:tr w:rsidR="007F5874" w14:paraId="5314801C" w14:textId="77777777">
        <w:trPr>
          <w:trHeight w:val="300"/>
          <w:jc w:val="center"/>
        </w:trPr>
        <w:tc>
          <w:tcPr>
            <w:tcW w:w="1481"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1AD66EED" w14:textId="77777777" w:rsidR="007F5874" w:rsidRDefault="00402798">
            <w:pPr>
              <w:spacing w:after="0" w:line="276" w:lineRule="auto"/>
            </w:pPr>
            <w:r>
              <w:rPr>
                <w:rFonts w:ascii="Times New Roman" w:hAnsi="Times New Roman"/>
                <w:b/>
                <w:bCs/>
                <w:sz w:val="24"/>
                <w:szCs w:val="24"/>
              </w:rPr>
              <w:t>QR</w:t>
            </w:r>
          </w:p>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6A27F5" w14:textId="77777777" w:rsidR="007F5874" w:rsidRDefault="00402798">
            <w:pPr>
              <w:spacing w:after="0" w:line="276" w:lineRule="auto"/>
            </w:pPr>
            <w:r>
              <w:rPr>
                <w:rFonts w:ascii="Times New Roman" w:hAnsi="Times New Roman"/>
                <w:sz w:val="24"/>
                <w:szCs w:val="24"/>
              </w:rPr>
              <w:t>Pearson Correlation</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168B9BC7" w14:textId="77777777" w:rsidR="007F5874" w:rsidRDefault="00402798">
            <w:pPr>
              <w:spacing w:after="0" w:line="276" w:lineRule="auto"/>
              <w:ind w:left="60" w:right="60"/>
              <w:jc w:val="center"/>
            </w:pPr>
            <w:r>
              <w:rPr>
                <w:rFonts w:ascii="Times New Roman" w:hAnsi="Times New Roman"/>
                <w:color w:val="010205"/>
                <w:sz w:val="24"/>
                <w:szCs w:val="24"/>
                <w:u w:color="010205"/>
              </w:rPr>
              <w:t>.976</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04E3D67F" w14:textId="77777777" w:rsidR="007F5874" w:rsidRDefault="00402798">
            <w:pPr>
              <w:spacing w:after="0" w:line="276" w:lineRule="auto"/>
              <w:ind w:left="60" w:right="60"/>
              <w:jc w:val="center"/>
            </w:pPr>
            <w:r>
              <w:rPr>
                <w:rFonts w:ascii="Times New Roman" w:hAnsi="Times New Roman"/>
                <w:color w:val="010205"/>
                <w:sz w:val="24"/>
                <w:szCs w:val="24"/>
                <w:u w:color="010205"/>
              </w:rPr>
              <w:t>.760</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3A87844" w14:textId="77777777" w:rsidR="007F5874" w:rsidRDefault="00402798">
            <w:pPr>
              <w:spacing w:after="0" w:line="276" w:lineRule="auto"/>
              <w:ind w:left="60" w:right="60"/>
              <w:jc w:val="center"/>
            </w:pPr>
            <w:r>
              <w:rPr>
                <w:rFonts w:ascii="Times New Roman" w:hAnsi="Times New Roman"/>
                <w:color w:val="010205"/>
                <w:sz w:val="24"/>
                <w:szCs w:val="24"/>
                <w:u w:color="010205"/>
              </w:rPr>
              <w:t>.456</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611A9008" w14:textId="77777777" w:rsidR="007F5874" w:rsidRDefault="00402798">
            <w:pPr>
              <w:spacing w:after="0" w:line="276" w:lineRule="auto"/>
              <w:ind w:left="60" w:right="60"/>
              <w:jc w:val="center"/>
            </w:pPr>
            <w:r>
              <w:rPr>
                <w:rFonts w:ascii="Times New Roman" w:hAnsi="Times New Roman"/>
                <w:color w:val="010205"/>
                <w:sz w:val="24"/>
                <w:szCs w:val="24"/>
                <w:u w:color="010205"/>
              </w:rPr>
              <w:t>.962</w:t>
            </w:r>
          </w:p>
        </w:tc>
      </w:tr>
      <w:tr w:rsidR="007F5874" w14:paraId="4EA18DC7" w14:textId="77777777">
        <w:trPr>
          <w:trHeight w:val="300"/>
          <w:jc w:val="center"/>
        </w:trPr>
        <w:tc>
          <w:tcPr>
            <w:tcW w:w="1481" w:type="dxa"/>
            <w:vMerge/>
            <w:tcBorders>
              <w:top w:val="single" w:sz="4" w:space="0" w:color="000000"/>
              <w:left w:val="single" w:sz="4" w:space="0" w:color="000000"/>
              <w:bottom w:val="single" w:sz="4" w:space="0" w:color="000000"/>
              <w:right w:val="single" w:sz="4" w:space="0" w:color="000000"/>
            </w:tcBorders>
            <w:shd w:val="clear" w:color="auto" w:fill="EDEDED"/>
          </w:tcPr>
          <w:p w14:paraId="5483A004" w14:textId="77777777" w:rsidR="007F5874" w:rsidRDefault="007F5874"/>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9E9E3B" w14:textId="77777777" w:rsidR="007F5874" w:rsidRDefault="00402798">
            <w:pPr>
              <w:spacing w:after="0" w:line="276" w:lineRule="auto"/>
            </w:pPr>
            <w:r>
              <w:rPr>
                <w:rFonts w:ascii="Times New Roman" w:hAnsi="Times New Roman"/>
                <w:sz w:val="24"/>
                <w:szCs w:val="24"/>
              </w:rPr>
              <w:t>Sig. (2-tailed)</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58292309" w14:textId="77777777" w:rsidR="007F5874" w:rsidRDefault="00402798">
            <w:pPr>
              <w:spacing w:after="0" w:line="276" w:lineRule="auto"/>
              <w:ind w:left="60" w:right="60"/>
              <w:jc w:val="center"/>
            </w:pPr>
            <w:r>
              <w:rPr>
                <w:rFonts w:ascii="Times New Roman" w:hAnsi="Times New Roman"/>
                <w:color w:val="010205"/>
                <w:sz w:val="24"/>
                <w:szCs w:val="24"/>
                <w:u w:color="010205"/>
              </w:rPr>
              <w:t>.000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3D31F5CC" w14:textId="77777777" w:rsidR="007F5874" w:rsidRDefault="00402798">
            <w:pPr>
              <w:spacing w:after="0" w:line="276" w:lineRule="auto"/>
              <w:ind w:left="60" w:right="60"/>
              <w:jc w:val="center"/>
            </w:pPr>
            <w:r>
              <w:rPr>
                <w:rFonts w:ascii="Times New Roman" w:hAnsi="Times New Roman"/>
                <w:color w:val="010205"/>
                <w:sz w:val="24"/>
                <w:szCs w:val="24"/>
                <w:u w:color="010205"/>
              </w:rPr>
              <w:t>.320</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40AF71AB" w14:textId="77777777" w:rsidR="007F5874" w:rsidRDefault="00402798">
            <w:pPr>
              <w:spacing w:after="0" w:line="276" w:lineRule="auto"/>
              <w:ind w:left="60" w:right="60"/>
              <w:jc w:val="center"/>
            </w:pPr>
            <w:r>
              <w:rPr>
                <w:rFonts w:ascii="Times New Roman" w:hAnsi="Times New Roman"/>
                <w:color w:val="010205"/>
                <w:sz w:val="24"/>
                <w:szCs w:val="24"/>
                <w:u w:color="010205"/>
              </w:rPr>
              <w:t>.428</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25A88FCE" w14:textId="77777777" w:rsidR="007F5874" w:rsidRDefault="00402798">
            <w:pPr>
              <w:spacing w:after="0" w:line="276" w:lineRule="auto"/>
              <w:ind w:left="60" w:right="60"/>
              <w:jc w:val="center"/>
            </w:pPr>
            <w:r>
              <w:rPr>
                <w:rFonts w:ascii="Times New Roman" w:hAnsi="Times New Roman"/>
                <w:color w:val="010205"/>
                <w:sz w:val="24"/>
                <w:szCs w:val="24"/>
                <w:u w:color="010205"/>
              </w:rPr>
              <w:t>.001</w:t>
            </w:r>
          </w:p>
        </w:tc>
      </w:tr>
      <w:tr w:rsidR="007F5874" w14:paraId="3F3F2148" w14:textId="77777777">
        <w:trPr>
          <w:trHeight w:val="300"/>
          <w:jc w:val="center"/>
        </w:trPr>
        <w:tc>
          <w:tcPr>
            <w:tcW w:w="1481" w:type="dxa"/>
            <w:vMerge w:val="restart"/>
            <w:tcBorders>
              <w:top w:val="single" w:sz="4" w:space="0" w:color="000000"/>
              <w:left w:val="single" w:sz="4" w:space="0" w:color="000000"/>
              <w:bottom w:val="single" w:sz="4" w:space="0" w:color="000000"/>
              <w:right w:val="single" w:sz="4" w:space="0" w:color="000000"/>
            </w:tcBorders>
            <w:shd w:val="clear" w:color="auto" w:fill="EDEDED"/>
            <w:tcMar>
              <w:top w:w="80" w:type="dxa"/>
              <w:left w:w="80" w:type="dxa"/>
              <w:bottom w:w="80" w:type="dxa"/>
              <w:right w:w="80" w:type="dxa"/>
            </w:tcMar>
          </w:tcPr>
          <w:p w14:paraId="26C8F11F" w14:textId="77777777" w:rsidR="007F5874" w:rsidRDefault="00402798">
            <w:pPr>
              <w:spacing w:after="0" w:line="276" w:lineRule="auto"/>
            </w:pPr>
            <w:r>
              <w:rPr>
                <w:rFonts w:ascii="Times New Roman" w:hAnsi="Times New Roman"/>
                <w:b/>
                <w:bCs/>
                <w:sz w:val="24"/>
                <w:szCs w:val="24"/>
              </w:rPr>
              <w:t>ITR</w:t>
            </w:r>
          </w:p>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70656" w14:textId="77777777" w:rsidR="007F5874" w:rsidRDefault="00402798">
            <w:pPr>
              <w:spacing w:after="0" w:line="276" w:lineRule="auto"/>
            </w:pPr>
            <w:r>
              <w:rPr>
                <w:rFonts w:ascii="Times New Roman" w:hAnsi="Times New Roman"/>
                <w:sz w:val="24"/>
                <w:szCs w:val="24"/>
              </w:rPr>
              <w:t>Pearson Correlation</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251ABD14" w14:textId="77777777" w:rsidR="007F5874" w:rsidRDefault="00402798">
            <w:pPr>
              <w:spacing w:after="0" w:line="276" w:lineRule="auto"/>
              <w:ind w:left="60" w:right="60"/>
              <w:jc w:val="center"/>
            </w:pPr>
            <w:r>
              <w:rPr>
                <w:rFonts w:ascii="Times New Roman" w:hAnsi="Times New Roman"/>
                <w:color w:val="010205"/>
                <w:sz w:val="24"/>
                <w:szCs w:val="24"/>
                <w:u w:color="010205"/>
              </w:rPr>
              <w:t>.988</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0DD465B6" w14:textId="77777777" w:rsidR="007F5874" w:rsidRDefault="00402798">
            <w:pPr>
              <w:spacing w:after="0" w:line="276" w:lineRule="auto"/>
              <w:ind w:left="60" w:right="60"/>
              <w:jc w:val="center"/>
            </w:pPr>
            <w:r>
              <w:rPr>
                <w:rFonts w:ascii="Times New Roman" w:hAnsi="Times New Roman"/>
                <w:color w:val="010205"/>
                <w:sz w:val="24"/>
                <w:szCs w:val="24"/>
                <w:u w:color="010205"/>
              </w:rPr>
              <w:t>.966</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284EA87F" w14:textId="77777777" w:rsidR="007F5874" w:rsidRDefault="00402798">
            <w:pPr>
              <w:spacing w:after="0" w:line="276" w:lineRule="auto"/>
              <w:ind w:left="60" w:right="60"/>
              <w:jc w:val="center"/>
            </w:pPr>
            <w:r>
              <w:rPr>
                <w:rFonts w:ascii="Times New Roman" w:hAnsi="Times New Roman"/>
                <w:color w:val="010205"/>
                <w:sz w:val="24"/>
                <w:szCs w:val="24"/>
                <w:u w:color="010205"/>
              </w:rPr>
              <w:t>.995</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6CA2DE82" w14:textId="77777777" w:rsidR="007F5874" w:rsidRDefault="00402798">
            <w:pPr>
              <w:spacing w:after="0" w:line="276" w:lineRule="auto"/>
              <w:ind w:left="60" w:right="60"/>
              <w:jc w:val="center"/>
            </w:pPr>
            <w:r>
              <w:rPr>
                <w:rFonts w:ascii="Times New Roman" w:hAnsi="Times New Roman"/>
                <w:color w:val="010205"/>
                <w:sz w:val="24"/>
                <w:szCs w:val="24"/>
                <w:u w:color="010205"/>
              </w:rPr>
              <w:t>.680</w:t>
            </w:r>
          </w:p>
        </w:tc>
      </w:tr>
      <w:tr w:rsidR="007F5874" w14:paraId="42D6BC09" w14:textId="77777777">
        <w:trPr>
          <w:trHeight w:val="300"/>
          <w:jc w:val="center"/>
        </w:trPr>
        <w:tc>
          <w:tcPr>
            <w:tcW w:w="1481" w:type="dxa"/>
            <w:vMerge/>
            <w:tcBorders>
              <w:top w:val="single" w:sz="4" w:space="0" w:color="000000"/>
              <w:left w:val="single" w:sz="4" w:space="0" w:color="000000"/>
              <w:bottom w:val="single" w:sz="4" w:space="0" w:color="000000"/>
              <w:right w:val="single" w:sz="4" w:space="0" w:color="000000"/>
            </w:tcBorders>
            <w:shd w:val="clear" w:color="auto" w:fill="EDEDED"/>
          </w:tcPr>
          <w:p w14:paraId="73EC8AF7" w14:textId="77777777" w:rsidR="007F5874" w:rsidRDefault="007F5874"/>
        </w:tc>
        <w:tc>
          <w:tcPr>
            <w:tcW w:w="30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9C0E54" w14:textId="77777777" w:rsidR="007F5874" w:rsidRDefault="00402798">
            <w:pPr>
              <w:spacing w:after="0" w:line="276" w:lineRule="auto"/>
            </w:pPr>
            <w:r>
              <w:rPr>
                <w:rFonts w:ascii="Times New Roman" w:hAnsi="Times New Roman"/>
                <w:sz w:val="24"/>
                <w:szCs w:val="24"/>
              </w:rPr>
              <w:t>Sig. (2-tailed)</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01DE9C3D" w14:textId="77777777" w:rsidR="007F5874" w:rsidRDefault="00402798">
            <w:pPr>
              <w:spacing w:after="0" w:line="276" w:lineRule="auto"/>
              <w:ind w:left="60" w:right="60"/>
              <w:jc w:val="center"/>
            </w:pPr>
            <w:r>
              <w:rPr>
                <w:rFonts w:ascii="Times New Roman" w:hAnsi="Times New Roman"/>
                <w:color w:val="010205"/>
                <w:sz w:val="24"/>
                <w:szCs w:val="24"/>
                <w:u w:color="010205"/>
              </w:rPr>
              <w:t>.000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541C7CF7" w14:textId="77777777" w:rsidR="007F5874" w:rsidRDefault="00402798">
            <w:pPr>
              <w:spacing w:after="0" w:line="276" w:lineRule="auto"/>
              <w:ind w:left="60" w:right="60"/>
              <w:jc w:val="center"/>
            </w:pPr>
            <w:r>
              <w:rPr>
                <w:rFonts w:ascii="Times New Roman" w:hAnsi="Times New Roman"/>
                <w:color w:val="010205"/>
                <w:sz w:val="24"/>
                <w:szCs w:val="24"/>
                <w:u w:color="010205"/>
              </w:rPr>
              <w:t>.001</w:t>
            </w:r>
          </w:p>
        </w:tc>
        <w:tc>
          <w:tcPr>
            <w:tcW w:w="1154"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63F30166" w14:textId="77777777" w:rsidR="007F5874" w:rsidRDefault="00402798">
            <w:pPr>
              <w:spacing w:after="0" w:line="276" w:lineRule="auto"/>
              <w:ind w:left="60" w:right="60"/>
              <w:jc w:val="center"/>
            </w:pPr>
            <w:r>
              <w:rPr>
                <w:rFonts w:ascii="Times New Roman" w:hAnsi="Times New Roman"/>
                <w:color w:val="010205"/>
                <w:sz w:val="24"/>
                <w:szCs w:val="24"/>
                <w:u w:color="010205"/>
              </w:rPr>
              <w:t>.000</w:t>
            </w:r>
          </w:p>
        </w:tc>
        <w:tc>
          <w:tcPr>
            <w:tcW w:w="1015" w:type="dxa"/>
            <w:tcBorders>
              <w:top w:val="single" w:sz="4" w:space="0" w:color="000000"/>
              <w:left w:val="single" w:sz="4" w:space="0" w:color="000000"/>
              <w:bottom w:val="single" w:sz="4" w:space="0" w:color="000000"/>
              <w:right w:val="single" w:sz="4" w:space="0" w:color="000000"/>
            </w:tcBorders>
            <w:shd w:val="clear" w:color="auto" w:fill="auto"/>
            <w:tcMar>
              <w:top w:w="80" w:type="dxa"/>
              <w:left w:w="140" w:type="dxa"/>
              <w:bottom w:w="80" w:type="dxa"/>
              <w:right w:w="140" w:type="dxa"/>
            </w:tcMar>
          </w:tcPr>
          <w:p w14:paraId="7C898596" w14:textId="77777777" w:rsidR="007F5874" w:rsidRDefault="00402798">
            <w:pPr>
              <w:spacing w:after="0" w:line="276" w:lineRule="auto"/>
              <w:ind w:left="60" w:right="60"/>
              <w:jc w:val="center"/>
            </w:pPr>
            <w:r>
              <w:rPr>
                <w:rFonts w:ascii="Times New Roman" w:hAnsi="Times New Roman"/>
                <w:color w:val="010205"/>
                <w:sz w:val="24"/>
                <w:szCs w:val="24"/>
                <w:u w:color="010205"/>
              </w:rPr>
              <w:t>.426</w:t>
            </w:r>
          </w:p>
        </w:tc>
      </w:tr>
    </w:tbl>
    <w:p w14:paraId="42F87884" w14:textId="77777777" w:rsidR="007F5874" w:rsidRDefault="007F5874">
      <w:pPr>
        <w:pStyle w:val="Caption"/>
        <w:widowControl w:val="0"/>
        <w:jc w:val="center"/>
        <w:rPr>
          <w:rFonts w:ascii="Times New Roman" w:eastAsia="Times New Roman" w:hAnsi="Times New Roman" w:cs="Times New Roman"/>
          <w:b/>
          <w:bCs/>
          <w:i w:val="0"/>
          <w:iCs w:val="0"/>
          <w:color w:val="000000"/>
          <w:sz w:val="24"/>
          <w:szCs w:val="24"/>
          <w:u w:color="000000"/>
        </w:rPr>
      </w:pPr>
    </w:p>
    <w:p w14:paraId="51343239" w14:textId="77777777" w:rsidR="007F5874" w:rsidRDefault="007F5874"/>
    <w:p w14:paraId="5A779F7B"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29" w:name="_Toc29"/>
      <w:r>
        <w:rPr>
          <w:rFonts w:ascii="Times New Roman" w:hAnsi="Times New Roman"/>
          <w:b/>
          <w:bCs/>
          <w:color w:val="000000"/>
          <w:u w:color="000000"/>
        </w:rPr>
        <w:t>4.5. Discussion</w:t>
      </w:r>
      <w:bookmarkEnd w:id="29"/>
    </w:p>
    <w:p w14:paraId="3A2E054E"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analysis has proven that the management of capital structure shows that there were some noticeable changes and difficulties during the last five years. It can be noticed vital changes in its liquidity, debt levels, working capital management, inventory efficiency, and dividend policy due to swings in several financial ratios like current ratio, total debt to equity ratio, quick ratio, inventory turnover ratio and dividend payout ratio. Such variations are the telltale signs that an organization must have a fully functional finance plan to address existing financial obligations and efficiently control risk factors. The findings illustrated the need for a multifaceted approach to financial management so as to develop long-term viability and flexibility in business in the face evolving market conditions.</w:t>
      </w:r>
    </w:p>
    <w:p w14:paraId="128E5017"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data shows that businesses use their capital structure while involving profitability and growth variables to balance out with the pecking-order theory (Degryse, </w:t>
      </w:r>
      <w:proofErr w:type="spellStart"/>
      <w:r>
        <w:rPr>
          <w:rFonts w:ascii="Times New Roman" w:hAnsi="Times New Roman"/>
          <w:sz w:val="24"/>
          <w:szCs w:val="24"/>
        </w:rPr>
        <w:t>Goeij</w:t>
      </w:r>
      <w:proofErr w:type="spellEnd"/>
      <w:r>
        <w:rPr>
          <w:rFonts w:ascii="Times New Roman" w:hAnsi="Times New Roman"/>
          <w:sz w:val="24"/>
          <w:szCs w:val="24"/>
        </w:rPr>
        <w:t xml:space="preserve"> and Kappert, 2010). This is a similar pattern of the company's past history during which liquidity was a crucial issue. However, studies have clearly demonstrated that there is a strong negative correlation between the firm's equity financing structure and its financial performance. The level of debt that a company holds has explicitly an impact on financial outcomes (</w:t>
      </w:r>
      <w:proofErr w:type="spellStart"/>
      <w:r>
        <w:rPr>
          <w:rFonts w:ascii="Times New Roman" w:hAnsi="Times New Roman"/>
          <w:sz w:val="24"/>
          <w:szCs w:val="24"/>
        </w:rPr>
        <w:t>Zeitun</w:t>
      </w:r>
      <w:proofErr w:type="spellEnd"/>
      <w:r>
        <w:rPr>
          <w:rFonts w:ascii="Times New Roman" w:hAnsi="Times New Roman"/>
          <w:sz w:val="24"/>
          <w:szCs w:val="24"/>
        </w:rPr>
        <w:t xml:space="preserve"> and Tian, 2014; Chadha and Sharma, 2015; </w:t>
      </w:r>
      <w:proofErr w:type="spellStart"/>
      <w:r>
        <w:rPr>
          <w:rFonts w:ascii="Times New Roman" w:hAnsi="Times New Roman"/>
          <w:sz w:val="24"/>
          <w:szCs w:val="24"/>
        </w:rPr>
        <w:t>Ebaid</w:t>
      </w:r>
      <w:proofErr w:type="spellEnd"/>
      <w:r>
        <w:rPr>
          <w:rFonts w:ascii="Times New Roman" w:hAnsi="Times New Roman"/>
          <w:sz w:val="24"/>
          <w:szCs w:val="24"/>
        </w:rPr>
        <w:t xml:space="preserve">, 2009). This is indeed the case also with respect to the impact of capital structure on organizational performance, as more detailed research </w:t>
      </w:r>
      <w:r>
        <w:rPr>
          <w:rFonts w:ascii="Times New Roman" w:hAnsi="Times New Roman"/>
          <w:sz w:val="24"/>
          <w:szCs w:val="24"/>
        </w:rPr>
        <w:lastRenderedPageBreak/>
        <w:t>shows (</w:t>
      </w:r>
      <w:proofErr w:type="spellStart"/>
      <w:r>
        <w:rPr>
          <w:rFonts w:ascii="Times New Roman" w:hAnsi="Times New Roman"/>
          <w:sz w:val="24"/>
          <w:szCs w:val="24"/>
        </w:rPr>
        <w:t>Ebaid</w:t>
      </w:r>
      <w:proofErr w:type="spellEnd"/>
      <w:r>
        <w:rPr>
          <w:rFonts w:ascii="Times New Roman" w:hAnsi="Times New Roman"/>
          <w:sz w:val="24"/>
          <w:szCs w:val="24"/>
        </w:rPr>
        <w:t xml:space="preserve">, 2009).  Additionally, research reveals that the profitability of a company suffers from changes in its capital structure that seems rightfully applicable to the management challenges Tata Steel has been facing in terms of dealing with an unfavorable capital structure contingent on market dynamics (Pal, 2022). Research on a bank in an emerging country reveals that the capital structure decision is a vital determinant of corporate performance. This corresponds to the tasks that Tata Steel encounters when it comes to the question of the </w:t>
      </w:r>
      <w:proofErr w:type="spellStart"/>
      <w:r>
        <w:rPr>
          <w:rFonts w:ascii="Times New Roman" w:hAnsi="Times New Roman"/>
          <w:sz w:val="24"/>
          <w:szCs w:val="24"/>
        </w:rPr>
        <w:t>optimisation</w:t>
      </w:r>
      <w:proofErr w:type="spellEnd"/>
      <w:r>
        <w:rPr>
          <w:rFonts w:ascii="Times New Roman" w:hAnsi="Times New Roman"/>
          <w:sz w:val="24"/>
          <w:szCs w:val="24"/>
        </w:rPr>
        <w:t xml:space="preserve"> of its financial structure (</w:t>
      </w:r>
      <w:proofErr w:type="spellStart"/>
      <w:r>
        <w:rPr>
          <w:rFonts w:ascii="Times New Roman" w:hAnsi="Times New Roman"/>
          <w:sz w:val="24"/>
          <w:szCs w:val="24"/>
        </w:rPr>
        <w:t>Siddik</w:t>
      </w:r>
      <w:proofErr w:type="spellEnd"/>
      <w:r>
        <w:rPr>
          <w:rFonts w:ascii="Times New Roman" w:hAnsi="Times New Roman"/>
          <w:sz w:val="24"/>
          <w:szCs w:val="24"/>
        </w:rPr>
        <w:t xml:space="preserve">, </w:t>
      </w:r>
      <w:proofErr w:type="spellStart"/>
      <w:r>
        <w:rPr>
          <w:rFonts w:ascii="Times New Roman" w:hAnsi="Times New Roman"/>
          <w:sz w:val="24"/>
          <w:szCs w:val="24"/>
        </w:rPr>
        <w:t>Kabiraj</w:t>
      </w:r>
      <w:proofErr w:type="spellEnd"/>
      <w:r>
        <w:rPr>
          <w:rFonts w:ascii="Times New Roman" w:hAnsi="Times New Roman"/>
          <w:sz w:val="24"/>
          <w:szCs w:val="24"/>
        </w:rPr>
        <w:t xml:space="preserve"> and </w:t>
      </w:r>
      <w:proofErr w:type="spellStart"/>
      <w:r>
        <w:rPr>
          <w:rFonts w:ascii="Times New Roman" w:hAnsi="Times New Roman"/>
          <w:sz w:val="24"/>
          <w:szCs w:val="24"/>
        </w:rPr>
        <w:t>Joghee</w:t>
      </w:r>
      <w:proofErr w:type="spellEnd"/>
      <w:r>
        <w:rPr>
          <w:rFonts w:ascii="Times New Roman" w:hAnsi="Times New Roman"/>
          <w:sz w:val="24"/>
          <w:szCs w:val="24"/>
        </w:rPr>
        <w:t>, 2017).  Tata Steel's capital structure is represented by the use of liquidity, application of debt, efficiency of inventories and policies for Dividends. These conditions on the other hand are of great significance for the company. Tata Steel can set a tone to counter its challenges and continue to thrive in a competitive market by understanding them correctly and taking a systematic approach by implementing an effective and balanced financial management solution.</w:t>
      </w:r>
    </w:p>
    <w:p w14:paraId="78A33228"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An evaluation of Tata Steel's financial performance metrics, like net profit margin (NPM), return on equity (ROE), return on assets (ROA), and return on capital employed (ROCE), spanning the past five years, indicates diverse tendencies that determine the efficiency of the </w:t>
      </w:r>
      <w:proofErr w:type="spellStart"/>
      <w:r>
        <w:rPr>
          <w:rFonts w:ascii="Times New Roman" w:hAnsi="Times New Roman"/>
          <w:sz w:val="24"/>
          <w:szCs w:val="24"/>
        </w:rPr>
        <w:t>organisation</w:t>
      </w:r>
      <w:proofErr w:type="spellEnd"/>
      <w:r>
        <w:rPr>
          <w:rFonts w:ascii="Times New Roman" w:hAnsi="Times New Roman"/>
          <w:sz w:val="24"/>
          <w:szCs w:val="24"/>
        </w:rPr>
        <w:t>. Tata Steel has been successful in adapting to these shifts and has experienced its ups and downs – from profitable years to times where only rational action and decisions can maintain shareholder value and ensure financial health. Research has shown that the allocation of debts and equity levels, which is called an optimal capital structure, can have a big impact on a company’s financial performance. It underlines the importance of taking care about the capital monitoring issues (Ahmed, Awais and Kashif, 2018). In addition, the analysis studies assessing the relationship between capital structure and company performance taking India as an example, show the requirement for detailed analysis of the given link (</w:t>
      </w:r>
      <w:proofErr w:type="spellStart"/>
      <w:r>
        <w:rPr>
          <w:rFonts w:ascii="Times New Roman" w:hAnsi="Times New Roman"/>
          <w:sz w:val="24"/>
          <w:szCs w:val="24"/>
        </w:rPr>
        <w:t>Dakua</w:t>
      </w:r>
      <w:proofErr w:type="spellEnd"/>
      <w:r>
        <w:rPr>
          <w:rFonts w:ascii="Times New Roman" w:hAnsi="Times New Roman"/>
          <w:sz w:val="24"/>
          <w:szCs w:val="24"/>
        </w:rPr>
        <w:t xml:space="preserve">, 2018).  In another respect, the existing literature provides insight into how M&amp;A deals affect financial performance of a company, thus demonstrating the consequences of corporate actions on such indicators as ROE and ROA (Aggarwal and Garg, 2019; Gupta and Raman, 2022) This evidence-based results come in line with Tata Steel’s financial performance measures, especially during restructuring projects or notable corporate events. In addition, the research into the influence of corporate governance on profitability include the paper by </w:t>
      </w:r>
      <w:proofErr w:type="spellStart"/>
      <w:r>
        <w:rPr>
          <w:rFonts w:ascii="Times New Roman" w:hAnsi="Times New Roman"/>
          <w:sz w:val="24"/>
          <w:szCs w:val="24"/>
        </w:rPr>
        <w:t>Bastomi</w:t>
      </w:r>
      <w:proofErr w:type="spellEnd"/>
      <w:r>
        <w:rPr>
          <w:rFonts w:ascii="Times New Roman" w:hAnsi="Times New Roman"/>
          <w:sz w:val="24"/>
          <w:szCs w:val="24"/>
        </w:rPr>
        <w:t xml:space="preserve">, Salim and </w:t>
      </w:r>
      <w:proofErr w:type="spellStart"/>
      <w:r>
        <w:rPr>
          <w:rFonts w:ascii="Times New Roman" w:hAnsi="Times New Roman"/>
          <w:sz w:val="24"/>
          <w:szCs w:val="24"/>
        </w:rPr>
        <w:t>Aisjah</w:t>
      </w:r>
      <w:proofErr w:type="spellEnd"/>
      <w:r>
        <w:rPr>
          <w:rFonts w:ascii="Times New Roman" w:hAnsi="Times New Roman"/>
          <w:sz w:val="24"/>
          <w:szCs w:val="24"/>
        </w:rPr>
        <w:t xml:space="preserve"> (2017) which stresses the role of efficient governance methods in creating profitability and shareholder value. Besides, various researches about financial ratio analysis and an impact on the corporate performance make it possible to use metrics such as Net Profit Margin (NPM) Return on Equity (ROE), Return on Assets (ROA), and Return on Capital </w:t>
      </w:r>
      <w:r>
        <w:rPr>
          <w:rFonts w:ascii="Times New Roman" w:hAnsi="Times New Roman"/>
          <w:sz w:val="24"/>
          <w:szCs w:val="24"/>
        </w:rPr>
        <w:lastRenderedPageBreak/>
        <w:t>Employed (ROCE) to check firm's financial health and operational efficiency (Kariyawasam, 2019). The ratios therefore provide a great picture of the company’s ability to be profitable, use its assets wisely, and manage capital in a way that the performance of Tata Steel shows up and down. Tata Steel's fluctuating financial performance indicates that there are changes in the nature of capital structure choices which has consequences on the company's success.</w:t>
      </w:r>
    </w:p>
    <w:p w14:paraId="27C82464"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correlation analysis reveals noteworthy associations between Tata Steel Ltd.'s capital structure and financial performance. There is a clear and significant relationship between the current ratio (CR) and all financial performance metrics, highlighting the need to retain sufficient liquidity in order to enhance profitability and efficiency. Moreover, there is a significant and positive relationship between the total debt/equity ratio and financial performance metrics, highlighting the importance of responsible debt management in improving profitability. The quick ratio (QR) and inventory turnover ratio (ITR) are both related to certain financial indicators, such as profitability and asset efficiency, but their effects differ. Effective inventory management has been proven to have a substantial impact on both profitability and asset performance. These findings </w:t>
      </w:r>
      <w:proofErr w:type="spellStart"/>
      <w:r>
        <w:rPr>
          <w:rFonts w:ascii="Times New Roman" w:hAnsi="Times New Roman"/>
          <w:sz w:val="24"/>
          <w:szCs w:val="24"/>
        </w:rPr>
        <w:t>emphasise</w:t>
      </w:r>
      <w:proofErr w:type="spellEnd"/>
      <w:r>
        <w:rPr>
          <w:rFonts w:ascii="Times New Roman" w:hAnsi="Times New Roman"/>
          <w:sz w:val="24"/>
          <w:szCs w:val="24"/>
        </w:rPr>
        <w:t xml:space="preserve"> the need of Tata Steel maintaining a balance between liquidity, leverage, and asset management in order to </w:t>
      </w:r>
      <w:proofErr w:type="spellStart"/>
      <w:r>
        <w:rPr>
          <w:rFonts w:ascii="Times New Roman" w:hAnsi="Times New Roman"/>
          <w:sz w:val="24"/>
          <w:szCs w:val="24"/>
        </w:rPr>
        <w:t>maximise</w:t>
      </w:r>
      <w:proofErr w:type="spellEnd"/>
      <w:r>
        <w:rPr>
          <w:rFonts w:ascii="Times New Roman" w:hAnsi="Times New Roman"/>
          <w:sz w:val="24"/>
          <w:szCs w:val="24"/>
        </w:rPr>
        <w:t xml:space="preserve"> financial performance and ensure long-term sustainability.</w:t>
      </w:r>
    </w:p>
    <w:p w14:paraId="4428CD8B"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The QR and ITR appear to be related to particular financial variables, namely the profitability and property productivity; however, the implications are going to be different. The optimization of inventory procedures has been highlighted in a way that it enables the creation of financial success because efficient inventory management is a critical part that impacts both profitability and asset strength. These observations have stressed Tata Steel the importance of having an appropriate balance between liquidity, leverage, and asset management to do a good work on profitability and durability. The studies relevant to the factors defining the rate of debt in a steel industry pinpoint the pivotal importance of understanding of capital structure components and their influence on the financial outcome (</w:t>
      </w:r>
      <w:proofErr w:type="spellStart"/>
      <w:r>
        <w:rPr>
          <w:rFonts w:ascii="Times New Roman" w:hAnsi="Times New Roman"/>
          <w:sz w:val="24"/>
          <w:szCs w:val="24"/>
        </w:rPr>
        <w:t>Dakua</w:t>
      </w:r>
      <w:proofErr w:type="spellEnd"/>
      <w:r>
        <w:rPr>
          <w:rFonts w:ascii="Times New Roman" w:hAnsi="Times New Roman"/>
          <w:sz w:val="24"/>
          <w:szCs w:val="24"/>
        </w:rPr>
        <w:t xml:space="preserve">, 2018). Apart from that, the efficiency of corporate governance procedures in terms of company financial performance is proved to be one of the factors that determine the strategic decision-making, governance and profitability business-wise (Reddy and Scrimgeour, 2010).  In addition, researchers conducting financial ratio analysis studies also conclude that such metrics as current ratio (CR), debt-to-equity ratio, quick ratio (QR), and inventory turnover ratio (ITR) might be indicative of a company' s financial health and operational efficiency (Pradip K Das, 2023). This ratio allows important information about the financial state of a company is revealed and then it can be used </w:t>
      </w:r>
      <w:r>
        <w:rPr>
          <w:rFonts w:ascii="Times New Roman" w:hAnsi="Times New Roman"/>
          <w:sz w:val="24"/>
          <w:szCs w:val="24"/>
        </w:rPr>
        <w:lastRenderedPageBreak/>
        <w:t>to adjust its capital structure and improve the business operation. In general, the information provided by the links between Tata Steel's capital structure and financial results performance indicates the intricate relation in between liquidity, leveraging and assets management that leads to income and operational efficiency. Tata Steel can ensure its solid financial performance, successful management of the capital structure, and a way to outshine the challenges of a competitive environment by means of these insights and a balanced strategy.</w:t>
      </w:r>
    </w:p>
    <w:p w14:paraId="6C6236B1" w14:textId="77777777" w:rsidR="007F5874" w:rsidRDefault="007F5874"/>
    <w:p w14:paraId="0ED92568" w14:textId="77777777" w:rsidR="007F5874" w:rsidRDefault="007F5874"/>
    <w:p w14:paraId="3B7CB90F" w14:textId="77777777" w:rsidR="007F5874" w:rsidRDefault="007F5874"/>
    <w:p w14:paraId="3AD449B8" w14:textId="77777777" w:rsidR="007F5874" w:rsidRDefault="007F5874"/>
    <w:p w14:paraId="7D1CE671" w14:textId="77777777" w:rsidR="007F5874" w:rsidRDefault="007F5874"/>
    <w:p w14:paraId="58C16BA5" w14:textId="77777777" w:rsidR="007F5874" w:rsidRDefault="007F5874"/>
    <w:p w14:paraId="0F4B76AE" w14:textId="77777777" w:rsidR="007F5874" w:rsidRDefault="007F5874"/>
    <w:p w14:paraId="5D14AD9A" w14:textId="77777777" w:rsidR="007F5874" w:rsidRDefault="007F5874"/>
    <w:p w14:paraId="7D54D637" w14:textId="77777777" w:rsidR="007F5874" w:rsidRDefault="007F5874"/>
    <w:p w14:paraId="3AAB040D" w14:textId="77777777" w:rsidR="007F5874" w:rsidRDefault="007F5874"/>
    <w:p w14:paraId="4DC73B2B" w14:textId="77777777" w:rsidR="007F5874" w:rsidRDefault="007F5874"/>
    <w:p w14:paraId="6F35AF4B" w14:textId="77777777" w:rsidR="007F5874" w:rsidRDefault="007F5874"/>
    <w:p w14:paraId="7992C5CE" w14:textId="77777777" w:rsidR="007F5874" w:rsidRDefault="007F5874"/>
    <w:p w14:paraId="0EBB6FE4" w14:textId="77777777" w:rsidR="007F5874" w:rsidRDefault="007F5874"/>
    <w:p w14:paraId="47C041A3" w14:textId="77777777" w:rsidR="007F5874" w:rsidRDefault="007F5874"/>
    <w:p w14:paraId="35A2F2D1" w14:textId="77777777" w:rsidR="007F5874" w:rsidRDefault="007F5874"/>
    <w:p w14:paraId="474A0548" w14:textId="77777777" w:rsidR="007F5874" w:rsidRDefault="007F5874"/>
    <w:p w14:paraId="7DB96E53" w14:textId="77777777" w:rsidR="007F5874" w:rsidRDefault="007F5874"/>
    <w:p w14:paraId="4DCA57D1" w14:textId="77777777" w:rsidR="007F5874" w:rsidRDefault="00402798">
      <w:pPr>
        <w:pStyle w:val="Heading1"/>
        <w:shd w:val="clear" w:color="auto" w:fill="E2EFD9"/>
        <w:spacing w:line="360" w:lineRule="auto"/>
        <w:jc w:val="center"/>
        <w:rPr>
          <w:rFonts w:ascii="Times New Roman" w:eastAsia="Times New Roman" w:hAnsi="Times New Roman" w:cs="Times New Roman"/>
          <w:b/>
          <w:bCs/>
          <w:color w:val="000000"/>
          <w:u w:color="000000"/>
        </w:rPr>
      </w:pPr>
      <w:bookmarkStart w:id="30" w:name="_Toc30"/>
      <w:r>
        <w:rPr>
          <w:rFonts w:ascii="Times New Roman" w:hAnsi="Times New Roman"/>
          <w:b/>
          <w:bCs/>
          <w:color w:val="000000"/>
          <w:u w:color="000000"/>
        </w:rPr>
        <w:t>Chapter 5: CONCLUSIONS AND RECOMMENDATIONS</w:t>
      </w:r>
      <w:bookmarkEnd w:id="30"/>
    </w:p>
    <w:p w14:paraId="6697DBE4" w14:textId="77777777" w:rsidR="007F5874" w:rsidRDefault="007F5874">
      <w:pPr>
        <w:rPr>
          <w:rFonts w:ascii="Arial" w:eastAsia="Arial" w:hAnsi="Arial" w:cs="Arial"/>
        </w:rPr>
      </w:pPr>
    </w:p>
    <w:p w14:paraId="6ADBBA67"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1" w:name="_Toc31"/>
      <w:r>
        <w:rPr>
          <w:rFonts w:ascii="Times New Roman" w:hAnsi="Times New Roman"/>
          <w:b/>
          <w:bCs/>
          <w:color w:val="000000"/>
          <w:u w:color="000000"/>
        </w:rPr>
        <w:t xml:space="preserve">5.1. Summary of main findings </w:t>
      </w:r>
      <w:bookmarkEnd w:id="31"/>
    </w:p>
    <w:p w14:paraId="0A8AF5EF"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examination of Tata Steel's capital structure using diverse financial parameters uncovers notable alterations and obstacles during the last five years. The variations in indicators such as the current ratio, total debt/equity ratio, quick ratio, inventory turnover ratio, and dividend payout ratio highlight the company's changing financial condition and the </w:t>
      </w:r>
      <w:r>
        <w:rPr>
          <w:rFonts w:ascii="Times New Roman" w:hAnsi="Times New Roman"/>
          <w:sz w:val="24"/>
          <w:szCs w:val="24"/>
        </w:rPr>
        <w:lastRenderedPageBreak/>
        <w:t xml:space="preserve">necessity for a comprehensive funding strategy. Despite experiencing fluctuations, Tata Steel has shown resilience and flexibility, consistently maintaining positive profitability and efficiency indicators such as net profit margin, return on equity, return on assets, and return on capital invested. Correlation analysis underscores the significance of liquidity, debt management, and inventory control in influencing financial performance. This </w:t>
      </w:r>
      <w:proofErr w:type="spellStart"/>
      <w:r>
        <w:rPr>
          <w:rFonts w:ascii="Times New Roman" w:hAnsi="Times New Roman"/>
          <w:sz w:val="24"/>
          <w:szCs w:val="24"/>
        </w:rPr>
        <w:t>emphasises</w:t>
      </w:r>
      <w:proofErr w:type="spellEnd"/>
      <w:r>
        <w:rPr>
          <w:rFonts w:ascii="Times New Roman" w:hAnsi="Times New Roman"/>
          <w:sz w:val="24"/>
          <w:szCs w:val="24"/>
        </w:rPr>
        <w:t xml:space="preserve"> the necessity of adopting a well-rounded approach to financial management to ensure long-term sustainability and resilience in a constantly changing market environment.</w:t>
      </w:r>
    </w:p>
    <w:p w14:paraId="100996B0"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2" w:name="_Toc32"/>
      <w:r>
        <w:rPr>
          <w:rFonts w:ascii="Times New Roman" w:hAnsi="Times New Roman"/>
          <w:b/>
          <w:bCs/>
          <w:color w:val="000000"/>
          <w:u w:color="000000"/>
        </w:rPr>
        <w:t>5.2. Conclusion based on the research questions</w:t>
      </w:r>
      <w:bookmarkEnd w:id="32"/>
    </w:p>
    <w:p w14:paraId="5AE68EA4" w14:textId="77777777" w:rsidR="007F5874" w:rsidRDefault="00402798">
      <w:pPr>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5.2.1. What is the trend of capital structure position of the Tata steel by using relevant accounting ratios?</w:t>
      </w:r>
    </w:p>
    <w:p w14:paraId="59FB05F7"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By examining various financial ratios, such as the current ratio (CR), total debt/equity ratio, quick ratio (QR), inventory turnover ratio (ITR), and dividend payout ratio (DPR), it is evident that Tata Steel's capital structure has undergone substantial fluctuations and challenges over the past five years. The current ratio, a metric that assesses the company's capacity to fulfil immediate financial obligations, has exhibited fluctuation, indicating varying degrees of liquidity and reliance on short-term financing. This suggests potential difficulties in managing urgent financial obligations and underscores the significance of implementing a comprehensive approach to financing. Similarly, the company's debt-to-equity ratio fluctuates, indicating changes in its borrowing level and risk exposure. A higher ratio indicates increased financial risk, whereas a lower ratio indicates a more conservative approach to debt management. The fast ratio, which assesses liquidity by excluding inventory, has undergone significant swings, impacting the company's ability to meet short-term obligations and efficiently manage working capital. Additionally, the inventory turnover ratio is a useful metric for assessing changes in the effectiveness of inventory management, which in turn affects the capital structure and the need for external funding. The dividend payout ratio reflects the company's strategy for distributing dividends, which subsequently impacts choices related to retained earnings and capital structure. Tata Steel's capital structure is influenced by various aspects, including liquidity management, debt </w:t>
      </w:r>
      <w:proofErr w:type="spellStart"/>
      <w:r>
        <w:rPr>
          <w:rFonts w:ascii="Times New Roman" w:hAnsi="Times New Roman"/>
          <w:sz w:val="24"/>
          <w:szCs w:val="24"/>
        </w:rPr>
        <w:t>utilisation</w:t>
      </w:r>
      <w:proofErr w:type="spellEnd"/>
      <w:r>
        <w:rPr>
          <w:rFonts w:ascii="Times New Roman" w:hAnsi="Times New Roman"/>
          <w:sz w:val="24"/>
          <w:szCs w:val="24"/>
        </w:rPr>
        <w:t xml:space="preserve">, inventory </w:t>
      </w:r>
      <w:proofErr w:type="spellStart"/>
      <w:r>
        <w:rPr>
          <w:rFonts w:ascii="Times New Roman" w:hAnsi="Times New Roman"/>
          <w:sz w:val="24"/>
          <w:szCs w:val="24"/>
        </w:rPr>
        <w:t>optimisation</w:t>
      </w:r>
      <w:proofErr w:type="spellEnd"/>
      <w:r>
        <w:rPr>
          <w:rFonts w:ascii="Times New Roman" w:hAnsi="Times New Roman"/>
          <w:sz w:val="24"/>
          <w:szCs w:val="24"/>
        </w:rPr>
        <w:t xml:space="preserve">, and dividend policies. This </w:t>
      </w:r>
      <w:proofErr w:type="spellStart"/>
      <w:r>
        <w:rPr>
          <w:rFonts w:ascii="Times New Roman" w:hAnsi="Times New Roman"/>
          <w:sz w:val="24"/>
          <w:szCs w:val="24"/>
        </w:rPr>
        <w:t>emphasises</w:t>
      </w:r>
      <w:proofErr w:type="spellEnd"/>
      <w:r>
        <w:rPr>
          <w:rFonts w:ascii="Times New Roman" w:hAnsi="Times New Roman"/>
          <w:sz w:val="24"/>
          <w:szCs w:val="24"/>
        </w:rPr>
        <w:t xml:space="preserve"> the importance of implementing a comprehensive and strategic approach to financial management in order to ensure long-term sustainability and resilience. </w:t>
      </w:r>
    </w:p>
    <w:p w14:paraId="0E20AD26" w14:textId="77777777" w:rsidR="007F5874" w:rsidRDefault="00402798">
      <w:pPr>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5.2.2. What is the status of financial performance of the Tata steel by using relevant accounting ratios?</w:t>
      </w:r>
    </w:p>
    <w:p w14:paraId="169F4B2C"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Upon examining various financial performance measures, including net profit margin (NPM), return on equity (ROE), return on assets (ROA), and return on capital employed (ROCE), it can be deduced that Tata Steel has experienced changes in its financial performance during the past five years. The net profit margin, a measure of the company's profitability, has experienced changes, reaching its highest point in 2022 and its lowest point in 2023. Despite the fluctuations, Tata Steel has always maintained a good net profit margin, showcasing its ability to generate revenue from its economic pursuits. Similarly, the return on equity has exhibited oscillations, peaking in 2022 and 2021, which signifies the efficient </w:t>
      </w:r>
      <w:proofErr w:type="spellStart"/>
      <w:r>
        <w:rPr>
          <w:rFonts w:ascii="Times New Roman" w:hAnsi="Times New Roman"/>
          <w:sz w:val="24"/>
          <w:szCs w:val="24"/>
        </w:rPr>
        <w:t>utilisation</w:t>
      </w:r>
      <w:proofErr w:type="spellEnd"/>
      <w:r>
        <w:rPr>
          <w:rFonts w:ascii="Times New Roman" w:hAnsi="Times New Roman"/>
          <w:sz w:val="24"/>
          <w:szCs w:val="24"/>
        </w:rPr>
        <w:t xml:space="preserve"> of shareholder capital to generate profits. However, there were periods of decline, particularly around 2020, that indicated challenges in attaining profitability and </w:t>
      </w:r>
      <w:proofErr w:type="spellStart"/>
      <w:r>
        <w:rPr>
          <w:rFonts w:ascii="Times New Roman" w:hAnsi="Times New Roman"/>
          <w:sz w:val="24"/>
          <w:szCs w:val="24"/>
        </w:rPr>
        <w:t>maximising</w:t>
      </w:r>
      <w:proofErr w:type="spellEnd"/>
      <w:r>
        <w:rPr>
          <w:rFonts w:ascii="Times New Roman" w:hAnsi="Times New Roman"/>
          <w:sz w:val="24"/>
          <w:szCs w:val="24"/>
        </w:rPr>
        <w:t xml:space="preserve"> the use of assets. The return on assets has seen fluctuations, with higher values indicating enhanced </w:t>
      </w:r>
      <w:proofErr w:type="spellStart"/>
      <w:r>
        <w:rPr>
          <w:rFonts w:ascii="Times New Roman" w:hAnsi="Times New Roman"/>
          <w:sz w:val="24"/>
          <w:szCs w:val="24"/>
        </w:rPr>
        <w:t>utilisation</w:t>
      </w:r>
      <w:proofErr w:type="spellEnd"/>
      <w:r>
        <w:rPr>
          <w:rFonts w:ascii="Times New Roman" w:hAnsi="Times New Roman"/>
          <w:sz w:val="24"/>
          <w:szCs w:val="24"/>
        </w:rPr>
        <w:t xml:space="preserve"> and profitability of assets. The return on capital employed has experienced oscillations, with its highest point occurring in 2022 and its lowest point in 2020, suggesting changes in both profitability and capital efficiency. Tata Steel has demonstrated durability and agility in its financial performance, effectively </w:t>
      </w:r>
      <w:proofErr w:type="spellStart"/>
      <w:r>
        <w:rPr>
          <w:rFonts w:ascii="Times New Roman" w:hAnsi="Times New Roman"/>
          <w:sz w:val="24"/>
          <w:szCs w:val="24"/>
        </w:rPr>
        <w:t>manoeuvring</w:t>
      </w:r>
      <w:proofErr w:type="spellEnd"/>
      <w:r>
        <w:rPr>
          <w:rFonts w:ascii="Times New Roman" w:hAnsi="Times New Roman"/>
          <w:sz w:val="24"/>
          <w:szCs w:val="24"/>
        </w:rPr>
        <w:t xml:space="preserve"> through market changes. The company has had moments of robust profitability and efficiency, but has also encountered problems that necessitate smart decision-making and resource management in order to uphold shareholder value and achieve financial success.</w:t>
      </w:r>
    </w:p>
    <w:p w14:paraId="78138B95" w14:textId="77777777" w:rsidR="007F5874" w:rsidRDefault="00402798">
      <w:pPr>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5.2.3. What is the impact of capital structure decisions on the financial performance of the Tata steel?</w:t>
      </w:r>
    </w:p>
    <w:p w14:paraId="20DEC09A"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 correlation analysis reveals noteworthy associations between Tata Steel Ltd.'s capital structure and financial performance. There is a clear and significant relationship between the current ratio (CR) and all financial performance metrics, highlighting the need to retain sufficient liquidity in order to enhance profitability and efficiency. Moreover, there is a significant and positive relationship between the total debt/equity ratio and financial performance metrics, highlighting the importance of responsible debt management in improving profitability. The quick ratio (QR) and inventory turnover ratio (ITR) are both related to certain financial indicators, such as profitability and asset efficiency, but their effects differ. Effective inventory management has been proven to have a substantial impact on both profitability and asset performance. These findings </w:t>
      </w:r>
      <w:proofErr w:type="spellStart"/>
      <w:r>
        <w:rPr>
          <w:rFonts w:ascii="Times New Roman" w:hAnsi="Times New Roman"/>
          <w:sz w:val="24"/>
          <w:szCs w:val="24"/>
        </w:rPr>
        <w:t>emphasise</w:t>
      </w:r>
      <w:proofErr w:type="spellEnd"/>
      <w:r>
        <w:rPr>
          <w:rFonts w:ascii="Times New Roman" w:hAnsi="Times New Roman"/>
          <w:sz w:val="24"/>
          <w:szCs w:val="24"/>
        </w:rPr>
        <w:t xml:space="preserve"> the need of Tata Steel maintaining a balance between liquidity, leverage, and asset management in order to </w:t>
      </w:r>
      <w:proofErr w:type="spellStart"/>
      <w:r>
        <w:rPr>
          <w:rFonts w:ascii="Times New Roman" w:hAnsi="Times New Roman"/>
          <w:sz w:val="24"/>
          <w:szCs w:val="24"/>
        </w:rPr>
        <w:t>maximise</w:t>
      </w:r>
      <w:proofErr w:type="spellEnd"/>
      <w:r>
        <w:rPr>
          <w:rFonts w:ascii="Times New Roman" w:hAnsi="Times New Roman"/>
          <w:sz w:val="24"/>
          <w:szCs w:val="24"/>
        </w:rPr>
        <w:t xml:space="preserve"> financial performance and ensure long-term sustainability.</w:t>
      </w:r>
    </w:p>
    <w:p w14:paraId="1C8F95F6"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3" w:name="_Toc33"/>
      <w:r>
        <w:rPr>
          <w:rFonts w:ascii="Times New Roman" w:hAnsi="Times New Roman"/>
          <w:b/>
          <w:bCs/>
          <w:color w:val="000000"/>
          <w:u w:color="000000"/>
        </w:rPr>
        <w:lastRenderedPageBreak/>
        <w:t>5.3. Recommendations (Practical and Theoretical)</w:t>
      </w:r>
      <w:bookmarkEnd w:id="33"/>
    </w:p>
    <w:p w14:paraId="4B78B2D1"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From the study, it is possible to come up with some suggestions that could be used to solve the issues and swings that have been mentioned above. Liquidity must be managed more optimally given the volatility shown in both current and quick ratio. Tata Steel should stress on, adequately retaining cash levels, best practice in debt collection and stock level reduction, to ensure that the company is able to finance its short-term liabilities without relying heavily on short term funds. In addition, strategic debt management approach is needed to have a grasp on the debt-to-equity relationship volatility. This involves assessing the company's debt capacity, enlarging the variety of financing sources, and guaranteeing that the debt levels are viable and commensurate with the </w:t>
      </w:r>
      <w:proofErr w:type="gramStart"/>
      <w:r>
        <w:rPr>
          <w:rFonts w:ascii="Times New Roman" w:hAnsi="Times New Roman"/>
          <w:sz w:val="24"/>
          <w:szCs w:val="24"/>
        </w:rPr>
        <w:t>long term</w:t>
      </w:r>
      <w:proofErr w:type="gramEnd"/>
      <w:r>
        <w:rPr>
          <w:rFonts w:ascii="Times New Roman" w:hAnsi="Times New Roman"/>
          <w:sz w:val="24"/>
          <w:szCs w:val="24"/>
        </w:rPr>
        <w:t xml:space="preserve"> growth plans. In relation to this, also it is necessary to work on the inventory management procedures because inventory turnover ratio is one of the most important factors that affect profit margin and asset efficiency. Tata Steel should consider the use of just-in-time inventory systems and efficient supply chain methods and processes in order to reduce inventory costs and increase asset turnover. Last, but not least, the dividend policy should be examined in order to get a harmonious balance between capital distribution to shareholders and retaining revenues for such things as new projects opportunities and debt reduction.</w:t>
      </w:r>
    </w:p>
    <w:p w14:paraId="7070DB75"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Tata Steel may find advantages in its financial planning process which consists of a complete capital structure, a financial performance source, and a market dynamic, from theoretical point of view. The framework ought to be a combination of a quantitative assessment of financial ratios, a qualitative examination of industry trends, and scenario planning to better inform strategic decision-making. Finally, it is important to implement risk-management strategies that help in decreasing the risks associated with capital structure movements. Tata Steel must repeatedly resort to stress testing, adopt techniques such as hedging and draw up contingency plans to have effective control over the liquidity issues and currency and interest rate risks. Next, it is needful to give the primacy to the achievement of sustainable growth by ensuring that the capital structure is compatible with the long-term objectives of the company. The exercise of this includes the regulated issuing of debt and equity finance for the purpose of investing in innovation, technology and sustainability projects that will enhance the competitiveness and create lasting value for the shareholders. Furthermore, it is considerable to enhance the communication with stakeholders concerning their decisions about capital structure and performance to create confidence and openness. Tata Steel should regularly communicate its strategy, financial projections, and risk management strategy to </w:t>
      </w:r>
      <w:r>
        <w:rPr>
          <w:rFonts w:ascii="Times New Roman" w:hAnsi="Times New Roman"/>
          <w:sz w:val="24"/>
          <w:szCs w:val="24"/>
        </w:rPr>
        <w:lastRenderedPageBreak/>
        <w:t>shareholders, financial analysts, and regulators, where possible, in an effort to retain investors’ confidence and secure approval.</w:t>
      </w:r>
    </w:p>
    <w:p w14:paraId="34A0080C"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4" w:name="_Toc34"/>
      <w:r>
        <w:rPr>
          <w:rFonts w:ascii="Times New Roman" w:hAnsi="Times New Roman"/>
          <w:b/>
          <w:bCs/>
          <w:color w:val="000000"/>
          <w:u w:color="000000"/>
        </w:rPr>
        <w:t xml:space="preserve">5.4. Limitations of Research </w:t>
      </w:r>
      <w:bookmarkEnd w:id="34"/>
    </w:p>
    <w:p w14:paraId="7A61879A" w14:textId="77777777" w:rsidR="007F5874" w:rsidRDefault="00402798">
      <w:pPr>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There are various limitations to the current research. Firstly, the research is dependent on historical financial data, which may not comprehensively reflect the present market dynamics and economic conditions. Future variations in industry trends, regulatory settings, or macroeconomic circumstances may have distinct effects on the company's capital structure and financial metrics. Furthermore, the analysis primarily </w:t>
      </w:r>
      <w:proofErr w:type="spellStart"/>
      <w:r>
        <w:rPr>
          <w:rFonts w:ascii="Times New Roman" w:hAnsi="Times New Roman"/>
          <w:sz w:val="24"/>
          <w:szCs w:val="24"/>
        </w:rPr>
        <w:t>emphasises</w:t>
      </w:r>
      <w:proofErr w:type="spellEnd"/>
      <w:r>
        <w:rPr>
          <w:rFonts w:ascii="Times New Roman" w:hAnsi="Times New Roman"/>
          <w:sz w:val="24"/>
          <w:szCs w:val="24"/>
        </w:rPr>
        <w:t xml:space="preserve"> quantitative financial ratios while neglecting qualitative aspects such as management actions, competitive positioning, and market mood, all of which can potentially have an impact on Tata Steel's financial success. Furthermore, it is important to note that correlation does not necessarily indicate causation. This implies that although there were strong associations found between capital structure indicators and financial performance metrics, it is possible that other factors are affecting the observed results. Furthermore, the study's focus is restricted to Tata Steel, and the conclusions may not be applicable to other </w:t>
      </w:r>
      <w:proofErr w:type="spellStart"/>
      <w:r>
        <w:rPr>
          <w:rFonts w:ascii="Times New Roman" w:hAnsi="Times New Roman"/>
          <w:sz w:val="24"/>
          <w:szCs w:val="24"/>
        </w:rPr>
        <w:t>organisations</w:t>
      </w:r>
      <w:proofErr w:type="spellEnd"/>
      <w:r>
        <w:rPr>
          <w:rFonts w:ascii="Times New Roman" w:hAnsi="Times New Roman"/>
          <w:sz w:val="24"/>
          <w:szCs w:val="24"/>
        </w:rPr>
        <w:t xml:space="preserve"> or industries with distinct operational contexts and business strategies. Ultimately, the research fails to include any possible outliers or abnormalities in the data, which has the potential to impact the credibility and consistency of the results.</w:t>
      </w:r>
    </w:p>
    <w:p w14:paraId="0A9C1795" w14:textId="77777777" w:rsidR="007F5874" w:rsidRDefault="00402798">
      <w:pPr>
        <w:pStyle w:val="Heading2"/>
        <w:spacing w:line="360" w:lineRule="auto"/>
        <w:rPr>
          <w:rFonts w:ascii="Times New Roman" w:eastAsia="Times New Roman" w:hAnsi="Times New Roman" w:cs="Times New Roman"/>
          <w:b/>
          <w:bCs/>
          <w:color w:val="000000"/>
          <w:u w:color="000000"/>
        </w:rPr>
      </w:pPr>
      <w:bookmarkStart w:id="35" w:name="_Toc35"/>
      <w:r>
        <w:rPr>
          <w:rFonts w:ascii="Times New Roman" w:hAnsi="Times New Roman"/>
          <w:b/>
          <w:bCs/>
          <w:color w:val="000000"/>
          <w:u w:color="000000"/>
        </w:rPr>
        <w:t>5.5. Recommendations for Future Work</w:t>
      </w:r>
      <w:bookmarkEnd w:id="35"/>
    </w:p>
    <w:p w14:paraId="214173B1" w14:textId="77777777" w:rsidR="007F5874" w:rsidRDefault="00402798">
      <w:pPr>
        <w:spacing w:after="0"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 xml:space="preserve">After </w:t>
      </w:r>
      <w:proofErr w:type="spellStart"/>
      <w:r>
        <w:rPr>
          <w:rFonts w:ascii="Times New Roman" w:hAnsi="Times New Roman"/>
          <w:sz w:val="24"/>
          <w:szCs w:val="24"/>
        </w:rPr>
        <w:t>analysing</w:t>
      </w:r>
      <w:proofErr w:type="spellEnd"/>
      <w:r>
        <w:rPr>
          <w:rFonts w:ascii="Times New Roman" w:hAnsi="Times New Roman"/>
          <w:sz w:val="24"/>
          <w:szCs w:val="24"/>
        </w:rPr>
        <w:t xml:space="preserve"> the n Tata Steel's capital structure and financial performance, various recommendations for further work can be derived. Firstly, performing a more extensive evaluation that incorporates qualitative elements such as managerial choices, industry patterns, and market mood would yield a more comprehensive comprehension of the company's financial success. This may entail employing qualitative research techniques, such as conducting interviews or case studies, to obtain valuable perspectives from important stakeholders. Additionally, further investigation might be conducted to examine how external variables, such as alterations in regulations, economic circumstances, and rivalry within the industry, affect Tata Steel's capital structure and financial indicators. Longitudinal studies, which monitor changes over time, would also be beneficial for comprehending how the </w:t>
      </w:r>
      <w:proofErr w:type="spellStart"/>
      <w:r>
        <w:rPr>
          <w:rFonts w:ascii="Times New Roman" w:hAnsi="Times New Roman"/>
          <w:sz w:val="24"/>
          <w:szCs w:val="24"/>
        </w:rPr>
        <w:t>organisation</w:t>
      </w:r>
      <w:proofErr w:type="spellEnd"/>
      <w:r>
        <w:rPr>
          <w:rFonts w:ascii="Times New Roman" w:hAnsi="Times New Roman"/>
          <w:sz w:val="24"/>
          <w:szCs w:val="24"/>
        </w:rPr>
        <w:t xml:space="preserve"> adapts to altering market dynamics. Furthermore, performing comparative analysis with other firms in the steel industry or in different sectors can offer valuable insights into Tata Steel's competitive position and performance compared to its peers. Ultimately, considering other approaches like event studies or scenario analyses to evaluate capital </w:t>
      </w:r>
      <w:r>
        <w:rPr>
          <w:rFonts w:ascii="Times New Roman" w:hAnsi="Times New Roman"/>
          <w:sz w:val="24"/>
          <w:szCs w:val="24"/>
        </w:rPr>
        <w:lastRenderedPageBreak/>
        <w:t>structure and financial performance could provide fresh insights and strengthen the reliability of the results. In conclusion, future research should focus on expanding upon the knowledge acquired from this study and overcoming its limitations in order to develop a more detailed comprehension of Tata Steel's financial dynamics.</w:t>
      </w:r>
    </w:p>
    <w:p w14:paraId="6700087E" w14:textId="77777777" w:rsidR="007F5874" w:rsidRDefault="007F5874"/>
    <w:p w14:paraId="0752B6A6" w14:textId="77777777" w:rsidR="007F5874" w:rsidRDefault="007F5874"/>
    <w:p w14:paraId="0B35AEDD" w14:textId="77777777" w:rsidR="007F5874" w:rsidRDefault="007F5874"/>
    <w:p w14:paraId="2581FC60" w14:textId="77777777" w:rsidR="007F5874" w:rsidRDefault="007F5874"/>
    <w:p w14:paraId="06BBA92C" w14:textId="77777777" w:rsidR="007F5874" w:rsidRDefault="007F5874"/>
    <w:p w14:paraId="6855BC99" w14:textId="77777777" w:rsidR="007F5874" w:rsidRDefault="007F5874"/>
    <w:p w14:paraId="3C311B97" w14:textId="77777777" w:rsidR="007F5874" w:rsidRDefault="007F5874"/>
    <w:p w14:paraId="42FC39CF" w14:textId="77777777" w:rsidR="007F5874" w:rsidRDefault="007F5874"/>
    <w:p w14:paraId="61429EC0" w14:textId="77777777" w:rsidR="007F5874" w:rsidRDefault="007F5874"/>
    <w:p w14:paraId="53D122CF" w14:textId="77777777" w:rsidR="007F5874" w:rsidRDefault="007F5874"/>
    <w:p w14:paraId="19315118" w14:textId="77777777" w:rsidR="007F5874" w:rsidRDefault="007F5874"/>
    <w:p w14:paraId="1400BCCB" w14:textId="77777777" w:rsidR="007F5874" w:rsidRDefault="007F5874"/>
    <w:p w14:paraId="7B577EA0" w14:textId="77777777" w:rsidR="007F5874" w:rsidRDefault="007F5874"/>
    <w:p w14:paraId="66A1B9E2" w14:textId="77777777" w:rsidR="007F5874" w:rsidRDefault="007F5874"/>
    <w:p w14:paraId="6564F362" w14:textId="77777777" w:rsidR="007F5874" w:rsidRDefault="007F5874"/>
    <w:p w14:paraId="6CD9E019" w14:textId="77777777" w:rsidR="007F5874" w:rsidRDefault="007F5874"/>
    <w:p w14:paraId="7D7715B1" w14:textId="77777777" w:rsidR="007F5874" w:rsidRDefault="007F5874"/>
    <w:p w14:paraId="5C8815D2" w14:textId="77777777" w:rsidR="007F5874" w:rsidRDefault="007F5874"/>
    <w:p w14:paraId="6BB9F021" w14:textId="77777777" w:rsidR="007F5874" w:rsidRDefault="007F5874"/>
    <w:p w14:paraId="573E0FD5" w14:textId="77777777" w:rsidR="007F5874" w:rsidRDefault="007F5874"/>
    <w:p w14:paraId="02F24350" w14:textId="77777777" w:rsidR="007F5874" w:rsidRDefault="007F5874"/>
    <w:p w14:paraId="230CFAE1" w14:textId="77777777" w:rsidR="007F5874" w:rsidRDefault="007F5874"/>
    <w:p w14:paraId="440140AA" w14:textId="77777777" w:rsidR="007F5874" w:rsidRDefault="00402798">
      <w:pPr>
        <w:pStyle w:val="Heading1"/>
        <w:shd w:val="clear" w:color="auto" w:fill="E2EFD9"/>
        <w:rPr>
          <w:rFonts w:ascii="Times New Roman" w:eastAsia="Times New Roman" w:hAnsi="Times New Roman" w:cs="Times New Roman"/>
          <w:b/>
          <w:bCs/>
          <w:color w:val="000000"/>
          <w:u w:color="000000"/>
        </w:rPr>
      </w:pPr>
      <w:bookmarkStart w:id="36" w:name="_Toc36"/>
      <w:r>
        <w:rPr>
          <w:rFonts w:ascii="Times New Roman" w:hAnsi="Times New Roman"/>
          <w:b/>
          <w:bCs/>
          <w:color w:val="000000"/>
          <w:u w:color="000000"/>
        </w:rPr>
        <w:t>REFERENCES</w:t>
      </w:r>
      <w:bookmarkEnd w:id="36"/>
    </w:p>
    <w:p w14:paraId="7F1A89B4" w14:textId="77777777" w:rsidR="007F5874" w:rsidRDefault="007F5874"/>
    <w:p w14:paraId="3821B753"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Abuzayed</w:t>
      </w:r>
      <w:proofErr w:type="spellEnd"/>
      <w:r>
        <w:rPr>
          <w:rFonts w:ascii="Times New Roman" w:hAnsi="Times New Roman"/>
          <w:sz w:val="24"/>
          <w:szCs w:val="24"/>
        </w:rPr>
        <w:t xml:space="preserve">, B. (2012) ‘Working Capital Management and Firms’ Performance in Emerging Markets: The Case of Jordan’, </w:t>
      </w:r>
      <w:r>
        <w:rPr>
          <w:rFonts w:ascii="Times New Roman" w:hAnsi="Times New Roman"/>
          <w:i/>
          <w:iCs/>
          <w:sz w:val="24"/>
          <w:szCs w:val="24"/>
        </w:rPr>
        <w:t>International Journal of Managerial Finance</w:t>
      </w:r>
      <w:r>
        <w:rPr>
          <w:rFonts w:ascii="Times New Roman" w:hAnsi="Times New Roman"/>
          <w:sz w:val="24"/>
          <w:szCs w:val="24"/>
        </w:rPr>
        <w:t xml:space="preserve"> [Preprint]. Available at: https://doi.org/10.1108/17439131211216620.</w:t>
      </w:r>
    </w:p>
    <w:p w14:paraId="0082CB97"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Adam, A. </w:t>
      </w:r>
      <w:r>
        <w:rPr>
          <w:rFonts w:ascii="Times New Roman" w:hAnsi="Times New Roman"/>
          <w:i/>
          <w:iCs/>
          <w:sz w:val="24"/>
          <w:szCs w:val="24"/>
        </w:rPr>
        <w:t>et al.</w:t>
      </w:r>
      <w:r>
        <w:rPr>
          <w:rFonts w:ascii="Times New Roman" w:hAnsi="Times New Roman"/>
          <w:sz w:val="24"/>
          <w:szCs w:val="24"/>
        </w:rPr>
        <w:t xml:space="preserve"> (2022) ‘The Resource-Based View Theory and Women Microbusiness Entrepreneurs: A Contribution to Business Sustainability’, </w:t>
      </w:r>
      <w:r>
        <w:rPr>
          <w:rFonts w:ascii="Times New Roman" w:hAnsi="Times New Roman"/>
          <w:i/>
          <w:iCs/>
          <w:sz w:val="24"/>
          <w:szCs w:val="24"/>
        </w:rPr>
        <w:t>International Journal of Academic Research in Business and Social Sciences</w:t>
      </w:r>
      <w:r>
        <w:rPr>
          <w:rFonts w:ascii="Times New Roman" w:hAnsi="Times New Roman"/>
          <w:sz w:val="24"/>
          <w:szCs w:val="24"/>
        </w:rPr>
        <w:t xml:space="preserve"> [Preprint]. Available at: https://doi.org/10.6007/ijarbss/v12-i10/15103.</w:t>
      </w:r>
    </w:p>
    <w:p w14:paraId="34C90A91"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Aggarwal, P. and Garg, S. (2019) ‘Impact of Mergers and Acquisitions on Accounting-Based Performance of Acquiring Firms in India’, </w:t>
      </w:r>
      <w:r>
        <w:rPr>
          <w:rFonts w:ascii="Times New Roman" w:hAnsi="Times New Roman"/>
          <w:i/>
          <w:iCs/>
          <w:sz w:val="24"/>
          <w:szCs w:val="24"/>
        </w:rPr>
        <w:t>Global Business Review</w:t>
      </w:r>
      <w:r>
        <w:rPr>
          <w:rFonts w:ascii="Times New Roman" w:hAnsi="Times New Roman"/>
          <w:sz w:val="24"/>
          <w:szCs w:val="24"/>
        </w:rPr>
        <w:t xml:space="preserve"> [Preprint]. Available at: https://doi.org/10.1177/0972150919852009.</w:t>
      </w:r>
    </w:p>
    <w:p w14:paraId="1FA724AF"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Ahmed, F., Awais, I. and Kashif, M. (2018) ‘Financial Leverage and Firms’ Performance: Empirical Investigation of KSE-100 Index’, </w:t>
      </w:r>
      <w:proofErr w:type="spellStart"/>
      <w:r>
        <w:rPr>
          <w:rFonts w:ascii="Times New Roman" w:hAnsi="Times New Roman"/>
          <w:i/>
          <w:iCs/>
          <w:sz w:val="24"/>
          <w:szCs w:val="24"/>
        </w:rPr>
        <w:t>Etikonomi</w:t>
      </w:r>
      <w:proofErr w:type="spellEnd"/>
      <w:r>
        <w:rPr>
          <w:rFonts w:ascii="Times New Roman" w:hAnsi="Times New Roman"/>
          <w:sz w:val="24"/>
          <w:szCs w:val="24"/>
        </w:rPr>
        <w:t xml:space="preserve"> [Preprint]. Available at: https://doi.org/10.15408/etk.v17i1.6102.</w:t>
      </w:r>
    </w:p>
    <w:p w14:paraId="6A3721E7"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Ahmed, N. and Afza, T. (2019) ‘Capital Structure, Competitive Intensity and Firm Performance: Evidence </w:t>
      </w:r>
      <w:proofErr w:type="gramStart"/>
      <w:r>
        <w:rPr>
          <w:rFonts w:ascii="Times New Roman" w:hAnsi="Times New Roman"/>
          <w:sz w:val="24"/>
          <w:szCs w:val="24"/>
        </w:rPr>
        <w:t>From</w:t>
      </w:r>
      <w:proofErr w:type="gramEnd"/>
      <w:r>
        <w:rPr>
          <w:rFonts w:ascii="Times New Roman" w:hAnsi="Times New Roman"/>
          <w:sz w:val="24"/>
          <w:szCs w:val="24"/>
        </w:rPr>
        <w:t xml:space="preserve"> Pakistan’, </w:t>
      </w:r>
      <w:r>
        <w:rPr>
          <w:rFonts w:ascii="Times New Roman" w:hAnsi="Times New Roman"/>
          <w:i/>
          <w:iCs/>
          <w:sz w:val="24"/>
          <w:szCs w:val="24"/>
        </w:rPr>
        <w:t>Journal of Advances in Management Research</w:t>
      </w:r>
      <w:r>
        <w:rPr>
          <w:rFonts w:ascii="Times New Roman" w:hAnsi="Times New Roman"/>
          <w:sz w:val="24"/>
          <w:szCs w:val="24"/>
        </w:rPr>
        <w:t xml:space="preserve"> [Preprint]. Available at: https://doi.org/10.1108/jamr-02-2019-0018.</w:t>
      </w:r>
    </w:p>
    <w:p w14:paraId="601C98AF"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Al‐Haddad, L. </w:t>
      </w:r>
      <w:r>
        <w:rPr>
          <w:rFonts w:ascii="Times New Roman" w:hAnsi="Times New Roman"/>
          <w:i/>
          <w:iCs/>
          <w:sz w:val="24"/>
          <w:szCs w:val="24"/>
        </w:rPr>
        <w:t>et al.</w:t>
      </w:r>
      <w:r>
        <w:rPr>
          <w:rFonts w:ascii="Times New Roman" w:hAnsi="Times New Roman"/>
          <w:sz w:val="24"/>
          <w:szCs w:val="24"/>
        </w:rPr>
        <w:t xml:space="preserve"> (2023) ‘Does Capital Structure Matter? Evidence From Family-Owned Firms in Jordan’, </w:t>
      </w:r>
      <w:r>
        <w:rPr>
          <w:rFonts w:ascii="Times New Roman" w:hAnsi="Times New Roman"/>
          <w:i/>
          <w:iCs/>
          <w:sz w:val="24"/>
          <w:szCs w:val="24"/>
        </w:rPr>
        <w:t>Journal of Family Business Management</w:t>
      </w:r>
      <w:r>
        <w:rPr>
          <w:rFonts w:ascii="Times New Roman" w:hAnsi="Times New Roman"/>
          <w:sz w:val="24"/>
          <w:szCs w:val="24"/>
        </w:rPr>
        <w:t xml:space="preserve"> [Preprint]. Available at: https://doi.org/10.1108/jfbm-09-2022-0115.</w:t>
      </w:r>
    </w:p>
    <w:p w14:paraId="441A5A2D"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Alharahsheh</w:t>
      </w:r>
      <w:proofErr w:type="spellEnd"/>
      <w:r>
        <w:rPr>
          <w:rFonts w:ascii="Times New Roman" w:hAnsi="Times New Roman"/>
          <w:sz w:val="24"/>
          <w:szCs w:val="24"/>
        </w:rPr>
        <w:t xml:space="preserve">, H.H. and Pius, A. (2020) ‘A Review of key paradigms: positivism VS interpretivism’, </w:t>
      </w:r>
      <w:r>
        <w:rPr>
          <w:rFonts w:ascii="Times New Roman" w:hAnsi="Times New Roman"/>
          <w:i/>
          <w:iCs/>
          <w:sz w:val="24"/>
          <w:szCs w:val="24"/>
        </w:rPr>
        <w:t>Global Academic Journal of Humanities and Social Science</w:t>
      </w:r>
      <w:r>
        <w:rPr>
          <w:rFonts w:ascii="Times New Roman" w:hAnsi="Times New Roman"/>
          <w:sz w:val="24"/>
          <w:szCs w:val="24"/>
        </w:rPr>
        <w:t>, 2(3), pp. 39–43. Available at: https://www.researchgate.net/publication/338244145.</w:t>
      </w:r>
    </w:p>
    <w:p w14:paraId="420239B4"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Aminu, M.I. and Mahmood, R. (2015) ‘Mediating Role of Dynamic Capabilities on the Relationship Between Intellectual Capital and Performance: A Hierarchical Component Model Perspective in PLS-SEM Path Modeling’, </w:t>
      </w:r>
      <w:r>
        <w:rPr>
          <w:rFonts w:ascii="Times New Roman" w:hAnsi="Times New Roman"/>
          <w:i/>
          <w:iCs/>
          <w:sz w:val="24"/>
          <w:szCs w:val="24"/>
        </w:rPr>
        <w:t>Research Journal of Business Management</w:t>
      </w:r>
      <w:r>
        <w:rPr>
          <w:rFonts w:ascii="Times New Roman" w:hAnsi="Times New Roman"/>
          <w:sz w:val="24"/>
          <w:szCs w:val="24"/>
        </w:rPr>
        <w:t xml:space="preserve"> [Preprint]. Available at: https://doi.org/10.3923/rjbm.2015.443.456.</w:t>
      </w:r>
    </w:p>
    <w:p w14:paraId="6A6C818F"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Attom</w:t>
      </w:r>
      <w:proofErr w:type="spellEnd"/>
      <w:r>
        <w:rPr>
          <w:rFonts w:ascii="Times New Roman" w:hAnsi="Times New Roman"/>
          <w:sz w:val="24"/>
          <w:szCs w:val="24"/>
        </w:rPr>
        <w:t xml:space="preserve">, B.E. and Hamza, N. (2021) ‘Capital Structure and Firm Performance: Evidence From Manufacturing Companies Listed on the </w:t>
      </w:r>
      <w:proofErr w:type="gramStart"/>
      <w:r>
        <w:rPr>
          <w:rFonts w:ascii="Times New Roman" w:hAnsi="Times New Roman"/>
          <w:sz w:val="24"/>
          <w:szCs w:val="24"/>
        </w:rPr>
        <w:t>Ghana  Stock</w:t>
      </w:r>
      <w:proofErr w:type="gramEnd"/>
      <w:r>
        <w:rPr>
          <w:rFonts w:ascii="Times New Roman" w:hAnsi="Times New Roman"/>
          <w:sz w:val="24"/>
          <w:szCs w:val="24"/>
        </w:rPr>
        <w:t xml:space="preserve"> Exchange (GSE)’, </w:t>
      </w:r>
      <w:r>
        <w:rPr>
          <w:rFonts w:ascii="Times New Roman" w:hAnsi="Times New Roman"/>
          <w:i/>
          <w:iCs/>
          <w:sz w:val="24"/>
          <w:szCs w:val="24"/>
        </w:rPr>
        <w:t>The International Journal of Business &amp; Management</w:t>
      </w:r>
      <w:r>
        <w:rPr>
          <w:rFonts w:ascii="Times New Roman" w:hAnsi="Times New Roman"/>
          <w:sz w:val="24"/>
          <w:szCs w:val="24"/>
        </w:rPr>
        <w:t xml:space="preserve"> [Preprint]. Available at: https://doi.org/10.24940/theijbm/2021/v9/i4/158532-390208-1-sm.</w:t>
      </w:r>
    </w:p>
    <w:p w14:paraId="5FB33C9D"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Bastomi</w:t>
      </w:r>
      <w:proofErr w:type="spellEnd"/>
      <w:r>
        <w:rPr>
          <w:rFonts w:ascii="Times New Roman" w:hAnsi="Times New Roman"/>
          <w:sz w:val="24"/>
          <w:szCs w:val="24"/>
        </w:rPr>
        <w:t xml:space="preserve">, M., Salim, U. and </w:t>
      </w:r>
      <w:proofErr w:type="spellStart"/>
      <w:r>
        <w:rPr>
          <w:rFonts w:ascii="Times New Roman" w:hAnsi="Times New Roman"/>
          <w:sz w:val="24"/>
          <w:szCs w:val="24"/>
        </w:rPr>
        <w:t>Aisjah</w:t>
      </w:r>
      <w:proofErr w:type="spellEnd"/>
      <w:r>
        <w:rPr>
          <w:rFonts w:ascii="Times New Roman" w:hAnsi="Times New Roman"/>
          <w:sz w:val="24"/>
          <w:szCs w:val="24"/>
        </w:rPr>
        <w:t xml:space="preserve">, S. (2017) ‘The Role of Corporate Governance and Risk Management on Banking Financial Performance in Indonesia’, </w:t>
      </w:r>
      <w:proofErr w:type="spellStart"/>
      <w:r>
        <w:rPr>
          <w:rFonts w:ascii="Times New Roman" w:hAnsi="Times New Roman"/>
          <w:i/>
          <w:iCs/>
          <w:sz w:val="24"/>
          <w:szCs w:val="24"/>
        </w:rPr>
        <w:t>Jurnal</w:t>
      </w:r>
      <w:proofErr w:type="spellEnd"/>
      <w:r>
        <w:rPr>
          <w:rFonts w:ascii="Times New Roman" w:hAnsi="Times New Roman"/>
          <w:i/>
          <w:iCs/>
          <w:sz w:val="24"/>
          <w:szCs w:val="24"/>
        </w:rPr>
        <w:t xml:space="preserve"> </w:t>
      </w:r>
      <w:proofErr w:type="spellStart"/>
      <w:r>
        <w:rPr>
          <w:rFonts w:ascii="Times New Roman" w:hAnsi="Times New Roman"/>
          <w:i/>
          <w:iCs/>
          <w:sz w:val="24"/>
          <w:szCs w:val="24"/>
        </w:rPr>
        <w:t>Keuangan</w:t>
      </w:r>
      <w:proofErr w:type="spellEnd"/>
      <w:r>
        <w:rPr>
          <w:rFonts w:ascii="Times New Roman" w:hAnsi="Times New Roman"/>
          <w:i/>
          <w:iCs/>
          <w:sz w:val="24"/>
          <w:szCs w:val="24"/>
        </w:rPr>
        <w:t xml:space="preserve"> Dan </w:t>
      </w:r>
      <w:proofErr w:type="spellStart"/>
      <w:r>
        <w:rPr>
          <w:rFonts w:ascii="Times New Roman" w:hAnsi="Times New Roman"/>
          <w:i/>
          <w:iCs/>
          <w:sz w:val="24"/>
          <w:szCs w:val="24"/>
        </w:rPr>
        <w:t>Perbankan</w:t>
      </w:r>
      <w:proofErr w:type="spellEnd"/>
      <w:r>
        <w:rPr>
          <w:rFonts w:ascii="Times New Roman" w:hAnsi="Times New Roman"/>
          <w:sz w:val="24"/>
          <w:szCs w:val="24"/>
        </w:rPr>
        <w:t xml:space="preserve"> [Preprint]. Available at: https://doi.org/10.26905/jkdp.v21i4.1285.</w:t>
      </w:r>
    </w:p>
    <w:p w14:paraId="7A2941ED"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lastRenderedPageBreak/>
        <w:t>Cacciattolo</w:t>
      </w:r>
      <w:proofErr w:type="spellEnd"/>
      <w:r>
        <w:rPr>
          <w:rFonts w:ascii="Times New Roman" w:hAnsi="Times New Roman"/>
          <w:sz w:val="24"/>
          <w:szCs w:val="24"/>
        </w:rPr>
        <w:t xml:space="preserve">, M. (2015) ‘Ethical considerations in research’, in </w:t>
      </w:r>
      <w:r>
        <w:rPr>
          <w:rFonts w:ascii="Times New Roman" w:hAnsi="Times New Roman"/>
          <w:i/>
          <w:iCs/>
          <w:sz w:val="24"/>
          <w:szCs w:val="24"/>
        </w:rPr>
        <w:t>The Praxis of English Language Teaching and Learning (PELT)</w:t>
      </w:r>
      <w:r>
        <w:rPr>
          <w:rFonts w:ascii="Times New Roman" w:hAnsi="Times New Roman"/>
          <w:sz w:val="24"/>
          <w:szCs w:val="24"/>
        </w:rPr>
        <w:t>. Brill, pp. 55–73.</w:t>
      </w:r>
    </w:p>
    <w:p w14:paraId="1BD31AB5"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Campbell, G. and Rogers, M. (2018) ‘Capital Structure Volatility in Europe’, </w:t>
      </w:r>
      <w:r>
        <w:rPr>
          <w:rFonts w:ascii="Times New Roman" w:hAnsi="Times New Roman"/>
          <w:i/>
          <w:iCs/>
          <w:sz w:val="24"/>
          <w:szCs w:val="24"/>
        </w:rPr>
        <w:t>International Review of Financial Analysis</w:t>
      </w:r>
      <w:r>
        <w:rPr>
          <w:rFonts w:ascii="Times New Roman" w:hAnsi="Times New Roman"/>
          <w:sz w:val="24"/>
          <w:szCs w:val="24"/>
        </w:rPr>
        <w:t xml:space="preserve"> [Preprint]. Available at: https://doi.org/10.1016/j.irfa.2017.11.008.</w:t>
      </w:r>
    </w:p>
    <w:p w14:paraId="0CB4641B"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Chadha, Saurabh and Sharma, A. (2015) ‘Determinants of Capital Structure: An Empirical Evaluation </w:t>
      </w:r>
      <w:proofErr w:type="gramStart"/>
      <w:r>
        <w:rPr>
          <w:rFonts w:ascii="Times New Roman" w:hAnsi="Times New Roman"/>
          <w:sz w:val="24"/>
          <w:szCs w:val="24"/>
        </w:rPr>
        <w:t>From</w:t>
      </w:r>
      <w:proofErr w:type="gramEnd"/>
      <w:r>
        <w:rPr>
          <w:rFonts w:ascii="Times New Roman" w:hAnsi="Times New Roman"/>
          <w:sz w:val="24"/>
          <w:szCs w:val="24"/>
        </w:rPr>
        <w:t xml:space="preserve"> India’, </w:t>
      </w:r>
      <w:r>
        <w:rPr>
          <w:rFonts w:ascii="Times New Roman" w:hAnsi="Times New Roman"/>
          <w:i/>
          <w:iCs/>
          <w:sz w:val="24"/>
          <w:szCs w:val="24"/>
        </w:rPr>
        <w:t>Journal of Advances in Management Research</w:t>
      </w:r>
      <w:r>
        <w:rPr>
          <w:rFonts w:ascii="Times New Roman" w:hAnsi="Times New Roman"/>
          <w:sz w:val="24"/>
          <w:szCs w:val="24"/>
        </w:rPr>
        <w:t xml:space="preserve"> [Preprint]. Available at: https://doi.org/10.1108/jamr-08-2014-0051.</w:t>
      </w:r>
    </w:p>
    <w:p w14:paraId="7F7104D2"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Chadha, S and Sharma, A.K. (2015) ‘Capital structure and firm performance: empirical evidence from India’, </w:t>
      </w:r>
      <w:r>
        <w:rPr>
          <w:rFonts w:ascii="Times New Roman" w:hAnsi="Times New Roman"/>
          <w:i/>
          <w:iCs/>
          <w:sz w:val="24"/>
          <w:szCs w:val="24"/>
        </w:rPr>
        <w:t>Vision</w:t>
      </w:r>
      <w:r>
        <w:rPr>
          <w:rFonts w:ascii="Times New Roman" w:hAnsi="Times New Roman"/>
          <w:sz w:val="24"/>
          <w:szCs w:val="24"/>
        </w:rPr>
        <w:t>, 19.</w:t>
      </w:r>
    </w:p>
    <w:p w14:paraId="2DD2E227"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Connelly, L.M.B.T.-M.N. (2014) ‘Ethical considerations in research studies’, 23(1), p. 54+. Available at: https://link.gale.com/apps/doc/A360608990/AONE?u=anon~ea04976&amp;sid=googleScholar&amp;xid=88b93f23.</w:t>
      </w:r>
    </w:p>
    <w:p w14:paraId="0E3AC15F"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Crook, T.R. </w:t>
      </w:r>
      <w:r>
        <w:rPr>
          <w:rFonts w:ascii="Times New Roman" w:hAnsi="Times New Roman"/>
          <w:i/>
          <w:iCs/>
          <w:sz w:val="24"/>
          <w:szCs w:val="24"/>
        </w:rPr>
        <w:t>et al.</w:t>
      </w:r>
      <w:r>
        <w:rPr>
          <w:rFonts w:ascii="Times New Roman" w:hAnsi="Times New Roman"/>
          <w:sz w:val="24"/>
          <w:szCs w:val="24"/>
        </w:rPr>
        <w:t xml:space="preserve"> (2011) ‘Does Human Capital Matter? A Meta-Analysis of the Relationship Between Human Capital and Firm Performance.’, </w:t>
      </w:r>
      <w:r>
        <w:rPr>
          <w:rFonts w:ascii="Times New Roman" w:hAnsi="Times New Roman"/>
          <w:i/>
          <w:iCs/>
          <w:sz w:val="24"/>
          <w:szCs w:val="24"/>
        </w:rPr>
        <w:t>Journal of Applied Psychology</w:t>
      </w:r>
      <w:r>
        <w:rPr>
          <w:rFonts w:ascii="Times New Roman" w:hAnsi="Times New Roman"/>
          <w:sz w:val="24"/>
          <w:szCs w:val="24"/>
        </w:rPr>
        <w:t xml:space="preserve"> [Preprint]. Available at: https://doi.org/10.1037/a0022147.</w:t>
      </w:r>
    </w:p>
    <w:p w14:paraId="7F190CC2"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Dakua</w:t>
      </w:r>
      <w:proofErr w:type="spellEnd"/>
      <w:r>
        <w:rPr>
          <w:rFonts w:ascii="Times New Roman" w:hAnsi="Times New Roman"/>
          <w:sz w:val="24"/>
          <w:szCs w:val="24"/>
        </w:rPr>
        <w:t>, S. (2018) ‘Effect of Determinants on Financial Leverage in &lt;</w:t>
      </w:r>
      <w:proofErr w:type="spellStart"/>
      <w:r>
        <w:rPr>
          <w:rFonts w:ascii="Times New Roman" w:hAnsi="Times New Roman"/>
          <w:sz w:val="24"/>
          <w:szCs w:val="24"/>
        </w:rPr>
        <w:t>scp</w:t>
      </w:r>
      <w:proofErr w:type="spellEnd"/>
      <w:r>
        <w:rPr>
          <w:rFonts w:ascii="Times New Roman" w:hAnsi="Times New Roman"/>
          <w:sz w:val="24"/>
          <w:szCs w:val="24"/>
        </w:rPr>
        <w:t>&gt;I&lt;/</w:t>
      </w:r>
      <w:proofErr w:type="spellStart"/>
      <w:r>
        <w:rPr>
          <w:rFonts w:ascii="Times New Roman" w:hAnsi="Times New Roman"/>
          <w:sz w:val="24"/>
          <w:szCs w:val="24"/>
        </w:rPr>
        <w:t>Scp</w:t>
      </w:r>
      <w:proofErr w:type="spellEnd"/>
      <w:r>
        <w:rPr>
          <w:rFonts w:ascii="Times New Roman" w:hAnsi="Times New Roman"/>
          <w:sz w:val="24"/>
          <w:szCs w:val="24"/>
        </w:rPr>
        <w:t>&gt;</w:t>
      </w:r>
      <w:proofErr w:type="spellStart"/>
      <w:r>
        <w:rPr>
          <w:rFonts w:ascii="Times New Roman" w:hAnsi="Times New Roman"/>
          <w:sz w:val="24"/>
          <w:szCs w:val="24"/>
        </w:rPr>
        <w:t>ndian</w:t>
      </w:r>
      <w:proofErr w:type="spellEnd"/>
      <w:r>
        <w:rPr>
          <w:rFonts w:ascii="Times New Roman" w:hAnsi="Times New Roman"/>
          <w:sz w:val="24"/>
          <w:szCs w:val="24"/>
        </w:rPr>
        <w:t xml:space="preserve"> Steel Industry: &lt;</w:t>
      </w:r>
      <w:proofErr w:type="spellStart"/>
      <w:r>
        <w:rPr>
          <w:rFonts w:ascii="Times New Roman" w:hAnsi="Times New Roman"/>
          <w:sz w:val="24"/>
          <w:szCs w:val="24"/>
        </w:rPr>
        <w:t>scp</w:t>
      </w:r>
      <w:proofErr w:type="spellEnd"/>
      <w:r>
        <w:rPr>
          <w:rFonts w:ascii="Times New Roman" w:hAnsi="Times New Roman"/>
          <w:sz w:val="24"/>
          <w:szCs w:val="24"/>
        </w:rPr>
        <w:t>&gt;A&lt;/</w:t>
      </w:r>
      <w:proofErr w:type="spellStart"/>
      <w:r>
        <w:rPr>
          <w:rFonts w:ascii="Times New Roman" w:hAnsi="Times New Roman"/>
          <w:sz w:val="24"/>
          <w:szCs w:val="24"/>
        </w:rPr>
        <w:t>Scp</w:t>
      </w:r>
      <w:proofErr w:type="spellEnd"/>
      <w:r>
        <w:rPr>
          <w:rFonts w:ascii="Times New Roman" w:hAnsi="Times New Roman"/>
          <w:sz w:val="24"/>
          <w:szCs w:val="24"/>
        </w:rPr>
        <w:t xml:space="preserve">&gt; Study on Capital Structure’, </w:t>
      </w:r>
      <w:r>
        <w:rPr>
          <w:rFonts w:ascii="Times New Roman" w:hAnsi="Times New Roman"/>
          <w:i/>
          <w:iCs/>
          <w:sz w:val="24"/>
          <w:szCs w:val="24"/>
        </w:rPr>
        <w:t>International Journal of Finance &amp; Economics</w:t>
      </w:r>
      <w:r>
        <w:rPr>
          <w:rFonts w:ascii="Times New Roman" w:hAnsi="Times New Roman"/>
          <w:sz w:val="24"/>
          <w:szCs w:val="24"/>
        </w:rPr>
        <w:t xml:space="preserve"> [Preprint]. Available at: https://doi.org/10.1002/ijfe.1671.</w:t>
      </w:r>
    </w:p>
    <w:p w14:paraId="7F0B77F7"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Daoud, Y. and Kammoun, A. (2017) ‘Financial Performance Analysis of Islamic Banks in Tunisia’, </w:t>
      </w:r>
      <w:r>
        <w:rPr>
          <w:rFonts w:ascii="Times New Roman" w:hAnsi="Times New Roman"/>
          <w:i/>
          <w:iCs/>
          <w:sz w:val="24"/>
          <w:szCs w:val="24"/>
        </w:rPr>
        <w:t>Asian Economic and Financial Review</w:t>
      </w:r>
      <w:r>
        <w:rPr>
          <w:rFonts w:ascii="Times New Roman" w:hAnsi="Times New Roman"/>
          <w:sz w:val="24"/>
          <w:szCs w:val="24"/>
        </w:rPr>
        <w:t xml:space="preserve"> [Preprint]. Available at: https://doi.org/10.18488/journal.aefr.2017.78.780.789.</w:t>
      </w:r>
    </w:p>
    <w:p w14:paraId="76064AEB"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Das, P K (2023) ‘Financial Appraisal Through Ratio Analysis’, </w:t>
      </w:r>
      <w:r>
        <w:rPr>
          <w:rFonts w:ascii="Times New Roman" w:hAnsi="Times New Roman"/>
          <w:i/>
          <w:iCs/>
          <w:sz w:val="24"/>
          <w:szCs w:val="24"/>
        </w:rPr>
        <w:t>Social Science Humanities and Sustainability Research</w:t>
      </w:r>
      <w:r>
        <w:rPr>
          <w:rFonts w:ascii="Times New Roman" w:hAnsi="Times New Roman"/>
          <w:sz w:val="24"/>
          <w:szCs w:val="24"/>
        </w:rPr>
        <w:t xml:space="preserve"> [Preprint]. Available at: https://doi.org/10.22158/sshsr.v4n1p1.</w:t>
      </w:r>
    </w:p>
    <w:p w14:paraId="6A7513E0"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Das, Pradip K (2023) ‘Ratio Analysis for Decision Making, a Study’, </w:t>
      </w:r>
      <w:r>
        <w:rPr>
          <w:rFonts w:ascii="Times New Roman" w:hAnsi="Times New Roman"/>
          <w:i/>
          <w:iCs/>
          <w:sz w:val="24"/>
          <w:szCs w:val="24"/>
        </w:rPr>
        <w:t>Brazilian Journal of Science</w:t>
      </w:r>
      <w:r>
        <w:rPr>
          <w:rFonts w:ascii="Times New Roman" w:hAnsi="Times New Roman"/>
          <w:sz w:val="24"/>
          <w:szCs w:val="24"/>
        </w:rPr>
        <w:t xml:space="preserve"> [Preprint]. Available at: https://doi.org/10.14295/bjs.v2i5.297.</w:t>
      </w:r>
    </w:p>
    <w:p w14:paraId="288877FB"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Dawar, V. (2014) ‘Agency theory, capital structure and firm performance: some Indian evidence’, </w:t>
      </w:r>
      <w:r>
        <w:rPr>
          <w:rFonts w:ascii="Times New Roman" w:hAnsi="Times New Roman"/>
          <w:i/>
          <w:iCs/>
          <w:sz w:val="24"/>
          <w:szCs w:val="24"/>
        </w:rPr>
        <w:t>Manag Finance</w:t>
      </w:r>
      <w:r>
        <w:rPr>
          <w:rFonts w:ascii="Times New Roman" w:hAnsi="Times New Roman"/>
          <w:sz w:val="24"/>
          <w:szCs w:val="24"/>
        </w:rPr>
        <w:t>, 40.</w:t>
      </w:r>
    </w:p>
    <w:p w14:paraId="166F987A"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Degryse, H., </w:t>
      </w:r>
      <w:proofErr w:type="spellStart"/>
      <w:r>
        <w:rPr>
          <w:rFonts w:ascii="Times New Roman" w:hAnsi="Times New Roman"/>
          <w:sz w:val="24"/>
          <w:szCs w:val="24"/>
        </w:rPr>
        <w:t>Goeij</w:t>
      </w:r>
      <w:proofErr w:type="spellEnd"/>
      <w:r>
        <w:rPr>
          <w:rFonts w:ascii="Times New Roman" w:hAnsi="Times New Roman"/>
          <w:sz w:val="24"/>
          <w:szCs w:val="24"/>
        </w:rPr>
        <w:t xml:space="preserve">, P. d. and Kappert, P. (2010) ‘The Impact of Firm and Industry Characteristics on Small Firms’ Capital Structure’, </w:t>
      </w:r>
      <w:r>
        <w:rPr>
          <w:rFonts w:ascii="Times New Roman" w:hAnsi="Times New Roman"/>
          <w:i/>
          <w:iCs/>
          <w:sz w:val="24"/>
          <w:szCs w:val="24"/>
        </w:rPr>
        <w:t>Small Business Economics</w:t>
      </w:r>
      <w:r>
        <w:rPr>
          <w:rFonts w:ascii="Times New Roman" w:hAnsi="Times New Roman"/>
          <w:sz w:val="24"/>
          <w:szCs w:val="24"/>
        </w:rPr>
        <w:t xml:space="preserve"> [Preprint]. Available at: https://doi.org/10.1007/s11187-010-9281-8.</w:t>
      </w:r>
    </w:p>
    <w:p w14:paraId="52392DF3"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Easmon, R.B. </w:t>
      </w:r>
      <w:r>
        <w:rPr>
          <w:rFonts w:ascii="Times New Roman" w:hAnsi="Times New Roman"/>
          <w:i/>
          <w:iCs/>
          <w:sz w:val="24"/>
          <w:szCs w:val="24"/>
        </w:rPr>
        <w:t>et al.</w:t>
      </w:r>
      <w:r>
        <w:rPr>
          <w:rFonts w:ascii="Times New Roman" w:hAnsi="Times New Roman"/>
          <w:sz w:val="24"/>
          <w:szCs w:val="24"/>
        </w:rPr>
        <w:t xml:space="preserve"> (2019) ‘Social Capital and Export Performance of SMEs in Ghana: The Role of Firm Capabilities’, </w:t>
      </w:r>
      <w:r>
        <w:rPr>
          <w:rFonts w:ascii="Times New Roman" w:hAnsi="Times New Roman"/>
          <w:i/>
          <w:iCs/>
          <w:sz w:val="24"/>
          <w:szCs w:val="24"/>
        </w:rPr>
        <w:t>African Journal of Economic and Management Studies</w:t>
      </w:r>
      <w:r>
        <w:rPr>
          <w:rFonts w:ascii="Times New Roman" w:hAnsi="Times New Roman"/>
          <w:sz w:val="24"/>
          <w:szCs w:val="24"/>
        </w:rPr>
        <w:t xml:space="preserve"> [Preprint]. Available at: https://doi.org/10.1108/ajems-11-2018-0361.</w:t>
      </w:r>
    </w:p>
    <w:p w14:paraId="76A4B4DE"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Ebaid</w:t>
      </w:r>
      <w:proofErr w:type="spellEnd"/>
      <w:r>
        <w:rPr>
          <w:rFonts w:ascii="Times New Roman" w:hAnsi="Times New Roman"/>
          <w:sz w:val="24"/>
          <w:szCs w:val="24"/>
        </w:rPr>
        <w:t xml:space="preserve">, I.E. (2009) ‘The Impact of Capital‐structure Choice on Firm Performance: Empirical Evidence </w:t>
      </w:r>
      <w:proofErr w:type="gramStart"/>
      <w:r>
        <w:rPr>
          <w:rFonts w:ascii="Times New Roman" w:hAnsi="Times New Roman"/>
          <w:sz w:val="24"/>
          <w:szCs w:val="24"/>
        </w:rPr>
        <w:t>From</w:t>
      </w:r>
      <w:proofErr w:type="gramEnd"/>
      <w:r>
        <w:rPr>
          <w:rFonts w:ascii="Times New Roman" w:hAnsi="Times New Roman"/>
          <w:sz w:val="24"/>
          <w:szCs w:val="24"/>
        </w:rPr>
        <w:t xml:space="preserve"> Egypt’, </w:t>
      </w:r>
      <w:r>
        <w:rPr>
          <w:rFonts w:ascii="Times New Roman" w:hAnsi="Times New Roman"/>
          <w:i/>
          <w:iCs/>
          <w:sz w:val="24"/>
          <w:szCs w:val="24"/>
        </w:rPr>
        <w:t>The Journal of Risk Finance</w:t>
      </w:r>
      <w:r>
        <w:rPr>
          <w:rFonts w:ascii="Times New Roman" w:hAnsi="Times New Roman"/>
          <w:sz w:val="24"/>
          <w:szCs w:val="24"/>
        </w:rPr>
        <w:t xml:space="preserve"> [Preprint]. Available at: https://doi.org/10.1108/15265940911001385.</w:t>
      </w:r>
    </w:p>
    <w:p w14:paraId="27BB9093"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Fryer, L.K., Larson-Hall, J. and Stewart, J. (2018) ‘Quantitative Methodology’, in A. </w:t>
      </w:r>
      <w:proofErr w:type="spellStart"/>
      <w:r>
        <w:rPr>
          <w:rFonts w:ascii="Times New Roman" w:hAnsi="Times New Roman"/>
          <w:sz w:val="24"/>
          <w:szCs w:val="24"/>
        </w:rPr>
        <w:t>Phakiti</w:t>
      </w:r>
      <w:proofErr w:type="spellEnd"/>
      <w:r>
        <w:rPr>
          <w:rFonts w:ascii="Times New Roman" w:hAnsi="Times New Roman"/>
          <w:sz w:val="24"/>
          <w:szCs w:val="24"/>
        </w:rPr>
        <w:t xml:space="preserve"> et al. (eds) </w:t>
      </w:r>
      <w:r>
        <w:rPr>
          <w:rFonts w:ascii="Times New Roman" w:hAnsi="Times New Roman"/>
          <w:i/>
          <w:iCs/>
          <w:sz w:val="24"/>
          <w:szCs w:val="24"/>
        </w:rPr>
        <w:t>The Palgrave Handbook of Applied Linguistics Research Methodology</w:t>
      </w:r>
      <w:r>
        <w:rPr>
          <w:rFonts w:ascii="Times New Roman" w:hAnsi="Times New Roman"/>
          <w:sz w:val="24"/>
          <w:szCs w:val="24"/>
        </w:rPr>
        <w:t>. London: Palgrave Macmillan UK, pp. 55–77. Available at: https://doi.org/10.1057/978-1-137-59900-1_3.</w:t>
      </w:r>
    </w:p>
    <w:p w14:paraId="61A62ED8"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Gitman, L.J. and Zutter, C.J. (2011) </w:t>
      </w:r>
      <w:r>
        <w:rPr>
          <w:rFonts w:ascii="Times New Roman" w:hAnsi="Times New Roman"/>
          <w:i/>
          <w:iCs/>
          <w:sz w:val="24"/>
          <w:szCs w:val="24"/>
        </w:rPr>
        <w:t>Principles of managerial finance 13th edition</w:t>
      </w:r>
      <w:r>
        <w:rPr>
          <w:rFonts w:ascii="Times New Roman" w:hAnsi="Times New Roman"/>
          <w:sz w:val="24"/>
          <w:szCs w:val="24"/>
        </w:rPr>
        <w:t>. Prentice Hall.</w:t>
      </w:r>
    </w:p>
    <w:p w14:paraId="3F5FED56"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Goyal, S., </w:t>
      </w:r>
      <w:proofErr w:type="spellStart"/>
      <w:r>
        <w:rPr>
          <w:rFonts w:ascii="Times New Roman" w:hAnsi="Times New Roman"/>
          <w:sz w:val="24"/>
          <w:szCs w:val="24"/>
        </w:rPr>
        <w:t>Routroy</w:t>
      </w:r>
      <w:proofErr w:type="spellEnd"/>
      <w:r>
        <w:rPr>
          <w:rFonts w:ascii="Times New Roman" w:hAnsi="Times New Roman"/>
          <w:sz w:val="24"/>
          <w:szCs w:val="24"/>
        </w:rPr>
        <w:t xml:space="preserve">, S. and Singhal, A. (2019) ‘Analyzing Environment Sustainability Enablers Using Fuzzy DEMATEL for an Indian Steel Manufacturing Company’, </w:t>
      </w:r>
      <w:r>
        <w:rPr>
          <w:rFonts w:ascii="Times New Roman" w:hAnsi="Times New Roman"/>
          <w:i/>
          <w:iCs/>
          <w:sz w:val="24"/>
          <w:szCs w:val="24"/>
        </w:rPr>
        <w:t>Journal of Engineering Design and Technology</w:t>
      </w:r>
      <w:r>
        <w:rPr>
          <w:rFonts w:ascii="Times New Roman" w:hAnsi="Times New Roman"/>
          <w:sz w:val="24"/>
          <w:szCs w:val="24"/>
        </w:rPr>
        <w:t xml:space="preserve"> [Preprint]. Available at: https://doi.org/10.1108/jedt-02-2018-0033.</w:t>
      </w:r>
    </w:p>
    <w:p w14:paraId="5E20C00D"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Gupta, I. and Raman, T. V (2022) ‘A Study on Impact of Merger and Acquisition on Financial Performance of Agri-Food Companies’, </w:t>
      </w:r>
      <w:r>
        <w:rPr>
          <w:rFonts w:ascii="Times New Roman" w:hAnsi="Times New Roman"/>
          <w:i/>
          <w:iCs/>
          <w:sz w:val="24"/>
          <w:szCs w:val="24"/>
        </w:rPr>
        <w:t>Finance Theory and Practice</w:t>
      </w:r>
      <w:r>
        <w:rPr>
          <w:rFonts w:ascii="Times New Roman" w:hAnsi="Times New Roman"/>
          <w:sz w:val="24"/>
          <w:szCs w:val="24"/>
        </w:rPr>
        <w:t xml:space="preserve"> [Preprint]. Available at: https://doi.org/10.26794/2587-5671-2022-26-2-38-47.</w:t>
      </w:r>
    </w:p>
    <w:p w14:paraId="29749B53"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Hamdan, N.H.B. and Kassim, S. (2022) ‘The Effects of Islamic Microfinancing, Human Capital and </w:t>
      </w:r>
      <w:proofErr w:type="spellStart"/>
      <w:r>
        <w:rPr>
          <w:rFonts w:ascii="Times New Roman" w:hAnsi="Times New Roman"/>
          <w:sz w:val="24"/>
          <w:szCs w:val="24"/>
        </w:rPr>
        <w:t>Ict</w:t>
      </w:r>
      <w:proofErr w:type="spellEnd"/>
      <w:r>
        <w:rPr>
          <w:rFonts w:ascii="Times New Roman" w:hAnsi="Times New Roman"/>
          <w:sz w:val="24"/>
          <w:szCs w:val="24"/>
        </w:rPr>
        <w:t xml:space="preserve"> Usage on Women Micro-Entrepreneurs’ Performance in Malaysia’, </w:t>
      </w:r>
      <w:r>
        <w:rPr>
          <w:rFonts w:ascii="Times New Roman" w:hAnsi="Times New Roman"/>
          <w:i/>
          <w:iCs/>
          <w:sz w:val="24"/>
          <w:szCs w:val="24"/>
        </w:rPr>
        <w:t>Journal of Islamic Monetary Economics and Finance</w:t>
      </w:r>
      <w:r>
        <w:rPr>
          <w:rFonts w:ascii="Times New Roman" w:hAnsi="Times New Roman"/>
          <w:sz w:val="24"/>
          <w:szCs w:val="24"/>
        </w:rPr>
        <w:t xml:space="preserve"> [Preprint]. Available at: https://doi.org/10.21098/jimf.v8i0.1421.</w:t>
      </w:r>
    </w:p>
    <w:p w14:paraId="79778881"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Heubeck</w:t>
      </w:r>
      <w:proofErr w:type="spellEnd"/>
      <w:r>
        <w:rPr>
          <w:rFonts w:ascii="Times New Roman" w:hAnsi="Times New Roman"/>
          <w:sz w:val="24"/>
          <w:szCs w:val="24"/>
        </w:rPr>
        <w:t xml:space="preserve">, T. and </w:t>
      </w:r>
      <w:proofErr w:type="spellStart"/>
      <w:r>
        <w:rPr>
          <w:rFonts w:ascii="Times New Roman" w:hAnsi="Times New Roman"/>
          <w:sz w:val="24"/>
          <w:szCs w:val="24"/>
        </w:rPr>
        <w:t>Meckl</w:t>
      </w:r>
      <w:proofErr w:type="spellEnd"/>
      <w:r>
        <w:rPr>
          <w:rFonts w:ascii="Times New Roman" w:hAnsi="Times New Roman"/>
          <w:sz w:val="24"/>
          <w:szCs w:val="24"/>
        </w:rPr>
        <w:t xml:space="preserve">, R. (2022) ‘More Capable, More Innovative? An Empirical Inquiry </w:t>
      </w:r>
      <w:proofErr w:type="gramStart"/>
      <w:r>
        <w:rPr>
          <w:rFonts w:ascii="Times New Roman" w:hAnsi="Times New Roman"/>
          <w:sz w:val="24"/>
          <w:szCs w:val="24"/>
        </w:rPr>
        <w:t>Into</w:t>
      </w:r>
      <w:proofErr w:type="gramEnd"/>
      <w:r>
        <w:rPr>
          <w:rFonts w:ascii="Times New Roman" w:hAnsi="Times New Roman"/>
          <w:sz w:val="24"/>
          <w:szCs w:val="24"/>
        </w:rPr>
        <w:t xml:space="preserve"> the Effects of Dynamic Managerial Capabilities on Digital Firms’ Innovativeness’, </w:t>
      </w:r>
      <w:r>
        <w:rPr>
          <w:rFonts w:ascii="Times New Roman" w:hAnsi="Times New Roman"/>
          <w:i/>
          <w:iCs/>
          <w:sz w:val="24"/>
          <w:szCs w:val="24"/>
        </w:rPr>
        <w:t>European Journal of Innovation Management</w:t>
      </w:r>
      <w:r>
        <w:rPr>
          <w:rFonts w:ascii="Times New Roman" w:hAnsi="Times New Roman"/>
          <w:sz w:val="24"/>
          <w:szCs w:val="24"/>
        </w:rPr>
        <w:t xml:space="preserve"> [Preprint]. Available at: https://doi.org/10.1108/ejim-02-2022-0099.</w:t>
      </w:r>
    </w:p>
    <w:p w14:paraId="79BCB665"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Hsu, L.-C. and Wang, C.-H. (2010) ‘Clarifying the Effect of Intellectual Capital on </w:t>
      </w:r>
      <w:r>
        <w:rPr>
          <w:rFonts w:ascii="Times New Roman" w:hAnsi="Times New Roman"/>
          <w:sz w:val="24"/>
          <w:szCs w:val="24"/>
        </w:rPr>
        <w:lastRenderedPageBreak/>
        <w:t xml:space="preserve">Performance: The Mediating Role of Dynamic Capability’, </w:t>
      </w:r>
      <w:r>
        <w:rPr>
          <w:rFonts w:ascii="Times New Roman" w:hAnsi="Times New Roman"/>
          <w:i/>
          <w:iCs/>
          <w:sz w:val="24"/>
          <w:szCs w:val="24"/>
        </w:rPr>
        <w:t>British Journal of Management</w:t>
      </w:r>
      <w:r>
        <w:rPr>
          <w:rFonts w:ascii="Times New Roman" w:hAnsi="Times New Roman"/>
          <w:sz w:val="24"/>
          <w:szCs w:val="24"/>
        </w:rPr>
        <w:t xml:space="preserve"> [Preprint]. Available at: https://doi.org/10.1111/j.1467-8551.2010.00718.x.</w:t>
      </w:r>
    </w:p>
    <w:p w14:paraId="57AE3282"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Jha, V.S. and Arora, S. (2013) ‘Strategic Leadership for Corporate Sustainable Development at Tata Steel’, </w:t>
      </w:r>
      <w:r>
        <w:rPr>
          <w:rFonts w:ascii="Times New Roman" w:hAnsi="Times New Roman"/>
          <w:i/>
          <w:iCs/>
          <w:sz w:val="24"/>
          <w:szCs w:val="24"/>
        </w:rPr>
        <w:t>International Journal of Indian Culture and Business Management</w:t>
      </w:r>
      <w:r>
        <w:rPr>
          <w:rFonts w:ascii="Times New Roman" w:hAnsi="Times New Roman"/>
          <w:sz w:val="24"/>
          <w:szCs w:val="24"/>
        </w:rPr>
        <w:t xml:space="preserve"> [Preprint]. Available at: https://doi.org/10.1504/ijicbm.2013.056209.</w:t>
      </w:r>
    </w:p>
    <w:p w14:paraId="50D47BC5"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Kariyawasam, H.N. (2019) ‘</w:t>
      </w:r>
      <w:proofErr w:type="spellStart"/>
      <w:r>
        <w:rPr>
          <w:rFonts w:ascii="Times New Roman" w:hAnsi="Times New Roman"/>
          <w:sz w:val="24"/>
          <w:szCs w:val="24"/>
        </w:rPr>
        <w:t>Analysing</w:t>
      </w:r>
      <w:proofErr w:type="spellEnd"/>
      <w:r>
        <w:rPr>
          <w:rFonts w:ascii="Times New Roman" w:hAnsi="Times New Roman"/>
          <w:sz w:val="24"/>
          <w:szCs w:val="24"/>
        </w:rPr>
        <w:t xml:space="preserve"> the Impact of Financial Ratios on a Company’s Financial Performance’, </w:t>
      </w:r>
      <w:r>
        <w:rPr>
          <w:rFonts w:ascii="Times New Roman" w:hAnsi="Times New Roman"/>
          <w:i/>
          <w:iCs/>
          <w:sz w:val="24"/>
          <w:szCs w:val="24"/>
        </w:rPr>
        <w:t>International Journal of Management Excellence</w:t>
      </w:r>
      <w:r>
        <w:rPr>
          <w:rFonts w:ascii="Times New Roman" w:hAnsi="Times New Roman"/>
          <w:sz w:val="24"/>
          <w:szCs w:val="24"/>
        </w:rPr>
        <w:t xml:space="preserve"> [Preprint]. Available at: https://doi.org/10.17722/ijme.v13i1.1093.</w:t>
      </w:r>
    </w:p>
    <w:p w14:paraId="029D068B"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Kayo, E.K. and Kimura, H. (2011) ‘Hierarchical Determinants of Capital Structure’, </w:t>
      </w:r>
      <w:r>
        <w:rPr>
          <w:rFonts w:ascii="Times New Roman" w:hAnsi="Times New Roman"/>
          <w:i/>
          <w:iCs/>
          <w:sz w:val="24"/>
          <w:szCs w:val="24"/>
        </w:rPr>
        <w:t>Journal of Banking &amp; Finance</w:t>
      </w:r>
      <w:r>
        <w:rPr>
          <w:rFonts w:ascii="Times New Roman" w:hAnsi="Times New Roman"/>
          <w:sz w:val="24"/>
          <w:szCs w:val="24"/>
        </w:rPr>
        <w:t xml:space="preserve"> [Preprint]. Available at: https://doi.org/10.1016/j.jbankfin.2010.08.015.</w:t>
      </w:r>
    </w:p>
    <w:p w14:paraId="5D10AB08"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Khan, A.G. (2012) ‘The Relationship of Capital Structure Decisions </w:t>
      </w:r>
      <w:proofErr w:type="gramStart"/>
      <w:r>
        <w:rPr>
          <w:rFonts w:ascii="Times New Roman" w:hAnsi="Times New Roman"/>
          <w:sz w:val="24"/>
          <w:szCs w:val="24"/>
        </w:rPr>
        <w:t>With</w:t>
      </w:r>
      <w:proofErr w:type="gramEnd"/>
      <w:r>
        <w:rPr>
          <w:rFonts w:ascii="Times New Roman" w:hAnsi="Times New Roman"/>
          <w:sz w:val="24"/>
          <w:szCs w:val="24"/>
        </w:rPr>
        <w:t xml:space="preserve"> Firm Performance: A Study of the Engineering Sector of Pakistan’, </w:t>
      </w:r>
      <w:r>
        <w:rPr>
          <w:rFonts w:ascii="Times New Roman" w:hAnsi="Times New Roman"/>
          <w:i/>
          <w:iCs/>
          <w:sz w:val="24"/>
          <w:szCs w:val="24"/>
        </w:rPr>
        <w:t>International Journal of Accounting and Financial Reporting</w:t>
      </w:r>
      <w:r>
        <w:rPr>
          <w:rFonts w:ascii="Times New Roman" w:hAnsi="Times New Roman"/>
          <w:sz w:val="24"/>
          <w:szCs w:val="24"/>
        </w:rPr>
        <w:t xml:space="preserve"> [Preprint]. Available at: https://doi.org/10.5296/ijafr.v2i1.1825.</w:t>
      </w:r>
    </w:p>
    <w:p w14:paraId="637E3603"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Long, S. and Liao, Z. (2022) ‘Green Relational Capital, Integration Capabilities and Environmental Innovation Adoption: The Moderating Role of Normative Pressures’, </w:t>
      </w:r>
      <w:r>
        <w:rPr>
          <w:rFonts w:ascii="Times New Roman" w:hAnsi="Times New Roman"/>
          <w:i/>
          <w:iCs/>
          <w:sz w:val="24"/>
          <w:szCs w:val="24"/>
        </w:rPr>
        <w:t>Sustainable Development</w:t>
      </w:r>
      <w:r>
        <w:rPr>
          <w:rFonts w:ascii="Times New Roman" w:hAnsi="Times New Roman"/>
          <w:sz w:val="24"/>
          <w:szCs w:val="24"/>
        </w:rPr>
        <w:t xml:space="preserve"> [Preprint]. Available at: https://doi.org/10.1002/sd.2467.</w:t>
      </w:r>
    </w:p>
    <w:p w14:paraId="7BEAF557"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Mata, F.J., Fuerst, W.L. and Barney, J.B. (1995) ‘Information Technology and Sustained Competitive Advantage: A Resource-Based Analysis’, </w:t>
      </w:r>
      <w:r>
        <w:rPr>
          <w:rFonts w:ascii="Times New Roman" w:hAnsi="Times New Roman"/>
          <w:i/>
          <w:iCs/>
          <w:sz w:val="24"/>
          <w:szCs w:val="24"/>
        </w:rPr>
        <w:t>Mis Quarterly</w:t>
      </w:r>
      <w:r>
        <w:rPr>
          <w:rFonts w:ascii="Times New Roman" w:hAnsi="Times New Roman"/>
          <w:sz w:val="24"/>
          <w:szCs w:val="24"/>
        </w:rPr>
        <w:t xml:space="preserve"> [Preprint]. Available at: https://doi.org/10.2307/249630.</w:t>
      </w:r>
    </w:p>
    <w:p w14:paraId="7FD30C27"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Mudalige</w:t>
      </w:r>
      <w:proofErr w:type="spellEnd"/>
      <w:r>
        <w:rPr>
          <w:rFonts w:ascii="Times New Roman" w:hAnsi="Times New Roman"/>
          <w:sz w:val="24"/>
          <w:szCs w:val="24"/>
        </w:rPr>
        <w:t xml:space="preserve">, D.M., Ismail, N.A. and Malek, M.M.A. (2018) ‘Exploring the Role of Individual Level and Firm Level Dynamic Capabilities in SMEs’ Internationalization’, </w:t>
      </w:r>
      <w:r>
        <w:rPr>
          <w:rFonts w:ascii="Times New Roman" w:hAnsi="Times New Roman"/>
          <w:i/>
          <w:iCs/>
          <w:sz w:val="24"/>
          <w:szCs w:val="24"/>
        </w:rPr>
        <w:t>Journal of International Entrepreneurship</w:t>
      </w:r>
      <w:r>
        <w:rPr>
          <w:rFonts w:ascii="Times New Roman" w:hAnsi="Times New Roman"/>
          <w:sz w:val="24"/>
          <w:szCs w:val="24"/>
        </w:rPr>
        <w:t xml:space="preserve"> [Preprint]. Available at: https://doi.org/10.1007/s10843-018-0239-2.</w:t>
      </w:r>
    </w:p>
    <w:p w14:paraId="5E86369E"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Nguyen, A.H., Pham, H. and Nguyen, H.T. (2020) ‘Impact of Working Capital Management on Firm’s Profitability: Empirical Evidence </w:t>
      </w:r>
      <w:proofErr w:type="gramStart"/>
      <w:r>
        <w:rPr>
          <w:rFonts w:ascii="Times New Roman" w:hAnsi="Times New Roman"/>
          <w:sz w:val="24"/>
          <w:szCs w:val="24"/>
        </w:rPr>
        <w:t>From</w:t>
      </w:r>
      <w:proofErr w:type="gramEnd"/>
      <w:r>
        <w:rPr>
          <w:rFonts w:ascii="Times New Roman" w:hAnsi="Times New Roman"/>
          <w:sz w:val="24"/>
          <w:szCs w:val="24"/>
        </w:rPr>
        <w:t xml:space="preserve"> Vietnam’, </w:t>
      </w:r>
      <w:r>
        <w:rPr>
          <w:rFonts w:ascii="Times New Roman" w:hAnsi="Times New Roman"/>
          <w:i/>
          <w:iCs/>
          <w:sz w:val="24"/>
          <w:szCs w:val="24"/>
        </w:rPr>
        <w:t>Journal of Asian Finance Economics and Business</w:t>
      </w:r>
      <w:r>
        <w:rPr>
          <w:rFonts w:ascii="Times New Roman" w:hAnsi="Times New Roman"/>
          <w:sz w:val="24"/>
          <w:szCs w:val="24"/>
        </w:rPr>
        <w:t xml:space="preserve"> [Preprint]. Available at: https://doi.org/10.13106/jafeb.2020.vol7.no3.115.</w:t>
      </w:r>
    </w:p>
    <w:p w14:paraId="5DEA2E61"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Opoku-Asante, K. </w:t>
      </w:r>
      <w:r>
        <w:rPr>
          <w:rFonts w:ascii="Times New Roman" w:hAnsi="Times New Roman"/>
          <w:i/>
          <w:iCs/>
          <w:sz w:val="24"/>
          <w:szCs w:val="24"/>
        </w:rPr>
        <w:t>et al.</w:t>
      </w:r>
      <w:r>
        <w:rPr>
          <w:rFonts w:ascii="Times New Roman" w:hAnsi="Times New Roman"/>
          <w:sz w:val="24"/>
          <w:szCs w:val="24"/>
        </w:rPr>
        <w:t xml:space="preserve"> (2022) ‘The Relationship Between Capital </w:t>
      </w:r>
      <w:proofErr w:type="spellStart"/>
      <w:r>
        <w:rPr>
          <w:rFonts w:ascii="Times New Roman" w:hAnsi="Times New Roman"/>
          <w:sz w:val="24"/>
          <w:szCs w:val="24"/>
        </w:rPr>
        <w:t>Sructure</w:t>
      </w:r>
      <w:proofErr w:type="spellEnd"/>
      <w:r>
        <w:rPr>
          <w:rFonts w:ascii="Times New Roman" w:hAnsi="Times New Roman"/>
          <w:sz w:val="24"/>
          <w:szCs w:val="24"/>
        </w:rPr>
        <w:t xml:space="preserve"> and Financial Performance of Firms in Ghana and Nigeria’, </w:t>
      </w:r>
      <w:r>
        <w:rPr>
          <w:rFonts w:ascii="Times New Roman" w:hAnsi="Times New Roman"/>
          <w:i/>
          <w:iCs/>
          <w:sz w:val="24"/>
          <w:szCs w:val="24"/>
        </w:rPr>
        <w:t>European Journal of Business Management and Research</w:t>
      </w:r>
      <w:r>
        <w:rPr>
          <w:rFonts w:ascii="Times New Roman" w:hAnsi="Times New Roman"/>
          <w:sz w:val="24"/>
          <w:szCs w:val="24"/>
        </w:rPr>
        <w:t xml:space="preserve"> [Preprint]. Available at: https://doi.org/10.24018/ejbmr.2022.7.1.1282.</w:t>
      </w:r>
    </w:p>
    <w:p w14:paraId="7C02170D"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Pal, S. (2022) ‘Influence of Capital Structure on Firm Performance: Empirical Evidence </w:t>
      </w:r>
      <w:proofErr w:type="gramStart"/>
      <w:r>
        <w:rPr>
          <w:rFonts w:ascii="Times New Roman" w:hAnsi="Times New Roman"/>
          <w:sz w:val="24"/>
          <w:szCs w:val="24"/>
        </w:rPr>
        <w:t>From</w:t>
      </w:r>
      <w:proofErr w:type="gramEnd"/>
      <w:r>
        <w:rPr>
          <w:rFonts w:ascii="Times New Roman" w:hAnsi="Times New Roman"/>
          <w:sz w:val="24"/>
          <w:szCs w:val="24"/>
        </w:rPr>
        <w:t xml:space="preserve"> Indian Manufacturing Industry’, </w:t>
      </w:r>
      <w:r>
        <w:rPr>
          <w:rFonts w:ascii="Times New Roman" w:hAnsi="Times New Roman"/>
          <w:i/>
          <w:iCs/>
          <w:sz w:val="24"/>
          <w:szCs w:val="24"/>
        </w:rPr>
        <w:t>International Journal of Business Management and Finance Research</w:t>
      </w:r>
      <w:r>
        <w:rPr>
          <w:rFonts w:ascii="Times New Roman" w:hAnsi="Times New Roman"/>
          <w:sz w:val="24"/>
          <w:szCs w:val="24"/>
        </w:rPr>
        <w:t xml:space="preserve"> [Preprint]. Available at: https://doi.org/10.53935/26415313.v5i2.244.</w:t>
      </w:r>
    </w:p>
    <w:p w14:paraId="773B496D"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Park, Y.S., Konge, L. and Artino Jr, A.R. (2020) ‘The positivism paradigm of research’, </w:t>
      </w:r>
      <w:r>
        <w:rPr>
          <w:rFonts w:ascii="Times New Roman" w:hAnsi="Times New Roman"/>
          <w:i/>
          <w:iCs/>
          <w:sz w:val="24"/>
          <w:szCs w:val="24"/>
        </w:rPr>
        <w:t>Academic medicine</w:t>
      </w:r>
      <w:r>
        <w:rPr>
          <w:rFonts w:ascii="Times New Roman" w:hAnsi="Times New Roman"/>
          <w:sz w:val="24"/>
          <w:szCs w:val="24"/>
        </w:rPr>
        <w:t>, 95(5), pp. 690–694.</w:t>
      </w:r>
    </w:p>
    <w:p w14:paraId="387CD69B"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Pathak, M. and Chandani, A. (2021) ‘The Nexus Between Capital Structure and Firm-Specific Factors: Evidence </w:t>
      </w:r>
      <w:proofErr w:type="gramStart"/>
      <w:r>
        <w:rPr>
          <w:rFonts w:ascii="Times New Roman" w:hAnsi="Times New Roman"/>
          <w:sz w:val="24"/>
          <w:szCs w:val="24"/>
        </w:rPr>
        <w:t>From</w:t>
      </w:r>
      <w:proofErr w:type="gramEnd"/>
      <w:r>
        <w:rPr>
          <w:rFonts w:ascii="Times New Roman" w:hAnsi="Times New Roman"/>
          <w:sz w:val="24"/>
          <w:szCs w:val="24"/>
        </w:rPr>
        <w:t xml:space="preserve"> Indian Companies’, </w:t>
      </w:r>
      <w:r>
        <w:rPr>
          <w:rFonts w:ascii="Times New Roman" w:hAnsi="Times New Roman"/>
          <w:i/>
          <w:iCs/>
          <w:sz w:val="24"/>
          <w:szCs w:val="24"/>
        </w:rPr>
        <w:t>Journal of Economic and Administrative Sciences</w:t>
      </w:r>
      <w:r>
        <w:rPr>
          <w:rFonts w:ascii="Times New Roman" w:hAnsi="Times New Roman"/>
          <w:sz w:val="24"/>
          <w:szCs w:val="24"/>
        </w:rPr>
        <w:t xml:space="preserve"> [Preprint]. Available at: https://doi.org/10.1108/jeas-02-2021-0028.</w:t>
      </w:r>
    </w:p>
    <w:p w14:paraId="2841C377"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Pundzienė</w:t>
      </w:r>
      <w:proofErr w:type="spellEnd"/>
      <w:r>
        <w:rPr>
          <w:rFonts w:ascii="Times New Roman" w:hAnsi="Times New Roman"/>
          <w:sz w:val="24"/>
          <w:szCs w:val="24"/>
        </w:rPr>
        <w:t xml:space="preserve">, A., Nikou, S. and Bouwman, H. (2021) ‘The Nexus Between Dynamic Capabilities and Competitive Firm Performance: The Mediating Role of Open Innovation’, </w:t>
      </w:r>
      <w:r>
        <w:rPr>
          <w:rFonts w:ascii="Times New Roman" w:hAnsi="Times New Roman"/>
          <w:i/>
          <w:iCs/>
          <w:sz w:val="24"/>
          <w:szCs w:val="24"/>
        </w:rPr>
        <w:t>European Journal of Innovation Management</w:t>
      </w:r>
      <w:r>
        <w:rPr>
          <w:rFonts w:ascii="Times New Roman" w:hAnsi="Times New Roman"/>
          <w:sz w:val="24"/>
          <w:szCs w:val="24"/>
        </w:rPr>
        <w:t xml:space="preserve"> [Preprint]. Available at: https://doi.org/10.1108/ejim-09-2020-0356.</w:t>
      </w:r>
    </w:p>
    <w:p w14:paraId="7DF466D2"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Rahman, M.M. </w:t>
      </w:r>
      <w:r>
        <w:rPr>
          <w:rFonts w:ascii="Times New Roman" w:hAnsi="Times New Roman"/>
          <w:i/>
          <w:iCs/>
          <w:sz w:val="24"/>
          <w:szCs w:val="24"/>
        </w:rPr>
        <w:t>et al.</w:t>
      </w:r>
      <w:r>
        <w:rPr>
          <w:rFonts w:ascii="Times New Roman" w:hAnsi="Times New Roman"/>
          <w:sz w:val="24"/>
          <w:szCs w:val="24"/>
        </w:rPr>
        <w:t xml:space="preserve"> (2019) ‘Debt Financing and Firm Performance: Evidence </w:t>
      </w:r>
      <w:proofErr w:type="gramStart"/>
      <w:r>
        <w:rPr>
          <w:rFonts w:ascii="Times New Roman" w:hAnsi="Times New Roman"/>
          <w:sz w:val="24"/>
          <w:szCs w:val="24"/>
        </w:rPr>
        <w:t>From</w:t>
      </w:r>
      <w:proofErr w:type="gramEnd"/>
      <w:r>
        <w:rPr>
          <w:rFonts w:ascii="Times New Roman" w:hAnsi="Times New Roman"/>
          <w:sz w:val="24"/>
          <w:szCs w:val="24"/>
        </w:rPr>
        <w:t xml:space="preserve"> an Emerging South-Asian Country’, </w:t>
      </w:r>
      <w:r>
        <w:rPr>
          <w:rFonts w:ascii="Times New Roman" w:hAnsi="Times New Roman"/>
          <w:i/>
          <w:iCs/>
          <w:sz w:val="24"/>
          <w:szCs w:val="24"/>
        </w:rPr>
        <w:t>Business and Economic Research</w:t>
      </w:r>
      <w:r>
        <w:rPr>
          <w:rFonts w:ascii="Times New Roman" w:hAnsi="Times New Roman"/>
          <w:sz w:val="24"/>
          <w:szCs w:val="24"/>
        </w:rPr>
        <w:t xml:space="preserve"> [Preprint]. Available at: https://doi.org/10.5296/ber.v10i1.15910.</w:t>
      </w:r>
    </w:p>
    <w:p w14:paraId="24198824"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Reddy, K. and Scrimgeour, F. (2010) ‘The Efficacy of Principle‐based Corporate Governance Practices and Firm Financial Performance’, </w:t>
      </w:r>
      <w:r>
        <w:rPr>
          <w:rFonts w:ascii="Times New Roman" w:hAnsi="Times New Roman"/>
          <w:i/>
          <w:iCs/>
          <w:sz w:val="24"/>
          <w:szCs w:val="24"/>
        </w:rPr>
        <w:t>International Journal of Managerial Finance</w:t>
      </w:r>
      <w:r>
        <w:rPr>
          <w:rFonts w:ascii="Times New Roman" w:hAnsi="Times New Roman"/>
          <w:sz w:val="24"/>
          <w:szCs w:val="24"/>
        </w:rPr>
        <w:t xml:space="preserve"> [Preprint]. Available at: https://doi.org/10.1108/17439131011056224.</w:t>
      </w:r>
    </w:p>
    <w:p w14:paraId="02889EAE"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Rowley, T., Behrens, D.M. and </w:t>
      </w:r>
      <w:proofErr w:type="spellStart"/>
      <w:r>
        <w:rPr>
          <w:rFonts w:ascii="Times New Roman" w:hAnsi="Times New Roman"/>
          <w:sz w:val="24"/>
          <w:szCs w:val="24"/>
        </w:rPr>
        <w:t>Krackhardt</w:t>
      </w:r>
      <w:proofErr w:type="spellEnd"/>
      <w:r>
        <w:rPr>
          <w:rFonts w:ascii="Times New Roman" w:hAnsi="Times New Roman"/>
          <w:sz w:val="24"/>
          <w:szCs w:val="24"/>
        </w:rPr>
        <w:t xml:space="preserve">, D. (2000) ‘Redundant Governance Structures: An Analysis of Structural and Relational Embeddedness in the Steel and Semiconductor Industries’, </w:t>
      </w:r>
      <w:r>
        <w:rPr>
          <w:rFonts w:ascii="Times New Roman" w:hAnsi="Times New Roman"/>
          <w:i/>
          <w:iCs/>
          <w:sz w:val="24"/>
          <w:szCs w:val="24"/>
        </w:rPr>
        <w:t>Strategic Management Journal</w:t>
      </w:r>
      <w:r>
        <w:rPr>
          <w:rFonts w:ascii="Times New Roman" w:hAnsi="Times New Roman"/>
          <w:sz w:val="24"/>
          <w:szCs w:val="24"/>
        </w:rPr>
        <w:t xml:space="preserve"> [Preprint]. Available at: https://doi.org/10.1002/(sici)1097-0266(200003)21:3&lt;</w:t>
      </w:r>
      <w:proofErr w:type="gramStart"/>
      <w:r>
        <w:rPr>
          <w:rFonts w:ascii="Times New Roman" w:hAnsi="Times New Roman"/>
          <w:sz w:val="24"/>
          <w:szCs w:val="24"/>
        </w:rPr>
        <w:t>369::</w:t>
      </w:r>
      <w:proofErr w:type="gramEnd"/>
      <w:r>
        <w:rPr>
          <w:rFonts w:ascii="Times New Roman" w:hAnsi="Times New Roman"/>
          <w:sz w:val="24"/>
          <w:szCs w:val="24"/>
        </w:rPr>
        <w:t>aid-smj93&gt;3.0.co;2-m.</w:t>
      </w:r>
    </w:p>
    <w:p w14:paraId="4E3C2545"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Schilke, O. (2013) ‘On the Contingent Value of Dynamic Capabilities for Competitive Advantage: The Nonlinear Moderating Effect of Environmental Dynamism’, </w:t>
      </w:r>
      <w:r>
        <w:rPr>
          <w:rFonts w:ascii="Times New Roman" w:hAnsi="Times New Roman"/>
          <w:i/>
          <w:iCs/>
          <w:sz w:val="24"/>
          <w:szCs w:val="24"/>
        </w:rPr>
        <w:t>Strategic Management Journal</w:t>
      </w:r>
      <w:r>
        <w:rPr>
          <w:rFonts w:ascii="Times New Roman" w:hAnsi="Times New Roman"/>
          <w:sz w:val="24"/>
          <w:szCs w:val="24"/>
        </w:rPr>
        <w:t xml:space="preserve"> [Preprint]. Available at: https://doi.org/10.1002/smj.2099.</w:t>
      </w:r>
    </w:p>
    <w:p w14:paraId="746E9A69"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Shiamwama</w:t>
      </w:r>
      <w:proofErr w:type="spellEnd"/>
      <w:r>
        <w:rPr>
          <w:rFonts w:ascii="Times New Roman" w:hAnsi="Times New Roman"/>
          <w:sz w:val="24"/>
          <w:szCs w:val="24"/>
        </w:rPr>
        <w:t xml:space="preserve">, S.M. (2022) ‘An Analysis of Transportation Costs and Performance of Public Sugar Manufacturing Firms in Kenya’, </w:t>
      </w:r>
      <w:r>
        <w:rPr>
          <w:rFonts w:ascii="Times New Roman" w:hAnsi="Times New Roman"/>
          <w:i/>
          <w:iCs/>
          <w:sz w:val="24"/>
          <w:szCs w:val="24"/>
        </w:rPr>
        <w:t>Journal of Economics Finance and Management Studies</w:t>
      </w:r>
      <w:r>
        <w:rPr>
          <w:rFonts w:ascii="Times New Roman" w:hAnsi="Times New Roman"/>
          <w:sz w:val="24"/>
          <w:szCs w:val="24"/>
        </w:rPr>
        <w:t xml:space="preserve"> [Preprint]. Available at: https://doi.org/10.47191/jefms/v5-i6-09.</w:t>
      </w:r>
    </w:p>
    <w:p w14:paraId="5226B6E3"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Siddik</w:t>
      </w:r>
      <w:proofErr w:type="spellEnd"/>
      <w:r>
        <w:rPr>
          <w:rFonts w:ascii="Times New Roman" w:hAnsi="Times New Roman"/>
          <w:sz w:val="24"/>
          <w:szCs w:val="24"/>
        </w:rPr>
        <w:t xml:space="preserve">, M.N.A., </w:t>
      </w:r>
      <w:proofErr w:type="spellStart"/>
      <w:r>
        <w:rPr>
          <w:rFonts w:ascii="Times New Roman" w:hAnsi="Times New Roman"/>
          <w:sz w:val="24"/>
          <w:szCs w:val="24"/>
        </w:rPr>
        <w:t>Kabiraj</w:t>
      </w:r>
      <w:proofErr w:type="spellEnd"/>
      <w:r>
        <w:rPr>
          <w:rFonts w:ascii="Times New Roman" w:hAnsi="Times New Roman"/>
          <w:sz w:val="24"/>
          <w:szCs w:val="24"/>
        </w:rPr>
        <w:t xml:space="preserve">, S. and </w:t>
      </w:r>
      <w:proofErr w:type="spellStart"/>
      <w:r>
        <w:rPr>
          <w:rFonts w:ascii="Times New Roman" w:hAnsi="Times New Roman"/>
          <w:sz w:val="24"/>
          <w:szCs w:val="24"/>
        </w:rPr>
        <w:t>Joghee</w:t>
      </w:r>
      <w:proofErr w:type="spellEnd"/>
      <w:r>
        <w:rPr>
          <w:rFonts w:ascii="Times New Roman" w:hAnsi="Times New Roman"/>
          <w:sz w:val="24"/>
          <w:szCs w:val="24"/>
        </w:rPr>
        <w:t xml:space="preserve">, S. (2017) ‘Impacts of Capital Structure on Performance of Banks in a Developing Economy: Evidence </w:t>
      </w:r>
      <w:proofErr w:type="gramStart"/>
      <w:r>
        <w:rPr>
          <w:rFonts w:ascii="Times New Roman" w:hAnsi="Times New Roman"/>
          <w:sz w:val="24"/>
          <w:szCs w:val="24"/>
        </w:rPr>
        <w:t>From</w:t>
      </w:r>
      <w:proofErr w:type="gramEnd"/>
      <w:r>
        <w:rPr>
          <w:rFonts w:ascii="Times New Roman" w:hAnsi="Times New Roman"/>
          <w:sz w:val="24"/>
          <w:szCs w:val="24"/>
        </w:rPr>
        <w:t xml:space="preserve"> Bangladesh’, </w:t>
      </w:r>
      <w:r>
        <w:rPr>
          <w:rFonts w:ascii="Times New Roman" w:hAnsi="Times New Roman"/>
          <w:i/>
          <w:iCs/>
          <w:sz w:val="24"/>
          <w:szCs w:val="24"/>
        </w:rPr>
        <w:t xml:space="preserve">International </w:t>
      </w:r>
      <w:r>
        <w:rPr>
          <w:rFonts w:ascii="Times New Roman" w:hAnsi="Times New Roman"/>
          <w:i/>
          <w:iCs/>
          <w:sz w:val="24"/>
          <w:szCs w:val="24"/>
        </w:rPr>
        <w:lastRenderedPageBreak/>
        <w:t>Journal of Financial Studies</w:t>
      </w:r>
      <w:r>
        <w:rPr>
          <w:rFonts w:ascii="Times New Roman" w:hAnsi="Times New Roman"/>
          <w:sz w:val="24"/>
          <w:szCs w:val="24"/>
        </w:rPr>
        <w:t xml:space="preserve"> [Preprint]. Available at: https://doi.org/10.3390/ijfs5020013.</w:t>
      </w:r>
    </w:p>
    <w:p w14:paraId="32430F56"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Singh, B. and Rao, M.K. (2016) ‘Effect of Intellectual Capital on Dynamic Capabilities’, </w:t>
      </w:r>
      <w:r>
        <w:rPr>
          <w:rFonts w:ascii="Times New Roman" w:hAnsi="Times New Roman"/>
          <w:i/>
          <w:iCs/>
          <w:sz w:val="24"/>
          <w:szCs w:val="24"/>
        </w:rPr>
        <w:t>Journal of Organizational Change Management</w:t>
      </w:r>
      <w:r>
        <w:rPr>
          <w:rFonts w:ascii="Times New Roman" w:hAnsi="Times New Roman"/>
          <w:sz w:val="24"/>
          <w:szCs w:val="24"/>
        </w:rPr>
        <w:t xml:space="preserve"> [Preprint]. Available at: https://doi.org/10.1108/jocm-12-2014-0225.</w:t>
      </w:r>
    </w:p>
    <w:p w14:paraId="51B02D29"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Sirmon, D.G. and Hitt, M.A. (2003) ‘Managing Resources: Linking Unique Resources, Management, and Wealth Creation in Family Firms’, </w:t>
      </w:r>
      <w:r>
        <w:rPr>
          <w:rFonts w:ascii="Times New Roman" w:hAnsi="Times New Roman"/>
          <w:i/>
          <w:iCs/>
          <w:sz w:val="24"/>
          <w:szCs w:val="24"/>
        </w:rPr>
        <w:t>Entrepreneurship Theory and Practice</w:t>
      </w:r>
      <w:r>
        <w:rPr>
          <w:rFonts w:ascii="Times New Roman" w:hAnsi="Times New Roman"/>
          <w:sz w:val="24"/>
          <w:szCs w:val="24"/>
        </w:rPr>
        <w:t xml:space="preserve"> [Preprint]. Available at: https://doi.org/10.1111/1540-8520.t01-1-00013.</w:t>
      </w:r>
    </w:p>
    <w:p w14:paraId="6EC14C58"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Titman, S. and Wessels, R. (1988) ‘The determinants of capital structure choice’, </w:t>
      </w:r>
      <w:r>
        <w:rPr>
          <w:rFonts w:ascii="Times New Roman" w:hAnsi="Times New Roman"/>
          <w:i/>
          <w:iCs/>
          <w:sz w:val="24"/>
          <w:szCs w:val="24"/>
        </w:rPr>
        <w:t>Journal of Finance</w:t>
      </w:r>
      <w:r>
        <w:rPr>
          <w:rFonts w:ascii="Times New Roman" w:hAnsi="Times New Roman"/>
          <w:sz w:val="24"/>
          <w:szCs w:val="24"/>
        </w:rPr>
        <w:t>, 43. Available at: https://doi.org/10.1111/j.1540-6261.1988.tb02585.x.</w:t>
      </w:r>
    </w:p>
    <w:p w14:paraId="089AACA1"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Uremadu</w:t>
      </w:r>
      <w:proofErr w:type="spellEnd"/>
      <w:r>
        <w:rPr>
          <w:rFonts w:ascii="Times New Roman" w:hAnsi="Times New Roman"/>
          <w:sz w:val="24"/>
          <w:szCs w:val="24"/>
        </w:rPr>
        <w:t xml:space="preserve">, S.O. (2018) ‘The Impact of Capital Structure on Corporate Performance in Nigeria: A Quantitative Study of Consumer Goods Sector’, </w:t>
      </w:r>
      <w:r>
        <w:rPr>
          <w:rFonts w:ascii="Times New Roman" w:hAnsi="Times New Roman"/>
          <w:i/>
          <w:iCs/>
          <w:sz w:val="24"/>
          <w:szCs w:val="24"/>
        </w:rPr>
        <w:t>Current Investigations in Agriculture and Current Research</w:t>
      </w:r>
      <w:r>
        <w:rPr>
          <w:rFonts w:ascii="Times New Roman" w:hAnsi="Times New Roman"/>
          <w:sz w:val="24"/>
          <w:szCs w:val="24"/>
        </w:rPr>
        <w:t xml:space="preserve"> [Preprint]. Available at: https://doi.org/10.32474/ciacr.2018.05.000217.</w:t>
      </w:r>
    </w:p>
    <w:p w14:paraId="30DD5C41"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Wang, Z. (2013) ‘Optimal Capital Structure: Case of SOE Versus Private Listed Corporation’, </w:t>
      </w:r>
      <w:r>
        <w:rPr>
          <w:rFonts w:ascii="Times New Roman" w:hAnsi="Times New Roman"/>
          <w:i/>
          <w:iCs/>
          <w:sz w:val="24"/>
          <w:szCs w:val="24"/>
        </w:rPr>
        <w:t>Chinese Management Studies</w:t>
      </w:r>
      <w:r>
        <w:rPr>
          <w:rFonts w:ascii="Times New Roman" w:hAnsi="Times New Roman"/>
          <w:sz w:val="24"/>
          <w:szCs w:val="24"/>
        </w:rPr>
        <w:t xml:space="preserve"> [Preprint]. Available at: https://doi.org/10.1108/cms-09-2013-0169.</w:t>
      </w:r>
    </w:p>
    <w:p w14:paraId="3728F332"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Wu, W. </w:t>
      </w:r>
      <w:r>
        <w:rPr>
          <w:rFonts w:ascii="Times New Roman" w:hAnsi="Times New Roman"/>
          <w:i/>
          <w:iCs/>
          <w:sz w:val="24"/>
          <w:szCs w:val="24"/>
        </w:rPr>
        <w:t>et al.</w:t>
      </w:r>
      <w:r>
        <w:rPr>
          <w:rFonts w:ascii="Times New Roman" w:hAnsi="Times New Roman"/>
          <w:sz w:val="24"/>
          <w:szCs w:val="24"/>
        </w:rPr>
        <w:t xml:space="preserve"> (2023) ‘How Firms Cope </w:t>
      </w:r>
      <w:proofErr w:type="gramStart"/>
      <w:r>
        <w:rPr>
          <w:rFonts w:ascii="Times New Roman" w:hAnsi="Times New Roman"/>
          <w:sz w:val="24"/>
          <w:szCs w:val="24"/>
        </w:rPr>
        <w:t>With</w:t>
      </w:r>
      <w:proofErr w:type="gramEnd"/>
      <w:r>
        <w:rPr>
          <w:rFonts w:ascii="Times New Roman" w:hAnsi="Times New Roman"/>
          <w:sz w:val="24"/>
          <w:szCs w:val="24"/>
        </w:rPr>
        <w:t xml:space="preserve"> Social Crisis: The Mediating Role of Digital Transformation as a Strategic Response to the COVID-19 Pandemic’, </w:t>
      </w:r>
      <w:proofErr w:type="spellStart"/>
      <w:r>
        <w:rPr>
          <w:rFonts w:ascii="Times New Roman" w:hAnsi="Times New Roman"/>
          <w:i/>
          <w:iCs/>
          <w:sz w:val="24"/>
          <w:szCs w:val="24"/>
        </w:rPr>
        <w:t>Plos</w:t>
      </w:r>
      <w:proofErr w:type="spellEnd"/>
      <w:r>
        <w:rPr>
          <w:rFonts w:ascii="Times New Roman" w:hAnsi="Times New Roman"/>
          <w:i/>
          <w:iCs/>
          <w:sz w:val="24"/>
          <w:szCs w:val="24"/>
        </w:rPr>
        <w:t xml:space="preserve"> One</w:t>
      </w:r>
      <w:r>
        <w:rPr>
          <w:rFonts w:ascii="Times New Roman" w:hAnsi="Times New Roman"/>
          <w:sz w:val="24"/>
          <w:szCs w:val="24"/>
        </w:rPr>
        <w:t xml:space="preserve"> [Preprint]. Available at: https://doi.org/10.1371/journal.pone.0282854.</w:t>
      </w:r>
    </w:p>
    <w:p w14:paraId="390686E0" w14:textId="77777777" w:rsidR="007F5874" w:rsidRDefault="00402798">
      <w:pPr>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Zaman, S., Salman, A. and Malik, O.F. (2019) ‘Linking Strategic Orientations, Dynamic Capabilities, and Firm Performance: Evidence </w:t>
      </w:r>
      <w:proofErr w:type="gramStart"/>
      <w:r>
        <w:rPr>
          <w:rFonts w:ascii="Times New Roman" w:hAnsi="Times New Roman"/>
          <w:sz w:val="24"/>
          <w:szCs w:val="24"/>
        </w:rPr>
        <w:t>From</w:t>
      </w:r>
      <w:proofErr w:type="gramEnd"/>
      <w:r>
        <w:rPr>
          <w:rFonts w:ascii="Times New Roman" w:hAnsi="Times New Roman"/>
          <w:sz w:val="24"/>
          <w:szCs w:val="24"/>
        </w:rPr>
        <w:t xml:space="preserve"> the Pakistani Pharmaceutical Industry’, </w:t>
      </w:r>
      <w:r>
        <w:rPr>
          <w:rFonts w:ascii="Times New Roman" w:hAnsi="Times New Roman"/>
          <w:i/>
          <w:iCs/>
          <w:sz w:val="24"/>
          <w:szCs w:val="24"/>
        </w:rPr>
        <w:t>Global Social Sciences Review</w:t>
      </w:r>
      <w:r>
        <w:rPr>
          <w:rFonts w:ascii="Times New Roman" w:hAnsi="Times New Roman"/>
          <w:sz w:val="24"/>
          <w:szCs w:val="24"/>
        </w:rPr>
        <w:t xml:space="preserve"> [Preprint]. Available at: https://doi.org/10.31703/gssr.2019(iv-iii).20.</w:t>
      </w:r>
    </w:p>
    <w:p w14:paraId="4A7124AE" w14:textId="77777777" w:rsidR="007F5874" w:rsidRDefault="00402798">
      <w:pPr>
        <w:widowControl w:val="0"/>
        <w:spacing w:line="36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Zeitun</w:t>
      </w:r>
      <w:proofErr w:type="spellEnd"/>
      <w:r>
        <w:rPr>
          <w:rFonts w:ascii="Times New Roman" w:hAnsi="Times New Roman"/>
          <w:sz w:val="24"/>
          <w:szCs w:val="24"/>
        </w:rPr>
        <w:t xml:space="preserve">, R. and Tian, G.G. (2014) ‘Capital Structure and Corporate Performance: Evidence </w:t>
      </w:r>
      <w:proofErr w:type="gramStart"/>
      <w:r>
        <w:rPr>
          <w:rFonts w:ascii="Times New Roman" w:hAnsi="Times New Roman"/>
          <w:sz w:val="24"/>
          <w:szCs w:val="24"/>
        </w:rPr>
        <w:t>From</w:t>
      </w:r>
      <w:proofErr w:type="gramEnd"/>
      <w:r>
        <w:rPr>
          <w:rFonts w:ascii="Times New Roman" w:hAnsi="Times New Roman"/>
          <w:sz w:val="24"/>
          <w:szCs w:val="24"/>
        </w:rPr>
        <w:t xml:space="preserve"> Jordan’, </w:t>
      </w:r>
      <w:r>
        <w:rPr>
          <w:rFonts w:ascii="Times New Roman" w:hAnsi="Times New Roman"/>
          <w:i/>
          <w:iCs/>
          <w:sz w:val="24"/>
          <w:szCs w:val="24"/>
        </w:rPr>
        <w:t>SSRN Electronic Journal</w:t>
      </w:r>
      <w:r>
        <w:rPr>
          <w:rFonts w:ascii="Times New Roman" w:hAnsi="Times New Roman"/>
          <w:sz w:val="24"/>
          <w:szCs w:val="24"/>
        </w:rPr>
        <w:t xml:space="preserve"> [Preprint]. Available at: https://doi.org/10.2139/ssrn.2496174.</w:t>
      </w:r>
    </w:p>
    <w:p w14:paraId="7198F0DD" w14:textId="77777777" w:rsidR="007F5874" w:rsidRDefault="00402798">
      <w:pPr>
        <w:widowControl w:val="0"/>
        <w:spacing w:line="360" w:lineRule="auto"/>
        <w:jc w:val="both"/>
      </w:pPr>
      <w:r>
        <w:rPr>
          <w:rFonts w:ascii="Times New Roman" w:hAnsi="Times New Roman"/>
          <w:sz w:val="24"/>
          <w:szCs w:val="24"/>
        </w:rPr>
        <w:t xml:space="preserve">Zhou, S.S. </w:t>
      </w:r>
      <w:r>
        <w:rPr>
          <w:rFonts w:ascii="Times New Roman" w:hAnsi="Times New Roman"/>
          <w:i/>
          <w:iCs/>
          <w:sz w:val="24"/>
          <w:szCs w:val="24"/>
        </w:rPr>
        <w:t>et al.</w:t>
      </w:r>
      <w:r>
        <w:rPr>
          <w:rFonts w:ascii="Times New Roman" w:hAnsi="Times New Roman"/>
          <w:sz w:val="24"/>
          <w:szCs w:val="24"/>
        </w:rPr>
        <w:t xml:space="preserve"> (2017) ‘Dynamic Capabilities and Organizational Performance: The Mediating Role of Innovation’, </w:t>
      </w:r>
      <w:r>
        <w:rPr>
          <w:rFonts w:ascii="Times New Roman" w:hAnsi="Times New Roman"/>
          <w:i/>
          <w:iCs/>
          <w:sz w:val="24"/>
          <w:szCs w:val="24"/>
        </w:rPr>
        <w:t>Journal of Management &amp; Organization</w:t>
      </w:r>
      <w:r>
        <w:rPr>
          <w:rFonts w:ascii="Times New Roman" w:hAnsi="Times New Roman"/>
          <w:sz w:val="24"/>
          <w:szCs w:val="24"/>
        </w:rPr>
        <w:t xml:space="preserve"> [Preprint]. Available at: https://doi.org/10.1017/jmo.2017.20.</w:t>
      </w:r>
    </w:p>
    <w:sectPr w:rsidR="007F5874">
      <w:headerReference w:type="default" r:id="rId18"/>
      <w:footerReference w:type="default" r:id="rId1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7FA2F" w14:textId="77777777" w:rsidR="00402798" w:rsidRDefault="00402798">
      <w:pPr>
        <w:spacing w:after="0" w:line="240" w:lineRule="auto"/>
      </w:pPr>
      <w:r>
        <w:separator/>
      </w:r>
    </w:p>
  </w:endnote>
  <w:endnote w:type="continuationSeparator" w:id="0">
    <w:p w14:paraId="106A73A3" w14:textId="77777777" w:rsidR="00402798" w:rsidRDefault="00402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20007A87" w:usb1="80000000" w:usb2="00000008"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332A80" w14:textId="77777777" w:rsidR="007F5874" w:rsidRDefault="00402798">
    <w:pPr>
      <w:pStyle w:val="Footer"/>
      <w:tabs>
        <w:tab w:val="clear" w:pos="9026"/>
      </w:tabs>
      <w:jc w:val="center"/>
    </w:pPr>
    <w:r>
      <w:fldChar w:fldCharType="begin"/>
    </w:r>
    <w:r>
      <w:instrText xml:space="preserve"> PAGE </w:instrText>
    </w:r>
    <w:r>
      <w:fldChar w:fldCharType="separate"/>
    </w:r>
    <w:r w:rsidR="006A3FC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8CA6A1" w14:textId="77777777" w:rsidR="00402798" w:rsidRDefault="00402798">
      <w:pPr>
        <w:spacing w:after="0" w:line="240" w:lineRule="auto"/>
      </w:pPr>
      <w:r>
        <w:separator/>
      </w:r>
    </w:p>
  </w:footnote>
  <w:footnote w:type="continuationSeparator" w:id="0">
    <w:p w14:paraId="0CE86CF5" w14:textId="77777777" w:rsidR="00402798" w:rsidRDefault="00402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AB2E48" w14:textId="77777777" w:rsidR="007F5874" w:rsidRDefault="007F587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styleLink w:val="ImportedStyle2"/>
    <w:lvl w:ilvl="0" w:tplc="3BB87A18">
      <w:start w:val="1"/>
      <w:numFmt w:val="decimal"/>
      <w:lvlText w:val="%1."/>
      <w:lvlJc w:val="left"/>
      <w:pPr>
        <w:ind w:left="720" w:hanging="360"/>
      </w:pPr>
      <w:rPr>
        <w:rFonts w:hAnsi="Arial Unicode MS"/>
        <w:caps w:val="0"/>
        <w:smallCaps w:val="0"/>
        <w:outline w:val="0"/>
        <w:emboss w:val="0"/>
        <w:imprint w:val="0"/>
        <w:spacing w:val="0"/>
        <w:w w:val="100"/>
        <w:kern w:val="0"/>
        <w:position w:val="0"/>
        <w:highlight w:val="none"/>
        <w:vertAlign w:val="baseline"/>
      </w:rPr>
    </w:lvl>
    <w:lvl w:ilvl="1" w:tplc="77DE0490">
      <w:start w:val="1"/>
      <w:numFmt w:val="lowerLetter"/>
      <w:lvlText w:val="%2."/>
      <w:lvlJc w:val="left"/>
      <w:pPr>
        <w:ind w:left="1440" w:hanging="360"/>
      </w:pPr>
      <w:rPr>
        <w:rFonts w:hAnsi="Arial Unicode MS"/>
        <w:caps w:val="0"/>
        <w:smallCaps w:val="0"/>
        <w:outline w:val="0"/>
        <w:emboss w:val="0"/>
        <w:imprint w:val="0"/>
        <w:spacing w:val="0"/>
        <w:w w:val="100"/>
        <w:kern w:val="0"/>
        <w:position w:val="0"/>
        <w:highlight w:val="none"/>
        <w:vertAlign w:val="baseline"/>
      </w:rPr>
    </w:lvl>
    <w:lvl w:ilvl="2" w:tplc="5570FCDE">
      <w:start w:val="1"/>
      <w:numFmt w:val="lowerRoman"/>
      <w:lvlText w:val="%3."/>
      <w:lvlJc w:val="left"/>
      <w:pPr>
        <w:ind w:left="2160" w:hanging="300"/>
      </w:pPr>
      <w:rPr>
        <w:rFonts w:hAnsi="Arial Unicode MS"/>
        <w:caps w:val="0"/>
        <w:smallCaps w:val="0"/>
        <w:outline w:val="0"/>
        <w:emboss w:val="0"/>
        <w:imprint w:val="0"/>
        <w:spacing w:val="0"/>
        <w:w w:val="100"/>
        <w:kern w:val="0"/>
        <w:position w:val="0"/>
        <w:highlight w:val="none"/>
        <w:vertAlign w:val="baseline"/>
      </w:rPr>
    </w:lvl>
    <w:lvl w:ilvl="3" w:tplc="8932EB76">
      <w:start w:val="1"/>
      <w:numFmt w:val="decimal"/>
      <w:lvlText w:val="%4."/>
      <w:lvlJc w:val="left"/>
      <w:pPr>
        <w:ind w:left="2880" w:hanging="360"/>
      </w:pPr>
      <w:rPr>
        <w:rFonts w:hAnsi="Arial Unicode MS"/>
        <w:caps w:val="0"/>
        <w:smallCaps w:val="0"/>
        <w:outline w:val="0"/>
        <w:emboss w:val="0"/>
        <w:imprint w:val="0"/>
        <w:spacing w:val="0"/>
        <w:w w:val="100"/>
        <w:kern w:val="0"/>
        <w:position w:val="0"/>
        <w:highlight w:val="none"/>
        <w:vertAlign w:val="baseline"/>
      </w:rPr>
    </w:lvl>
    <w:lvl w:ilvl="4" w:tplc="C85ABB8C">
      <w:start w:val="1"/>
      <w:numFmt w:val="lowerLetter"/>
      <w:lvlText w:val="%5."/>
      <w:lvlJc w:val="left"/>
      <w:pPr>
        <w:ind w:left="3600" w:hanging="360"/>
      </w:pPr>
      <w:rPr>
        <w:rFonts w:hAnsi="Arial Unicode MS"/>
        <w:caps w:val="0"/>
        <w:smallCaps w:val="0"/>
        <w:outline w:val="0"/>
        <w:emboss w:val="0"/>
        <w:imprint w:val="0"/>
        <w:spacing w:val="0"/>
        <w:w w:val="100"/>
        <w:kern w:val="0"/>
        <w:position w:val="0"/>
        <w:highlight w:val="none"/>
        <w:vertAlign w:val="baseline"/>
      </w:rPr>
    </w:lvl>
    <w:lvl w:ilvl="5" w:tplc="9880F6C0">
      <w:start w:val="1"/>
      <w:numFmt w:val="lowerRoman"/>
      <w:lvlText w:val="%6."/>
      <w:lvlJc w:val="left"/>
      <w:pPr>
        <w:ind w:left="4320" w:hanging="300"/>
      </w:pPr>
      <w:rPr>
        <w:rFonts w:hAnsi="Arial Unicode MS"/>
        <w:caps w:val="0"/>
        <w:smallCaps w:val="0"/>
        <w:outline w:val="0"/>
        <w:emboss w:val="0"/>
        <w:imprint w:val="0"/>
        <w:spacing w:val="0"/>
        <w:w w:val="100"/>
        <w:kern w:val="0"/>
        <w:position w:val="0"/>
        <w:highlight w:val="none"/>
        <w:vertAlign w:val="baseline"/>
      </w:rPr>
    </w:lvl>
    <w:lvl w:ilvl="6" w:tplc="E618A58C">
      <w:start w:val="1"/>
      <w:numFmt w:val="decimal"/>
      <w:lvlText w:val="%7."/>
      <w:lvlJc w:val="left"/>
      <w:pPr>
        <w:ind w:left="5040" w:hanging="360"/>
      </w:pPr>
      <w:rPr>
        <w:rFonts w:hAnsi="Arial Unicode MS"/>
        <w:caps w:val="0"/>
        <w:smallCaps w:val="0"/>
        <w:outline w:val="0"/>
        <w:emboss w:val="0"/>
        <w:imprint w:val="0"/>
        <w:spacing w:val="0"/>
        <w:w w:val="100"/>
        <w:kern w:val="0"/>
        <w:position w:val="0"/>
        <w:highlight w:val="none"/>
        <w:vertAlign w:val="baseline"/>
      </w:rPr>
    </w:lvl>
    <w:lvl w:ilvl="7" w:tplc="6F6E57EA">
      <w:start w:val="1"/>
      <w:numFmt w:val="lowerLetter"/>
      <w:lvlText w:val="%8."/>
      <w:lvlJc w:val="left"/>
      <w:pPr>
        <w:ind w:left="5760" w:hanging="360"/>
      </w:pPr>
      <w:rPr>
        <w:rFonts w:hAnsi="Arial Unicode MS"/>
        <w:caps w:val="0"/>
        <w:smallCaps w:val="0"/>
        <w:outline w:val="0"/>
        <w:emboss w:val="0"/>
        <w:imprint w:val="0"/>
        <w:spacing w:val="0"/>
        <w:w w:val="100"/>
        <w:kern w:val="0"/>
        <w:position w:val="0"/>
        <w:highlight w:val="none"/>
        <w:vertAlign w:val="baseline"/>
      </w:rPr>
    </w:lvl>
    <w:lvl w:ilvl="8" w:tplc="1DE8BA06">
      <w:start w:val="1"/>
      <w:numFmt w:val="lowerRoman"/>
      <w:lvlText w:val="%9."/>
      <w:lvlJc w:val="left"/>
      <w:pPr>
        <w:ind w:left="6480" w:hanging="300"/>
      </w:pPr>
      <w:rPr>
        <w:rFonts w:hAnsi="Arial Unicode MS"/>
        <w:caps w:val="0"/>
        <w:smallCaps w:val="0"/>
        <w:outline w:val="0"/>
        <w:emboss w:val="0"/>
        <w:imprint w:val="0"/>
        <w:spacing w:val="0"/>
        <w:w w:val="100"/>
        <w:kern w:val="0"/>
        <w:position w:val="0"/>
        <w:highlight w:val="none"/>
        <w:vertAlign w:val="baseline"/>
      </w:rPr>
    </w:lvl>
  </w:abstractNum>
  <w:abstractNum w:abstractNumId="1" w15:restartNumberingAfterBreak="0">
    <w:nsid w:val="00000002"/>
    <w:multiLevelType w:val="hybridMultilevel"/>
    <w:tmpl w:val="FFFFFFFF"/>
    <w:styleLink w:val="ImportedStyle3"/>
    <w:lvl w:ilvl="0" w:tplc="D716FA76">
      <w:start w:val="1"/>
      <w:numFmt w:val="decimal"/>
      <w:lvlText w:val="%1."/>
      <w:lvlJc w:val="left"/>
      <w:pPr>
        <w:ind w:left="720" w:hanging="360"/>
      </w:pPr>
      <w:rPr>
        <w:rFonts w:hAnsi="Arial Unicode MS"/>
        <w:caps w:val="0"/>
        <w:smallCaps w:val="0"/>
        <w:outline w:val="0"/>
        <w:emboss w:val="0"/>
        <w:imprint w:val="0"/>
        <w:spacing w:val="0"/>
        <w:w w:val="100"/>
        <w:kern w:val="0"/>
        <w:position w:val="0"/>
        <w:highlight w:val="none"/>
        <w:vertAlign w:val="baseline"/>
      </w:rPr>
    </w:lvl>
    <w:lvl w:ilvl="1" w:tplc="19EE26D4">
      <w:start w:val="1"/>
      <w:numFmt w:val="lowerLetter"/>
      <w:lvlText w:val="%2."/>
      <w:lvlJc w:val="left"/>
      <w:pPr>
        <w:ind w:left="1440" w:hanging="360"/>
      </w:pPr>
      <w:rPr>
        <w:rFonts w:hAnsi="Arial Unicode MS"/>
        <w:caps w:val="0"/>
        <w:smallCaps w:val="0"/>
        <w:outline w:val="0"/>
        <w:emboss w:val="0"/>
        <w:imprint w:val="0"/>
        <w:spacing w:val="0"/>
        <w:w w:val="100"/>
        <w:kern w:val="0"/>
        <w:position w:val="0"/>
        <w:highlight w:val="none"/>
        <w:vertAlign w:val="baseline"/>
      </w:rPr>
    </w:lvl>
    <w:lvl w:ilvl="2" w:tplc="0832A16E">
      <w:start w:val="1"/>
      <w:numFmt w:val="lowerRoman"/>
      <w:lvlText w:val="%3."/>
      <w:lvlJc w:val="left"/>
      <w:pPr>
        <w:ind w:left="2160" w:hanging="300"/>
      </w:pPr>
      <w:rPr>
        <w:rFonts w:hAnsi="Arial Unicode MS"/>
        <w:caps w:val="0"/>
        <w:smallCaps w:val="0"/>
        <w:outline w:val="0"/>
        <w:emboss w:val="0"/>
        <w:imprint w:val="0"/>
        <w:spacing w:val="0"/>
        <w:w w:val="100"/>
        <w:kern w:val="0"/>
        <w:position w:val="0"/>
        <w:highlight w:val="none"/>
        <w:vertAlign w:val="baseline"/>
      </w:rPr>
    </w:lvl>
    <w:lvl w:ilvl="3" w:tplc="9D2E70BC">
      <w:start w:val="1"/>
      <w:numFmt w:val="decimal"/>
      <w:lvlText w:val="%4."/>
      <w:lvlJc w:val="left"/>
      <w:pPr>
        <w:ind w:left="2880" w:hanging="360"/>
      </w:pPr>
      <w:rPr>
        <w:rFonts w:hAnsi="Arial Unicode MS"/>
        <w:caps w:val="0"/>
        <w:smallCaps w:val="0"/>
        <w:outline w:val="0"/>
        <w:emboss w:val="0"/>
        <w:imprint w:val="0"/>
        <w:spacing w:val="0"/>
        <w:w w:val="100"/>
        <w:kern w:val="0"/>
        <w:position w:val="0"/>
        <w:highlight w:val="none"/>
        <w:vertAlign w:val="baseline"/>
      </w:rPr>
    </w:lvl>
    <w:lvl w:ilvl="4" w:tplc="7A3A694A">
      <w:start w:val="1"/>
      <w:numFmt w:val="lowerLetter"/>
      <w:lvlText w:val="%5."/>
      <w:lvlJc w:val="left"/>
      <w:pPr>
        <w:ind w:left="3600" w:hanging="360"/>
      </w:pPr>
      <w:rPr>
        <w:rFonts w:hAnsi="Arial Unicode MS"/>
        <w:caps w:val="0"/>
        <w:smallCaps w:val="0"/>
        <w:outline w:val="0"/>
        <w:emboss w:val="0"/>
        <w:imprint w:val="0"/>
        <w:spacing w:val="0"/>
        <w:w w:val="100"/>
        <w:kern w:val="0"/>
        <w:position w:val="0"/>
        <w:highlight w:val="none"/>
        <w:vertAlign w:val="baseline"/>
      </w:rPr>
    </w:lvl>
    <w:lvl w:ilvl="5" w:tplc="CC520940">
      <w:start w:val="1"/>
      <w:numFmt w:val="lowerRoman"/>
      <w:lvlText w:val="%6."/>
      <w:lvlJc w:val="left"/>
      <w:pPr>
        <w:ind w:left="4320" w:hanging="300"/>
      </w:pPr>
      <w:rPr>
        <w:rFonts w:hAnsi="Arial Unicode MS"/>
        <w:caps w:val="0"/>
        <w:smallCaps w:val="0"/>
        <w:outline w:val="0"/>
        <w:emboss w:val="0"/>
        <w:imprint w:val="0"/>
        <w:spacing w:val="0"/>
        <w:w w:val="100"/>
        <w:kern w:val="0"/>
        <w:position w:val="0"/>
        <w:highlight w:val="none"/>
        <w:vertAlign w:val="baseline"/>
      </w:rPr>
    </w:lvl>
    <w:lvl w:ilvl="6" w:tplc="2CBC8796">
      <w:start w:val="1"/>
      <w:numFmt w:val="decimal"/>
      <w:lvlText w:val="%7."/>
      <w:lvlJc w:val="left"/>
      <w:pPr>
        <w:ind w:left="5040" w:hanging="360"/>
      </w:pPr>
      <w:rPr>
        <w:rFonts w:hAnsi="Arial Unicode MS"/>
        <w:caps w:val="0"/>
        <w:smallCaps w:val="0"/>
        <w:outline w:val="0"/>
        <w:emboss w:val="0"/>
        <w:imprint w:val="0"/>
        <w:spacing w:val="0"/>
        <w:w w:val="100"/>
        <w:kern w:val="0"/>
        <w:position w:val="0"/>
        <w:highlight w:val="none"/>
        <w:vertAlign w:val="baseline"/>
      </w:rPr>
    </w:lvl>
    <w:lvl w:ilvl="7" w:tplc="EB8AD026">
      <w:start w:val="1"/>
      <w:numFmt w:val="lowerLetter"/>
      <w:lvlText w:val="%8."/>
      <w:lvlJc w:val="left"/>
      <w:pPr>
        <w:ind w:left="5760" w:hanging="360"/>
      </w:pPr>
      <w:rPr>
        <w:rFonts w:hAnsi="Arial Unicode MS"/>
        <w:caps w:val="0"/>
        <w:smallCaps w:val="0"/>
        <w:outline w:val="0"/>
        <w:emboss w:val="0"/>
        <w:imprint w:val="0"/>
        <w:spacing w:val="0"/>
        <w:w w:val="100"/>
        <w:kern w:val="0"/>
        <w:position w:val="0"/>
        <w:highlight w:val="none"/>
        <w:vertAlign w:val="baseline"/>
      </w:rPr>
    </w:lvl>
    <w:lvl w:ilvl="8" w:tplc="E220644E">
      <w:start w:val="1"/>
      <w:numFmt w:val="lowerRoman"/>
      <w:lvlText w:val="%9."/>
      <w:lvlJc w:val="left"/>
      <w:pPr>
        <w:ind w:left="6480" w:hanging="300"/>
      </w:pPr>
      <w:rPr>
        <w:rFonts w:hAnsi="Arial Unicode MS"/>
        <w:caps w:val="0"/>
        <w:smallCaps w:val="0"/>
        <w:outline w:val="0"/>
        <w:emboss w:val="0"/>
        <w:imprint w:val="0"/>
        <w:spacing w:val="0"/>
        <w:w w:val="100"/>
        <w:kern w:val="0"/>
        <w:position w:val="0"/>
        <w:highlight w:val="none"/>
        <w:vertAlign w:val="baseline"/>
      </w:rPr>
    </w:lvl>
  </w:abstractNum>
  <w:abstractNum w:abstractNumId="2" w15:restartNumberingAfterBreak="0">
    <w:nsid w:val="00000003"/>
    <w:multiLevelType w:val="hybridMultilevel"/>
    <w:tmpl w:val="FFFFFFFF"/>
    <w:numStyleLink w:val="ImportedStyle3"/>
  </w:abstractNum>
  <w:abstractNum w:abstractNumId="3" w15:restartNumberingAfterBreak="0">
    <w:nsid w:val="00000004"/>
    <w:multiLevelType w:val="hybridMultilevel"/>
    <w:tmpl w:val="FFFFFFFF"/>
    <w:numStyleLink w:val="ImportedStyle3"/>
  </w:abstractNum>
  <w:abstractNum w:abstractNumId="4" w15:restartNumberingAfterBreak="0">
    <w:nsid w:val="00000005"/>
    <w:multiLevelType w:val="hybridMultilevel"/>
    <w:tmpl w:val="FFFFFFFF"/>
    <w:numStyleLink w:val="ImportedStyle3"/>
  </w:abstractNum>
  <w:abstractNum w:abstractNumId="5" w15:restartNumberingAfterBreak="0">
    <w:nsid w:val="00000006"/>
    <w:multiLevelType w:val="hybridMultilevel"/>
    <w:tmpl w:val="FFFFFFFF"/>
    <w:numStyleLink w:val="ImportedStyle3"/>
  </w:abstractNum>
  <w:abstractNum w:abstractNumId="6" w15:restartNumberingAfterBreak="0">
    <w:nsid w:val="58B55A08"/>
    <w:multiLevelType w:val="multilevel"/>
    <w:tmpl w:val="FFFFFFFF"/>
    <w:styleLink w:val="ImportedStyle1"/>
    <w:lvl w:ilvl="0">
      <w:start w:val="1"/>
      <w:numFmt w:val="decimal"/>
      <w:lvlText w:val="%1."/>
      <w:lvlJc w:val="left"/>
      <w:pPr>
        <w:ind w:left="532" w:hanging="532"/>
      </w:pPr>
      <w:rPr>
        <w:rFonts w:hAnsi="Arial Unicode MS"/>
        <w:b/>
        <w:bCs/>
        <w:caps w:val="0"/>
        <w:smallCaps w:val="0"/>
        <w:outline w:val="0"/>
        <w:emboss w:val="0"/>
        <w:imprint w:val="0"/>
        <w:spacing w:val="0"/>
        <w:w w:val="100"/>
        <w:kern w:val="0"/>
        <w:position w:val="0"/>
        <w:highlight w:val="none"/>
        <w:vertAlign w:val="baseline"/>
      </w:rPr>
    </w:lvl>
    <w:lvl w:ilvl="1">
      <w:start w:val="1"/>
      <w:numFmt w:val="decimal"/>
      <w:lvlText w:val="%2."/>
      <w:lvlJc w:val="left"/>
      <w:pPr>
        <w:ind w:left="360" w:hanging="360"/>
      </w:pPr>
      <w:rPr>
        <w:rFonts w:hAnsi="Arial Unicode MS"/>
        <w:b/>
        <w:bCs/>
        <w:caps w:val="0"/>
        <w:smallCaps w:val="0"/>
        <w:outline w:val="0"/>
        <w:emboss w:val="0"/>
        <w:imprint w:val="0"/>
        <w:spacing w:val="0"/>
        <w:w w:val="100"/>
        <w:kern w:val="0"/>
        <w:position w:val="0"/>
        <w:highlight w:val="none"/>
        <w:vertAlign w:val="baseline"/>
      </w:rPr>
    </w:lvl>
    <w:lvl w:ilvl="2">
      <w:start w:val="1"/>
      <w:numFmt w:val="decimal"/>
      <w:suff w:val="nothing"/>
      <w:lvlText w:val="%2.%3."/>
      <w:lvlJc w:val="left"/>
      <w:pPr>
        <w:tabs>
          <w:tab w:val="left" w:pos="360"/>
        </w:tabs>
        <w:ind w:left="270" w:hanging="270"/>
      </w:pPr>
      <w:rPr>
        <w:rFonts w:hAnsi="Arial Unicode MS"/>
        <w:b/>
        <w:bCs/>
        <w:caps w:val="0"/>
        <w:smallCaps w:val="0"/>
        <w:outline w:val="0"/>
        <w:emboss w:val="0"/>
        <w:imprint w:val="0"/>
        <w:spacing w:val="0"/>
        <w:w w:val="100"/>
        <w:kern w:val="0"/>
        <w:position w:val="0"/>
        <w:highlight w:val="none"/>
        <w:vertAlign w:val="baseline"/>
      </w:rPr>
    </w:lvl>
    <w:lvl w:ilvl="3">
      <w:start w:val="1"/>
      <w:numFmt w:val="decimal"/>
      <w:suff w:val="nothing"/>
      <w:lvlText w:val="%2.%3.%4."/>
      <w:lvlJc w:val="left"/>
      <w:pPr>
        <w:tabs>
          <w:tab w:val="left" w:pos="360"/>
        </w:tabs>
        <w:ind w:left="270" w:hanging="270"/>
      </w:pPr>
      <w:rPr>
        <w:rFonts w:hAnsi="Arial Unicode MS"/>
        <w:b/>
        <w:bCs/>
        <w:caps w:val="0"/>
        <w:smallCaps w:val="0"/>
        <w:outline w:val="0"/>
        <w:emboss w:val="0"/>
        <w:imprint w:val="0"/>
        <w:spacing w:val="0"/>
        <w:w w:val="100"/>
        <w:kern w:val="0"/>
        <w:position w:val="0"/>
        <w:highlight w:val="none"/>
        <w:vertAlign w:val="baseline"/>
      </w:rPr>
    </w:lvl>
    <w:lvl w:ilvl="4">
      <w:start w:val="1"/>
      <w:numFmt w:val="decimal"/>
      <w:suff w:val="nothing"/>
      <w:lvlText w:val="%2.%3.%4.%5."/>
      <w:lvlJc w:val="left"/>
      <w:pPr>
        <w:tabs>
          <w:tab w:val="left" w:pos="360"/>
        </w:tabs>
        <w:ind w:left="360" w:hanging="360"/>
      </w:pPr>
      <w:rPr>
        <w:rFonts w:hAnsi="Arial Unicode MS"/>
        <w:b/>
        <w:bCs/>
        <w:caps w:val="0"/>
        <w:smallCaps w:val="0"/>
        <w:outline w:val="0"/>
        <w:emboss w:val="0"/>
        <w:imprint w:val="0"/>
        <w:spacing w:val="0"/>
        <w:w w:val="100"/>
        <w:kern w:val="0"/>
        <w:position w:val="0"/>
        <w:highlight w:val="none"/>
        <w:vertAlign w:val="baseline"/>
      </w:rPr>
    </w:lvl>
    <w:lvl w:ilvl="5">
      <w:start w:val="1"/>
      <w:numFmt w:val="decimal"/>
      <w:suff w:val="nothing"/>
      <w:lvlText w:val="%2.%3.%4.%5.%6."/>
      <w:lvlJc w:val="left"/>
      <w:pPr>
        <w:tabs>
          <w:tab w:val="left" w:pos="360"/>
        </w:tabs>
        <w:ind w:left="360" w:hanging="360"/>
      </w:pPr>
      <w:rPr>
        <w:rFonts w:hAnsi="Arial Unicode MS"/>
        <w:b/>
        <w:bCs/>
        <w:caps w:val="0"/>
        <w:smallCaps w:val="0"/>
        <w:outline w:val="0"/>
        <w:emboss w:val="0"/>
        <w:imprint w:val="0"/>
        <w:spacing w:val="0"/>
        <w:w w:val="100"/>
        <w:kern w:val="0"/>
        <w:position w:val="0"/>
        <w:highlight w:val="none"/>
        <w:vertAlign w:val="baseline"/>
      </w:rPr>
    </w:lvl>
    <w:lvl w:ilvl="6">
      <w:start w:val="1"/>
      <w:numFmt w:val="decimal"/>
      <w:suff w:val="nothing"/>
      <w:lvlText w:val="%2.%3.%4.%5.%6.%7."/>
      <w:lvlJc w:val="left"/>
      <w:pPr>
        <w:tabs>
          <w:tab w:val="left" w:pos="360"/>
        </w:tabs>
        <w:ind w:left="360" w:hanging="360"/>
      </w:pPr>
      <w:rPr>
        <w:rFonts w:hAnsi="Arial Unicode MS"/>
        <w:b/>
        <w:bCs/>
        <w:caps w:val="0"/>
        <w:smallCaps w:val="0"/>
        <w:outline w:val="0"/>
        <w:emboss w:val="0"/>
        <w:imprint w:val="0"/>
        <w:spacing w:val="0"/>
        <w:w w:val="100"/>
        <w:kern w:val="0"/>
        <w:position w:val="0"/>
        <w:highlight w:val="none"/>
        <w:vertAlign w:val="baseline"/>
      </w:rPr>
    </w:lvl>
    <w:lvl w:ilvl="7">
      <w:start w:val="1"/>
      <w:numFmt w:val="decimal"/>
      <w:suff w:val="nothing"/>
      <w:lvlText w:val="%2.%3.%4.%5.%6.%7.%8."/>
      <w:lvlJc w:val="left"/>
      <w:pPr>
        <w:tabs>
          <w:tab w:val="left" w:pos="360"/>
        </w:tabs>
        <w:ind w:left="360" w:hanging="360"/>
      </w:pPr>
      <w:rPr>
        <w:rFonts w:hAnsi="Arial Unicode MS"/>
        <w:b/>
        <w:bCs/>
        <w:caps w:val="0"/>
        <w:smallCaps w:val="0"/>
        <w:outline w:val="0"/>
        <w:emboss w:val="0"/>
        <w:imprint w:val="0"/>
        <w:spacing w:val="0"/>
        <w:w w:val="100"/>
        <w:kern w:val="0"/>
        <w:position w:val="0"/>
        <w:highlight w:val="none"/>
        <w:vertAlign w:val="baseline"/>
      </w:rPr>
    </w:lvl>
    <w:lvl w:ilvl="8">
      <w:start w:val="1"/>
      <w:numFmt w:val="decimal"/>
      <w:suff w:val="nothing"/>
      <w:lvlText w:val="%2.%3.%4.%5.%6.%7.%8.%9."/>
      <w:lvlJc w:val="left"/>
      <w:pPr>
        <w:tabs>
          <w:tab w:val="left" w:pos="360"/>
        </w:tabs>
        <w:ind w:left="360" w:hanging="360"/>
      </w:pPr>
      <w:rPr>
        <w:rFonts w:hAnsi="Arial Unicode MS"/>
        <w:b/>
        <w:bCs/>
        <w:caps w:val="0"/>
        <w:smallCaps w:val="0"/>
        <w:outline w:val="0"/>
        <w:emboss w:val="0"/>
        <w:imprint w:val="0"/>
        <w:spacing w:val="0"/>
        <w:w w:val="100"/>
        <w:kern w:val="0"/>
        <w:position w:val="0"/>
        <w:highlight w:val="none"/>
        <w:vertAlign w:val="baseline"/>
      </w:rPr>
    </w:lvl>
  </w:abstractNum>
  <w:num w:numId="1" w16cid:durableId="1083407995">
    <w:abstractNumId w:val="6"/>
  </w:num>
  <w:num w:numId="2" w16cid:durableId="1476609579">
    <w:abstractNumId w:val="0"/>
  </w:num>
  <w:num w:numId="3" w16cid:durableId="144519098">
    <w:abstractNumId w:val="1"/>
  </w:num>
  <w:num w:numId="4" w16cid:durableId="1034233858">
    <w:abstractNumId w:val="2"/>
  </w:num>
  <w:num w:numId="5" w16cid:durableId="633103828">
    <w:abstractNumId w:val="3"/>
  </w:num>
  <w:num w:numId="6" w16cid:durableId="1658996554">
    <w:abstractNumId w:val="4"/>
  </w:num>
  <w:num w:numId="7" w16cid:durableId="909799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874"/>
    <w:rsid w:val="002A1453"/>
    <w:rsid w:val="00402798"/>
    <w:rsid w:val="006A3FCE"/>
    <w:rsid w:val="007F58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EA15E"/>
  <w15:docId w15:val="{71020801-A7EA-4B31-AC94-4C313196A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hAnsi="Calibri" w:cs="Arial Unicode MS"/>
      <w:color w:val="000000"/>
      <w:sz w:val="22"/>
      <w:szCs w:val="22"/>
      <w:u w:color="000000"/>
      <w:lang w:val="en-US"/>
    </w:rPr>
  </w:style>
  <w:style w:type="paragraph" w:styleId="Heading1">
    <w:name w:val="heading 1"/>
    <w:next w:val="Normal"/>
    <w:uiPriority w:val="9"/>
    <w:qFormat/>
    <w:pPr>
      <w:keepNext/>
      <w:keepLines/>
      <w:spacing w:before="240" w:line="259" w:lineRule="auto"/>
      <w:outlineLvl w:val="0"/>
    </w:pPr>
    <w:rPr>
      <w:rFonts w:ascii="Calibri Light" w:eastAsia="Calibri Light" w:hAnsi="Calibri Light" w:cs="Calibri Light"/>
      <w:color w:val="2F5496"/>
      <w:sz w:val="32"/>
      <w:szCs w:val="32"/>
      <w:u w:color="2F5496"/>
      <w:lang w:val="en-US"/>
    </w:rPr>
  </w:style>
  <w:style w:type="paragraph" w:styleId="Heading2">
    <w:name w:val="heading 2"/>
    <w:next w:val="Normal"/>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table" w:customStyle="1" w:styleId="TableNormal1">
    <w:name w:val="Table Normal1"/>
    <w:tblPr>
      <w:tblInd w:w="0" w:type="dxa"/>
      <w:tblCellMar>
        <w:top w:w="0" w:type="dxa"/>
        <w:left w:w="0" w:type="dxa"/>
        <w:bottom w:w="0" w:type="dxa"/>
        <w:right w:w="0" w:type="dxa"/>
      </w:tblCellMar>
    </w:tbl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hAnsi="Calibri" w:cs="Arial Unicode MS"/>
      <w:color w:val="000000"/>
      <w:sz w:val="22"/>
      <w:szCs w:val="22"/>
      <w:u w:color="000000"/>
      <w:lang w:val="en-US"/>
    </w:rPr>
  </w:style>
  <w:style w:type="paragraph" w:styleId="TOCHeading">
    <w:name w:val="TOC Heading"/>
    <w:next w:val="Normal"/>
    <w:pPr>
      <w:keepNext/>
      <w:keepLines/>
      <w:spacing w:before="240" w:line="259" w:lineRule="auto"/>
    </w:pPr>
    <w:rPr>
      <w:rFonts w:ascii="Calibri Light" w:hAnsi="Calibri Light" w:cs="Arial Unicode MS"/>
      <w:color w:val="2F5496"/>
      <w:sz w:val="32"/>
      <w:szCs w:val="32"/>
      <w:u w:color="2F5496"/>
      <w:lang w:val="en-US"/>
    </w:rPr>
  </w:style>
  <w:style w:type="paragraph" w:customStyle="1" w:styleId="TOC11">
    <w:name w:val="TOC 11"/>
    <w:pPr>
      <w:tabs>
        <w:tab w:val="right" w:leader="dot" w:pos="9000"/>
      </w:tabs>
      <w:spacing w:after="100" w:line="360" w:lineRule="auto"/>
    </w:pPr>
    <w:rPr>
      <w:rFonts w:ascii="Calibri" w:eastAsia="Calibri" w:hAnsi="Calibri" w:cs="Calibri"/>
      <w:color w:val="000000"/>
      <w:sz w:val="22"/>
      <w:szCs w:val="22"/>
      <w:u w:color="000000"/>
      <w:lang w:val="en-US"/>
    </w:rPr>
  </w:style>
  <w:style w:type="paragraph" w:customStyle="1" w:styleId="TOC21">
    <w:name w:val="TOC 21"/>
    <w:pPr>
      <w:tabs>
        <w:tab w:val="left" w:pos="880"/>
        <w:tab w:val="right" w:leader="dot" w:pos="9000"/>
      </w:tabs>
      <w:spacing w:after="100" w:line="360" w:lineRule="auto"/>
      <w:ind w:left="220"/>
    </w:pPr>
    <w:rPr>
      <w:rFonts w:ascii="Calibri" w:eastAsia="Calibri" w:hAnsi="Calibri" w:cs="Calibri"/>
      <w:color w:val="000000"/>
      <w:sz w:val="22"/>
      <w:szCs w:val="22"/>
      <w:u w:color="000000"/>
      <w:lang w:val="en-US"/>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sz w:val="24"/>
      <w:szCs w:val="24"/>
      <w:u w:val="single" w:color="0563C1"/>
    </w:rPr>
  </w:style>
  <w:style w:type="paragraph" w:styleId="TableofFigures">
    <w:name w:val="table of figures"/>
    <w:next w:val="Normal"/>
    <w:pPr>
      <w:spacing w:line="259" w:lineRule="auto"/>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2">
    <w:name w:val="Imported Style 2"/>
    <w:pPr>
      <w:numPr>
        <w:numId w:val="2"/>
      </w:numPr>
    </w:pPr>
  </w:style>
  <w:style w:type="numbering" w:customStyle="1" w:styleId="ImportedStyle3">
    <w:name w:val="Imported Style 3"/>
    <w:pPr>
      <w:numPr>
        <w:numId w:val="3"/>
      </w:numPr>
    </w:pPr>
  </w:style>
  <w:style w:type="paragraph" w:styleId="NormalWeb">
    <w:name w:val="Normal (Web)"/>
    <w:pPr>
      <w:spacing w:before="100" w:after="100"/>
    </w:pPr>
    <w:rPr>
      <w:rFonts w:eastAsia="Times New Roman"/>
      <w:color w:val="000000"/>
      <w:sz w:val="24"/>
      <w:szCs w:val="24"/>
      <w:u w:color="000000"/>
      <w:lang w:val="en-US"/>
    </w:rPr>
  </w:style>
  <w:style w:type="paragraph" w:styleId="Caption">
    <w:name w:val="caption"/>
    <w:next w:val="Normal"/>
    <w:pPr>
      <w:spacing w:after="200"/>
    </w:pPr>
    <w:rPr>
      <w:rFonts w:ascii="Calibri" w:hAnsi="Calibri" w:cs="Arial Unicode MS"/>
      <w:i/>
      <w:iCs/>
      <w:color w:val="44546A"/>
      <w:sz w:val="18"/>
      <w:szCs w:val="18"/>
      <w:u w:color="44546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5.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Current ratio</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0.73</c:v>
                </c:pt>
                <c:pt idx="1">
                  <c:v>0.57999999999999996</c:v>
                </c:pt>
                <c:pt idx="2">
                  <c:v>0.97</c:v>
                </c:pt>
                <c:pt idx="3">
                  <c:v>0.65</c:v>
                </c:pt>
                <c:pt idx="4">
                  <c:v>0.67</c:v>
                </c:pt>
              </c:numCache>
            </c:numRef>
          </c:val>
          <c:extLst>
            <c:ext xmlns:c16="http://schemas.microsoft.com/office/drawing/2014/chart" uri="{C3380CC4-5D6E-409C-BE32-E72D297353CC}">
              <c16:uniqueId val="{00000000-2CD1-4EDD-8372-1E42677B81F2}"/>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0.25"/>
        <c:minorUnit val="0.12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Total Debt/Equity</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0.28000000000000003</c:v>
                </c:pt>
                <c:pt idx="1">
                  <c:v>0.26</c:v>
                </c:pt>
                <c:pt idx="2">
                  <c:v>0.34</c:v>
                </c:pt>
                <c:pt idx="3">
                  <c:v>0.53</c:v>
                </c:pt>
                <c:pt idx="4">
                  <c:v>0.38</c:v>
                </c:pt>
              </c:numCache>
            </c:numRef>
          </c:val>
          <c:extLst>
            <c:ext xmlns:c16="http://schemas.microsoft.com/office/drawing/2014/chart" uri="{C3380CC4-5D6E-409C-BE32-E72D297353CC}">
              <c16:uniqueId val="{00000000-A5CD-4B84-8E72-59A22C441648}"/>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0.15"/>
        <c:minorUnit val="7.4999999999999997E-2"/>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Quick ratio (QR)</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0.28000000000000003</c:v>
                </c:pt>
                <c:pt idx="1">
                  <c:v>0.21</c:v>
                </c:pt>
                <c:pt idx="2">
                  <c:v>0.55000000000000004</c:v>
                </c:pt>
                <c:pt idx="3">
                  <c:v>0.3</c:v>
                </c:pt>
                <c:pt idx="4">
                  <c:v>0.23</c:v>
                </c:pt>
              </c:numCache>
            </c:numRef>
          </c:val>
          <c:extLst>
            <c:ext xmlns:c16="http://schemas.microsoft.com/office/drawing/2014/chart" uri="{C3380CC4-5D6E-409C-BE32-E72D297353CC}">
              <c16:uniqueId val="{00000000-AC3C-4F4E-B33D-09DC4E499336}"/>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0.15"/>
        <c:minorUnit val="7.4999999999999997E-2"/>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Inventory Turnover Ratio (ITR)</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2.65</c:v>
                </c:pt>
                <c:pt idx="1">
                  <c:v>2.15</c:v>
                </c:pt>
                <c:pt idx="2">
                  <c:v>1.76</c:v>
                </c:pt>
                <c:pt idx="3">
                  <c:v>5.64</c:v>
                </c:pt>
                <c:pt idx="4">
                  <c:v>6.27</c:v>
                </c:pt>
              </c:numCache>
            </c:numRef>
          </c:val>
          <c:extLst>
            <c:ext xmlns:c16="http://schemas.microsoft.com/office/drawing/2014/chart" uri="{C3380CC4-5D6E-409C-BE32-E72D297353CC}">
              <c16:uniqueId val="{00000000-CB50-4A41-B62B-BBBAA234B97A}"/>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1.75"/>
        <c:minorUnit val="0.87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Dividend Payout Ratio (DPR)</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40.22</c:v>
                </c:pt>
                <c:pt idx="1">
                  <c:v>9.1</c:v>
                </c:pt>
                <c:pt idx="2">
                  <c:v>6.7</c:v>
                </c:pt>
                <c:pt idx="3">
                  <c:v>22.08</c:v>
                </c:pt>
                <c:pt idx="4">
                  <c:v>10.87</c:v>
                </c:pt>
              </c:numCache>
            </c:numRef>
          </c:val>
          <c:extLst>
            <c:ext xmlns:c16="http://schemas.microsoft.com/office/drawing/2014/chart" uri="{C3380CC4-5D6E-409C-BE32-E72D297353CC}">
              <c16:uniqueId val="{00000000-DF8E-466F-ADF0-F576AE260675}"/>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12.5"/>
        <c:minorUnit val="6.2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7.1955400000000003E-2"/>
          <c:y val="4.1744000000000003E-2"/>
          <c:w val="0.90187200000000001"/>
          <c:h val="0.87853999999999999"/>
        </c:manualLayout>
      </c:layout>
      <c:areaChart>
        <c:grouping val="stacked"/>
        <c:varyColors val="0"/>
        <c:ser>
          <c:idx val="0"/>
          <c:order val="0"/>
          <c:tx>
            <c:strRef>
              <c:f>Sheet1!$A$2</c:f>
              <c:strCache>
                <c:ptCount val="1"/>
                <c:pt idx="0">
                  <c:v>Net profit Margin (NPM)</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12.01</c:v>
                </c:pt>
                <c:pt idx="1">
                  <c:v>25.58</c:v>
                </c:pt>
                <c:pt idx="2">
                  <c:v>20.29</c:v>
                </c:pt>
                <c:pt idx="3">
                  <c:v>11.15</c:v>
                </c:pt>
                <c:pt idx="4">
                  <c:v>14.91</c:v>
                </c:pt>
              </c:numCache>
            </c:numRef>
          </c:val>
          <c:extLst>
            <c:ext xmlns:c16="http://schemas.microsoft.com/office/drawing/2014/chart" uri="{C3380CC4-5D6E-409C-BE32-E72D297353CC}">
              <c16:uniqueId val="{00000000-1482-4CBD-BF0E-C62025E4B76A}"/>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6.5"/>
        <c:minorUnit val="3.2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5.5183500000000003E-2"/>
          <c:y val="4.7709700000000001E-2"/>
          <c:w val="0.91775499999999999"/>
          <c:h val="0.86296899999999999"/>
        </c:manualLayout>
      </c:layout>
      <c:areaChart>
        <c:grouping val="stacked"/>
        <c:varyColors val="0"/>
        <c:ser>
          <c:idx val="0"/>
          <c:order val="0"/>
          <c:tx>
            <c:strRef>
              <c:f>Sheet1!$A$2</c:f>
              <c:strCache>
                <c:ptCount val="1"/>
                <c:pt idx="0">
                  <c:v>Return on Equity (ROE)</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11.49</c:v>
                </c:pt>
                <c:pt idx="1">
                  <c:v>26.31</c:v>
                </c:pt>
                <c:pt idx="2">
                  <c:v>18.079999999999998</c:v>
                </c:pt>
                <c:pt idx="3">
                  <c:v>9.0399999999999991</c:v>
                </c:pt>
                <c:pt idx="4">
                  <c:v>14.95</c:v>
                </c:pt>
              </c:numCache>
            </c:numRef>
          </c:val>
          <c:extLst>
            <c:ext xmlns:c16="http://schemas.microsoft.com/office/drawing/2014/chart" uri="{C3380CC4-5D6E-409C-BE32-E72D297353CC}">
              <c16:uniqueId val="{00000000-7DD1-4CA4-9220-38E6A2FF56CD}"/>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7"/>
        <c:minorUnit val="3.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5.4380699999999997E-2"/>
          <c:y val="4.1744000000000003E-2"/>
          <c:w val="0.91895099999999996"/>
          <c:h val="0.87853999999999999"/>
        </c:manualLayout>
      </c:layout>
      <c:areaChart>
        <c:grouping val="stacked"/>
        <c:varyColors val="0"/>
        <c:ser>
          <c:idx val="0"/>
          <c:order val="0"/>
          <c:tx>
            <c:strRef>
              <c:f>Sheet1!$A$2</c:f>
              <c:strCache>
                <c:ptCount val="1"/>
                <c:pt idx="0">
                  <c:v>Return on Equity (ROE)</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6.62</c:v>
                </c:pt>
                <c:pt idx="1">
                  <c:v>14.87</c:v>
                </c:pt>
                <c:pt idx="2">
                  <c:v>9.4600000000000009</c:v>
                </c:pt>
                <c:pt idx="3">
                  <c:v>4.4800000000000004</c:v>
                </c:pt>
                <c:pt idx="4">
                  <c:v>7.66</c:v>
                </c:pt>
              </c:numCache>
            </c:numRef>
          </c:val>
          <c:extLst>
            <c:ext xmlns:c16="http://schemas.microsoft.com/office/drawing/2014/chart" uri="{C3380CC4-5D6E-409C-BE32-E72D297353CC}">
              <c16:uniqueId val="{00000000-D79F-44F1-B614-B78A5C82B1AE}"/>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4"/>
        <c:minorUnit val="2"/>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0"/>
  <c:style val="2"/>
  <c:chart>
    <c:autoTitleDeleted val="1"/>
    <c:plotArea>
      <c:layout>
        <c:manualLayout>
          <c:layoutTarget val="inner"/>
          <c:xMode val="edge"/>
          <c:yMode val="edge"/>
          <c:x val="5.4380699999999997E-2"/>
          <c:y val="4.1744000000000003E-2"/>
          <c:w val="0.91895099999999996"/>
          <c:h val="0.87853999999999999"/>
        </c:manualLayout>
      </c:layout>
      <c:areaChart>
        <c:grouping val="stacked"/>
        <c:varyColors val="0"/>
        <c:ser>
          <c:idx val="0"/>
          <c:order val="0"/>
          <c:tx>
            <c:strRef>
              <c:f>Sheet1!$A$2</c:f>
              <c:strCache>
                <c:ptCount val="1"/>
                <c:pt idx="0">
                  <c:v>Return on Capital Employed (ROCE)</c:v>
                </c:pt>
              </c:strCache>
            </c:strRef>
          </c:tx>
          <c:spPr>
            <a:solidFill>
              <a:schemeClr val="accent1"/>
            </a:solidFill>
            <a:ln w="12700" cap="flat">
              <a:noFill/>
              <a:miter lim="400000"/>
            </a:ln>
            <a:effectLst/>
          </c:spPr>
          <c:cat>
            <c:strRef>
              <c:f>Sheet1!$B$1:$F$1</c:f>
              <c:strCache>
                <c:ptCount val="5"/>
                <c:pt idx="0">
                  <c:v>2023</c:v>
                </c:pt>
                <c:pt idx="1">
                  <c:v>2022</c:v>
                </c:pt>
                <c:pt idx="2">
                  <c:v>2021</c:v>
                </c:pt>
                <c:pt idx="3">
                  <c:v>2020</c:v>
                </c:pt>
                <c:pt idx="4">
                  <c:v>2019</c:v>
                </c:pt>
              </c:strCache>
            </c:strRef>
          </c:cat>
          <c:val>
            <c:numRef>
              <c:f>Sheet1!$B$2:$F$2</c:f>
              <c:numCache>
                <c:formatCode>General</c:formatCode>
                <c:ptCount val="5"/>
                <c:pt idx="0">
                  <c:v>13.66</c:v>
                </c:pt>
                <c:pt idx="1">
                  <c:v>27.99</c:v>
                </c:pt>
                <c:pt idx="2">
                  <c:v>14.89</c:v>
                </c:pt>
                <c:pt idx="3">
                  <c:v>9.49</c:v>
                </c:pt>
                <c:pt idx="4">
                  <c:v>17.12</c:v>
                </c:pt>
              </c:numCache>
            </c:numRef>
          </c:val>
          <c:extLst>
            <c:ext xmlns:c16="http://schemas.microsoft.com/office/drawing/2014/chart" uri="{C3380CC4-5D6E-409C-BE32-E72D297353CC}">
              <c16:uniqueId val="{00000000-F39A-45B0-B7C8-109C98398403}"/>
            </c:ext>
          </c:extLst>
        </c:ser>
        <c:dLbls>
          <c:showLegendKey val="0"/>
          <c:showVal val="0"/>
          <c:showCatName val="0"/>
          <c:showSerName val="0"/>
          <c:showPercent val="0"/>
          <c:showBubbleSize val="0"/>
        </c:dLbls>
        <c:axId val="2094734552"/>
        <c:axId val="2094734553"/>
      </c:areaChart>
      <c:catAx>
        <c:axId val="2094734552"/>
        <c:scaling>
          <c:orientation val="minMax"/>
        </c:scaling>
        <c:delete val="0"/>
        <c:axPos val="b"/>
        <c:numFmt formatCode="General" sourceLinked="0"/>
        <c:majorTickMark val="out"/>
        <c:minorTickMark val="none"/>
        <c:tickLblPos val="low"/>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12700" cap="flat">
              <a:solidFill>
                <a:srgbClr val="D9D9D9"/>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midCat"/>
        <c:majorUnit val="7"/>
        <c:minorUnit val="3.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58</Pages>
  <Words>18417</Words>
  <Characters>104983</Characters>
  <Application>Microsoft Office Word</Application>
  <DocSecurity>0</DocSecurity>
  <Lines>874</Lines>
  <Paragraphs>246</Paragraphs>
  <ScaleCrop>false</ScaleCrop>
  <Company/>
  <LinksUpToDate>false</LinksUpToDate>
  <CharactersWithSpaces>123154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Fathima Hina</cp:lastModifiedBy>
  <cp:revision>2</cp:revision>
  <dcterms:created xsi:type="dcterms:W3CDTF">2024-05-11T09:33:00Z</dcterms:created>
  <dcterms:modified xsi:type="dcterms:W3CDTF">2024-05-11T09:33:00Z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ff493c2105bb4ccfb84b2b06891e2cf0</vt:lpwstr>
  </property>
</Properties>
</file>