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1FF1C">
      <w:pPr>
        <w:spacing w:line="360" w:lineRule="auto"/>
        <w:rPr>
          <w:rFonts w:ascii="Arial" w:hAnsi="Arial" w:cs="Arial"/>
          <w:b/>
          <w:bCs/>
          <w:sz w:val="24"/>
          <w:szCs w:val="24"/>
        </w:rPr>
      </w:pPr>
      <w:r>
        <w:rPr>
          <w:rFonts w:ascii="Arial" w:hAnsi="Arial" w:cs="Arial"/>
          <w:b/>
          <w:bCs/>
          <w:sz w:val="24"/>
          <w:szCs w:val="24"/>
        </w:rPr>
        <w:t>Research Proposal</w:t>
      </w:r>
    </w:p>
    <w:p w14:paraId="4DD4A81E">
      <w:pPr>
        <w:spacing w:line="360" w:lineRule="auto"/>
        <w:rPr>
          <w:rFonts w:ascii="Arial" w:hAnsi="Arial" w:cs="Arial"/>
          <w:b/>
          <w:bCs/>
          <w:sz w:val="24"/>
          <w:szCs w:val="24"/>
        </w:rPr>
      </w:pPr>
      <w:r>
        <w:rPr>
          <w:rFonts w:ascii="Arial" w:hAnsi="Arial" w:cs="Arial"/>
          <w:b/>
          <w:bCs/>
          <w:sz w:val="24"/>
          <w:szCs w:val="24"/>
        </w:rPr>
        <w:t>Title</w:t>
      </w:r>
    </w:p>
    <w:p w14:paraId="724263A8">
      <w:pPr>
        <w:spacing w:line="360" w:lineRule="auto"/>
        <w:rPr>
          <w:rFonts w:ascii="Arial" w:hAnsi="Arial" w:cs="Arial"/>
          <w:sz w:val="24"/>
          <w:szCs w:val="24"/>
        </w:rPr>
      </w:pPr>
      <w:r>
        <w:rPr>
          <w:rFonts w:ascii="Arial" w:hAnsi="Arial" w:cs="Arial"/>
          <w:b/>
          <w:bCs/>
          <w:sz w:val="24"/>
          <w:szCs w:val="24"/>
        </w:rPr>
        <w:t>A Business Development Proposal for AI-Enabled Digital Marketing Services for UK SMEs: A Secondary Research Study of an SME-Sized Digital Marketing Agency</w:t>
      </w:r>
    </w:p>
    <w:p w14:paraId="77F61F49">
      <w:pPr>
        <w:spacing w:line="360" w:lineRule="auto"/>
        <w:rPr>
          <w:rFonts w:ascii="Arial" w:hAnsi="Arial" w:cs="Arial"/>
          <w:sz w:val="24"/>
          <w:szCs w:val="24"/>
        </w:rPr>
      </w:pPr>
    </w:p>
    <w:p w14:paraId="381B2C14">
      <w:pPr>
        <w:spacing w:line="360" w:lineRule="auto"/>
        <w:rPr>
          <w:rFonts w:ascii="Arial" w:hAnsi="Arial" w:cs="Arial"/>
          <w:b/>
          <w:bCs/>
          <w:sz w:val="24"/>
          <w:szCs w:val="24"/>
        </w:rPr>
      </w:pPr>
      <w:r>
        <w:rPr>
          <w:rFonts w:ascii="Arial" w:hAnsi="Arial" w:cs="Arial"/>
          <w:b/>
          <w:bCs/>
          <w:sz w:val="24"/>
          <w:szCs w:val="24"/>
        </w:rPr>
        <w:t>1. Introduction</w:t>
      </w:r>
    </w:p>
    <w:p w14:paraId="0576DF26">
      <w:pPr>
        <w:spacing w:line="360" w:lineRule="auto"/>
        <w:rPr>
          <w:rFonts w:ascii="Arial" w:hAnsi="Arial" w:cs="Arial"/>
          <w:sz w:val="24"/>
          <w:szCs w:val="24"/>
        </w:rPr>
      </w:pPr>
      <w:r>
        <w:rPr>
          <w:rFonts w:ascii="Arial" w:hAnsi="Arial" w:cs="Arial"/>
          <w:sz w:val="24"/>
          <w:szCs w:val="24"/>
        </w:rPr>
        <w:t>Artificial intelligence (AI) is increasingly reshaping marketing practices through enhanced data analytics, automation, personalisation, and decision-making capabilities. AI-enabled digital marketing tools now allow businesses to target customers more precisely, optimise campaigns in real time, and improve marketing efficiency (Ziakis et al., 2023). Despite these advancements, the adoption of AI-enabled digital marketing remains uneven, particularly among small and medium-sized enterprises (SMEs) in the United Kingdom.</w:t>
      </w:r>
    </w:p>
    <w:p w14:paraId="3C5B6D27">
      <w:pPr>
        <w:spacing w:line="360" w:lineRule="auto"/>
        <w:rPr>
          <w:rFonts w:ascii="Arial" w:hAnsi="Arial" w:cs="Arial"/>
          <w:sz w:val="24"/>
          <w:szCs w:val="24"/>
        </w:rPr>
      </w:pPr>
      <w:r>
        <w:rPr>
          <w:rFonts w:ascii="Arial" w:hAnsi="Arial" w:cs="Arial"/>
          <w:sz w:val="24"/>
          <w:szCs w:val="24"/>
        </w:rPr>
        <w:t>UK SMEs play a vital role in the national economy, contributing significantly to employment, innovation, and productivity (UK Government, 2025). However, research suggests that while awareness of AI technologies is increasing among SMEs, many struggle to translate this awareness into effective implementation due to limited skills, budget constraints, uncertainty regarding return on investment, and organisational readiness (Digital Catapult, 2025; British Chambers of Commerce and Intuit, 2025). As a result, SMEs often rely on external digital partners to support their digital transformation efforts.</w:t>
      </w:r>
    </w:p>
    <w:p w14:paraId="1A773B6D">
      <w:pPr>
        <w:spacing w:line="360" w:lineRule="auto"/>
        <w:rPr>
          <w:rFonts w:ascii="Arial" w:hAnsi="Arial" w:cs="Arial"/>
          <w:sz w:val="24"/>
          <w:szCs w:val="24"/>
        </w:rPr>
      </w:pPr>
      <w:r>
        <w:rPr>
          <w:rFonts w:ascii="Arial" w:hAnsi="Arial" w:cs="Arial"/>
          <w:sz w:val="24"/>
          <w:szCs w:val="24"/>
        </w:rPr>
        <w:t>Digital marketing agencies, particularly SME-sized agencies, are well positioned to act as intermediaries between AI technologies and SME clients. Unlike large multinational consultancies, SME-sized agencies often provide more affordable, flexible, and tailored services aligned with SME needs. However, there is limited academic and practitioner research examining how such agencies can strategically develop and deliver AI-enabled digital marketing services in a way that creates value for SME clients while remaining commercially viable.</w:t>
      </w:r>
    </w:p>
    <w:p w14:paraId="6B2F784C">
      <w:pPr>
        <w:spacing w:line="360" w:lineRule="auto"/>
        <w:rPr>
          <w:rFonts w:ascii="Arial" w:hAnsi="Arial" w:cs="Arial"/>
          <w:sz w:val="24"/>
          <w:szCs w:val="24"/>
        </w:rPr>
      </w:pPr>
      <w:r>
        <w:rPr>
          <w:rFonts w:ascii="Arial" w:hAnsi="Arial" w:cs="Arial"/>
          <w:sz w:val="24"/>
          <w:szCs w:val="24"/>
        </w:rPr>
        <w:t>This research therefore proposes a business development strategy for an SME-sized UK digital marketing agency seeking to expand AI-enabled marketing services for SME clients. The study adopts a secondary research approach and is grounded in established theoretical frameworks to ensure academic rigour and practical relevance.</w:t>
      </w:r>
    </w:p>
    <w:p w14:paraId="224B4F0D">
      <w:pPr>
        <w:spacing w:line="360" w:lineRule="auto"/>
        <w:rPr>
          <w:rFonts w:ascii="Arial" w:hAnsi="Arial" w:cs="Arial"/>
          <w:b/>
          <w:bCs/>
          <w:sz w:val="24"/>
          <w:szCs w:val="24"/>
        </w:rPr>
      </w:pPr>
      <w:r>
        <w:rPr>
          <w:rFonts w:ascii="Arial" w:hAnsi="Arial" w:cs="Arial"/>
          <w:b/>
          <w:bCs/>
          <w:sz w:val="24"/>
          <w:szCs w:val="24"/>
        </w:rPr>
        <w:t>2. Literature Review</w:t>
      </w:r>
    </w:p>
    <w:p w14:paraId="3E247107">
      <w:pPr>
        <w:spacing w:line="360" w:lineRule="auto"/>
        <w:rPr>
          <w:rFonts w:ascii="Arial" w:hAnsi="Arial" w:cs="Arial"/>
          <w:b/>
          <w:bCs/>
          <w:sz w:val="24"/>
          <w:szCs w:val="24"/>
        </w:rPr>
      </w:pPr>
      <w:r>
        <w:rPr>
          <w:rFonts w:ascii="Arial" w:hAnsi="Arial" w:cs="Arial"/>
          <w:b/>
          <w:bCs/>
          <w:sz w:val="24"/>
          <w:szCs w:val="24"/>
        </w:rPr>
        <w:t>2.1 AI-Enabled Digital Marketing</w:t>
      </w:r>
    </w:p>
    <w:p w14:paraId="1710E214">
      <w:pPr>
        <w:spacing w:line="360" w:lineRule="auto"/>
        <w:rPr>
          <w:rFonts w:ascii="Arial" w:hAnsi="Arial" w:cs="Arial"/>
          <w:sz w:val="24"/>
          <w:szCs w:val="24"/>
        </w:rPr>
      </w:pPr>
      <w:r>
        <w:rPr>
          <w:rFonts w:ascii="Arial" w:hAnsi="Arial" w:cs="Arial"/>
          <w:sz w:val="24"/>
          <w:szCs w:val="24"/>
        </w:rPr>
        <w:t>AI-enabled digital marketing refers to the application of artificial intelligence technologies—such as machine learning, predictive analytics, automation, and generative systems—to support and enhance marketing activities across the customer journey (Ziakis et al., 2023). These technologies enable organisations to analyse large volumes of data, identify patterns in consumer behaviour, and optimise marketing decisions in real time. As a result, AI represents a shift from traditional, reactive marketing approaches towards predictive, data-driven, and highly personalised marketing strategies.</w:t>
      </w:r>
    </w:p>
    <w:p w14:paraId="7DBDC625">
      <w:pPr>
        <w:spacing w:line="360" w:lineRule="auto"/>
        <w:rPr>
          <w:rFonts w:ascii="Arial" w:hAnsi="Arial" w:cs="Arial"/>
          <w:sz w:val="24"/>
          <w:szCs w:val="24"/>
        </w:rPr>
      </w:pPr>
      <w:r>
        <w:rPr>
          <w:rFonts w:ascii="Arial" w:hAnsi="Arial" w:cs="Arial"/>
          <w:sz w:val="24"/>
          <w:szCs w:val="24"/>
        </w:rPr>
        <w:t>Academic literature highlights several key areas in which AI enhances digital marketing performance. These include customer segmentation, personalised content delivery, automated campaign management, and advanced performance measurement (Labib, 2024). Machine learning algorithms allow marketers to move beyond static demographic segmentation towards dynamic behavioural and predictive models, improving targeting accuracy and customer engagement. Predictive analytics further supports decision-making by forecasting customer responses, campaign outcomes, and lifetime value, enabling more efficient allocation of marketing resources.</w:t>
      </w:r>
    </w:p>
    <w:p w14:paraId="74677213">
      <w:pPr>
        <w:spacing w:line="360" w:lineRule="auto"/>
        <w:rPr>
          <w:rFonts w:ascii="Arial" w:hAnsi="Arial" w:cs="Arial"/>
          <w:sz w:val="24"/>
          <w:szCs w:val="24"/>
        </w:rPr>
      </w:pPr>
      <w:r>
        <w:rPr>
          <w:rFonts w:ascii="Arial" w:hAnsi="Arial" w:cs="Arial"/>
          <w:sz w:val="24"/>
          <w:szCs w:val="24"/>
        </w:rPr>
        <w:t>Generative AI has emerged as a particularly influential development in recent years. Tools powered by generative models are increasingly used to automate content creation, customer communication, and campaign ideation (Salih, 2025). These technologies can significantly reduce time and cost associated with content production while increasing scalability. However, scholars caution that generative AI also introduces risks related to data privacy, ethical use, brand consistency, and over-reliance on automation (King, 2019; Salih, 2025). Consequently, effective AI implementation requires governance mechanisms, human oversight, and alignment with broader marketing strategy rather than isolated adoption of tools.</w:t>
      </w:r>
    </w:p>
    <w:p w14:paraId="3F902DD3">
      <w:pPr>
        <w:spacing w:line="360" w:lineRule="auto"/>
        <w:rPr>
          <w:rFonts w:ascii="Arial" w:hAnsi="Arial" w:cs="Arial"/>
          <w:sz w:val="24"/>
          <w:szCs w:val="24"/>
        </w:rPr>
      </w:pPr>
      <w:r>
        <w:rPr>
          <w:rFonts w:ascii="Arial" w:hAnsi="Arial" w:cs="Arial"/>
          <w:sz w:val="24"/>
          <w:szCs w:val="24"/>
        </w:rPr>
        <w:t>Despite the growing body of literature on AI-enabled digital marketing, much of the research focuses on technological performance or large organisational contexts (Labib, 2024). There is comparatively limited attention given to how smaller firms, particularly SMEs, can practically adopt and benefit from these technologies within their resource constraints. This limitation highlights the need for research that considers implementation challenges and intermediary support mechanisms relevant to SMEs.</w:t>
      </w:r>
    </w:p>
    <w:p w14:paraId="193AD949">
      <w:pPr>
        <w:spacing w:line="360" w:lineRule="auto"/>
        <w:rPr>
          <w:rFonts w:ascii="Arial" w:hAnsi="Arial" w:cs="Arial"/>
          <w:sz w:val="24"/>
          <w:szCs w:val="24"/>
        </w:rPr>
      </w:pPr>
    </w:p>
    <w:p w14:paraId="01AE9300">
      <w:pPr>
        <w:spacing w:line="360" w:lineRule="auto"/>
        <w:rPr>
          <w:rFonts w:ascii="Arial" w:hAnsi="Arial" w:cs="Arial"/>
          <w:b/>
          <w:bCs/>
          <w:sz w:val="24"/>
          <w:szCs w:val="24"/>
        </w:rPr>
      </w:pPr>
      <w:r>
        <w:rPr>
          <w:rFonts w:ascii="Arial" w:hAnsi="Arial" w:cs="Arial"/>
          <w:b/>
          <w:bCs/>
          <w:sz w:val="24"/>
          <w:szCs w:val="24"/>
        </w:rPr>
        <w:t>2.2 AI Adoption in SMEs</w:t>
      </w:r>
    </w:p>
    <w:p w14:paraId="214A136F">
      <w:pPr>
        <w:spacing w:line="360" w:lineRule="auto"/>
        <w:rPr>
          <w:rFonts w:ascii="Arial" w:hAnsi="Arial" w:cs="Arial"/>
          <w:sz w:val="24"/>
          <w:szCs w:val="24"/>
        </w:rPr>
      </w:pPr>
      <w:r>
        <w:rPr>
          <w:rFonts w:ascii="Arial" w:hAnsi="Arial" w:cs="Arial"/>
          <w:sz w:val="24"/>
          <w:szCs w:val="24"/>
        </w:rPr>
        <w:t>Research consistently demonstrates that SMEs face distinct challenges in adopting advanced technologies such as AI. Compared to larger organisations, SMEs often operate with limited financial resources, reduced access to specialised skills, and lower levels of technological readiness (Schwaeke, 2025). These constraints can limit their ability to invest in AI infrastructure, manage data effectively, or recruit expertise required for successful implementation.</w:t>
      </w:r>
    </w:p>
    <w:p w14:paraId="31D85827">
      <w:pPr>
        <w:spacing w:line="360" w:lineRule="auto"/>
        <w:rPr>
          <w:rFonts w:ascii="Arial" w:hAnsi="Arial" w:cs="Arial"/>
          <w:sz w:val="24"/>
          <w:szCs w:val="24"/>
        </w:rPr>
      </w:pPr>
      <w:r>
        <w:rPr>
          <w:rFonts w:ascii="Arial" w:hAnsi="Arial" w:cs="Arial"/>
          <w:sz w:val="24"/>
          <w:szCs w:val="24"/>
        </w:rPr>
        <w:t>Innovation adoption literature suggests that adoption decisions are influenced by a combination of technological, organisational, and environmental factors (Tornatzky and Fleischer, 1990). From a technological perspective, AI systems are often perceived as complex and difficult to integrate with existing processes. Organisationally, SMEs may lack strategic clarity, managerial support, or digital capabilities. Environmentally, competitive pressure, regulatory requirements, and customer expectations can both encourage and constrain adoption.</w:t>
      </w:r>
    </w:p>
    <w:p w14:paraId="53BA9DF1">
      <w:pPr>
        <w:spacing w:line="360" w:lineRule="auto"/>
        <w:rPr>
          <w:rFonts w:ascii="Arial" w:hAnsi="Arial" w:cs="Arial"/>
          <w:sz w:val="24"/>
          <w:szCs w:val="24"/>
        </w:rPr>
      </w:pPr>
      <w:r>
        <w:rPr>
          <w:rFonts w:ascii="Arial" w:hAnsi="Arial" w:cs="Arial"/>
          <w:sz w:val="24"/>
          <w:szCs w:val="24"/>
        </w:rPr>
        <w:t>UK-specific studies indicate that SMEs are increasingly aware of AI-enabled solutions and recognise their potential value (Digital Catapult, 2025). However, adoption remains cautious, with many SMEs engaging only in experimental or limited use cases rather than strategic integration. Uncertainty regarding return on investment, implementation costs, and operational risk continues to act as a barrier (British Chambers of Commerce and Intuit, 2025). As a result, SMEs often prefer external support from trusted partners rather than developing in-house AI capabilities.</w:t>
      </w:r>
    </w:p>
    <w:p w14:paraId="394A1538">
      <w:pPr>
        <w:spacing w:line="360" w:lineRule="auto"/>
        <w:rPr>
          <w:rFonts w:ascii="Arial" w:hAnsi="Arial" w:cs="Arial"/>
          <w:sz w:val="24"/>
          <w:szCs w:val="24"/>
        </w:rPr>
      </w:pPr>
      <w:r>
        <w:rPr>
          <w:rFonts w:ascii="Arial" w:hAnsi="Arial" w:cs="Arial"/>
          <w:sz w:val="24"/>
          <w:szCs w:val="24"/>
        </w:rPr>
        <w:t>This reliance on external expertise highlights the importance of intermediary organisations in facilitating AI adoption among SMEs. Digital marketing agencies, in particular, can reduce adoption barriers by translating complex technologies into accessible services aligned with SME needs. However, limited research examines how these agencies can strategically structure and deliver such services in the UK context.</w:t>
      </w:r>
    </w:p>
    <w:p w14:paraId="6A1CEA0C">
      <w:pPr>
        <w:spacing w:line="360" w:lineRule="auto"/>
        <w:rPr>
          <w:rFonts w:ascii="Arial" w:hAnsi="Arial" w:cs="Arial"/>
          <w:sz w:val="24"/>
          <w:szCs w:val="24"/>
        </w:rPr>
      </w:pPr>
    </w:p>
    <w:p w14:paraId="724BACFE">
      <w:pPr>
        <w:spacing w:line="360" w:lineRule="auto"/>
        <w:rPr>
          <w:rFonts w:ascii="Arial" w:hAnsi="Arial" w:cs="Arial"/>
          <w:b/>
          <w:bCs/>
          <w:sz w:val="24"/>
          <w:szCs w:val="24"/>
        </w:rPr>
      </w:pPr>
      <w:r>
        <w:rPr>
          <w:rFonts w:ascii="Arial" w:hAnsi="Arial" w:cs="Arial"/>
          <w:b/>
          <w:bCs/>
          <w:sz w:val="24"/>
          <w:szCs w:val="24"/>
        </w:rPr>
        <w:t>2.3 Role of Digital Marketing Agencies</w:t>
      </w:r>
    </w:p>
    <w:p w14:paraId="5C3875EC">
      <w:pPr>
        <w:spacing w:line="360" w:lineRule="auto"/>
        <w:rPr>
          <w:rFonts w:ascii="Arial" w:hAnsi="Arial" w:cs="Arial"/>
          <w:sz w:val="24"/>
          <w:szCs w:val="24"/>
        </w:rPr>
      </w:pPr>
      <w:r>
        <w:rPr>
          <w:rFonts w:ascii="Arial" w:hAnsi="Arial" w:cs="Arial"/>
          <w:sz w:val="24"/>
          <w:szCs w:val="24"/>
        </w:rPr>
        <w:t>Digital marketing agencies play a central role in enabling organisations to adopt new technologies by combining strategic insight, technical expertise, and operational execution. Chaffey and Ellis-Chadwick (2022) argue that agencies increasingly compete based on their ability to integrate marketing strategy, digital technologies, and performance measurement to deliver measurable value for clients.</w:t>
      </w:r>
    </w:p>
    <w:p w14:paraId="7D10BD11">
      <w:pPr>
        <w:spacing w:line="360" w:lineRule="auto"/>
        <w:rPr>
          <w:rFonts w:ascii="Arial" w:hAnsi="Arial" w:cs="Arial"/>
          <w:sz w:val="24"/>
          <w:szCs w:val="24"/>
        </w:rPr>
      </w:pPr>
      <w:r>
        <w:rPr>
          <w:rFonts w:ascii="Arial" w:hAnsi="Arial" w:cs="Arial"/>
          <w:sz w:val="24"/>
          <w:szCs w:val="24"/>
        </w:rPr>
        <w:t>In the context of AI-enabled digital marketing, agencies can act as intermediaries that bridge the gap between technology providers and SME clients. They can support SMEs by selecting appropriate tools, managing data-driven campaigns, and providing strategic guidance that would otherwise be inaccessible due to internal resource limitations. For SMEs, outsourcing AI-enabled marketing activities to agencies reduces risk and lowers the need for upfront investment in skills and infrastructure.</w:t>
      </w:r>
    </w:p>
    <w:p w14:paraId="06322952">
      <w:pPr>
        <w:spacing w:line="360" w:lineRule="auto"/>
        <w:rPr>
          <w:rFonts w:ascii="Arial" w:hAnsi="Arial" w:cs="Arial"/>
          <w:sz w:val="24"/>
          <w:szCs w:val="24"/>
        </w:rPr>
      </w:pPr>
      <w:r>
        <w:rPr>
          <w:rFonts w:ascii="Arial" w:hAnsi="Arial" w:cs="Arial"/>
          <w:sz w:val="24"/>
          <w:szCs w:val="24"/>
        </w:rPr>
        <w:t>However, practitioner literature suggests that many agencies struggle to articulate clear value propositions for AI-enabled services (King, 2019). AI is often promoted as a generic capability rather than as a set of clearly defined services linked to client outcomes. This lack of clarity around service design, pricing logic, and performance measurement may reduce client trust, particularly among SMEs that are risk-averse and cost-sensitive.</w:t>
      </w:r>
    </w:p>
    <w:p w14:paraId="4D67D0E2">
      <w:pPr>
        <w:spacing w:line="360" w:lineRule="auto"/>
        <w:rPr>
          <w:rFonts w:ascii="Arial" w:hAnsi="Arial" w:cs="Arial"/>
          <w:sz w:val="24"/>
          <w:szCs w:val="24"/>
        </w:rPr>
      </w:pPr>
      <w:r>
        <w:rPr>
          <w:rFonts w:ascii="Arial" w:hAnsi="Arial" w:cs="Arial"/>
          <w:sz w:val="24"/>
          <w:szCs w:val="24"/>
        </w:rPr>
        <w:t>This highlights the need for research that explores how SME-sized digital marketing agencies can design AI-enabled services that are both strategically coherent and commercially viable, while clearly demonstrating value to SME clients.</w:t>
      </w:r>
    </w:p>
    <w:p w14:paraId="22C53A61">
      <w:pPr>
        <w:spacing w:line="360" w:lineRule="auto"/>
        <w:rPr>
          <w:rFonts w:ascii="Arial" w:hAnsi="Arial" w:cs="Arial"/>
          <w:sz w:val="24"/>
          <w:szCs w:val="24"/>
        </w:rPr>
      </w:pPr>
    </w:p>
    <w:p w14:paraId="45C3C780">
      <w:pPr>
        <w:spacing w:line="360" w:lineRule="auto"/>
        <w:rPr>
          <w:rFonts w:ascii="Arial" w:hAnsi="Arial" w:cs="Arial"/>
          <w:b/>
          <w:bCs/>
          <w:sz w:val="24"/>
          <w:szCs w:val="24"/>
        </w:rPr>
      </w:pPr>
      <w:r>
        <w:rPr>
          <w:rFonts w:ascii="Arial" w:hAnsi="Arial" w:cs="Arial"/>
          <w:b/>
          <w:bCs/>
          <w:sz w:val="24"/>
          <w:szCs w:val="24"/>
        </w:rPr>
        <w:t>2.4 Theoretical Framework</w:t>
      </w:r>
    </w:p>
    <w:p w14:paraId="02C95823">
      <w:pPr>
        <w:spacing w:line="360" w:lineRule="auto"/>
        <w:rPr>
          <w:rFonts w:ascii="Arial" w:hAnsi="Arial" w:cs="Arial"/>
          <w:sz w:val="24"/>
          <w:szCs w:val="24"/>
        </w:rPr>
      </w:pPr>
      <w:r>
        <w:rPr>
          <w:rFonts w:ascii="Arial" w:hAnsi="Arial" w:cs="Arial"/>
          <w:sz w:val="24"/>
          <w:szCs w:val="24"/>
        </w:rPr>
        <w:t>This study is guided by two complementary theoretical perspectives that together support the analysis of both technology adoption challenges and the development of a practical business strategy: the Technology–Organisation–Environment (TOE) framework and the value proposition perspective. The combined use of these frameworks enables the research to link theory-driven understanding of SME adoption behaviour with applied business development decision-making.</w:t>
      </w:r>
    </w:p>
    <w:p w14:paraId="0146FA01">
      <w:pPr>
        <w:spacing w:line="360" w:lineRule="auto"/>
        <w:rPr>
          <w:rFonts w:ascii="Arial" w:hAnsi="Arial" w:cs="Arial"/>
          <w:b/>
          <w:bCs/>
          <w:sz w:val="24"/>
          <w:szCs w:val="24"/>
        </w:rPr>
      </w:pPr>
      <w:r>
        <w:rPr>
          <w:rFonts w:ascii="Arial" w:hAnsi="Arial" w:cs="Arial"/>
          <w:b/>
          <w:bCs/>
          <w:sz w:val="24"/>
          <w:szCs w:val="24"/>
        </w:rPr>
        <w:t>Technology–Organisation–Environment (TOE) Framework</w:t>
      </w:r>
    </w:p>
    <w:p w14:paraId="1AF1B031">
      <w:pPr>
        <w:spacing w:line="360" w:lineRule="auto"/>
        <w:rPr>
          <w:rFonts w:ascii="Arial" w:hAnsi="Arial" w:cs="Arial"/>
          <w:sz w:val="24"/>
          <w:szCs w:val="24"/>
        </w:rPr>
      </w:pPr>
      <w:r>
        <w:rPr>
          <w:rFonts w:ascii="Arial" w:hAnsi="Arial" w:cs="Arial"/>
          <w:sz w:val="24"/>
          <w:szCs w:val="24"/>
        </w:rPr>
        <w:t>The Technology–Organisation–Environment (TOE) framework explains organisational adoption of new technologies by examining three contextual dimensions: technological, organisational, and environmental factors (Tornatzky and Fleischer, 1990). Within the technological context, adoption decisions are influenced by factors such as perceived complexity, compatibility with existing systems, and the relative advantage of the technology. In the case of AI-enabled digital marketing, SMEs may perceive AI tools as complex, opaque, or difficult to integrate into existing marketing practices.</w:t>
      </w:r>
    </w:p>
    <w:p w14:paraId="4500F846">
      <w:pPr>
        <w:spacing w:line="360" w:lineRule="auto"/>
        <w:rPr>
          <w:rFonts w:ascii="Arial" w:hAnsi="Arial" w:cs="Arial"/>
          <w:sz w:val="24"/>
          <w:szCs w:val="24"/>
        </w:rPr>
      </w:pPr>
      <w:r>
        <w:rPr>
          <w:rFonts w:ascii="Arial" w:hAnsi="Arial" w:cs="Arial"/>
          <w:sz w:val="24"/>
          <w:szCs w:val="24"/>
        </w:rPr>
        <w:t>The organisational context refers to internal characteristics of the firm, including size, financial resources, skills, managerial support, and organisational readiness. SMEs often face limitations in specialist expertise, data management capabilities, and strategic planning capacity, which can hinder effective AI adoption. Managerial attitudes and risk tolerance also play a critical role in determining whether new technologies are adopted or resisted.</w:t>
      </w:r>
    </w:p>
    <w:p w14:paraId="51417021">
      <w:pPr>
        <w:spacing w:line="360" w:lineRule="auto"/>
        <w:rPr>
          <w:rFonts w:ascii="Arial" w:hAnsi="Arial" w:cs="Arial"/>
          <w:sz w:val="24"/>
          <w:szCs w:val="24"/>
        </w:rPr>
      </w:pPr>
      <w:r>
        <w:rPr>
          <w:rFonts w:ascii="Arial" w:hAnsi="Arial" w:cs="Arial"/>
          <w:sz w:val="24"/>
          <w:szCs w:val="24"/>
        </w:rPr>
        <w:t>The environmental context includes external pressures such as competitive intensity, customer expectations, industry norms, and regulatory requirements. Increasing competition, digital customer behaviour, and expectations for personalised marketing may encourage SMEs to adopt AI-enabled solutions. At the same time, regulatory uncertainty and data protection concerns may act as constraints.</w:t>
      </w:r>
    </w:p>
    <w:p w14:paraId="56778A4A">
      <w:pPr>
        <w:spacing w:line="360" w:lineRule="auto"/>
        <w:rPr>
          <w:rFonts w:ascii="Arial" w:hAnsi="Arial" w:cs="Arial"/>
          <w:sz w:val="24"/>
          <w:szCs w:val="24"/>
        </w:rPr>
      </w:pPr>
      <w:r>
        <w:rPr>
          <w:rFonts w:ascii="Arial" w:hAnsi="Arial" w:cs="Arial"/>
          <w:sz w:val="24"/>
          <w:szCs w:val="24"/>
        </w:rPr>
        <w:t>The TOE framework is particularly suitable for analysing AI adoption among UK SMEs because it captures both internal and external constraints influencing adoption decisions. Applying this framework enables a structured analysis of the barriers and enablers affecting SME uptake of AI-enabled digital marketing services and provides a theoretical foundation for identifying where agency-led support can add value.</w:t>
      </w:r>
    </w:p>
    <w:p w14:paraId="43010CBA">
      <w:pPr>
        <w:spacing w:line="360" w:lineRule="auto"/>
        <w:rPr>
          <w:rFonts w:ascii="Arial" w:hAnsi="Arial" w:cs="Arial"/>
          <w:b/>
          <w:bCs/>
          <w:sz w:val="24"/>
          <w:szCs w:val="24"/>
        </w:rPr>
      </w:pPr>
      <w:r>
        <w:rPr>
          <w:rFonts w:ascii="Arial" w:hAnsi="Arial" w:cs="Arial"/>
          <w:b/>
          <w:bCs/>
          <w:sz w:val="24"/>
          <w:szCs w:val="24"/>
        </w:rPr>
        <w:t>Value Proposition Perspective</w:t>
      </w:r>
    </w:p>
    <w:p w14:paraId="1A521F3A">
      <w:pPr>
        <w:spacing w:line="360" w:lineRule="auto"/>
        <w:rPr>
          <w:rFonts w:ascii="Arial" w:hAnsi="Arial" w:cs="Arial"/>
          <w:sz w:val="24"/>
          <w:szCs w:val="24"/>
        </w:rPr>
      </w:pPr>
      <w:r>
        <w:rPr>
          <w:rFonts w:ascii="Arial" w:hAnsi="Arial" w:cs="Arial"/>
          <w:sz w:val="24"/>
          <w:szCs w:val="24"/>
        </w:rPr>
        <w:t>The value proposition perspective focuses on creating alignment between customer needs and service offerings by identifying customer jobs, pains, and gains (Kotler et al., 2021). In the context of this research, SME clients seek to improve marketing performance, efficiency, and customer engagement but face challenges related to cost, complexity, and risk when adopting AI-enabled solutions.</w:t>
      </w:r>
    </w:p>
    <w:p w14:paraId="5B84BDE0">
      <w:pPr>
        <w:spacing w:line="360" w:lineRule="auto"/>
        <w:rPr>
          <w:rFonts w:ascii="Arial" w:hAnsi="Arial" w:cs="Arial"/>
          <w:sz w:val="24"/>
          <w:szCs w:val="24"/>
        </w:rPr>
      </w:pPr>
      <w:r>
        <w:rPr>
          <w:rFonts w:ascii="Arial" w:hAnsi="Arial" w:cs="Arial"/>
          <w:sz w:val="24"/>
          <w:szCs w:val="24"/>
        </w:rPr>
        <w:t>Applying a value proposition lens supports the design of AI-enabled marketing services that directly address SME challenges while creating measurable value. For example, agencies can reduce perceived complexity by packaging AI tools into managed services, mitigate risk through transparent pricing and performance metrics, and demonstrate value through clear KPIs.</w:t>
      </w:r>
    </w:p>
    <w:p w14:paraId="0E7510FF">
      <w:pPr>
        <w:spacing w:line="360" w:lineRule="auto"/>
        <w:rPr>
          <w:rFonts w:ascii="Arial" w:hAnsi="Arial" w:cs="Arial"/>
          <w:sz w:val="24"/>
          <w:szCs w:val="24"/>
        </w:rPr>
      </w:pPr>
      <w:r>
        <w:rPr>
          <w:rFonts w:ascii="Arial" w:hAnsi="Arial" w:cs="Arial"/>
          <w:sz w:val="24"/>
          <w:szCs w:val="24"/>
        </w:rPr>
        <w:t>By integrating the TOE framework with a value proposition perspective, this research links adoption theory with practical business development strategy. This integration ensures that recommendations are both theoretically grounded and managerially relevant, supporting the development of feasible and value-driven AI-enabled services for SMEs.</w:t>
      </w:r>
    </w:p>
    <w:p w14:paraId="3C19B937">
      <w:pPr>
        <w:spacing w:line="360" w:lineRule="auto"/>
        <w:rPr>
          <w:rFonts w:ascii="Arial" w:hAnsi="Arial" w:cs="Arial"/>
          <w:b/>
          <w:bCs/>
          <w:sz w:val="24"/>
          <w:szCs w:val="24"/>
        </w:rPr>
      </w:pPr>
      <w:bookmarkStart w:id="0" w:name="_GoBack"/>
      <w:bookmarkEnd w:id="0"/>
    </w:p>
    <w:p w14:paraId="41E33DC2">
      <w:pPr>
        <w:spacing w:line="360" w:lineRule="auto"/>
        <w:rPr>
          <w:rFonts w:ascii="Arial" w:hAnsi="Arial" w:cs="Arial"/>
          <w:b/>
          <w:bCs/>
          <w:sz w:val="24"/>
          <w:szCs w:val="24"/>
        </w:rPr>
      </w:pPr>
      <w:r>
        <w:rPr>
          <w:rFonts w:ascii="Arial" w:hAnsi="Arial" w:cs="Arial"/>
          <w:b/>
          <w:bCs/>
          <w:sz w:val="24"/>
          <w:szCs w:val="24"/>
        </w:rPr>
        <w:t>2.5 Research Gap</w:t>
      </w:r>
    </w:p>
    <w:p w14:paraId="45C51FF5">
      <w:pPr>
        <w:spacing w:line="360" w:lineRule="auto"/>
        <w:rPr>
          <w:rFonts w:ascii="Arial" w:hAnsi="Arial" w:cs="Arial"/>
          <w:sz w:val="24"/>
          <w:szCs w:val="24"/>
        </w:rPr>
      </w:pPr>
      <w:r>
        <w:rPr>
          <w:rFonts w:ascii="Arial" w:hAnsi="Arial" w:cs="Arial"/>
          <w:sz w:val="24"/>
          <w:szCs w:val="24"/>
        </w:rPr>
        <w:t>Although existing literature provides extensive discussion of AI applications in digital marketing and identifies key barriers to SME adoption, there is limited UK-focused research examining how SME-sized digital marketing agencies can strategically design and deliver AI-enabled services for SME clients. Much of the existing research concentrates on large organisations, technology vendors, or high-level adoption trends, with limited attention to intermediary organisations such as agencies.</w:t>
      </w:r>
    </w:p>
    <w:p w14:paraId="3667C3BC">
      <w:pPr>
        <w:spacing w:line="360" w:lineRule="auto"/>
        <w:rPr>
          <w:rFonts w:ascii="Arial" w:hAnsi="Arial" w:cs="Arial"/>
          <w:sz w:val="24"/>
          <w:szCs w:val="24"/>
        </w:rPr>
      </w:pPr>
      <w:r>
        <w:rPr>
          <w:rFonts w:ascii="Arial" w:hAnsi="Arial" w:cs="Arial"/>
          <w:sz w:val="24"/>
          <w:szCs w:val="24"/>
        </w:rPr>
        <w:t>In particular, there is a lack of empirical and conceptual work addressing service design, pricing logic, capability requirements, governance, and performance measurement within an SME agency context. This represents a significant gap, given the central role agencies play in supporting SME digital transformation. This study addresses this gap by integrating adoption theory with business development strategy to propose a practical, evidence-based solution tailored to the UK SME market.</w:t>
      </w:r>
    </w:p>
    <w:p w14:paraId="45CCD2F2">
      <w:pPr>
        <w:spacing w:line="360" w:lineRule="auto"/>
        <w:rPr>
          <w:rFonts w:ascii="Arial" w:hAnsi="Arial" w:cs="Arial"/>
          <w:b/>
          <w:bCs/>
          <w:sz w:val="24"/>
          <w:szCs w:val="24"/>
        </w:rPr>
      </w:pPr>
    </w:p>
    <w:p w14:paraId="5DC56AF9">
      <w:pPr>
        <w:spacing w:line="360" w:lineRule="auto"/>
        <w:rPr>
          <w:rFonts w:ascii="Arial" w:hAnsi="Arial" w:cs="Arial"/>
          <w:b/>
          <w:bCs/>
          <w:sz w:val="24"/>
          <w:szCs w:val="24"/>
        </w:rPr>
      </w:pPr>
      <w:r>
        <w:rPr>
          <w:rFonts w:ascii="Arial" w:hAnsi="Arial" w:cs="Arial"/>
          <w:b/>
          <w:bCs/>
          <w:sz w:val="24"/>
          <w:szCs w:val="24"/>
        </w:rPr>
        <w:t>3. Research Aim, Objectives, and Questions</w:t>
      </w:r>
    </w:p>
    <w:p w14:paraId="79A5C339">
      <w:pPr>
        <w:spacing w:line="360" w:lineRule="auto"/>
        <w:rPr>
          <w:rFonts w:ascii="Arial" w:hAnsi="Arial" w:cs="Arial"/>
          <w:b/>
          <w:bCs/>
          <w:sz w:val="24"/>
          <w:szCs w:val="24"/>
        </w:rPr>
      </w:pPr>
      <w:r>
        <w:rPr>
          <w:rFonts w:ascii="Arial" w:hAnsi="Arial" w:cs="Arial"/>
          <w:b/>
          <w:bCs/>
          <w:sz w:val="24"/>
          <w:szCs w:val="24"/>
        </w:rPr>
        <w:t>Aim</w:t>
      </w:r>
    </w:p>
    <w:p w14:paraId="673F49B5">
      <w:pPr>
        <w:spacing w:line="360" w:lineRule="auto"/>
        <w:rPr>
          <w:rFonts w:ascii="Arial" w:hAnsi="Arial" w:cs="Arial"/>
          <w:sz w:val="24"/>
          <w:szCs w:val="24"/>
        </w:rPr>
      </w:pPr>
      <w:r>
        <w:rPr>
          <w:rFonts w:ascii="Arial" w:hAnsi="Arial" w:cs="Arial"/>
          <w:sz w:val="24"/>
          <w:szCs w:val="24"/>
        </w:rPr>
        <w:t>The aim of this research is to develop a business development proposal for an SME-sized UK digital marketing agency to deliver AI-enabled digital marketing services to UK SMEs using secondary research.</w:t>
      </w:r>
    </w:p>
    <w:p w14:paraId="01FB8318">
      <w:pPr>
        <w:spacing w:line="360" w:lineRule="auto"/>
        <w:rPr>
          <w:rFonts w:ascii="Arial" w:hAnsi="Arial" w:cs="Arial"/>
          <w:b/>
          <w:bCs/>
          <w:sz w:val="24"/>
          <w:szCs w:val="24"/>
        </w:rPr>
      </w:pPr>
      <w:r>
        <w:rPr>
          <w:rFonts w:ascii="Arial" w:hAnsi="Arial" w:cs="Arial"/>
          <w:b/>
          <w:bCs/>
          <w:sz w:val="24"/>
          <w:szCs w:val="24"/>
        </w:rPr>
        <w:t>Objectives</w:t>
      </w:r>
    </w:p>
    <w:p w14:paraId="28E0D722">
      <w:pPr>
        <w:numPr>
          <w:ilvl w:val="0"/>
          <w:numId w:val="1"/>
        </w:numPr>
        <w:spacing w:line="360" w:lineRule="auto"/>
        <w:rPr>
          <w:rFonts w:ascii="Arial" w:hAnsi="Arial" w:cs="Arial"/>
          <w:sz w:val="24"/>
          <w:szCs w:val="24"/>
        </w:rPr>
      </w:pPr>
      <w:r>
        <w:rPr>
          <w:rFonts w:ascii="Arial" w:hAnsi="Arial" w:cs="Arial"/>
          <w:sz w:val="24"/>
          <w:szCs w:val="24"/>
        </w:rPr>
        <w:t>To critically review academic and practitioner literature on AI-enabled digital marketing and SME adoption.</w:t>
      </w:r>
    </w:p>
    <w:p w14:paraId="54A9FBA9">
      <w:pPr>
        <w:numPr>
          <w:ilvl w:val="0"/>
          <w:numId w:val="1"/>
        </w:numPr>
        <w:spacing w:line="360" w:lineRule="auto"/>
        <w:rPr>
          <w:rFonts w:ascii="Arial" w:hAnsi="Arial" w:cs="Arial"/>
          <w:sz w:val="24"/>
          <w:szCs w:val="24"/>
        </w:rPr>
      </w:pPr>
      <w:r>
        <w:rPr>
          <w:rFonts w:ascii="Arial" w:hAnsi="Arial" w:cs="Arial"/>
          <w:sz w:val="24"/>
          <w:szCs w:val="24"/>
        </w:rPr>
        <w:t>To analyse barriers and enablers influencing AI adoption among UK SMEs using the Technology–Organisation–Environment framework.</w:t>
      </w:r>
    </w:p>
    <w:p w14:paraId="182857BE">
      <w:pPr>
        <w:numPr>
          <w:ilvl w:val="0"/>
          <w:numId w:val="1"/>
        </w:numPr>
        <w:spacing w:line="360" w:lineRule="auto"/>
        <w:rPr>
          <w:rFonts w:ascii="Arial" w:hAnsi="Arial" w:cs="Arial"/>
          <w:sz w:val="24"/>
          <w:szCs w:val="24"/>
        </w:rPr>
      </w:pPr>
      <w:r>
        <w:rPr>
          <w:rFonts w:ascii="Arial" w:hAnsi="Arial" w:cs="Arial"/>
          <w:sz w:val="24"/>
          <w:szCs w:val="24"/>
        </w:rPr>
        <w:t>To evaluate AI-enabled service offerings of SME-sized UK digital marketing agencies using secondary data.</w:t>
      </w:r>
    </w:p>
    <w:p w14:paraId="5EBAC33A">
      <w:pPr>
        <w:numPr>
          <w:ilvl w:val="0"/>
          <w:numId w:val="1"/>
        </w:numPr>
        <w:spacing w:line="360" w:lineRule="auto"/>
        <w:rPr>
          <w:rFonts w:ascii="Arial" w:hAnsi="Arial" w:cs="Arial"/>
          <w:sz w:val="24"/>
          <w:szCs w:val="24"/>
        </w:rPr>
      </w:pPr>
      <w:r>
        <w:rPr>
          <w:rFonts w:ascii="Arial" w:hAnsi="Arial" w:cs="Arial"/>
          <w:sz w:val="24"/>
          <w:szCs w:val="24"/>
        </w:rPr>
        <w:t>To design a feasible business development proposal informed by value proposition principles.</w:t>
      </w:r>
    </w:p>
    <w:p w14:paraId="3DE0728B">
      <w:pPr>
        <w:spacing w:line="360" w:lineRule="auto"/>
        <w:rPr>
          <w:rFonts w:ascii="Arial" w:hAnsi="Arial" w:cs="Arial"/>
          <w:b/>
          <w:bCs/>
          <w:sz w:val="24"/>
          <w:szCs w:val="24"/>
        </w:rPr>
      </w:pPr>
      <w:r>
        <w:rPr>
          <w:rFonts w:ascii="Arial" w:hAnsi="Arial" w:cs="Arial"/>
          <w:b/>
          <w:bCs/>
          <w:sz w:val="24"/>
          <w:szCs w:val="24"/>
        </w:rPr>
        <w:t>Research Questions</w:t>
      </w:r>
    </w:p>
    <w:p w14:paraId="66971C9B">
      <w:pPr>
        <w:numPr>
          <w:ilvl w:val="0"/>
          <w:numId w:val="2"/>
        </w:numPr>
        <w:spacing w:line="360" w:lineRule="auto"/>
        <w:rPr>
          <w:rFonts w:ascii="Arial" w:hAnsi="Arial" w:cs="Arial"/>
          <w:sz w:val="24"/>
          <w:szCs w:val="24"/>
        </w:rPr>
      </w:pPr>
      <w:r>
        <w:rPr>
          <w:rFonts w:ascii="Arial" w:hAnsi="Arial" w:cs="Arial"/>
          <w:sz w:val="24"/>
          <w:szCs w:val="24"/>
        </w:rPr>
        <w:t>What barriers and enablers influence AI-enabled digital marketing adoption among UK SMEs?</w:t>
      </w:r>
    </w:p>
    <w:p w14:paraId="4E31458B">
      <w:pPr>
        <w:numPr>
          <w:ilvl w:val="0"/>
          <w:numId w:val="2"/>
        </w:numPr>
        <w:spacing w:line="360" w:lineRule="auto"/>
        <w:rPr>
          <w:rFonts w:ascii="Arial" w:hAnsi="Arial" w:cs="Arial"/>
          <w:sz w:val="24"/>
          <w:szCs w:val="24"/>
        </w:rPr>
      </w:pPr>
      <w:r>
        <w:rPr>
          <w:rFonts w:ascii="Arial" w:hAnsi="Arial" w:cs="Arial"/>
          <w:sz w:val="24"/>
          <w:szCs w:val="24"/>
        </w:rPr>
        <w:t>How are AI-enabled digital marketing services currently positioned by SME-sized UK agencies?</w:t>
      </w:r>
    </w:p>
    <w:p w14:paraId="5345BA2A">
      <w:pPr>
        <w:numPr>
          <w:ilvl w:val="0"/>
          <w:numId w:val="2"/>
        </w:numPr>
        <w:spacing w:line="360" w:lineRule="auto"/>
        <w:rPr>
          <w:rFonts w:ascii="Arial" w:hAnsi="Arial" w:cs="Arial"/>
          <w:sz w:val="24"/>
          <w:szCs w:val="24"/>
        </w:rPr>
      </w:pPr>
      <w:r>
        <w:rPr>
          <w:rFonts w:ascii="Arial" w:hAnsi="Arial" w:cs="Arial"/>
          <w:sz w:val="24"/>
          <w:szCs w:val="24"/>
        </w:rPr>
        <w:t>How can an SME-sized UK digital marketing agency design and deliver AI-enabled services that create value for SME clients?</w:t>
      </w:r>
    </w:p>
    <w:p w14:paraId="3503C0D7">
      <w:pPr>
        <w:spacing w:line="360" w:lineRule="auto"/>
        <w:rPr>
          <w:rFonts w:ascii="Arial" w:hAnsi="Arial" w:cs="Arial"/>
          <w:b/>
          <w:bCs/>
          <w:sz w:val="24"/>
          <w:szCs w:val="24"/>
        </w:rPr>
      </w:pPr>
    </w:p>
    <w:p w14:paraId="6C09BAF0">
      <w:pPr>
        <w:spacing w:line="360" w:lineRule="auto"/>
        <w:rPr>
          <w:rFonts w:ascii="Arial" w:hAnsi="Arial" w:cs="Arial"/>
          <w:b/>
          <w:bCs/>
          <w:sz w:val="24"/>
          <w:szCs w:val="24"/>
        </w:rPr>
      </w:pPr>
      <w:r>
        <w:rPr>
          <w:rFonts w:ascii="Arial" w:hAnsi="Arial" w:cs="Arial"/>
          <w:b/>
          <w:bCs/>
          <w:sz w:val="24"/>
          <w:szCs w:val="24"/>
        </w:rPr>
        <w:t>4. Methodology</w:t>
      </w:r>
    </w:p>
    <w:p w14:paraId="4C558A4A">
      <w:pPr>
        <w:spacing w:line="360" w:lineRule="auto"/>
        <w:rPr>
          <w:rFonts w:ascii="Arial" w:hAnsi="Arial" w:cs="Arial"/>
          <w:b/>
          <w:bCs/>
          <w:sz w:val="24"/>
          <w:szCs w:val="24"/>
        </w:rPr>
      </w:pPr>
      <w:r>
        <w:rPr>
          <w:rFonts w:ascii="Arial" w:hAnsi="Arial" w:cs="Arial"/>
          <w:b/>
          <w:bCs/>
          <w:sz w:val="24"/>
          <w:szCs w:val="24"/>
        </w:rPr>
        <w:t>4.1 Research Design</w:t>
      </w:r>
    </w:p>
    <w:p w14:paraId="08A71187">
      <w:pPr>
        <w:spacing w:line="360" w:lineRule="auto"/>
        <w:rPr>
          <w:rFonts w:ascii="Arial" w:hAnsi="Arial" w:cs="Arial"/>
          <w:sz w:val="24"/>
          <w:szCs w:val="24"/>
        </w:rPr>
      </w:pPr>
      <w:r>
        <w:rPr>
          <w:rFonts w:ascii="Arial" w:hAnsi="Arial" w:cs="Arial"/>
          <w:sz w:val="24"/>
          <w:szCs w:val="24"/>
        </w:rPr>
        <w:t>This research adopts a qualitative, exploratory design based entirely on secondary data analysis. This design is appropriate for examining an emerging phenomenon where sufficient published data exists and where primary data collection is not required to meet the research objectives. A qualitative approach allows for in-depth interpretation of existing academic, policy, and practitioner sources.</w:t>
      </w:r>
    </w:p>
    <w:p w14:paraId="0C5816F4">
      <w:pPr>
        <w:spacing w:line="360" w:lineRule="auto"/>
        <w:rPr>
          <w:rFonts w:ascii="Arial" w:hAnsi="Arial" w:cs="Arial"/>
          <w:b/>
          <w:bCs/>
          <w:sz w:val="24"/>
          <w:szCs w:val="24"/>
        </w:rPr>
      </w:pPr>
      <w:r>
        <w:rPr>
          <w:rFonts w:ascii="Arial" w:hAnsi="Arial" w:cs="Arial"/>
          <w:b/>
          <w:bCs/>
          <w:sz w:val="24"/>
          <w:szCs w:val="24"/>
        </w:rPr>
        <w:t>4.2 Data Collection</w:t>
      </w:r>
    </w:p>
    <w:p w14:paraId="2A7536E1">
      <w:pPr>
        <w:spacing w:line="360" w:lineRule="auto"/>
        <w:rPr>
          <w:rFonts w:ascii="Arial" w:hAnsi="Arial" w:cs="Arial"/>
          <w:sz w:val="24"/>
          <w:szCs w:val="24"/>
        </w:rPr>
      </w:pPr>
      <w:r>
        <w:rPr>
          <w:rFonts w:ascii="Arial" w:hAnsi="Arial" w:cs="Arial"/>
          <w:sz w:val="24"/>
          <w:szCs w:val="24"/>
        </w:rPr>
        <w:t>Secondary data will be collected from peer-reviewed academic journals, textbooks, UK government publications, industry and consultancy reports, and publicly available company documents such as websites, service descriptions, and published case studies. This range of sources enables triangulation of findings and supports a comprehensive understanding of both theoretical and practical perspectives. No primary data will be collected.</w:t>
      </w:r>
    </w:p>
    <w:p w14:paraId="6DC71DF7">
      <w:pPr>
        <w:spacing w:line="360" w:lineRule="auto"/>
        <w:rPr>
          <w:rFonts w:ascii="Arial" w:hAnsi="Arial" w:cs="Arial"/>
          <w:b/>
          <w:bCs/>
          <w:sz w:val="24"/>
          <w:szCs w:val="24"/>
        </w:rPr>
      </w:pPr>
      <w:r>
        <w:rPr>
          <w:rFonts w:ascii="Arial" w:hAnsi="Arial" w:cs="Arial"/>
          <w:b/>
          <w:bCs/>
          <w:sz w:val="24"/>
          <w:szCs w:val="24"/>
        </w:rPr>
        <w:t>4.3 Data Analysis</w:t>
      </w:r>
    </w:p>
    <w:p w14:paraId="0AD590D5">
      <w:pPr>
        <w:spacing w:line="360" w:lineRule="auto"/>
        <w:rPr>
          <w:rFonts w:ascii="Arial" w:hAnsi="Arial" w:cs="Arial"/>
          <w:sz w:val="24"/>
          <w:szCs w:val="24"/>
        </w:rPr>
      </w:pPr>
      <w:r>
        <w:rPr>
          <w:rFonts w:ascii="Arial" w:hAnsi="Arial" w:cs="Arial"/>
          <w:sz w:val="24"/>
          <w:szCs w:val="24"/>
        </w:rPr>
        <w:t>The research will employ thematic analysis to identify recurring patterns related to AI adoption barriers, SME needs, and agency capabilities. Comparative analysis will be used to benchmark AI-enabled service offerings across SME-sized UK digital marketing agencies. Findings will be synthesised using the TOE framework and value proposition perspective to structure analysis and inform business development recommendations.</w:t>
      </w:r>
    </w:p>
    <w:p w14:paraId="3E21F7D9">
      <w:pPr>
        <w:spacing w:line="360" w:lineRule="auto"/>
        <w:rPr>
          <w:rFonts w:ascii="Arial" w:hAnsi="Arial" w:cs="Arial"/>
          <w:b/>
          <w:bCs/>
          <w:sz w:val="24"/>
          <w:szCs w:val="24"/>
        </w:rPr>
      </w:pPr>
      <w:r>
        <w:rPr>
          <w:rFonts w:ascii="Arial" w:hAnsi="Arial" w:cs="Arial"/>
          <w:b/>
          <w:bCs/>
          <w:sz w:val="24"/>
          <w:szCs w:val="24"/>
        </w:rPr>
        <w:t>4.4 Ethical Considerations</w:t>
      </w:r>
    </w:p>
    <w:p w14:paraId="382E09B6">
      <w:pPr>
        <w:spacing w:line="360" w:lineRule="auto"/>
        <w:rPr>
          <w:rFonts w:ascii="Arial" w:hAnsi="Arial" w:cs="Arial"/>
          <w:sz w:val="24"/>
          <w:szCs w:val="24"/>
        </w:rPr>
      </w:pPr>
      <w:r>
        <w:rPr>
          <w:rFonts w:ascii="Arial" w:hAnsi="Arial" w:cs="Arial"/>
          <w:sz w:val="24"/>
          <w:szCs w:val="24"/>
        </w:rPr>
        <w:t>The study presents minimal ethical risk as it relies exclusively on secondary data. No human participants, personal data, or sensitive information are involved. All sources will be properly cited using Harvard referencing to ensure academic integrity.</w:t>
      </w:r>
    </w:p>
    <w:p w14:paraId="593768B4">
      <w:pPr>
        <w:spacing w:line="360" w:lineRule="auto"/>
        <w:rPr>
          <w:rFonts w:ascii="Arial" w:hAnsi="Arial" w:cs="Arial"/>
          <w:b/>
          <w:bCs/>
          <w:sz w:val="24"/>
          <w:szCs w:val="24"/>
        </w:rPr>
      </w:pPr>
    </w:p>
    <w:p w14:paraId="3DB89636">
      <w:pPr>
        <w:spacing w:line="360" w:lineRule="auto"/>
        <w:rPr>
          <w:rFonts w:ascii="Arial" w:hAnsi="Arial" w:cs="Arial"/>
          <w:b/>
          <w:bCs/>
          <w:sz w:val="24"/>
          <w:szCs w:val="24"/>
        </w:rPr>
      </w:pPr>
      <w:r>
        <w:rPr>
          <w:rFonts w:ascii="Arial" w:hAnsi="Arial" w:cs="Arial"/>
          <w:b/>
          <w:bCs/>
          <w:sz w:val="24"/>
          <w:szCs w:val="24"/>
        </w:rPr>
        <w:t>5. Business Development Proposal Structure</w:t>
      </w:r>
    </w:p>
    <w:p w14:paraId="6D6760C5">
      <w:pPr>
        <w:spacing w:line="360" w:lineRule="auto"/>
        <w:rPr>
          <w:rFonts w:ascii="Arial" w:hAnsi="Arial" w:cs="Arial"/>
          <w:sz w:val="24"/>
          <w:szCs w:val="24"/>
        </w:rPr>
      </w:pPr>
      <w:r>
        <w:rPr>
          <w:rFonts w:ascii="Arial" w:hAnsi="Arial" w:cs="Arial"/>
          <w:sz w:val="24"/>
          <w:szCs w:val="24"/>
        </w:rPr>
        <w:t>The final dissertation will deliver a structured business development proposal comprising a market opportunity analysis, AI-enabled service portfolio design, value proposition and pricing logic, capability and resource requirements, risk assessment and mitigation strategies, key performance indicators, and an implementation roadmap. This structure ensures alignment between theory, analysis, and practical recommendations.</w:t>
      </w:r>
    </w:p>
    <w:p w14:paraId="31F84686">
      <w:pPr>
        <w:spacing w:line="360" w:lineRule="auto"/>
        <w:rPr>
          <w:rFonts w:ascii="Arial" w:hAnsi="Arial" w:cs="Arial"/>
          <w:b/>
          <w:bCs/>
          <w:sz w:val="24"/>
          <w:szCs w:val="24"/>
        </w:rPr>
      </w:pPr>
    </w:p>
    <w:p w14:paraId="2F9445E5">
      <w:pPr>
        <w:spacing w:line="360" w:lineRule="auto"/>
        <w:rPr>
          <w:rFonts w:ascii="Arial" w:hAnsi="Arial" w:cs="Arial"/>
          <w:b/>
          <w:bCs/>
          <w:sz w:val="24"/>
          <w:szCs w:val="24"/>
        </w:rPr>
      </w:pPr>
      <w:r>
        <w:rPr>
          <w:rFonts w:hint="default" w:ascii="Arial" w:hAnsi="Arial" w:cs="Arial"/>
          <w:b/>
          <w:bCs/>
          <w:sz w:val="24"/>
          <w:szCs w:val="24"/>
          <w:lang w:val="en-US"/>
        </w:rPr>
        <w:t>6</w:t>
      </w:r>
      <w:r>
        <w:rPr>
          <w:rFonts w:ascii="Arial" w:hAnsi="Arial" w:cs="Arial"/>
          <w:b/>
          <w:bCs/>
          <w:sz w:val="24"/>
          <w:szCs w:val="24"/>
        </w:rPr>
        <w:t>. Conclusion</w:t>
      </w:r>
    </w:p>
    <w:p w14:paraId="51CEB31D">
      <w:pPr>
        <w:spacing w:line="360" w:lineRule="auto"/>
        <w:rPr>
          <w:rFonts w:ascii="Arial" w:hAnsi="Arial" w:cs="Arial"/>
          <w:b/>
          <w:bCs/>
          <w:sz w:val="24"/>
          <w:szCs w:val="24"/>
        </w:rPr>
      </w:pPr>
      <w:r>
        <w:rPr>
          <w:rFonts w:ascii="Arial" w:hAnsi="Arial" w:cs="Arial"/>
          <w:sz w:val="24"/>
          <w:szCs w:val="24"/>
        </w:rPr>
        <w:t>This research proposes a theoretically grounded and practically relevant business development strategy for AI-enabled digital marketing services targeting UK SMEs. By integrating adoption theory with value-driven service design, the study aims to contribute to both academic understanding and managerial practice while addressing a timely and significant challenge within the UK SME sector.</w:t>
      </w:r>
    </w:p>
    <w:p w14:paraId="1CB65E52">
      <w:pPr>
        <w:spacing w:line="360" w:lineRule="auto"/>
        <w:rPr>
          <w:rFonts w:ascii="Arial" w:hAnsi="Arial" w:cs="Arial"/>
          <w:b/>
          <w:bCs/>
          <w:sz w:val="24"/>
          <w:szCs w:val="24"/>
        </w:rPr>
      </w:pPr>
      <w:r>
        <w:rPr>
          <w:rFonts w:hint="default" w:ascii="Arial" w:hAnsi="Arial" w:cs="Arial"/>
          <w:b/>
          <w:bCs/>
          <w:sz w:val="24"/>
          <w:szCs w:val="24"/>
          <w:lang w:val="en-US"/>
        </w:rPr>
        <w:t>7</w:t>
      </w:r>
      <w:r>
        <w:rPr>
          <w:rFonts w:ascii="Arial" w:hAnsi="Arial" w:cs="Arial"/>
          <w:b/>
          <w:bCs/>
          <w:sz w:val="24"/>
          <w:szCs w:val="24"/>
        </w:rPr>
        <w:t>. Research Timeline</w:t>
      </w:r>
    </w:p>
    <w:p w14:paraId="1B4D28E3">
      <w:pPr>
        <w:numPr>
          <w:ilvl w:val="0"/>
          <w:numId w:val="3"/>
        </w:numPr>
        <w:spacing w:line="360" w:lineRule="auto"/>
        <w:rPr>
          <w:rFonts w:ascii="Arial" w:hAnsi="Arial" w:cs="Arial"/>
          <w:sz w:val="24"/>
          <w:szCs w:val="24"/>
        </w:rPr>
      </w:pPr>
      <w:r>
        <w:rPr>
          <w:rFonts w:ascii="Arial" w:hAnsi="Arial" w:cs="Arial"/>
          <w:sz w:val="24"/>
          <w:szCs w:val="24"/>
        </w:rPr>
        <w:t>February–March: Literature review and theoretical framework development</w:t>
      </w:r>
    </w:p>
    <w:p w14:paraId="7A264FAC">
      <w:pPr>
        <w:numPr>
          <w:ilvl w:val="0"/>
          <w:numId w:val="3"/>
        </w:numPr>
        <w:spacing w:line="360" w:lineRule="auto"/>
        <w:rPr>
          <w:rFonts w:ascii="Arial" w:hAnsi="Arial" w:cs="Arial"/>
          <w:sz w:val="24"/>
          <w:szCs w:val="24"/>
        </w:rPr>
      </w:pPr>
      <w:r>
        <w:rPr>
          <w:rFonts w:ascii="Arial" w:hAnsi="Arial" w:cs="Arial"/>
          <w:sz w:val="24"/>
          <w:szCs w:val="24"/>
        </w:rPr>
        <w:t>March–April: Secondary data collection and analysis</w:t>
      </w:r>
    </w:p>
    <w:p w14:paraId="2ACB7711">
      <w:pPr>
        <w:numPr>
          <w:ilvl w:val="0"/>
          <w:numId w:val="3"/>
        </w:numPr>
        <w:spacing w:line="360" w:lineRule="auto"/>
        <w:rPr>
          <w:rFonts w:ascii="Arial" w:hAnsi="Arial" w:cs="Arial"/>
          <w:sz w:val="24"/>
          <w:szCs w:val="24"/>
        </w:rPr>
      </w:pPr>
      <w:r>
        <w:rPr>
          <w:rFonts w:ascii="Arial" w:hAnsi="Arial" w:cs="Arial"/>
          <w:sz w:val="24"/>
          <w:szCs w:val="24"/>
        </w:rPr>
        <w:t>April: Business development proposal design</w:t>
      </w:r>
    </w:p>
    <w:p w14:paraId="5AA38B22">
      <w:pPr>
        <w:numPr>
          <w:ilvl w:val="0"/>
          <w:numId w:val="3"/>
        </w:numPr>
        <w:spacing w:line="360" w:lineRule="auto"/>
        <w:rPr>
          <w:rFonts w:ascii="Arial" w:hAnsi="Arial" w:cs="Arial"/>
          <w:sz w:val="24"/>
          <w:szCs w:val="24"/>
        </w:rPr>
      </w:pPr>
      <w:r>
        <w:rPr>
          <w:rFonts w:ascii="Arial" w:hAnsi="Arial" w:cs="Arial"/>
          <w:sz w:val="24"/>
          <w:szCs w:val="24"/>
        </w:rPr>
        <w:t>May: Final writing, review, and submission</w:t>
      </w:r>
    </w:p>
    <w:p w14:paraId="4F1D8DE3">
      <w:pPr>
        <w:spacing w:line="360" w:lineRule="auto"/>
        <w:rPr>
          <w:rFonts w:ascii="Arial" w:hAnsi="Arial" w:cs="Arial"/>
          <w:b/>
          <w:bCs/>
          <w:sz w:val="24"/>
          <w:szCs w:val="24"/>
        </w:rPr>
      </w:pPr>
    </w:p>
    <w:p w14:paraId="146B0579">
      <w:pPr>
        <w:spacing w:line="360" w:lineRule="auto"/>
        <w:rPr>
          <w:rFonts w:ascii="Arial" w:hAnsi="Arial" w:cs="Arial"/>
          <w:sz w:val="24"/>
          <w:szCs w:val="24"/>
        </w:rPr>
      </w:pPr>
      <w:r>
        <w:rPr>
          <w:rFonts w:ascii="Arial" w:hAnsi="Arial" w:cs="Arial"/>
          <w:sz w:val="24"/>
          <w:szCs w:val="24"/>
        </w:rPr>
        <w:br w:type="textWrapping"/>
      </w:r>
    </w:p>
    <w:p w14:paraId="7E49409D">
      <w:pPr>
        <w:spacing w:line="360" w:lineRule="auto"/>
        <w:rPr>
          <w:rFonts w:ascii="Arial" w:hAnsi="Arial" w:cs="Arial"/>
          <w:b/>
          <w:bCs/>
          <w:sz w:val="24"/>
          <w:szCs w:val="24"/>
        </w:rPr>
      </w:pPr>
    </w:p>
    <w:p w14:paraId="5D5975CD">
      <w:pPr>
        <w:spacing w:line="360" w:lineRule="auto"/>
        <w:rPr>
          <w:rFonts w:ascii="Arial" w:hAnsi="Arial" w:cs="Arial"/>
          <w:b/>
          <w:bCs/>
          <w:sz w:val="24"/>
          <w:szCs w:val="24"/>
        </w:rPr>
      </w:pPr>
    </w:p>
    <w:p w14:paraId="16EE2AEE">
      <w:pPr>
        <w:spacing w:line="360" w:lineRule="auto"/>
        <w:rPr>
          <w:rFonts w:ascii="Arial" w:hAnsi="Arial" w:cs="Arial"/>
          <w:b/>
          <w:bCs/>
          <w:sz w:val="24"/>
          <w:szCs w:val="24"/>
        </w:rPr>
      </w:pPr>
    </w:p>
    <w:p w14:paraId="580CCF47">
      <w:pPr>
        <w:spacing w:line="360" w:lineRule="auto"/>
        <w:rPr>
          <w:rFonts w:ascii="Arial" w:hAnsi="Arial" w:cs="Arial"/>
          <w:b/>
          <w:bCs/>
          <w:sz w:val="24"/>
          <w:szCs w:val="24"/>
        </w:rPr>
      </w:pPr>
    </w:p>
    <w:p w14:paraId="2C5F93A9">
      <w:pPr>
        <w:spacing w:line="360" w:lineRule="auto"/>
        <w:rPr>
          <w:rFonts w:ascii="Arial" w:hAnsi="Arial" w:cs="Arial"/>
          <w:b/>
          <w:bCs/>
          <w:sz w:val="24"/>
          <w:szCs w:val="24"/>
        </w:rPr>
      </w:pPr>
      <w:r>
        <w:rPr>
          <w:rFonts w:ascii="Arial" w:hAnsi="Arial" w:cs="Arial"/>
          <w:b/>
          <w:bCs/>
          <w:sz w:val="24"/>
          <w:szCs w:val="24"/>
        </w:rPr>
        <w:t>8. Gantt Chart</w:t>
      </w:r>
    </w:p>
    <w:p w14:paraId="1726E230">
      <w:r>
        <w:drawing>
          <wp:inline distT="0" distB="0" distL="0" distR="0">
            <wp:extent cx="5731510" cy="2552700"/>
            <wp:effectExtent l="0" t="0" r="2540" b="0"/>
            <wp:docPr id="1468562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562533" name="Picture 1"/>
                    <pic:cNvPicPr>
                      <a:picLocks noChangeAspect="1" noChangeArrowheads="1"/>
                    </pic:cNvPicPr>
                  </pic:nvPicPr>
                  <pic:blipFill>
                    <a:blip r:embed="rId6">
                      <a:extLst>
                        <a:ext uri="{28A0092B-C50C-407E-A947-70E740481C1C}">
                          <a14:useLocalDpi xmlns:a14="http://schemas.microsoft.com/office/drawing/2010/main" val="0"/>
                        </a:ext>
                      </a:extLst>
                    </a:blip>
                    <a:srcRect b="8761"/>
                    <a:stretch>
                      <a:fillRect/>
                    </a:stretch>
                  </pic:blipFill>
                  <pic:spPr>
                    <a:xfrm>
                      <a:off x="0" y="0"/>
                      <a:ext cx="5731510" cy="2552700"/>
                    </a:xfrm>
                    <a:prstGeom prst="rect">
                      <a:avLst/>
                    </a:prstGeom>
                    <a:noFill/>
                    <a:ln>
                      <a:noFill/>
                    </a:ln>
                  </pic:spPr>
                </pic:pic>
              </a:graphicData>
            </a:graphic>
          </wp:inline>
        </w:drawing>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D0EA1"/>
    <w:multiLevelType w:val="multilevel"/>
    <w:tmpl w:val="273D0E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E3B3659"/>
    <w:multiLevelType w:val="multilevel"/>
    <w:tmpl w:val="2E3B365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CA74F42"/>
    <w:multiLevelType w:val="multilevel"/>
    <w:tmpl w:val="5CA74F4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1B9"/>
    <w:rsid w:val="0042470E"/>
    <w:rsid w:val="00685E22"/>
    <w:rsid w:val="007724F0"/>
    <w:rsid w:val="009B7D27"/>
    <w:rsid w:val="00B801B9"/>
    <w:rsid w:val="00EE21C0"/>
    <w:rsid w:val="4E4901C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IN" w:eastAsia="en-US"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6"/>
    <w:unhideWhenUsed/>
    <w:qFormat/>
    <w:uiPriority w:val="99"/>
    <w:pPr>
      <w:tabs>
        <w:tab w:val="center" w:pos="4513"/>
        <w:tab w:val="right" w:pos="9026"/>
      </w:tabs>
      <w:spacing w:after="0" w:line="240" w:lineRule="auto"/>
    </w:pPr>
  </w:style>
  <w:style w:type="paragraph" w:styleId="14">
    <w:name w:val="header"/>
    <w:basedOn w:val="1"/>
    <w:link w:val="35"/>
    <w:unhideWhenUsed/>
    <w:qFormat/>
    <w:uiPriority w:val="99"/>
    <w:pPr>
      <w:tabs>
        <w:tab w:val="center" w:pos="4513"/>
        <w:tab w:val="right" w:pos="9026"/>
      </w:tabs>
      <w:spacing w:after="0" w:line="240" w:lineRule="auto"/>
    </w:pPr>
  </w:style>
  <w:style w:type="paragraph" w:styleId="15">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8">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19">
    <w:name w:val="Heading 3 Char"/>
    <w:basedOn w:val="11"/>
    <w:link w:val="4"/>
    <w:semiHidden/>
    <w:uiPriority w:val="9"/>
    <w:rPr>
      <w:rFonts w:eastAsiaTheme="majorEastAsia" w:cstheme="majorBidi"/>
      <w:color w:val="104862" w:themeColor="accent1" w:themeShade="BF"/>
      <w:sz w:val="28"/>
      <w:szCs w:val="28"/>
    </w:rPr>
  </w:style>
  <w:style w:type="character" w:customStyle="1" w:styleId="20">
    <w:name w:val="Heading 4 Char"/>
    <w:basedOn w:val="11"/>
    <w:link w:val="5"/>
    <w:semiHidden/>
    <w:uiPriority w:val="9"/>
    <w:rPr>
      <w:rFonts w:eastAsiaTheme="majorEastAsia" w:cstheme="majorBidi"/>
      <w:i/>
      <w:iCs/>
      <w:color w:val="104862" w:themeColor="accent1" w:themeShade="BF"/>
    </w:rPr>
  </w:style>
  <w:style w:type="character" w:customStyle="1" w:styleId="21">
    <w:name w:val="Heading 5 Char"/>
    <w:basedOn w:val="11"/>
    <w:link w:val="6"/>
    <w:semiHidden/>
    <w:qFormat/>
    <w:uiPriority w:val="9"/>
    <w:rPr>
      <w:rFonts w:eastAsiaTheme="majorEastAsia" w:cstheme="majorBidi"/>
      <w:color w:val="104862" w:themeColor="accent1" w:themeShade="BF"/>
    </w:rPr>
  </w:style>
  <w:style w:type="character" w:customStyle="1" w:styleId="22">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Intense Quote Char"/>
    <w:basedOn w:val="11"/>
    <w:link w:val="32"/>
    <w:uiPriority w:val="30"/>
    <w:rPr>
      <w:i/>
      <w:iCs/>
      <w:color w:val="104862" w:themeColor="accent1" w:themeShade="BF"/>
    </w:rPr>
  </w:style>
  <w:style w:type="character" w:customStyle="1" w:styleId="34">
    <w:name w:val="Intense Reference"/>
    <w:basedOn w:val="11"/>
    <w:qFormat/>
    <w:uiPriority w:val="32"/>
    <w:rPr>
      <w:b/>
      <w:bCs/>
      <w:smallCaps/>
      <w:color w:val="104862" w:themeColor="accent1" w:themeShade="BF"/>
      <w:spacing w:val="5"/>
    </w:rPr>
  </w:style>
  <w:style w:type="character" w:customStyle="1" w:styleId="35">
    <w:name w:val="Header Char"/>
    <w:basedOn w:val="11"/>
    <w:link w:val="14"/>
    <w:uiPriority w:val="99"/>
  </w:style>
  <w:style w:type="character" w:customStyle="1" w:styleId="36">
    <w:name w:val="Footer Char"/>
    <w:basedOn w:val="11"/>
    <w:link w:val="13"/>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2481</Words>
  <Characters>14143</Characters>
  <Lines>117</Lines>
  <Paragraphs>33</Paragraphs>
  <TotalTime>7</TotalTime>
  <ScaleCrop>false</ScaleCrop>
  <LinksUpToDate>false</LinksUpToDate>
  <CharactersWithSpaces>16591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2026-02-11T21:45:00Z</dcterms:created>
  <dc:creator>Anchal Atulkumar Patel</dc:creator>
  <cp:lastModifiedBy>Anchal Patel</cp:lastModifiedBy>
  <dcterms:modified xsi:type="dcterms:W3CDTF">2026-02-16T22:37:57Z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842294d1-9275-4ae4-8212-95506fe9dda2</vt:lpwstr>
  </property>
  <property fmtid="{D5CDD505-2E9C-101B-9397-08002B2CF9AE}" pid="3" name="KSOProductBuildVer">
    <vt:lpwstr>1033-12.2.0.23196</vt:lpwstr>
  </property>
  <property fmtid="{D5CDD505-2E9C-101B-9397-08002B2CF9AE}" pid="4" name="ICV">
    <vt:lpwstr>6B5D335A790B4D40BF8E4DD7E17046D6_12</vt:lpwstr>
  </property>
</Properties>
</file>