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013C1C" w:rsidR="00013C1C" w:rsidP="00013C1C" w:rsidRDefault="00013C1C" w14:paraId="2FBD9E46" w14:textId="49F70EF9">
      <w:pPr>
        <w:jc w:val="center"/>
        <w:rPr>
          <w:rFonts w:ascii="Arial" w:hAnsi="Arial" w:cs="Arial"/>
          <w:color w:val="1F1F1F"/>
          <w:sz w:val="33"/>
          <w:szCs w:val="33"/>
          <w:shd w:val="clear" w:color="auto" w:fill="FFFFFF"/>
        </w:rPr>
      </w:pPr>
      <w:r w:rsidRPr="00013C1C">
        <w:rPr>
          <w:rFonts w:ascii="Arial" w:hAnsi="Arial" w:cs="Arial"/>
          <w:color w:val="1F1F1F"/>
          <w:sz w:val="33"/>
          <w:szCs w:val="33"/>
          <w:shd w:val="clear" w:color="auto" w:fill="FFFFFF"/>
        </w:rPr>
        <w:t>BMHP5021</w:t>
      </w:r>
    </w:p>
    <w:p w:rsidRPr="00013C1C" w:rsidR="00013C1C" w:rsidP="00013C1C" w:rsidRDefault="00013C1C" w14:paraId="4308E880" w14:textId="77777777">
      <w:pPr>
        <w:jc w:val="center"/>
        <w:rPr>
          <w:rFonts w:ascii="Arial" w:hAnsi="Arial" w:cs="Arial"/>
          <w:color w:val="1F1F1F"/>
          <w:sz w:val="33"/>
          <w:szCs w:val="33"/>
          <w:shd w:val="clear" w:color="auto" w:fill="FFFFFF"/>
        </w:rPr>
      </w:pPr>
      <w:r w:rsidRPr="00013C1C">
        <w:rPr>
          <w:rFonts w:ascii="Arial" w:hAnsi="Arial" w:cs="Arial"/>
          <w:color w:val="1F1F1F"/>
          <w:sz w:val="33"/>
          <w:szCs w:val="33"/>
          <w:shd w:val="clear" w:color="auto" w:fill="FFFFFF"/>
        </w:rPr>
        <w:t>Protecting and Supporting Families in Health and Care</w:t>
      </w:r>
    </w:p>
    <w:p w:rsidRPr="00013C1C" w:rsidR="00013C1C" w:rsidP="00013C1C" w:rsidRDefault="00013C1C" w14:paraId="24B4AFB7" w14:textId="0E25F1B8">
      <w:pPr>
        <w:jc w:val="center"/>
        <w:rPr>
          <w:rFonts w:ascii="Arial" w:hAnsi="Arial" w:cs="Arial"/>
          <w:b/>
          <w:bCs/>
        </w:rPr>
      </w:pPr>
      <w:r w:rsidRPr="00013C1C">
        <w:rPr>
          <w:rFonts w:ascii="Arial" w:hAnsi="Arial" w:cs="Arial"/>
          <w:color w:val="1F1F1F"/>
          <w:sz w:val="33"/>
          <w:szCs w:val="33"/>
          <w:shd w:val="clear" w:color="auto" w:fill="FFFFFF"/>
        </w:rPr>
        <w:t>C</w:t>
      </w:r>
      <w:r w:rsidRPr="00013C1C">
        <w:rPr>
          <w:rFonts w:ascii="Arial" w:hAnsi="Arial" w:cs="Arial"/>
          <w:color w:val="1F1F1F"/>
          <w:sz w:val="33"/>
          <w:szCs w:val="33"/>
          <w:shd w:val="clear" w:color="auto" w:fill="FFFFFF"/>
        </w:rPr>
        <w:t xml:space="preserve">omponent </w:t>
      </w:r>
      <w:r w:rsidRPr="00013C1C">
        <w:rPr>
          <w:rFonts w:ascii="Arial" w:hAnsi="Arial" w:cs="Arial"/>
          <w:color w:val="1F1F1F"/>
          <w:sz w:val="33"/>
          <w:szCs w:val="33"/>
          <w:shd w:val="clear" w:color="auto" w:fill="FFFFFF"/>
        </w:rPr>
        <w:t>1</w:t>
      </w:r>
    </w:p>
    <w:p w:rsidR="00013C1C" w:rsidP="00013C1C" w:rsidRDefault="00013C1C" w14:paraId="551368C2" w14:textId="77777777">
      <w:pPr>
        <w:jc w:val="center"/>
        <w:rPr>
          <w:rFonts w:ascii="Arial" w:hAnsi="Arial" w:cs="Arial"/>
          <w:b/>
          <w:bCs/>
        </w:rPr>
      </w:pPr>
    </w:p>
    <w:p w:rsidRPr="00013C1C" w:rsidR="00DB1A97" w:rsidP="00013C1C" w:rsidRDefault="00013C1C" w14:paraId="59C8E4A9" w14:textId="6E4B2D3D">
      <w:pPr>
        <w:jc w:val="center"/>
        <w:rPr>
          <w:rFonts w:ascii="Arial" w:hAnsi="Arial" w:cs="Arial"/>
        </w:rPr>
      </w:pPr>
      <w:r w:rsidRPr="00013C1C">
        <w:rPr>
          <w:rFonts w:ascii="Arial" w:hAnsi="Arial" w:cs="Arial"/>
          <w:b/>
          <w:bCs/>
        </w:rPr>
        <w:t>Child A Case (Bradford, 2023)</w:t>
      </w:r>
      <w:r w:rsidRPr="00013C1C">
        <w:rPr>
          <w:rFonts w:ascii="Arial" w:hAnsi="Arial" w:cs="Arial"/>
          <w:b/>
          <w:bCs/>
        </w:rPr>
        <w:br/>
      </w:r>
      <w:r w:rsidRPr="00013C1C">
        <w:rPr>
          <w:rFonts w:ascii="Arial" w:hAnsi="Arial" w:cs="Arial"/>
        </w:rPr>
        <w:t>Perspective: Role of a Social Worker</w:t>
      </w:r>
    </w:p>
    <w:p w:rsidRPr="00013C1C" w:rsidR="00013C1C" w:rsidP="00013C1C" w:rsidRDefault="00013C1C" w14:paraId="5F0CB706" w14:textId="77777777">
      <w:pPr>
        <w:rPr>
          <w:rFonts w:ascii="Arial" w:hAnsi="Arial" w:cs="Arial"/>
          <w:b/>
          <w:bCs/>
        </w:rPr>
      </w:pPr>
    </w:p>
    <w:p w:rsidRPr="00013C1C" w:rsidR="00013C1C" w:rsidP="00013C1C" w:rsidRDefault="00013C1C" w14:paraId="07079BF7" w14:textId="77777777">
      <w:pPr>
        <w:rPr>
          <w:rFonts w:ascii="Arial" w:hAnsi="Arial" w:cs="Arial"/>
          <w:b/>
          <w:bCs/>
        </w:rPr>
      </w:pPr>
    </w:p>
    <w:p w:rsidRPr="00013C1C" w:rsidR="00013C1C" w:rsidP="00013C1C" w:rsidRDefault="00013C1C" w14:paraId="5916F2B2" w14:textId="77777777">
      <w:pPr>
        <w:rPr>
          <w:rFonts w:ascii="Arial" w:hAnsi="Arial" w:cs="Arial"/>
          <w:b/>
          <w:bCs/>
        </w:rPr>
      </w:pPr>
    </w:p>
    <w:p w:rsidRPr="00013C1C" w:rsidR="00013C1C" w:rsidP="00013C1C" w:rsidRDefault="00013C1C" w14:paraId="2DD63414" w14:noSpellErr="1" w14:textId="034AC38C">
      <w:pPr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Name</w:t>
      </w:r>
      <w:r w:rsidRPr="19BF52E7" w:rsidR="00013C1C">
        <w:rPr>
          <w:rFonts w:ascii="Arial" w:hAnsi="Arial" w:cs="Arial"/>
        </w:rPr>
        <w:t>:</w:t>
      </w:r>
      <w:r w:rsidRPr="19BF52E7" w:rsidR="69C628AE">
        <w:rPr>
          <w:rFonts w:ascii="Arial" w:hAnsi="Arial" w:cs="Arial"/>
        </w:rPr>
        <w:t xml:space="preserve"> HAJAR ORRITI</w:t>
      </w:r>
    </w:p>
    <w:p w:rsidR="00013C1C" w:rsidP="19BF52E7" w:rsidRDefault="00013C1C" w14:noSpellErr="1" w14:paraId="2C7DB15A" w14:textId="4B3AA1B6">
      <w:pPr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ID</w:t>
      </w:r>
      <w:r w:rsidRPr="19BF52E7" w:rsidR="00013C1C">
        <w:rPr>
          <w:rFonts w:ascii="Arial" w:hAnsi="Arial" w:cs="Arial"/>
        </w:rPr>
        <w:t>:</w:t>
      </w:r>
      <w:r w:rsidRPr="19BF52E7" w:rsidR="21CDCFB9">
        <w:rPr>
          <w:rFonts w:ascii="Arial" w:hAnsi="Arial" w:cs="Arial"/>
        </w:rPr>
        <w:t xml:space="preserve"> 2328101</w:t>
      </w:r>
    </w:p>
    <w:p w:rsidRPr="00013C1C" w:rsidR="00013C1C" w:rsidRDefault="00013C1C" w14:paraId="674E6152" w14:noSpellErr="1" w14:textId="140B1AD5">
      <w:pPr>
        <w:rPr>
          <w:rFonts w:ascii="Arial" w:hAnsi="Arial" w:cs="Arial"/>
        </w:rPr>
      </w:pPr>
      <w:r w:rsidRPr="19BF52E7" w:rsidR="24DB1E57">
        <w:rPr>
          <w:rFonts w:ascii="Arial" w:hAnsi="Arial" w:cs="Arial"/>
        </w:rPr>
        <w:t>Lecturer: Gillian Weaver</w:t>
      </w:r>
    </w:p>
    <w:p w:rsidR="19BF52E7" w:rsidP="19BF52E7" w:rsidRDefault="19BF52E7" w14:paraId="6CFCD95F" w14:textId="178DC46D">
      <w:pPr>
        <w:rPr>
          <w:rFonts w:ascii="Arial" w:hAnsi="Arial" w:cs="Arial"/>
        </w:rPr>
      </w:pPr>
    </w:p>
    <w:p w:rsidRPr="00013C1C" w:rsidR="00013C1C" w:rsidRDefault="00013C1C" w14:paraId="5002857E" w14:textId="77777777">
      <w:pPr>
        <w:rPr>
          <w:rFonts w:ascii="Arial" w:hAnsi="Arial" w:cs="Arial"/>
        </w:rPr>
      </w:pPr>
    </w:p>
    <w:p w:rsidRPr="00013C1C" w:rsidR="00013C1C" w:rsidRDefault="00013C1C" w14:paraId="15846A1B" w14:textId="77777777">
      <w:pPr>
        <w:rPr>
          <w:rFonts w:ascii="Arial" w:hAnsi="Arial" w:cs="Arial"/>
        </w:rPr>
      </w:pPr>
    </w:p>
    <w:p w:rsidRPr="00013C1C" w:rsidR="00013C1C" w:rsidRDefault="00013C1C" w14:paraId="2AC8D34C" w14:textId="77777777">
      <w:pPr>
        <w:rPr>
          <w:rFonts w:ascii="Arial" w:hAnsi="Arial" w:cs="Arial"/>
        </w:rPr>
      </w:pPr>
    </w:p>
    <w:p w:rsidRPr="00013C1C" w:rsidR="00013C1C" w:rsidRDefault="00013C1C" w14:paraId="4F4A5CAE" w14:textId="77777777">
      <w:pPr>
        <w:rPr>
          <w:rFonts w:ascii="Arial" w:hAnsi="Arial" w:cs="Arial"/>
        </w:rPr>
      </w:pPr>
    </w:p>
    <w:p w:rsidRPr="00013C1C" w:rsidR="00013C1C" w:rsidRDefault="00013C1C" w14:paraId="0BC30CFC" w14:textId="77777777">
      <w:pPr>
        <w:rPr>
          <w:rFonts w:ascii="Arial" w:hAnsi="Arial" w:cs="Arial"/>
        </w:rPr>
      </w:pPr>
    </w:p>
    <w:p w:rsidRPr="00013C1C" w:rsidR="00013C1C" w:rsidRDefault="00013C1C" w14:paraId="2835F410" w14:textId="77777777">
      <w:pPr>
        <w:rPr>
          <w:rFonts w:ascii="Arial" w:hAnsi="Arial" w:cs="Arial"/>
        </w:rPr>
      </w:pPr>
    </w:p>
    <w:p w:rsidRPr="00013C1C" w:rsidR="00013C1C" w:rsidRDefault="00013C1C" w14:paraId="2445A977" w14:textId="77777777">
      <w:pPr>
        <w:rPr>
          <w:rFonts w:ascii="Arial" w:hAnsi="Arial" w:cs="Arial"/>
        </w:rPr>
      </w:pPr>
    </w:p>
    <w:p w:rsidRPr="00013C1C" w:rsidR="00013C1C" w:rsidRDefault="00013C1C" w14:paraId="00D9DCE8" w14:textId="77777777">
      <w:pPr>
        <w:rPr>
          <w:rFonts w:ascii="Arial" w:hAnsi="Arial" w:cs="Arial"/>
        </w:rPr>
      </w:pPr>
    </w:p>
    <w:p w:rsidRPr="00013C1C" w:rsidR="00013C1C" w:rsidRDefault="00013C1C" w14:paraId="2E8E8F83" w14:textId="77777777">
      <w:pPr>
        <w:rPr>
          <w:rFonts w:ascii="Arial" w:hAnsi="Arial" w:cs="Arial"/>
        </w:rPr>
      </w:pPr>
    </w:p>
    <w:p w:rsidRPr="00013C1C" w:rsidR="00013C1C" w:rsidRDefault="00013C1C" w14:paraId="447CBCDA" w14:textId="77777777">
      <w:pPr>
        <w:rPr>
          <w:rFonts w:ascii="Arial" w:hAnsi="Arial" w:cs="Arial"/>
        </w:rPr>
      </w:pPr>
    </w:p>
    <w:p w:rsidRPr="00013C1C" w:rsidR="00013C1C" w:rsidRDefault="00013C1C" w14:paraId="5CB23C35" w14:textId="77777777">
      <w:pPr>
        <w:rPr>
          <w:rFonts w:ascii="Arial" w:hAnsi="Arial" w:cs="Arial"/>
        </w:rPr>
      </w:pPr>
    </w:p>
    <w:p w:rsidRPr="00013C1C" w:rsidR="00013C1C" w:rsidRDefault="00013C1C" w14:paraId="2D0E1079" w14:textId="77777777">
      <w:pPr>
        <w:rPr>
          <w:rFonts w:ascii="Arial" w:hAnsi="Arial" w:cs="Arial"/>
        </w:rPr>
      </w:pPr>
    </w:p>
    <w:p w:rsidRPr="00013C1C" w:rsidR="00013C1C" w:rsidRDefault="00013C1C" w14:paraId="3DDFE16F" w14:textId="77777777">
      <w:pPr>
        <w:rPr>
          <w:rFonts w:ascii="Arial" w:hAnsi="Arial" w:cs="Arial"/>
        </w:rPr>
      </w:pPr>
    </w:p>
    <w:p w:rsidRPr="00013C1C" w:rsidR="00013C1C" w:rsidRDefault="00013C1C" w14:paraId="0EE85688" w14:textId="77777777">
      <w:pPr>
        <w:rPr>
          <w:rFonts w:ascii="Arial" w:hAnsi="Arial" w:cs="Arial"/>
        </w:rPr>
      </w:pPr>
    </w:p>
    <w:p w:rsidR="00013C1C" w:rsidRDefault="00013C1C" w14:paraId="4750800A" w14:textId="77777777">
      <w:pPr>
        <w:rPr>
          <w:rFonts w:ascii="Arial" w:hAnsi="Arial" w:cs="Arial"/>
        </w:rPr>
      </w:pPr>
    </w:p>
    <w:p w:rsidR="00013C1C" w:rsidRDefault="00013C1C" w14:paraId="3BB2E363" w14:textId="77777777">
      <w:pPr>
        <w:rPr>
          <w:rFonts w:ascii="Arial" w:hAnsi="Arial" w:cs="Arial"/>
        </w:rPr>
      </w:pPr>
    </w:p>
    <w:p w:rsidRPr="00013C1C" w:rsidR="00013C1C" w:rsidRDefault="00013C1C" w14:paraId="487366DD" w14:textId="77777777">
      <w:pPr>
        <w:rPr>
          <w:rFonts w:ascii="Arial" w:hAnsi="Arial" w:cs="Arial"/>
        </w:rPr>
      </w:pPr>
    </w:p>
    <w:p w:rsidRPr="00013C1C" w:rsidR="00013C1C" w:rsidP="19BF52E7" w:rsidRDefault="00013C1C" w14:paraId="4419E994" w14:textId="63AF547B">
      <w:pPr>
        <w:pStyle w:val="Normal"/>
        <w:rPr>
          <w:rFonts w:ascii="Arial" w:hAnsi="Arial" w:cs="Arial"/>
          <w:b w:val="1"/>
          <w:bCs w:val="1"/>
          <w:lang w:val="en-US"/>
        </w:rPr>
      </w:pPr>
    </w:p>
    <w:p w:rsidRPr="00013C1C" w:rsidR="00013C1C" w:rsidP="19BF52E7" w:rsidRDefault="00013C1C" w14:paraId="7BB77438" w14:textId="50E69AA0">
      <w:pPr>
        <w:pStyle w:val="Normal"/>
        <w:rPr>
          <w:rFonts w:ascii="Arial" w:hAnsi="Arial" w:cs="Arial"/>
          <w:b w:val="1"/>
          <w:bCs w:val="1"/>
          <w:lang w:val="en-US"/>
        </w:rPr>
      </w:pPr>
      <w:r w:rsidRPr="19BF52E7" w:rsidR="36691DF3">
        <w:rPr>
          <w:rFonts w:ascii="Arial" w:hAnsi="Arial" w:cs="Arial"/>
          <w:b w:val="1"/>
          <w:bCs w:val="1"/>
          <w:lang w:val="en-US"/>
        </w:rPr>
        <w:t xml:space="preserve">         </w:t>
      </w:r>
      <w:r w:rsidRPr="19BF52E7" w:rsidR="00013C1C">
        <w:rPr>
          <w:rFonts w:ascii="Arial" w:hAnsi="Arial" w:cs="Arial"/>
          <w:b w:val="1"/>
          <w:bCs w:val="1"/>
          <w:lang w:val="en-US"/>
        </w:rPr>
        <w:t xml:space="preserve">References </w:t>
      </w:r>
    </w:p>
    <w:p w:rsidR="19BF52E7" w:rsidP="19BF52E7" w:rsidRDefault="19BF52E7" w14:paraId="43332708" w14:textId="1E7D1FAB">
      <w:pPr>
        <w:pStyle w:val="ListParagraph"/>
        <w:ind w:left="360"/>
        <w:rPr>
          <w:rFonts w:ascii="Arial" w:hAnsi="Arial" w:cs="Arial"/>
        </w:rPr>
      </w:pPr>
    </w:p>
    <w:p w:rsidR="19BF52E7" w:rsidP="19BF52E7" w:rsidRDefault="19BF52E7" w14:paraId="5F7EBE80" w14:textId="42A19286">
      <w:pPr>
        <w:pStyle w:val="ListParagraph"/>
        <w:ind w:left="360"/>
        <w:rPr>
          <w:rFonts w:ascii="Arial" w:hAnsi="Arial" w:cs="Arial"/>
        </w:rPr>
      </w:pPr>
    </w:p>
    <w:p w:rsidR="19BF52E7" w:rsidP="19BF52E7" w:rsidRDefault="19BF52E7" w14:paraId="1CF76037" w14:textId="3B15EC6C">
      <w:pPr>
        <w:pStyle w:val="ListParagraph"/>
        <w:ind w:left="360"/>
        <w:rPr>
          <w:rFonts w:ascii="Arial" w:hAnsi="Arial" w:cs="Arial"/>
        </w:rPr>
      </w:pPr>
    </w:p>
    <w:p w:rsidR="19BF52E7" w:rsidP="19BF52E7" w:rsidRDefault="19BF52E7" w14:paraId="5710932B" w14:textId="692531D7">
      <w:pPr>
        <w:pStyle w:val="ListParagraph"/>
        <w:ind w:left="360"/>
        <w:rPr>
          <w:rFonts w:ascii="Arial" w:hAnsi="Arial" w:cs="Arial"/>
        </w:rPr>
      </w:pPr>
    </w:p>
    <w:p w:rsidRPr="00013C1C" w:rsidR="00013C1C" w:rsidP="19BF52E7" w:rsidRDefault="00013C1C" w14:paraId="13E6EC4A" w14:noSpellErr="1" w14:textId="5C4F136A">
      <w:pPr>
        <w:pStyle w:val="Normal"/>
        <w:ind w:left="360"/>
        <w:rPr>
          <w:rFonts w:ascii="Arial" w:hAnsi="Arial" w:cs="Arial"/>
          <w:sz w:val="22"/>
          <w:szCs w:val="22"/>
        </w:rPr>
      </w:pPr>
      <w:r w:rsidRPr="19BF52E7" w:rsidR="2ABF8D99">
        <w:rPr>
          <w:rFonts w:ascii="Arial" w:hAnsi="Arial" w:cs="Arial"/>
        </w:rPr>
        <w:t xml:space="preserve"> </w:t>
      </w:r>
      <w:r w:rsidRPr="19BF52E7" w:rsidR="00013C1C">
        <w:rPr>
          <w:rFonts w:ascii="Arial" w:hAnsi="Arial" w:cs="Arial"/>
        </w:rPr>
        <w:t>Bradford Partnership (2023) </w:t>
      </w:r>
      <w:r w:rsidRPr="19BF52E7" w:rsidR="00013C1C">
        <w:rPr>
          <w:rFonts w:ascii="Arial" w:hAnsi="Arial" w:cs="Arial"/>
          <w:i w:val="1"/>
          <w:iCs w:val="1"/>
        </w:rPr>
        <w:t>Child Safeguarding Practice Review: Child A</w:t>
      </w:r>
      <w:r w:rsidRPr="19BF52E7" w:rsidR="00013C1C">
        <w:rPr>
          <w:rFonts w:ascii="Arial" w:hAnsi="Arial" w:cs="Arial"/>
        </w:rPr>
        <w:t>.</w:t>
      </w:r>
      <w:r w:rsidRPr="19BF52E7" w:rsidR="00013C1C">
        <w:rPr>
          <w:rFonts w:ascii="Arial" w:hAnsi="Arial" w:cs="Arial"/>
          <w:lang w:val="en-US"/>
        </w:rPr>
        <w:t xml:space="preserve"> </w:t>
      </w:r>
      <w:r w:rsidRPr="19BF52E7" w:rsidR="0A6443DC">
        <w:rPr>
          <w:rFonts w:ascii="Arial" w:hAnsi="Arial" w:cs="Arial"/>
          <w:lang w:val="en-US"/>
        </w:rPr>
        <w:t xml:space="preserve">   </w:t>
      </w:r>
      <w:r w:rsidRPr="19BF52E7" w:rsidR="62E0B4F5">
        <w:rPr>
          <w:rFonts w:ascii="Arial" w:hAnsi="Arial" w:cs="Arial"/>
          <w:lang w:val="en-US"/>
        </w:rPr>
        <w:t xml:space="preserve">  </w:t>
      </w:r>
      <w:hyperlink r:id="R4d50b0dc3ec149f8">
        <w:r w:rsidRPr="19BF52E7" w:rsidR="00013C1C">
          <w:rPr>
            <w:rStyle w:val="Hyperlink"/>
            <w:rFonts w:ascii="Arial" w:hAnsi="Arial" w:cs="Arial"/>
            <w:lang w:val="en-US"/>
          </w:rPr>
          <w:t>https://saferbradford.co.uk/media/k44hmjpy/child-a-final-report-for-publication.pdf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1D0396B2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Children Act 1989. London: HMSO.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75f784365d2f476e">
        <w:r w:rsidRPr="19BF52E7" w:rsidR="00013C1C">
          <w:rPr>
            <w:rStyle w:val="Hyperlink"/>
            <w:rFonts w:ascii="Arial" w:hAnsi="Arial" w:cs="Arial"/>
            <w:lang w:val="en-US"/>
          </w:rPr>
          <w:t>https://www.legislation.gov.uk/ukpga/1989/41/contents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2DB8F867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Children Act 2004. London: HMSO.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6069630c388345e1">
        <w:r w:rsidRPr="19BF52E7" w:rsidR="00013C1C">
          <w:rPr>
            <w:rStyle w:val="Hyperlink"/>
            <w:rFonts w:ascii="Arial" w:hAnsi="Arial" w:cs="Arial"/>
            <w:lang w:val="en-US"/>
          </w:rPr>
          <w:t>https://www.legislation.gov.uk/ukpga/2004/31/contents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noSpellErr="1" w14:paraId="4609801E" w14:textId="582F4566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HM Government (2018) </w:t>
      </w:r>
      <w:r w:rsidRPr="19BF52E7" w:rsidR="00013C1C">
        <w:rPr>
          <w:rFonts w:ascii="Arial" w:hAnsi="Arial" w:cs="Arial"/>
          <w:i w:val="1"/>
          <w:iCs w:val="1"/>
        </w:rPr>
        <w:t>Working Together to Safeguard Children</w:t>
      </w:r>
      <w:r w:rsidRPr="19BF52E7" w:rsidR="00013C1C">
        <w:rPr>
          <w:rFonts w:ascii="Arial" w:hAnsi="Arial" w:cs="Arial"/>
        </w:rPr>
        <w:t>. London: DfE.</w:t>
      </w:r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19BF52E7" w:rsidRDefault="00013C1C" w14:paraId="2C1E5F6C" w14:textId="727B2C3D">
      <w:pPr>
        <w:pStyle w:val="ListParagraph"/>
        <w:ind w:left="360"/>
        <w:rPr>
          <w:rFonts w:ascii="Arial" w:hAnsi="Arial" w:cs="Arial"/>
        </w:rPr>
      </w:pPr>
      <w:hyperlink r:id="R2dde3dc60c3a4f59">
        <w:r w:rsidRPr="19BF52E7" w:rsidR="00013C1C">
          <w:rPr>
            <w:rStyle w:val="Hyperlink"/>
            <w:rFonts w:ascii="Arial" w:hAnsi="Arial" w:cs="Arial"/>
            <w:lang w:val="en-US"/>
          </w:rPr>
          <w:t>https://www.gov.uk/government/publications/working-together-to-safeguard-children--2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243F85D2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Ferguson, H. (2017) </w:t>
      </w:r>
      <w:r w:rsidRPr="19BF52E7" w:rsidR="00013C1C">
        <w:rPr>
          <w:rFonts w:ascii="Arial" w:hAnsi="Arial" w:cs="Arial"/>
          <w:i w:val="1"/>
          <w:iCs w:val="1"/>
        </w:rPr>
        <w:t>How Children Become Invisible in Child Protection Work</w:t>
      </w:r>
      <w:r w:rsidRPr="19BF52E7" w:rsidR="00013C1C">
        <w:rPr>
          <w:rFonts w:ascii="Arial" w:hAnsi="Arial" w:cs="Arial"/>
        </w:rPr>
        <w:t>. British Journal of Social Work, 47(4), pp.1007–1023.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1be72a927a7146ad">
        <w:r w:rsidRPr="19BF52E7" w:rsidR="00013C1C">
          <w:rPr>
            <w:rStyle w:val="Hyperlink"/>
            <w:rFonts w:ascii="Arial" w:hAnsi="Arial" w:cs="Arial"/>
            <w:lang w:val="en-US"/>
          </w:rPr>
          <w:t>https://academic.oup.com/bjsw/article/47/4/1007/2622323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33FD8160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Munro, E. (2011) </w:t>
      </w:r>
      <w:r w:rsidRPr="19BF52E7" w:rsidR="00013C1C">
        <w:rPr>
          <w:rFonts w:ascii="Arial" w:hAnsi="Arial" w:cs="Arial"/>
          <w:i w:val="1"/>
          <w:iCs w:val="1"/>
        </w:rPr>
        <w:t>The Munro Review of Child Protection</w:t>
      </w:r>
      <w:r w:rsidRPr="19BF52E7" w:rsidR="00013C1C">
        <w:rPr>
          <w:rFonts w:ascii="Arial" w:hAnsi="Arial" w:cs="Arial"/>
        </w:rPr>
        <w:t>. London: DfE.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0f930c5fd19f4ad3">
        <w:r w:rsidRPr="19BF52E7" w:rsidR="00013C1C">
          <w:rPr>
            <w:rStyle w:val="Hyperlink"/>
            <w:rFonts w:ascii="Arial" w:hAnsi="Arial" w:cs="Arial"/>
            <w:lang w:val="en-US"/>
          </w:rPr>
          <w:t>https://www.scirp.org/reference/referencespapers?referenceid=611831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1F5904EC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Ravalier</w:t>
      </w:r>
      <w:r w:rsidRPr="19BF52E7" w:rsidR="00013C1C">
        <w:rPr>
          <w:rFonts w:ascii="Arial" w:hAnsi="Arial" w:cs="Arial"/>
        </w:rPr>
        <w:t>, J. (2019) </w:t>
      </w:r>
      <w:r w:rsidRPr="19BF52E7" w:rsidR="00013C1C">
        <w:rPr>
          <w:rFonts w:ascii="Arial" w:hAnsi="Arial" w:cs="Arial"/>
          <w:i w:val="1"/>
          <w:iCs w:val="1"/>
        </w:rPr>
        <w:t>Psycho-social Working Conditions and Stress in UK Social Workers</w:t>
      </w:r>
      <w:r w:rsidRPr="19BF52E7" w:rsidR="00013C1C">
        <w:rPr>
          <w:rFonts w:ascii="Arial" w:hAnsi="Arial" w:cs="Arial"/>
        </w:rPr>
        <w:t>. British Journal of Social Work, 49(2), pp.371–390.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6d09028cc53948da">
        <w:r w:rsidRPr="19BF52E7" w:rsidR="00013C1C">
          <w:rPr>
            <w:rStyle w:val="Hyperlink"/>
            <w:rFonts w:ascii="Arial" w:hAnsi="Arial" w:cs="Arial"/>
            <w:lang w:val="en-US"/>
          </w:rPr>
          <w:t>https://www.researchgate.net/publication/327097680_Psycho-Social_Working_Conditions_and_Stress_in_UK_Social_Workers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351EA70B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Sidebotham, P. (2016) </w:t>
      </w:r>
      <w:r w:rsidRPr="19BF52E7" w:rsidR="00013C1C">
        <w:rPr>
          <w:rFonts w:ascii="Arial" w:hAnsi="Arial" w:cs="Arial"/>
          <w:i w:val="1"/>
          <w:iCs w:val="1"/>
        </w:rPr>
        <w:t>Pathways to Harm, Pathways to Protection</w:t>
      </w:r>
      <w:r w:rsidRPr="19BF52E7" w:rsidR="00013C1C">
        <w:rPr>
          <w:rFonts w:ascii="Arial" w:hAnsi="Arial" w:cs="Arial"/>
        </w:rPr>
        <w:t>. London: DfE.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b2e6b753273e46d5">
        <w:r w:rsidRPr="19BF52E7" w:rsidR="00013C1C">
          <w:rPr>
            <w:rStyle w:val="Hyperlink"/>
            <w:rFonts w:ascii="Arial" w:hAnsi="Arial" w:cs="Arial"/>
            <w:lang w:val="en-US"/>
          </w:rPr>
          <w:t>https://wrap.warwick.ac.uk/id/eprint/84285/3/WRAP_Triennial%20Analysis%20of%20SCRs%202011-2014%20-%20%20Pathways%20to%20harm%20and%20protection.pdf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P="00013C1C" w:rsidRDefault="00013C1C" w14:paraId="73FB0FE5" w14:textId="77777777" w14:noSpellErr="1">
      <w:pPr>
        <w:pStyle w:val="ListParagraph"/>
        <w:numPr>
          <w:ilvl w:val="0"/>
          <w:numId w:val="2"/>
        </w:numPr>
        <w:ind w:left="360"/>
        <w:rPr>
          <w:rFonts w:ascii="Arial" w:hAnsi="Arial" w:cs="Arial"/>
        </w:rPr>
      </w:pPr>
      <w:r w:rsidRPr="19BF52E7" w:rsidR="00013C1C">
        <w:rPr>
          <w:rFonts w:ascii="Arial" w:hAnsi="Arial" w:cs="Arial"/>
        </w:rPr>
        <w:t>NSPCC (2023) </w:t>
      </w:r>
      <w:r w:rsidRPr="19BF52E7" w:rsidR="00013C1C">
        <w:rPr>
          <w:rFonts w:ascii="Arial" w:hAnsi="Arial" w:cs="Arial"/>
          <w:i w:val="1"/>
          <w:iCs w:val="1"/>
        </w:rPr>
        <w:t>Learning from Case Reviews: Neglect</w:t>
      </w:r>
      <w:r w:rsidRPr="19BF52E7" w:rsidR="00013C1C">
        <w:rPr>
          <w:rFonts w:ascii="Arial" w:hAnsi="Arial" w:cs="Arial"/>
        </w:rPr>
        <w:t>. London: NSPCC.</w:t>
      </w:r>
      <w:r w:rsidRPr="19BF52E7" w:rsidR="00013C1C">
        <w:rPr>
          <w:rFonts w:ascii="Arial" w:hAnsi="Arial" w:cs="Arial"/>
          <w:lang w:val="en-US"/>
        </w:rPr>
        <w:t xml:space="preserve"> </w:t>
      </w:r>
      <w:hyperlink r:id="R9764751e392f4b0a">
        <w:r w:rsidRPr="19BF52E7" w:rsidR="00013C1C">
          <w:rPr>
            <w:rStyle w:val="Hyperlink"/>
            <w:rFonts w:ascii="Arial" w:hAnsi="Arial" w:cs="Arial"/>
            <w:lang w:val="en-US"/>
          </w:rPr>
          <w:t>https://learning.nspcc.org.uk/research-resources/learning-from-case-reviews/neglect</w:t>
        </w:r>
      </w:hyperlink>
      <w:r w:rsidRPr="19BF52E7" w:rsidR="00013C1C">
        <w:rPr>
          <w:rFonts w:ascii="Arial" w:hAnsi="Arial" w:cs="Arial"/>
          <w:lang w:val="en-US"/>
        </w:rPr>
        <w:t xml:space="preserve"> </w:t>
      </w:r>
    </w:p>
    <w:p w:rsidRPr="00013C1C" w:rsidR="00013C1C" w:rsidRDefault="00013C1C" w14:paraId="23C04179" w14:textId="77777777">
      <w:pPr>
        <w:rPr>
          <w:rFonts w:ascii="Arial" w:hAnsi="Arial" w:cs="Arial"/>
        </w:rPr>
      </w:pPr>
    </w:p>
    <w:sectPr w:rsidRPr="00013C1C" w:rsidR="00013C1C" w:rsidSect="00E941A2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973B26"/>
    <w:multiLevelType w:val="hybridMultilevel"/>
    <w:tmpl w:val="AC06DDBA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" w15:restartNumberingAfterBreak="0">
    <w:nsid w:val="59696194"/>
    <w:multiLevelType w:val="hybridMultilevel"/>
    <w:tmpl w:val="333E31A2"/>
    <w:lvl w:ilvl="0" w:tplc="591877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Arial" w:hAnsi="Arial"/>
      </w:rPr>
    </w:lvl>
    <w:lvl w:ilvl="1" w:tplc="5EEE31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Arial" w:hAnsi="Arial"/>
      </w:rPr>
    </w:lvl>
    <w:lvl w:ilvl="2" w:tplc="269471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Arial" w:hAnsi="Arial"/>
      </w:rPr>
    </w:lvl>
    <w:lvl w:ilvl="3" w:tplc="E8A835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Arial" w:hAnsi="Arial"/>
      </w:rPr>
    </w:lvl>
    <w:lvl w:ilvl="4" w:tplc="8EA009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Arial" w:hAnsi="Arial"/>
      </w:rPr>
    </w:lvl>
    <w:lvl w:ilvl="5" w:tplc="372CE2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Arial" w:hAnsi="Arial"/>
      </w:rPr>
    </w:lvl>
    <w:lvl w:ilvl="6" w:tplc="342C06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Arial" w:hAnsi="Arial"/>
      </w:rPr>
    </w:lvl>
    <w:lvl w:ilvl="7" w:tplc="CB10BA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Arial" w:hAnsi="Arial"/>
      </w:rPr>
    </w:lvl>
    <w:lvl w:ilvl="8" w:tplc="DA4ADA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Arial" w:hAnsi="Arial"/>
      </w:rPr>
    </w:lvl>
  </w:abstractNum>
  <w:num w:numId="1" w16cid:durableId="2116364482">
    <w:abstractNumId w:val="1"/>
  </w:num>
  <w:num w:numId="2" w16cid:durableId="5391671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DW0MLe0MDUzMTIzNjRT0lEKTi0uzszPAykwrAUAVS8yvywAAAA="/>
  </w:docVars>
  <w:rsids>
    <w:rsidRoot w:val="00013C1C"/>
    <w:rsid w:val="00013C1C"/>
    <w:rsid w:val="00701D2D"/>
    <w:rsid w:val="00DB1A97"/>
    <w:rsid w:val="00E941A2"/>
    <w:rsid w:val="00FA30CB"/>
    <w:rsid w:val="0A6443DC"/>
    <w:rsid w:val="1779DB45"/>
    <w:rsid w:val="17D6F250"/>
    <w:rsid w:val="19BF52E7"/>
    <w:rsid w:val="1B8FC23D"/>
    <w:rsid w:val="21CDCFB9"/>
    <w:rsid w:val="24DB1E57"/>
    <w:rsid w:val="26F26F70"/>
    <w:rsid w:val="2ABF8D99"/>
    <w:rsid w:val="2B10DCD7"/>
    <w:rsid w:val="2D743FD6"/>
    <w:rsid w:val="36691DF3"/>
    <w:rsid w:val="3DE35EC4"/>
    <w:rsid w:val="50AB614A"/>
    <w:rsid w:val="579BB491"/>
    <w:rsid w:val="62E0B4F5"/>
    <w:rsid w:val="6856145D"/>
    <w:rsid w:val="69C628AE"/>
    <w:rsid w:val="74F9A936"/>
    <w:rsid w:val="77129046"/>
    <w:rsid w:val="7C0021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985DC1"/>
  <w15:chartTrackingRefBased/>
  <w15:docId w15:val="{4F20B6FB-A6B3-49FD-8EB9-C5891166CE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C1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3C1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3C1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3C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3C1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3C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3C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3C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3C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13C1C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13C1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13C1C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13C1C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13C1C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13C1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13C1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13C1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13C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3C1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13C1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3C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13C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3C1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13C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3C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3C1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3C1C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13C1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3C1C"/>
    <w:rPr>
      <w:b/>
      <w:bCs/>
      <w:smallCaps/>
      <w:color w:val="2F5496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BF52E7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saferbradford.co.uk/media/k44hmjpy/child-a-final-report-for-publication.pdf" TargetMode="External" Id="R4d50b0dc3ec149f8" /><Relationship Type="http://schemas.openxmlformats.org/officeDocument/2006/relationships/hyperlink" Target="https://www.legislation.gov.uk/ukpga/1989/41/contents" TargetMode="External" Id="R75f784365d2f476e" /><Relationship Type="http://schemas.openxmlformats.org/officeDocument/2006/relationships/hyperlink" Target="https://www.legislation.gov.uk/ukpga/2004/31/contents" TargetMode="External" Id="R6069630c388345e1" /><Relationship Type="http://schemas.openxmlformats.org/officeDocument/2006/relationships/hyperlink" Target="https://www.gov.uk/government/publications/working-together-to-safeguard-children--2" TargetMode="External" Id="R2dde3dc60c3a4f59" /><Relationship Type="http://schemas.openxmlformats.org/officeDocument/2006/relationships/hyperlink" Target="https://academic.oup.com/bjsw/article/47/4/1007/2622323" TargetMode="External" Id="R1be72a927a7146ad" /><Relationship Type="http://schemas.openxmlformats.org/officeDocument/2006/relationships/hyperlink" Target="https://www.scirp.org/reference/referencespapers?referenceid=611831" TargetMode="External" Id="R0f930c5fd19f4ad3" /><Relationship Type="http://schemas.openxmlformats.org/officeDocument/2006/relationships/hyperlink" Target="https://www.researchgate.net/publication/327097680_Psycho-Social_Working_Conditions_and_Stress_in_UK_Social_Workers" TargetMode="External" Id="R6d09028cc53948da" /><Relationship Type="http://schemas.openxmlformats.org/officeDocument/2006/relationships/hyperlink" Target="https://wrap.warwick.ac.uk/id/eprint/84285/3/WRAP_Triennial%20Analysis%20of%20SCRs%202011-2014%20-%20%20Pathways%20to%20harm%20and%20protection.pdf" TargetMode="External" Id="Rb2e6b753273e46d5" /><Relationship Type="http://schemas.openxmlformats.org/officeDocument/2006/relationships/hyperlink" Target="https://learning.nspcc.org.uk/research-resources/learning-from-case-reviews/neglect" TargetMode="External" Id="R9764751e392f4b0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revision>2</revision>
  <dcterms:created xsi:type="dcterms:W3CDTF">2025-10-17T15:19:00.0000000Z</dcterms:created>
  <dcterms:modified xsi:type="dcterms:W3CDTF">2025-10-21T09:25:22.0508622Z</dcterms:modified>
  <lastModifiedBy>Hajar Orriti (2328101)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94a0caa4-7948-4b51-97a8-ff4d6a6c68bd</vt:lpwstr>
  </property>
</Properties>
</file>