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1A4D" w:rsidRDefault="00311A4D">
      <w:pPr>
        <w:spacing w:line="259" w:lineRule="auto"/>
        <w:jc w:val="left"/>
        <w:rPr>
          <w:b/>
          <w:bCs/>
          <w:sz w:val="32"/>
          <w:szCs w:val="32"/>
          <w:lang w:val="en-US"/>
        </w:rPr>
      </w:pPr>
      <w:r>
        <w:rPr>
          <w:b/>
          <w:bCs/>
          <w:sz w:val="32"/>
          <w:szCs w:val="32"/>
          <w:lang w:val="en-US"/>
        </w:rPr>
        <w:t xml:space="preserve">                                Module Code:LCBB5008</w:t>
      </w:r>
    </w:p>
    <w:p w:rsidR="00311A4D" w:rsidRDefault="00311A4D">
      <w:pPr>
        <w:spacing w:line="259" w:lineRule="auto"/>
        <w:jc w:val="left"/>
        <w:rPr>
          <w:b/>
          <w:bCs/>
          <w:sz w:val="32"/>
          <w:szCs w:val="32"/>
          <w:lang w:val="en-US"/>
        </w:rPr>
      </w:pPr>
      <w:r>
        <w:rPr>
          <w:b/>
          <w:bCs/>
          <w:sz w:val="32"/>
          <w:szCs w:val="32"/>
          <w:lang w:val="en-US"/>
        </w:rPr>
        <w:t xml:space="preserve">                   Module Name: Management Economics</w:t>
      </w:r>
    </w:p>
    <w:p w:rsidR="00311A4D" w:rsidRDefault="00311A4D">
      <w:pPr>
        <w:spacing w:line="259" w:lineRule="auto"/>
        <w:jc w:val="left"/>
        <w:rPr>
          <w:b/>
          <w:bCs/>
          <w:sz w:val="32"/>
          <w:szCs w:val="32"/>
          <w:lang w:val="en-US"/>
        </w:rPr>
      </w:pPr>
      <w:r>
        <w:rPr>
          <w:b/>
          <w:bCs/>
          <w:sz w:val="32"/>
          <w:szCs w:val="32"/>
          <w:lang w:val="en-US"/>
        </w:rPr>
        <w:t xml:space="preserve">                          Modul Tutor: Dr. Taye Osadiya</w:t>
      </w:r>
    </w:p>
    <w:p w:rsidR="00311A4D" w:rsidRDefault="00311A4D">
      <w:pPr>
        <w:spacing w:line="259" w:lineRule="auto"/>
        <w:jc w:val="left"/>
        <w:rPr>
          <w:b/>
          <w:bCs/>
          <w:sz w:val="32"/>
          <w:szCs w:val="32"/>
          <w:lang w:val="en-US"/>
        </w:rPr>
      </w:pPr>
      <w:r>
        <w:rPr>
          <w:b/>
          <w:bCs/>
          <w:sz w:val="32"/>
          <w:szCs w:val="32"/>
          <w:lang w:val="en-US"/>
        </w:rPr>
        <w:t xml:space="preserve">                        Assigment Title: Compoment 1</w:t>
      </w:r>
    </w:p>
    <w:p w:rsidR="00311A4D" w:rsidRDefault="00311A4D">
      <w:pPr>
        <w:spacing w:line="259" w:lineRule="auto"/>
        <w:jc w:val="left"/>
        <w:rPr>
          <w:b/>
          <w:bCs/>
          <w:sz w:val="32"/>
          <w:szCs w:val="32"/>
          <w:lang w:val="en-US"/>
        </w:rPr>
      </w:pPr>
      <w:r>
        <w:rPr>
          <w:b/>
          <w:bCs/>
          <w:sz w:val="32"/>
          <w:szCs w:val="32"/>
          <w:lang w:val="en-US"/>
        </w:rPr>
        <w:t xml:space="preserve">                                      Coursework: Essay </w:t>
      </w:r>
    </w:p>
    <w:p w:rsidR="00311A4D" w:rsidRDefault="00311A4D">
      <w:pPr>
        <w:spacing w:line="259" w:lineRule="auto"/>
        <w:jc w:val="left"/>
        <w:rPr>
          <w:b/>
          <w:bCs/>
          <w:sz w:val="32"/>
          <w:szCs w:val="32"/>
          <w:lang w:val="en-US"/>
        </w:rPr>
      </w:pPr>
      <w:r>
        <w:rPr>
          <w:b/>
          <w:bCs/>
          <w:sz w:val="32"/>
          <w:szCs w:val="32"/>
          <w:lang w:val="en-US"/>
        </w:rPr>
        <w:t xml:space="preserve">                         Student Name:Angel Angelov</w:t>
      </w:r>
    </w:p>
    <w:p w:rsidR="003B3C61" w:rsidRDefault="00311A4D">
      <w:pPr>
        <w:spacing w:line="259" w:lineRule="auto"/>
        <w:jc w:val="left"/>
        <w:rPr>
          <w:b/>
          <w:bCs/>
          <w:sz w:val="32"/>
          <w:szCs w:val="32"/>
          <w:lang w:val="en-US"/>
        </w:rPr>
      </w:pPr>
      <w:r>
        <w:rPr>
          <w:b/>
          <w:bCs/>
          <w:sz w:val="32"/>
          <w:szCs w:val="32"/>
          <w:lang w:val="en-US"/>
        </w:rPr>
        <w:t xml:space="preserve">                             Student Number:2120247   </w:t>
      </w:r>
      <w:r w:rsidR="003B3C61">
        <w:rPr>
          <w:b/>
          <w:bCs/>
          <w:sz w:val="32"/>
          <w:szCs w:val="32"/>
          <w:lang w:val="en-US"/>
        </w:rPr>
        <w:br w:type="page"/>
      </w:r>
    </w:p>
    <w:p w:rsidR="00C71380" w:rsidRPr="00C71380" w:rsidRDefault="00C71380" w:rsidP="00C71380">
      <w:pPr>
        <w:rPr>
          <w:b/>
          <w:bCs/>
        </w:rPr>
      </w:pPr>
      <w:r w:rsidRPr="00C71380">
        <w:rPr>
          <w:b/>
          <w:bCs/>
        </w:rPr>
        <w:lastRenderedPageBreak/>
        <w:t>Introduction</w:t>
      </w:r>
    </w:p>
    <w:p w:rsidR="00C71380" w:rsidRPr="00C71380" w:rsidRDefault="00C71380" w:rsidP="00C71380">
      <w:r w:rsidRPr="00C71380">
        <w:t>The given case study states various economic problems caused by the global pandemic COVID-19 mainly in relation to the disruption in demand and supply chain facilities in the United Kingdom (Maital and Barzani, 2020). This essay suggests ways to solve these economic problems. The price changes in the cost of fuel led by the COVID-19 and Brexit is also explained through differences in elasticity and inelasticity of demand.  </w:t>
      </w:r>
    </w:p>
    <w:p w:rsidR="00C71380" w:rsidRPr="00C71380" w:rsidRDefault="00C71380" w:rsidP="00C71380">
      <w:pPr>
        <w:rPr>
          <w:b/>
          <w:bCs/>
        </w:rPr>
      </w:pPr>
      <w:r w:rsidRPr="00C71380">
        <w:rPr>
          <w:b/>
          <w:bCs/>
        </w:rPr>
        <w:t>Task 1</w:t>
      </w:r>
    </w:p>
    <w:p w:rsidR="00C71380" w:rsidRPr="00C71380" w:rsidRDefault="00C71380" w:rsidP="00C71380">
      <w:pPr>
        <w:rPr>
          <w:b/>
          <w:bCs/>
        </w:rPr>
      </w:pPr>
      <w:r w:rsidRPr="00C71380">
        <w:rPr>
          <w:b/>
          <w:bCs/>
        </w:rPr>
        <w:t>a) Identification of fundamental economic problems related to the case study</w:t>
      </w:r>
    </w:p>
    <w:p w:rsidR="00C71380" w:rsidRPr="00C71380" w:rsidRDefault="00C71380" w:rsidP="00C71380">
      <w:r w:rsidRPr="00C71380">
        <w:t>The advent of the pandemic in 2020 triggered various economic problems for the economy of the United Kingdom, which has been identified in this section. A large impact of the global pandemic COVID-19 on the businesses of the United Kingdom can be witnessed. In 2020, many production and business units along with clubs, pubs and restaurants were closed in 2020 as part of the quarantine restrictions (ONS, 2021). In this context, it cannot be denied that the quarantine restrictions imposed by the government across the countries of the world to curb the rapid spread of the virus caused the closure of national borders and restrictions in movement of non-essential goods. As a result, it has not only affected the businesses and investment activities but also led to the disruption in global supply chain facilities. It has compelled many businesses to curtail the employee strength in order to minimise the cost of operating. As of 31st May 2021, the furlough rates were 29 % in arts, recreation and entertainment and 34 % in food services and accommodation sectors in the United Kingdom (THE CONVERSATION, 2023). As the income of people fell due to loss of jobs, it lowered the purchasing power as well. Thus, the main focus of the people remained on buying the essential goods. As the COVID-19 led to a severe economic crisis, it has forced people to curtail shopping on services compared to products (Croudace, 2022). It has been noticed that the high cost of living triggered lower shopping of food in this country. As of October 2022, the inflation rate of this country reached 11.1 % (Statista, 2023).</w:t>
      </w:r>
    </w:p>
    <w:p w:rsidR="00C71380" w:rsidRPr="00C71380" w:rsidRDefault="00C71380" w:rsidP="00C71380">
      <w:r w:rsidRPr="00C71380">
        <w:t xml:space="preserve">The main reasons for this rise in inflation were increasing energy and food costs. In the same period, inflation for energy and housing in the United Kingdom stood at 26.6 %. The role of the global supply chain disruption in the high inflation rate of this country remains significant. It should also be noted that Brexit came up on 1st January 2021 with an end of free movement of products between the United Kingdom and European Union. Hence, the supply chain uncertainties for the economy of the United Kingdom has aggravated due to the </w:t>
      </w:r>
      <w:r w:rsidRPr="00C71380">
        <w:lastRenderedPageBreak/>
        <w:t>combined effects of Brexit and COVID-19. The habit of panic buying for essential items has increased sharply during this period such as sanitisers and masks in the United Kingdom. As a result, the demand for such products induced significantly along with the lower supply due to disruption in the supply chain.</w:t>
      </w:r>
    </w:p>
    <w:p w:rsidR="00C71380" w:rsidRPr="00C71380" w:rsidRDefault="00C71380" w:rsidP="00C71380">
      <w:r w:rsidRPr="00C71380">
        <w:t>According to the theory of demand and supply, the market reaches its equilibrium when demand equals supply. As the market equilibrium distorted during the pandemic, the price of fuel touched an all time high for shortage of fuel supply. There was a lack of qualified drivers in the United Kingdom led by the tax changes, Brexit and the coronavirus pandemic. As per the estimation, the shortfall of drivers stood at almost 100,000 workers, which has contributed to poor supply management of fuel at petrol pumps and thus price hikes (BBC, 2021). Petrol stations in some parts of the country ran out of petrol for a few weeks in 2021 because of the fuel supply crisis. To keep up with the rising cost of living, many individuals and businesses faced bankruptcies that raised the level of borrowing for individuals and businesses as well. As of October 2020, the household debt in the United Kingdom reached 97.87 % of GDP, which posed another challenge for the economy and individuals (CEIC, 2023). In September 2021, the shortage of heavy goods and services drivers resulted in the panic buying of fuel, which was solved by 22nd October 2021.      </w:t>
      </w:r>
    </w:p>
    <w:p w:rsidR="00C71380" w:rsidRPr="00C71380" w:rsidRDefault="00C71380" w:rsidP="00C71380">
      <w:pPr>
        <w:rPr>
          <w:b/>
          <w:bCs/>
        </w:rPr>
      </w:pPr>
      <w:r w:rsidRPr="00C71380">
        <w:rPr>
          <w:b/>
          <w:bCs/>
        </w:rPr>
        <w:t>b) Suggestion for solving the identified economic problems</w:t>
      </w:r>
    </w:p>
    <w:p w:rsidR="00C71380" w:rsidRPr="00C71380" w:rsidRDefault="00C71380" w:rsidP="00C71380">
      <w:r w:rsidRPr="00C71380">
        <w:t xml:space="preserve">From the given case study various economic problems in the United Kingdom have been identified in the above section based on which some actions and ways are suggested in order to solve these economic problems. In this context, the macroeconomic policies of the United Kingdom that combine fiscal policy of government and monetary policy of the Bank of England needs to be mentioned as it has helped the economy to set on a path of recovery through stabilising the pandemic-led economy (Grida </w:t>
      </w:r>
      <w:r w:rsidRPr="00C71380">
        <w:rPr>
          <w:i/>
          <w:iCs/>
        </w:rPr>
        <w:t>et al</w:t>
      </w:r>
      <w:r w:rsidRPr="00C71380">
        <w:t>., 2020). Government intervention proves effective for solving various economic challenges as fiscal support packages including lower tax rate and higher government spending manage to keep the unemployment rate low and provide the economy with necessary liquidity through offering loan guarantees or direct cash injections. The burden on the businesses and individuals remains significantly low due to fall in tax rates. However, as seen in the case of COVID-19-led fiscal support, such a government intervention has affected the debt sustainability in the United Kingdom. Similarly, the deployment of conventional and unconventional monetary policy has contributed in reviving the business environment.</w:t>
      </w:r>
    </w:p>
    <w:p w:rsidR="00C71380" w:rsidRPr="00C71380" w:rsidRDefault="00C71380" w:rsidP="00C71380">
      <w:r w:rsidRPr="00C71380">
        <w:lastRenderedPageBreak/>
        <w:t xml:space="preserve">However, it pushed the rate of inflation up. Hence, the government intervention for solving the economic problems should be aligned with the business and economic environment, which can be done through business engagement and effective capacity of government agency. In addition to this, relaxation in some stringent rules of COVID-19 such as changes in corporate laws, trade facilitation measures and new border protocols. The mismatch in supply and demand within the economy can be addressed with the help of the growth in production in the United Kingdom along with a robust supply chain management (Nandi </w:t>
      </w:r>
      <w:r w:rsidRPr="00C71380">
        <w:rPr>
          <w:i/>
          <w:iCs/>
        </w:rPr>
        <w:t>et al</w:t>
      </w:r>
      <w:r w:rsidRPr="00C71380">
        <w:t xml:space="preserve">., 2021). For industries and organisations, the development of a crisis management strategy is essential as it would safeguard the organisations and industries for making financial losses and damaging relationships with stakeholders and thus reputation amid pandemic (Ardito </w:t>
      </w:r>
      <w:r w:rsidRPr="00C71380">
        <w:rPr>
          <w:i/>
          <w:iCs/>
        </w:rPr>
        <w:t>et al</w:t>
      </w:r>
      <w:r w:rsidRPr="00C71380">
        <w:t>., 2021). Under crisis management, it becomes easier to develop shortage management strategies for companies and industries.</w:t>
      </w:r>
    </w:p>
    <w:p w:rsidR="00C71380" w:rsidRPr="00C71380" w:rsidRDefault="00C71380" w:rsidP="00C71380">
      <w:r w:rsidRPr="00C71380">
        <w:t>It is suggested to build a long term supplier collaboration through identifying suppliers that offers opportunities to retain and create significant value. Hence strategic alignment with these suppliers can help solve the challenges associated with supply chain disruptions. Collaboration with suppliers can be upleveled through the incorporation of SAP business network.  Recycling is the best way that can be adapted by companies in order to reduce the waste in the concerned industry, which will act in favour of overall growth of the economy (Pinheiro and Luís, 2020). The pandemic has encouraged businesses to look into its logistics operations in order to improve the supply chain efficiency, which in turn will help in controlling future economic shocks. The implementation of the inventory management strategies can improve its supply chain system as it makes tracking the levels of inventory easier for organisations through various stages including receiving, warehousing, packing, picking and shipping. Higher price of goods and services and thus inflation was a vital challenge thrown by the global pandemic COVID-19 for the economy of the United Kingdom along with the rest of the world. Negotiations with new suppliers and regular evaluation and monitoring of existing suppliers’ performance can be followed in order to reduce the costs linked with suppliers. Success of businesses highly depends on the stakeholder management. All important stakeholders should be well up to date about the development of the project in order to avoid any sudden shock (Takes, 2020). Building collaboratively and communicating transparently can help strengthen the relationship with stakeholders, which keeps the business aligned with equilibrium in demand and supply.          </w:t>
      </w:r>
    </w:p>
    <w:p w:rsidR="00C71380" w:rsidRPr="00C71380" w:rsidRDefault="00C71380" w:rsidP="00C71380">
      <w:pPr>
        <w:rPr>
          <w:b/>
          <w:bCs/>
        </w:rPr>
      </w:pPr>
      <w:r w:rsidRPr="00C71380">
        <w:rPr>
          <w:b/>
          <w:bCs/>
        </w:rPr>
        <w:t>Task 2</w:t>
      </w:r>
    </w:p>
    <w:p w:rsidR="00C71380" w:rsidRPr="00C71380" w:rsidRDefault="00C71380" w:rsidP="00C71380">
      <w:pPr>
        <w:rPr>
          <w:b/>
          <w:bCs/>
        </w:rPr>
      </w:pPr>
      <w:r w:rsidRPr="00C71380">
        <w:rPr>
          <w:b/>
          <w:bCs/>
        </w:rPr>
        <w:lastRenderedPageBreak/>
        <w:t>a) Relevance of demand and supply in the context of the case study</w:t>
      </w:r>
    </w:p>
    <w:p w:rsidR="00C71380" w:rsidRPr="00C71380" w:rsidRDefault="00C71380" w:rsidP="00C71380">
      <w:r w:rsidRPr="00C71380">
        <w:t>Businesses need to treat this higher inflation and increased cost of fuel and food as a strategic opportunity instead of a tactical challenge. It is essential for businesses to recalibrate and clean up their portfolio of products or replace the price model or consider brand repositioning. Considering these three strategic options together can also help businesses to manage the pressure of supply and demand in the market. Keeping prices low amid crises can help businesses outsmart competition. The pandemic forced people to resort to online shopping to maintain social distancing. As a result, it has brought a significant boom in online business for companies like Amazon (Osadiya, 2023). The company witnessed a 37.62 % hike in revenue from 2019 in 2020. Hence, adapting online business mode will act in favour of managing supply chain activities amid restrictions. Proper marketing strategy can enable business to reach the customers easily. As people spent more time online during the pandemic, the use of social media marketing can boost the reachability of a brand to customers to create a balance between demand and supply. Vendor management inventory is a management tool for just in time systems, which can improve collaboration between distribution partners and suppliers. Hence, it can help correct supply chain disruption led by the COVID-19. The lack of funds was a significant challenge faced by businesses after the advent of the pandemic in 2020. It had a significant negative impact on the investment climate of the United Kingdom. Poor finance caused businesses to curtail production, which affected supply of products and services and thus demand. Initial public offerings can be utilised by businesses to generate funds. As the businesses were unable to pay employees during the pandemic, it increased the furlough rate in the United Kingdom.</w:t>
      </w:r>
    </w:p>
    <w:p w:rsidR="00C71380" w:rsidRPr="00C71380" w:rsidRDefault="00C71380" w:rsidP="00C71380">
      <w:r w:rsidRPr="00C71380">
        <w:t>In order to cope with demand and supply shock, businesses need to offer improved salaries and perks to employees for higher satisfaction and retention, which in turn will accelerate productivity. The sudden change in demand or supply led to the market disequilibrium as witnessed in case of the global pandemic COVID-19 (Dey and Francis, 2021). The economy of the United Kingdom can maintain equilibrium of demand and supply through proper management of risks. The pandemic-led supply shortage had impacted the market demand for which there was disequilibrium in the market.  Poor supply in the market forced the demand for products such as fuel to induce, which aggravated the price.   Considering this, it can be said that the management of supply shortage will keep the market demand intact. Therefore, it will be easier to match demand and supply and bring equilibrium in the market of the United Kingdom.                   </w:t>
      </w:r>
    </w:p>
    <w:p w:rsidR="00C71380" w:rsidRPr="00C71380" w:rsidRDefault="00C71380" w:rsidP="00C71380">
      <w:pPr>
        <w:rPr>
          <w:b/>
          <w:bCs/>
        </w:rPr>
      </w:pPr>
      <w:r w:rsidRPr="00C71380">
        <w:rPr>
          <w:b/>
          <w:bCs/>
        </w:rPr>
        <w:lastRenderedPageBreak/>
        <w:t>b) The difference between elasticity and inelasticity of demand in relation to the prices changes in the cost of fuel</w:t>
      </w:r>
    </w:p>
    <w:p w:rsidR="00C71380" w:rsidRPr="00C71380" w:rsidRDefault="00C71380" w:rsidP="00C71380">
      <w:r w:rsidRPr="00C71380">
        <w:t xml:space="preserve">The measure of change in quantity demanded of a good with respect to a change in market variables such as income or price is termed as elasticity of demand (Verwimp </w:t>
      </w:r>
      <w:r w:rsidRPr="00C71380">
        <w:rPr>
          <w:i/>
          <w:iCs/>
        </w:rPr>
        <w:t>et al</w:t>
      </w:r>
      <w:r w:rsidRPr="00C71380">
        <w:t>., 2019). Here, market variables such as the prices change in the cost of fuel is examined in terms of elasticity of demand. The static quantity of product or service with respect to price changes is inelastic. On the other hand, a non-static quantity of product or service with respect to price changes is elastic. Therefore, demand changes due to change in price for elasticity of demand, while demand does not change or little change due to change in price for inelasticity of demand.</w:t>
      </w:r>
    </w:p>
    <w:p w:rsidR="00C71380" w:rsidRPr="00C71380" w:rsidRDefault="00C71380" w:rsidP="00C71380">
      <w:pPr>
        <w:jc w:val="center"/>
      </w:pPr>
      <w:r w:rsidRPr="00C71380">
        <w:rPr>
          <w:noProof/>
          <w:lang w:val="bg-BG" w:eastAsia="bg-BG"/>
        </w:rPr>
        <w:drawing>
          <wp:inline distT="0" distB="0" distL="0" distR="0">
            <wp:extent cx="3169920" cy="2682240"/>
            <wp:effectExtent l="76200" t="76200" r="125730" b="137160"/>
            <wp:docPr id="986216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69920" cy="2682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71380" w:rsidRPr="00C71380" w:rsidRDefault="00C71380" w:rsidP="00C71380">
      <w:pPr>
        <w:jc w:val="center"/>
        <w:rPr>
          <w:b/>
          <w:bCs/>
        </w:rPr>
      </w:pPr>
      <w:r w:rsidRPr="00C71380">
        <w:rPr>
          <w:b/>
          <w:bCs/>
        </w:rPr>
        <w:t>Figure 1: Elastic demand</w:t>
      </w:r>
    </w:p>
    <w:p w:rsidR="00C71380" w:rsidRPr="00C71380" w:rsidRDefault="00C71380" w:rsidP="00C71380">
      <w:pPr>
        <w:jc w:val="center"/>
      </w:pPr>
      <w:r w:rsidRPr="00C71380">
        <w:t>Source: (As created by the author)</w:t>
      </w:r>
    </w:p>
    <w:p w:rsidR="00C71380" w:rsidRPr="00C71380" w:rsidRDefault="00C71380" w:rsidP="00C71380">
      <w:pPr>
        <w:jc w:val="center"/>
      </w:pPr>
      <w:r w:rsidRPr="00C71380">
        <w:rPr>
          <w:noProof/>
          <w:lang w:val="bg-BG" w:eastAsia="bg-BG"/>
        </w:rPr>
        <w:lastRenderedPageBreak/>
        <w:drawing>
          <wp:inline distT="0" distB="0" distL="0" distR="0">
            <wp:extent cx="3108960" cy="2857500"/>
            <wp:effectExtent l="76200" t="76200" r="129540" b="133350"/>
            <wp:docPr id="1825918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08960"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71380" w:rsidRPr="00C71380" w:rsidRDefault="00C71380" w:rsidP="00C71380">
      <w:pPr>
        <w:jc w:val="center"/>
        <w:rPr>
          <w:b/>
          <w:bCs/>
        </w:rPr>
      </w:pPr>
      <w:r w:rsidRPr="00C71380">
        <w:rPr>
          <w:b/>
          <w:bCs/>
        </w:rPr>
        <w:t>Figure 2: Elastic demand</w:t>
      </w:r>
    </w:p>
    <w:p w:rsidR="00C71380" w:rsidRPr="00C71380" w:rsidRDefault="00C71380" w:rsidP="00C71380">
      <w:pPr>
        <w:jc w:val="center"/>
      </w:pPr>
      <w:r w:rsidRPr="00C71380">
        <w:t>Source: (As created by the author)</w:t>
      </w:r>
    </w:p>
    <w:p w:rsidR="00C71380" w:rsidRPr="00C71380" w:rsidRDefault="00C71380" w:rsidP="00C71380">
      <w:r w:rsidRPr="00C71380">
        <w:t>In general, acceptable substitutes remain lower in case of the inelastic products. For example, tobacco, drugs and utilities. Thus, it offers greater flexibility to businesses as demand stays almost constant with the change in prices. Fuel is the example of perfectly inelastic demand as the drop in supply of fuel in the United Kingdom caused a soaring price of the product. In this context, it can be said that as people need fuel to run the cars despite the rise in prices, they need to buy fuel. In contrast, greater availability of substitutes makes the demand elastic for goods and services such as air tickets, food, beverages and accommodation charges (Cigliano, 1980).</w:t>
      </w:r>
    </w:p>
    <w:tbl>
      <w:tblPr>
        <w:tblW w:w="9360" w:type="dxa"/>
        <w:tblCellMar>
          <w:top w:w="15" w:type="dxa"/>
          <w:left w:w="15" w:type="dxa"/>
          <w:bottom w:w="15" w:type="dxa"/>
          <w:right w:w="15" w:type="dxa"/>
        </w:tblCellMar>
        <w:tblLook w:val="04A0"/>
      </w:tblPr>
      <w:tblGrid>
        <w:gridCol w:w="4668"/>
        <w:gridCol w:w="4692"/>
      </w:tblGrid>
      <w:tr w:rsidR="00C71380" w:rsidRPr="00C71380" w:rsidTr="00C71380">
        <w:tc>
          <w:tcPr>
            <w:tcW w:w="4668"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rsidR="00C71380" w:rsidRPr="00C71380" w:rsidRDefault="00C71380" w:rsidP="00C71380">
            <w:r w:rsidRPr="00C71380">
              <w:rPr>
                <w:b/>
                <w:bCs/>
              </w:rPr>
              <w:t>Elastic demand</w:t>
            </w:r>
          </w:p>
        </w:tc>
        <w:tc>
          <w:tcPr>
            <w:tcW w:w="4692" w:type="dxa"/>
            <w:tcBorders>
              <w:top w:val="single" w:sz="8" w:space="0" w:color="000000"/>
              <w:left w:val="single" w:sz="8" w:space="0" w:color="000000"/>
              <w:bottom w:val="single" w:sz="8" w:space="0" w:color="000000"/>
              <w:right w:val="single" w:sz="8" w:space="0" w:color="000000"/>
            </w:tcBorders>
            <w:shd w:val="clear" w:color="auto" w:fill="FFE599" w:themeFill="accent4" w:themeFillTint="66"/>
            <w:tcMar>
              <w:top w:w="100" w:type="dxa"/>
              <w:left w:w="100" w:type="dxa"/>
              <w:bottom w:w="100" w:type="dxa"/>
              <w:right w:w="100" w:type="dxa"/>
            </w:tcMar>
            <w:hideMark/>
          </w:tcPr>
          <w:p w:rsidR="00C71380" w:rsidRPr="00C71380" w:rsidRDefault="00C71380" w:rsidP="00C71380">
            <w:r w:rsidRPr="00C71380">
              <w:rPr>
                <w:b/>
                <w:bCs/>
              </w:rPr>
              <w:t>Inelastic demand</w:t>
            </w:r>
          </w:p>
        </w:tc>
      </w:tr>
      <w:tr w:rsidR="00C71380" w:rsidRPr="00C71380" w:rsidTr="00C71380">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The change in price influences demand</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The change in price does not influence the demand</w:t>
            </w:r>
          </w:p>
        </w:tc>
      </w:tr>
      <w:tr w:rsidR="00C71380" w:rsidRPr="00C71380" w:rsidTr="00C71380">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Poor protection during market fluctuations as changing habit of customers impacts suppliers during recession (Stevenson and Wolfers, 2020)</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A severe impact on suppliers during the recession</w:t>
            </w:r>
          </w:p>
        </w:tc>
      </w:tr>
      <w:tr w:rsidR="00C71380" w:rsidRPr="00C71380" w:rsidTr="00C71380">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lastRenderedPageBreak/>
              <w:t>Entry barriers remain high due to luxury or discretionary expenses.</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Entry barriers comparatively low due to necessity and mandatory expenses.</w:t>
            </w:r>
          </w:p>
        </w:tc>
      </w:tr>
    </w:tbl>
    <w:p w:rsidR="00C71380" w:rsidRPr="00C71380" w:rsidRDefault="00C71380" w:rsidP="00C71380"/>
    <w:tbl>
      <w:tblPr>
        <w:tblW w:w="9360" w:type="dxa"/>
        <w:tblCellMar>
          <w:top w:w="15" w:type="dxa"/>
          <w:left w:w="15" w:type="dxa"/>
          <w:bottom w:w="15" w:type="dxa"/>
          <w:right w:w="15" w:type="dxa"/>
        </w:tblCellMar>
        <w:tblLook w:val="04A0"/>
      </w:tblPr>
      <w:tblGrid>
        <w:gridCol w:w="1600"/>
        <w:gridCol w:w="3853"/>
        <w:gridCol w:w="3907"/>
      </w:tblGrid>
      <w:tr w:rsidR="00C71380" w:rsidRPr="00C71380" w:rsidTr="00C713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tc>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rsidR="00C71380" w:rsidRPr="00C71380" w:rsidRDefault="00C71380" w:rsidP="00C71380">
            <w:r w:rsidRPr="00C71380">
              <w:t>Elasticity of demand</w:t>
            </w:r>
          </w:p>
        </w:tc>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rsidR="00C71380" w:rsidRPr="00C71380" w:rsidRDefault="00C71380" w:rsidP="00C71380">
            <w:r w:rsidRPr="00C71380">
              <w:t>Inelasticity of demand</w:t>
            </w:r>
          </w:p>
        </w:tc>
      </w:tr>
      <w:tr w:rsidR="00C71380" w:rsidRPr="00C71380" w:rsidTr="00C71380">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rsidR="00C71380" w:rsidRPr="00C71380" w:rsidRDefault="00C71380" w:rsidP="00C71380">
            <w:r w:rsidRPr="00C71380">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Optimum price can be set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 xml:space="preserve">Rise in price can boost the revenue of fuel industry (Andreyeva </w:t>
            </w:r>
            <w:r w:rsidRPr="00C71380">
              <w:rPr>
                <w:i/>
                <w:iCs/>
              </w:rPr>
              <w:t>et al</w:t>
            </w:r>
            <w:r w:rsidRPr="00C71380">
              <w:t>., 2010)</w:t>
            </w:r>
          </w:p>
        </w:tc>
      </w:tr>
      <w:tr w:rsidR="00C71380" w:rsidRPr="00C71380" w:rsidTr="00C71380">
        <w:tc>
          <w:tcPr>
            <w:tcW w:w="0" w:type="auto"/>
            <w:tcBorders>
              <w:top w:val="single" w:sz="8" w:space="0" w:color="000000"/>
              <w:left w:val="single" w:sz="8" w:space="0" w:color="000000"/>
              <w:bottom w:val="single" w:sz="8" w:space="0" w:color="000000"/>
              <w:right w:val="single" w:sz="8" w:space="0" w:color="000000"/>
            </w:tcBorders>
            <w:shd w:val="clear" w:color="auto" w:fill="F7CAAC" w:themeFill="accent2" w:themeFillTint="66"/>
            <w:tcMar>
              <w:top w:w="100" w:type="dxa"/>
              <w:left w:w="100" w:type="dxa"/>
              <w:bottom w:w="100" w:type="dxa"/>
              <w:right w:w="100" w:type="dxa"/>
            </w:tcMar>
            <w:hideMark/>
          </w:tcPr>
          <w:p w:rsidR="00C71380" w:rsidRPr="00C71380" w:rsidRDefault="00C71380" w:rsidP="00C71380">
            <w:r w:rsidRPr="00C71380">
              <w:t>Disadvantages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It requires continuous monitoring of strategies of competitors for sale to sustain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C71380" w:rsidRPr="00C71380" w:rsidRDefault="00C71380" w:rsidP="00C71380">
            <w:r w:rsidRPr="00C71380">
              <w:t>Price manipulation may occur to cause customer dissatisfaction.</w:t>
            </w:r>
          </w:p>
        </w:tc>
      </w:tr>
    </w:tbl>
    <w:p w:rsidR="00C71380" w:rsidRPr="00C71380" w:rsidRDefault="00C71380" w:rsidP="00C71380"/>
    <w:p w:rsidR="00C71380" w:rsidRPr="00C71380" w:rsidRDefault="00C71380" w:rsidP="00C71380">
      <w:pPr>
        <w:rPr>
          <w:b/>
          <w:bCs/>
        </w:rPr>
      </w:pPr>
      <w:r w:rsidRPr="00C71380">
        <w:rPr>
          <w:b/>
          <w:bCs/>
        </w:rPr>
        <w:t>c) Explanation of the laws of demand and supply</w:t>
      </w:r>
    </w:p>
    <w:p w:rsidR="00C71380" w:rsidRPr="00C71380" w:rsidRDefault="00C71380" w:rsidP="00C71380">
      <w:r w:rsidRPr="00C71380">
        <w:t>The production and sale of goods and services highly depends on the laws of demand and supply. Thus, businesses must be aware of it as it can help to reduce the adverse impact of economic shocks like COVID-19. These laws of demand and supply are as follows:</w:t>
      </w:r>
    </w:p>
    <w:p w:rsidR="00C71380" w:rsidRPr="00C71380" w:rsidRDefault="00C71380" w:rsidP="00C71380">
      <w:pPr>
        <w:pStyle w:val="a7"/>
        <w:numPr>
          <w:ilvl w:val="0"/>
          <w:numId w:val="4"/>
        </w:numPr>
      </w:pPr>
      <w:r w:rsidRPr="00C71380">
        <w:t>In the presence of unchanged supply, the rise in demand results in increase in prices and quantities (Browning and Zupan, 2020). For instance, amid the pandemic crisis the demand for essential products such as sanitizers and masks increased dramatically if supply for these goods were intact, it led to huge profits for sellers due to rise in prices.</w:t>
      </w:r>
    </w:p>
    <w:p w:rsidR="00C71380" w:rsidRPr="00C71380" w:rsidRDefault="00C71380" w:rsidP="00C71380">
      <w:pPr>
        <w:pStyle w:val="a7"/>
        <w:numPr>
          <w:ilvl w:val="0"/>
          <w:numId w:val="4"/>
        </w:numPr>
      </w:pPr>
      <w:r w:rsidRPr="00C71380">
        <w:t>In the presence of unchanged supply, the fall in demand results in decrease in prices and quantities. For instance, during the pandemic, the demand for services fell, buying can be encouraged through lower prices. However, it will force suppliers to lower production as there will be less opportunity left for profit.</w:t>
      </w:r>
    </w:p>
    <w:p w:rsidR="00C71380" w:rsidRPr="00C71380" w:rsidRDefault="00C71380" w:rsidP="00C71380">
      <w:pPr>
        <w:pStyle w:val="a7"/>
        <w:numPr>
          <w:ilvl w:val="0"/>
          <w:numId w:val="4"/>
        </w:numPr>
      </w:pPr>
      <w:r w:rsidRPr="00C71380">
        <w:t>In the presence of unchanged demand, the rise in supply results in decrease in prices and increase in quantities. The availability of goods and services increases when supply outweighs demand in a market (Besanko and Braeutigam, 2020). Thus, it forces sellers to keep prices of goods and services low in order to attract a large number of customers.  </w:t>
      </w:r>
    </w:p>
    <w:p w:rsidR="00C71380" w:rsidRPr="00C71380" w:rsidRDefault="00C71380" w:rsidP="00C71380">
      <w:pPr>
        <w:pStyle w:val="a7"/>
        <w:numPr>
          <w:ilvl w:val="0"/>
          <w:numId w:val="4"/>
        </w:numPr>
      </w:pPr>
      <w:r w:rsidRPr="00C71380">
        <w:lastRenderedPageBreak/>
        <w:t>In the presence of unchanged demand, the fall in supply results in increase in prices and decrease in quantities. For example, there was a shortage of supply of fuel in the United Kingdom compared to demand. As a result, it led to higher prices of fuel and lower quantity of fuel in the market of the United Kingdom. As consumers need fuel to run cars, they were willing to pay the price. </w:t>
      </w:r>
    </w:p>
    <w:p w:rsidR="00C71380" w:rsidRPr="00C71380" w:rsidRDefault="00C71380" w:rsidP="00C71380">
      <w:pPr>
        <w:rPr>
          <w:b/>
          <w:bCs/>
        </w:rPr>
      </w:pPr>
      <w:r w:rsidRPr="00C71380">
        <w:rPr>
          <w:b/>
          <w:bCs/>
        </w:rPr>
        <w:t>Conclusion</w:t>
      </w:r>
    </w:p>
    <w:p w:rsidR="00C71380" w:rsidRPr="00C71380" w:rsidRDefault="00C71380" w:rsidP="00C71380">
      <w:r w:rsidRPr="00C71380">
        <w:t>The COVID-19 led to various economic problems such as shortages of drivers, higher prices of fuel, shortage of supply, higher level of borrowing in the United Kingdom. Supply chain strategy needs to be improved along with robust government intervention in order to solve these economic problems. Perfectly inelastic demand can be seen in case of the fuel as the demand remains unchanged despite rise in prices due to its less or no substitutes.</w:t>
      </w:r>
    </w:p>
    <w:p w:rsidR="003B3C61" w:rsidRPr="001A0781" w:rsidRDefault="003B3C61" w:rsidP="00C71380">
      <w:r>
        <w:rPr>
          <w:lang w:val="en-US"/>
        </w:rPr>
        <w:br w:type="page"/>
      </w:r>
    </w:p>
    <w:p w:rsidR="003B3C61" w:rsidRPr="00C71380" w:rsidRDefault="003B3C61" w:rsidP="003B3C61">
      <w:pPr>
        <w:rPr>
          <w:b/>
          <w:bCs/>
          <w:lang w:val="en-US"/>
        </w:rPr>
      </w:pPr>
      <w:r w:rsidRPr="00C71380">
        <w:rPr>
          <w:b/>
          <w:bCs/>
          <w:lang w:val="en-US"/>
        </w:rPr>
        <w:lastRenderedPageBreak/>
        <w:t>References</w:t>
      </w:r>
    </w:p>
    <w:p w:rsidR="00C71380" w:rsidRDefault="00C71380" w:rsidP="00F828F0">
      <w:r w:rsidRPr="005135D2">
        <w:t>Andreyeva, T., Long, M. and Brownell, K. (2010) The Impact of Food Prices on Consumption: A Systematic Review of Research on the Price Elasticity of Demand for Food. American Journal of Public Health, 100, 2, 216-222.</w:t>
      </w:r>
    </w:p>
    <w:p w:rsidR="00C71380" w:rsidRDefault="00C71380" w:rsidP="00F828F0">
      <w:r w:rsidRPr="00F828F0">
        <w:t xml:space="preserve">Ardito, L., Coccia, M. and Messeni Petruzzelli, A., </w:t>
      </w:r>
      <w:r>
        <w:t>(</w:t>
      </w:r>
      <w:r w:rsidRPr="00F828F0">
        <w:t>2021</w:t>
      </w:r>
      <w:r>
        <w:t>)</w:t>
      </w:r>
      <w:r w:rsidRPr="00F828F0">
        <w:t>. Technological exaptation and crisis management: Evidence from COVID‐19 outbreaks. </w:t>
      </w:r>
      <w:r w:rsidRPr="00F828F0">
        <w:rPr>
          <w:i/>
          <w:iCs/>
        </w:rPr>
        <w:t>R&amp;d Management</w:t>
      </w:r>
      <w:r w:rsidRPr="00F828F0">
        <w:t>, </w:t>
      </w:r>
      <w:r w:rsidRPr="00F828F0">
        <w:rPr>
          <w:i/>
          <w:iCs/>
        </w:rPr>
        <w:t>51</w:t>
      </w:r>
      <w:r w:rsidRPr="00F828F0">
        <w:t>(4), pp.381-392.</w:t>
      </w:r>
    </w:p>
    <w:p w:rsidR="00C71380" w:rsidRPr="001A0781" w:rsidRDefault="00C71380" w:rsidP="00F828F0">
      <w:r>
        <w:t>BBC</w:t>
      </w:r>
      <w:r w:rsidRPr="001A0781">
        <w:t xml:space="preserve"> (2021) </w:t>
      </w:r>
      <w:r w:rsidRPr="00F828F0">
        <w:rPr>
          <w:i/>
          <w:iCs/>
        </w:rPr>
        <w:t>Driver shortage: ‘I got a big pay rise overnight’</w:t>
      </w:r>
      <w:r w:rsidRPr="001A0781">
        <w:t>, </w:t>
      </w:r>
      <w:r w:rsidRPr="00F828F0">
        <w:rPr>
          <w:i/>
          <w:iCs/>
        </w:rPr>
        <w:t>BBC News</w:t>
      </w:r>
      <w:r w:rsidRPr="001A0781">
        <w:t>. BBC. Available at: https://www.bbc.com/news/business-58394903 (Accessed: 21 November 2023).</w:t>
      </w:r>
    </w:p>
    <w:p w:rsidR="00C71380" w:rsidRDefault="00C71380" w:rsidP="00F828F0">
      <w:r w:rsidRPr="005135D2">
        <w:t xml:space="preserve">Besanko, D. and Braeutigam, R., </w:t>
      </w:r>
      <w:r>
        <w:t>(</w:t>
      </w:r>
      <w:r w:rsidRPr="005135D2">
        <w:t>2020</w:t>
      </w:r>
      <w:r>
        <w:t>)</w:t>
      </w:r>
      <w:r w:rsidRPr="005135D2">
        <w:t>. </w:t>
      </w:r>
      <w:r w:rsidRPr="00F828F0">
        <w:rPr>
          <w:i/>
          <w:iCs/>
        </w:rPr>
        <w:t>Microeconomics</w:t>
      </w:r>
      <w:r w:rsidRPr="005135D2">
        <w:t>. John Wiley &amp; Sons.</w:t>
      </w:r>
    </w:p>
    <w:p w:rsidR="00C71380" w:rsidRDefault="00C71380" w:rsidP="00F828F0">
      <w:r w:rsidRPr="005135D2">
        <w:t xml:space="preserve">Browning, E.K. and Zupan, M.A., </w:t>
      </w:r>
      <w:r>
        <w:t>(</w:t>
      </w:r>
      <w:r w:rsidRPr="005135D2">
        <w:t>2020</w:t>
      </w:r>
      <w:r>
        <w:t>)</w:t>
      </w:r>
      <w:r w:rsidRPr="005135D2">
        <w:t>. </w:t>
      </w:r>
      <w:r w:rsidRPr="00F828F0">
        <w:rPr>
          <w:i/>
          <w:iCs/>
        </w:rPr>
        <w:t>Microeconomics: Theory and applications</w:t>
      </w:r>
      <w:r w:rsidRPr="005135D2">
        <w:t>. John Wiley &amp; Sons.</w:t>
      </w:r>
    </w:p>
    <w:p w:rsidR="00C71380" w:rsidRPr="001A0781" w:rsidRDefault="00C71380" w:rsidP="00F828F0">
      <w:r>
        <w:t xml:space="preserve">CEIC (2023). </w:t>
      </w:r>
      <w:r w:rsidRPr="00F828F0">
        <w:rPr>
          <w:i/>
          <w:iCs/>
        </w:rPr>
        <w:t>United Kingdom Household Debt: % of GDP</w:t>
      </w:r>
      <w:r w:rsidRPr="001A0781">
        <w:t> (no date) </w:t>
      </w:r>
      <w:r w:rsidRPr="00F828F0">
        <w:rPr>
          <w:i/>
          <w:iCs/>
        </w:rPr>
        <w:t>UK Household Debt: % of GDP, 1987 – 2023 | CEIC Data</w:t>
      </w:r>
      <w:r w:rsidRPr="001A0781">
        <w:t>. Available at: https://www.ceicdata.com/en/indicator/united-kingdom/household-debt--of-nominal-gdp (Accessed: 21 November 2023).</w:t>
      </w:r>
    </w:p>
    <w:p w:rsidR="00C71380" w:rsidRDefault="00C71380" w:rsidP="00F828F0">
      <w:r>
        <w:t>Cigliano, J. (1980) Price and Income Elasticities for Airline Travel: The North Atlantic Market, Business Economics, pp. 17–21.</w:t>
      </w:r>
    </w:p>
    <w:p w:rsidR="00C71380" w:rsidRDefault="00C71380" w:rsidP="00F828F0">
      <w:r w:rsidRPr="001A0781">
        <w:t>Croudace, L. (2022) </w:t>
      </w:r>
      <w:r w:rsidRPr="00F828F0">
        <w:rPr>
          <w:i/>
          <w:iCs/>
        </w:rPr>
        <w:t>How our spending has changed since the end of coronavirus (COVID-19) restrictions</w:t>
      </w:r>
      <w:r w:rsidRPr="001A0781">
        <w:t>, </w:t>
      </w:r>
      <w:r w:rsidRPr="00F828F0">
        <w:rPr>
          <w:i/>
          <w:iCs/>
        </w:rPr>
        <w:t>How our spending has changed since the end of coronavirus (COVID-19) restrictions - Office for National Statistics</w:t>
      </w:r>
      <w:r w:rsidRPr="001A0781">
        <w:t>. Office for National Statistics. Available at: https://www.ons.gov.uk/businessindustryandtrade/retailindustry/articles/howourspendinghaschangedsincetheendofcoronaviruscovid19restrictions/2022-07-11 (Accessed: 21 November 2023).</w:t>
      </w:r>
    </w:p>
    <w:p w:rsidR="00C71380" w:rsidRDefault="00C71380" w:rsidP="00F828F0">
      <w:r w:rsidRPr="005135D2">
        <w:t xml:space="preserve">Dey, V. and Francis, G., </w:t>
      </w:r>
      <w:r>
        <w:t>(</w:t>
      </w:r>
      <w:r w:rsidRPr="005135D2">
        <w:t>2021</w:t>
      </w:r>
      <w:r>
        <w:t>)</w:t>
      </w:r>
      <w:r w:rsidRPr="005135D2">
        <w:t>. Influence of Globalization on Online Business: A conceptual study with reference to Amazon and Alibaba e-commerce site. </w:t>
      </w:r>
      <w:r w:rsidRPr="00F828F0">
        <w:rPr>
          <w:i/>
          <w:iCs/>
        </w:rPr>
        <w:t>Ushus Journal of Business Management</w:t>
      </w:r>
      <w:r w:rsidRPr="005135D2">
        <w:t>, </w:t>
      </w:r>
      <w:r w:rsidRPr="00F828F0">
        <w:rPr>
          <w:i/>
          <w:iCs/>
        </w:rPr>
        <w:t>20</w:t>
      </w:r>
      <w:r w:rsidRPr="005135D2">
        <w:t>(2), pp.25-33.</w:t>
      </w:r>
    </w:p>
    <w:p w:rsidR="00C71380" w:rsidRDefault="00C71380" w:rsidP="00F828F0">
      <w:r w:rsidRPr="005135D2">
        <w:t xml:space="preserve">Grida, M., Mohamed, R. and Zaied, A.N.H., </w:t>
      </w:r>
      <w:r>
        <w:t>(</w:t>
      </w:r>
      <w:r w:rsidRPr="005135D2">
        <w:t>2020</w:t>
      </w:r>
      <w:r>
        <w:t>)</w:t>
      </w:r>
      <w:r w:rsidRPr="005135D2">
        <w:t>. Evaluate the impact of COVID-19 prevention policies on supply chain aspects under uncertainty. </w:t>
      </w:r>
      <w:r w:rsidRPr="00F828F0">
        <w:rPr>
          <w:i/>
          <w:iCs/>
        </w:rPr>
        <w:t>Transportation Research Interdisciplinary Perspectives</w:t>
      </w:r>
      <w:r w:rsidRPr="005135D2">
        <w:t>, </w:t>
      </w:r>
      <w:r w:rsidRPr="00F828F0">
        <w:rPr>
          <w:i/>
          <w:iCs/>
        </w:rPr>
        <w:t>8</w:t>
      </w:r>
      <w:r w:rsidRPr="005135D2">
        <w:t>, p.100240.</w:t>
      </w:r>
    </w:p>
    <w:p w:rsidR="00C71380" w:rsidRDefault="00C71380" w:rsidP="00F828F0">
      <w:r w:rsidRPr="005135D2">
        <w:lastRenderedPageBreak/>
        <w:t xml:space="preserve">Maital, S. and Barzani, E., </w:t>
      </w:r>
      <w:r>
        <w:t>(</w:t>
      </w:r>
      <w:r w:rsidRPr="005135D2">
        <w:t>2020</w:t>
      </w:r>
      <w:r>
        <w:t>)</w:t>
      </w:r>
      <w:r w:rsidRPr="005135D2">
        <w:t>. The global economic impact of COVID-19: A summary of research. </w:t>
      </w:r>
      <w:r w:rsidRPr="00F828F0">
        <w:rPr>
          <w:i/>
          <w:iCs/>
        </w:rPr>
        <w:t>Samuel Neaman Institute for National Policy Research</w:t>
      </w:r>
      <w:r w:rsidRPr="005135D2">
        <w:t>, </w:t>
      </w:r>
      <w:r w:rsidRPr="00F828F0">
        <w:rPr>
          <w:i/>
          <w:iCs/>
        </w:rPr>
        <w:t>2020</w:t>
      </w:r>
      <w:r w:rsidRPr="005135D2">
        <w:t>, pp.1-12.</w:t>
      </w:r>
    </w:p>
    <w:p w:rsidR="00C71380" w:rsidRDefault="00C71380" w:rsidP="00F828F0">
      <w:r w:rsidRPr="00F828F0">
        <w:t xml:space="preserve">Nandi, S., Sarkis, J., Hervani, A.A. and Helms, M.M., </w:t>
      </w:r>
      <w:r>
        <w:t>(</w:t>
      </w:r>
      <w:r w:rsidRPr="00F828F0">
        <w:t>2021</w:t>
      </w:r>
      <w:r>
        <w:t>)</w:t>
      </w:r>
      <w:r w:rsidRPr="00F828F0">
        <w:t>. Redesigning supply chains using blockchain-enabled circular economy and COVID-19 experiences. </w:t>
      </w:r>
      <w:r w:rsidRPr="00F828F0">
        <w:rPr>
          <w:i/>
          <w:iCs/>
        </w:rPr>
        <w:t>Sustainable Production and Consumption</w:t>
      </w:r>
      <w:r w:rsidRPr="00F828F0">
        <w:t>, </w:t>
      </w:r>
      <w:r w:rsidRPr="00F828F0">
        <w:rPr>
          <w:i/>
          <w:iCs/>
        </w:rPr>
        <w:t>27</w:t>
      </w:r>
      <w:r w:rsidRPr="00F828F0">
        <w:t>, pp.10-22.</w:t>
      </w:r>
    </w:p>
    <w:p w:rsidR="00C71380" w:rsidRDefault="00C71380" w:rsidP="00F828F0">
      <w:r>
        <w:t>ONS</w:t>
      </w:r>
      <w:r w:rsidRPr="001A0781">
        <w:t xml:space="preserve"> (2021) </w:t>
      </w:r>
      <w:r w:rsidRPr="00F828F0">
        <w:rPr>
          <w:i/>
          <w:iCs/>
        </w:rPr>
        <w:t>Coronavirus and the impact on output in the UK economy: December 2020</w:t>
      </w:r>
      <w:r w:rsidRPr="001A0781">
        <w:t>, </w:t>
      </w:r>
      <w:r w:rsidRPr="00F828F0">
        <w:rPr>
          <w:i/>
          <w:iCs/>
        </w:rPr>
        <w:t>Coronavirus and the impact on output in the UK economy - Office for National Statistics</w:t>
      </w:r>
      <w:r w:rsidRPr="001A0781">
        <w:t>. Office for National Statistics. Available at: https://www.ons.gov.uk/economy/grossdomesticproductgdp/articles/coronavirusandtheimpactonoutputintheukeconomy/december2020 (Accessed: 21 November 2023).</w:t>
      </w:r>
    </w:p>
    <w:p w:rsidR="00C71380" w:rsidRDefault="00C71380" w:rsidP="00F828F0">
      <w:r>
        <w:t>Osadiya T. (2023), Introduction to Economics. Amazon</w:t>
      </w:r>
    </w:p>
    <w:p w:rsidR="00C71380" w:rsidRDefault="00C71380" w:rsidP="00F828F0">
      <w:r w:rsidRPr="00F828F0">
        <w:t xml:space="preserve">Pinheiro, M.D. and Luís, N.C., </w:t>
      </w:r>
      <w:r>
        <w:t>(</w:t>
      </w:r>
      <w:r w:rsidRPr="00F828F0">
        <w:t>2020</w:t>
      </w:r>
      <w:r>
        <w:t>)</w:t>
      </w:r>
      <w:r w:rsidRPr="00F828F0">
        <w:t>. COVID-19 could leverage a sustainable built environment. </w:t>
      </w:r>
      <w:r w:rsidRPr="00F828F0">
        <w:rPr>
          <w:i/>
          <w:iCs/>
        </w:rPr>
        <w:t>Sustainability</w:t>
      </w:r>
      <w:r w:rsidRPr="00F828F0">
        <w:t>, </w:t>
      </w:r>
      <w:r w:rsidRPr="00F828F0">
        <w:rPr>
          <w:i/>
          <w:iCs/>
        </w:rPr>
        <w:t>12</w:t>
      </w:r>
      <w:r w:rsidRPr="00F828F0">
        <w:t>(14), p.5863.</w:t>
      </w:r>
    </w:p>
    <w:p w:rsidR="00C71380" w:rsidRPr="001A0781" w:rsidRDefault="00C71380" w:rsidP="00F828F0">
      <w:r w:rsidRPr="001A0781">
        <w:t>Statista(</w:t>
      </w:r>
      <w:r>
        <w:t>2023</w:t>
      </w:r>
      <w:r w:rsidRPr="001A0781">
        <w:t>) </w:t>
      </w:r>
      <w:r w:rsidRPr="00F828F0">
        <w:rPr>
          <w:i/>
          <w:iCs/>
        </w:rPr>
        <w:t>Topic: Inflation in the UK</w:t>
      </w:r>
      <w:r w:rsidRPr="001A0781">
        <w:t>, </w:t>
      </w:r>
      <w:r w:rsidRPr="00F828F0">
        <w:rPr>
          <w:i/>
          <w:iCs/>
        </w:rPr>
        <w:t>Statista</w:t>
      </w:r>
      <w:r w:rsidRPr="001A0781">
        <w:t>. Available at: https://www.statista.com/topics/7694/inflation-in-the-uk/#topicOverview (Accessed: 21 November 2023).</w:t>
      </w:r>
    </w:p>
    <w:p w:rsidR="00C71380" w:rsidRPr="001A0781" w:rsidRDefault="00C71380" w:rsidP="00F828F0">
      <w:r w:rsidRPr="005135D2">
        <w:t xml:space="preserve">Stevenson, B. and Wolfers, J., </w:t>
      </w:r>
      <w:r>
        <w:t>(</w:t>
      </w:r>
      <w:r w:rsidRPr="005135D2">
        <w:t>2020</w:t>
      </w:r>
      <w:r>
        <w:t>)</w:t>
      </w:r>
      <w:r w:rsidRPr="005135D2">
        <w:t>. </w:t>
      </w:r>
      <w:r w:rsidRPr="00F828F0">
        <w:rPr>
          <w:i/>
          <w:iCs/>
        </w:rPr>
        <w:t>Principles of microeconomics</w:t>
      </w:r>
      <w:r w:rsidRPr="005135D2">
        <w:t>. Worth Publishers.</w:t>
      </w:r>
    </w:p>
    <w:p w:rsidR="00C71380" w:rsidRPr="00F828F0" w:rsidRDefault="00C71380" w:rsidP="00F828F0">
      <w:pPr>
        <w:rPr>
          <w:lang w:val="en-US"/>
        </w:rPr>
      </w:pPr>
      <w:r w:rsidRPr="00F828F0">
        <w:t xml:space="preserve">Takes, I., </w:t>
      </w:r>
      <w:r>
        <w:t>(</w:t>
      </w:r>
      <w:r w:rsidRPr="00F828F0">
        <w:t>2020</w:t>
      </w:r>
      <w:r>
        <w:t>)</w:t>
      </w:r>
      <w:r w:rsidRPr="00F828F0">
        <w:t>. Mitigating the COVID economic crisis: act fast and do whatever.</w:t>
      </w:r>
    </w:p>
    <w:p w:rsidR="00C71380" w:rsidRPr="001A0781" w:rsidRDefault="00C71380" w:rsidP="00F828F0">
      <w:r w:rsidRPr="001A0781">
        <w:t>THECONVERSATION (2023)</w:t>
      </w:r>
      <w:r>
        <w:t>.</w:t>
      </w:r>
      <w:r w:rsidRPr="001A0781">
        <w:t> </w:t>
      </w:r>
      <w:r w:rsidRPr="00F828F0">
        <w:rPr>
          <w:i/>
          <w:iCs/>
        </w:rPr>
        <w:t>How COVID has affected UK businesses – and what happens after July 19</w:t>
      </w:r>
      <w:r w:rsidRPr="001A0781">
        <w:t>, </w:t>
      </w:r>
      <w:r w:rsidRPr="00F828F0">
        <w:rPr>
          <w:i/>
          <w:iCs/>
        </w:rPr>
        <w:t>The Conversation</w:t>
      </w:r>
      <w:r w:rsidRPr="001A0781">
        <w:t>. Available at: https://theconversation.com/how-covid-has-affected-uk-businesses-and-what-happens-after-july-19-164569 (Accessed: 21 November 2023).</w:t>
      </w:r>
    </w:p>
    <w:p w:rsidR="00C71380" w:rsidRDefault="00C71380" w:rsidP="00F828F0">
      <w:r w:rsidRPr="005135D2">
        <w:t xml:space="preserve">Verwimp, P., Justino, P. and Brück, T., </w:t>
      </w:r>
      <w:r>
        <w:t>(</w:t>
      </w:r>
      <w:r w:rsidRPr="005135D2">
        <w:t>2019</w:t>
      </w:r>
      <w:r>
        <w:t>)</w:t>
      </w:r>
      <w:r w:rsidRPr="005135D2">
        <w:t>. The microeconomics of violent conflict. </w:t>
      </w:r>
      <w:r w:rsidRPr="00F828F0">
        <w:rPr>
          <w:i/>
          <w:iCs/>
        </w:rPr>
        <w:t>Journal of Development Economics</w:t>
      </w:r>
      <w:r w:rsidRPr="005135D2">
        <w:t>, </w:t>
      </w:r>
      <w:r w:rsidRPr="00F828F0">
        <w:rPr>
          <w:i/>
          <w:iCs/>
        </w:rPr>
        <w:t>141</w:t>
      </w:r>
      <w:r w:rsidRPr="005135D2">
        <w:t>, p.102297.</w:t>
      </w:r>
    </w:p>
    <w:sectPr w:rsidR="00C71380" w:rsidSect="003B3C61">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3D9" w:rsidRDefault="002313D9" w:rsidP="003B3C61">
      <w:pPr>
        <w:spacing w:after="0" w:line="240" w:lineRule="auto"/>
      </w:pPr>
      <w:r>
        <w:separator/>
      </w:r>
    </w:p>
  </w:endnote>
  <w:endnote w:type="continuationSeparator" w:id="1">
    <w:p w:rsidR="002313D9" w:rsidRDefault="002313D9" w:rsidP="003B3C6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altName w:val="Arial"/>
    <w:charset w:val="00"/>
    <w:family w:val="swiss"/>
    <w:pitch w:val="variable"/>
    <w:sig w:usb0="00000000"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47692629"/>
      <w:docPartObj>
        <w:docPartGallery w:val="Page Numbers (Bottom of Page)"/>
        <w:docPartUnique/>
      </w:docPartObj>
    </w:sdtPr>
    <w:sdtContent>
      <w:p w:rsidR="003B3C61" w:rsidRDefault="003B3C61">
        <w:pPr>
          <w:pStyle w:val="a5"/>
          <w:jc w:val="right"/>
        </w:pPr>
        <w:r>
          <w:t xml:space="preserve">Page | </w:t>
        </w:r>
        <w:r w:rsidR="00062344">
          <w:fldChar w:fldCharType="begin"/>
        </w:r>
        <w:r>
          <w:instrText xml:space="preserve"> PAGE   \* MERGEFORMAT </w:instrText>
        </w:r>
        <w:r w:rsidR="00062344">
          <w:fldChar w:fldCharType="separate"/>
        </w:r>
        <w:r w:rsidR="00311A4D">
          <w:rPr>
            <w:noProof/>
          </w:rPr>
          <w:t>2</w:t>
        </w:r>
        <w:r w:rsidR="00062344">
          <w:rPr>
            <w:noProof/>
          </w:rPr>
          <w:fldChar w:fldCharType="end"/>
        </w:r>
      </w:p>
    </w:sdtContent>
  </w:sdt>
  <w:p w:rsidR="003B3C61" w:rsidRDefault="003B3C61">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3D9" w:rsidRDefault="002313D9" w:rsidP="003B3C61">
      <w:pPr>
        <w:spacing w:after="0" w:line="240" w:lineRule="auto"/>
      </w:pPr>
      <w:r>
        <w:separator/>
      </w:r>
    </w:p>
  </w:footnote>
  <w:footnote w:type="continuationSeparator" w:id="1">
    <w:p w:rsidR="002313D9" w:rsidRDefault="002313D9" w:rsidP="003B3C6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CE6EC9"/>
    <w:multiLevelType w:val="hybridMultilevel"/>
    <w:tmpl w:val="B1E8B0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61D7A63"/>
    <w:multiLevelType w:val="hybridMultilevel"/>
    <w:tmpl w:val="ED2444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5E33187"/>
    <w:multiLevelType w:val="multilevel"/>
    <w:tmpl w:val="94948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67B7F87"/>
    <w:multiLevelType w:val="hybridMultilevel"/>
    <w:tmpl w:val="8AAAFF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8420B4"/>
    <w:rsid w:val="00062344"/>
    <w:rsid w:val="001A0781"/>
    <w:rsid w:val="001B2634"/>
    <w:rsid w:val="002313D9"/>
    <w:rsid w:val="00311A4D"/>
    <w:rsid w:val="003B3C61"/>
    <w:rsid w:val="003B7312"/>
    <w:rsid w:val="004949DE"/>
    <w:rsid w:val="005135D2"/>
    <w:rsid w:val="008420B4"/>
    <w:rsid w:val="008F250A"/>
    <w:rsid w:val="00AF49F6"/>
    <w:rsid w:val="00C71380"/>
    <w:rsid w:val="00EC0D05"/>
    <w:rsid w:val="00F828F0"/>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B7312"/>
    <w:pPr>
      <w:spacing w:line="360" w:lineRule="auto"/>
      <w:jc w:val="both"/>
    </w:pPr>
    <w:rPr>
      <w:rFonts w:ascii="Times New Roman" w:hAnsi="Times New Roman"/>
      <w:sz w:val="24"/>
    </w:rPr>
  </w:style>
  <w:style w:type="paragraph" w:styleId="1">
    <w:name w:val="heading 1"/>
    <w:basedOn w:val="a"/>
    <w:next w:val="a"/>
    <w:link w:val="10"/>
    <w:uiPriority w:val="9"/>
    <w:qFormat/>
    <w:rsid w:val="004949DE"/>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4949DE"/>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949DE"/>
    <w:rPr>
      <w:rFonts w:ascii="Times New Roman" w:eastAsiaTheme="majorEastAsia" w:hAnsi="Times New Roman" w:cstheme="majorBidi"/>
      <w:b/>
      <w:sz w:val="24"/>
      <w:szCs w:val="32"/>
    </w:rPr>
  </w:style>
  <w:style w:type="character" w:customStyle="1" w:styleId="20">
    <w:name w:val="Заглавие 2 Знак"/>
    <w:basedOn w:val="a0"/>
    <w:link w:val="2"/>
    <w:uiPriority w:val="9"/>
    <w:rsid w:val="004949DE"/>
    <w:rPr>
      <w:rFonts w:ascii="Times New Roman" w:eastAsiaTheme="majorEastAsia" w:hAnsi="Times New Roman" w:cstheme="majorBidi"/>
      <w:b/>
      <w:sz w:val="24"/>
      <w:szCs w:val="26"/>
    </w:rPr>
  </w:style>
  <w:style w:type="paragraph" w:styleId="a3">
    <w:name w:val="header"/>
    <w:basedOn w:val="a"/>
    <w:link w:val="a4"/>
    <w:uiPriority w:val="99"/>
    <w:unhideWhenUsed/>
    <w:rsid w:val="003B3C61"/>
    <w:pPr>
      <w:tabs>
        <w:tab w:val="center" w:pos="4513"/>
        <w:tab w:val="right" w:pos="9026"/>
      </w:tabs>
      <w:spacing w:after="0" w:line="240" w:lineRule="auto"/>
    </w:pPr>
  </w:style>
  <w:style w:type="character" w:customStyle="1" w:styleId="a4">
    <w:name w:val="Горен колонтитул Знак"/>
    <w:basedOn w:val="a0"/>
    <w:link w:val="a3"/>
    <w:uiPriority w:val="99"/>
    <w:rsid w:val="003B3C61"/>
    <w:rPr>
      <w:rFonts w:ascii="Times New Roman" w:hAnsi="Times New Roman"/>
      <w:sz w:val="24"/>
    </w:rPr>
  </w:style>
  <w:style w:type="paragraph" w:styleId="a5">
    <w:name w:val="footer"/>
    <w:basedOn w:val="a"/>
    <w:link w:val="a6"/>
    <w:uiPriority w:val="99"/>
    <w:unhideWhenUsed/>
    <w:rsid w:val="003B3C61"/>
    <w:pPr>
      <w:tabs>
        <w:tab w:val="center" w:pos="4513"/>
        <w:tab w:val="right" w:pos="9026"/>
      </w:tabs>
      <w:spacing w:after="0" w:line="240" w:lineRule="auto"/>
    </w:pPr>
  </w:style>
  <w:style w:type="character" w:customStyle="1" w:styleId="a6">
    <w:name w:val="Долен колонтитул Знак"/>
    <w:basedOn w:val="a0"/>
    <w:link w:val="a5"/>
    <w:uiPriority w:val="99"/>
    <w:rsid w:val="003B3C61"/>
    <w:rPr>
      <w:rFonts w:ascii="Times New Roman" w:hAnsi="Times New Roman"/>
      <w:sz w:val="24"/>
    </w:rPr>
  </w:style>
  <w:style w:type="paragraph" w:styleId="a7">
    <w:name w:val="List Paragraph"/>
    <w:basedOn w:val="a"/>
    <w:uiPriority w:val="34"/>
    <w:qFormat/>
    <w:rsid w:val="005135D2"/>
    <w:pPr>
      <w:ind w:left="720"/>
      <w:contextualSpacing/>
    </w:pPr>
  </w:style>
</w:styles>
</file>

<file path=word/webSettings.xml><?xml version="1.0" encoding="utf-8"?>
<w:webSettings xmlns:r="http://schemas.openxmlformats.org/officeDocument/2006/relationships" xmlns:w="http://schemas.openxmlformats.org/wordprocessingml/2006/main">
  <w:divs>
    <w:div w:id="91438885">
      <w:bodyDiv w:val="1"/>
      <w:marLeft w:val="0"/>
      <w:marRight w:val="0"/>
      <w:marTop w:val="0"/>
      <w:marBottom w:val="0"/>
      <w:divBdr>
        <w:top w:val="none" w:sz="0" w:space="0" w:color="auto"/>
        <w:left w:val="none" w:sz="0" w:space="0" w:color="auto"/>
        <w:bottom w:val="none" w:sz="0" w:space="0" w:color="auto"/>
        <w:right w:val="none" w:sz="0" w:space="0" w:color="auto"/>
      </w:divBdr>
    </w:div>
    <w:div w:id="116484410">
      <w:bodyDiv w:val="1"/>
      <w:marLeft w:val="0"/>
      <w:marRight w:val="0"/>
      <w:marTop w:val="0"/>
      <w:marBottom w:val="0"/>
      <w:divBdr>
        <w:top w:val="none" w:sz="0" w:space="0" w:color="auto"/>
        <w:left w:val="none" w:sz="0" w:space="0" w:color="auto"/>
        <w:bottom w:val="none" w:sz="0" w:space="0" w:color="auto"/>
        <w:right w:val="none" w:sz="0" w:space="0" w:color="auto"/>
      </w:divBdr>
    </w:div>
    <w:div w:id="273904266">
      <w:bodyDiv w:val="1"/>
      <w:marLeft w:val="0"/>
      <w:marRight w:val="0"/>
      <w:marTop w:val="0"/>
      <w:marBottom w:val="0"/>
      <w:divBdr>
        <w:top w:val="none" w:sz="0" w:space="0" w:color="auto"/>
        <w:left w:val="none" w:sz="0" w:space="0" w:color="auto"/>
        <w:bottom w:val="none" w:sz="0" w:space="0" w:color="auto"/>
        <w:right w:val="none" w:sz="0" w:space="0" w:color="auto"/>
      </w:divBdr>
    </w:div>
    <w:div w:id="335547085">
      <w:bodyDiv w:val="1"/>
      <w:marLeft w:val="0"/>
      <w:marRight w:val="0"/>
      <w:marTop w:val="0"/>
      <w:marBottom w:val="0"/>
      <w:divBdr>
        <w:top w:val="none" w:sz="0" w:space="0" w:color="auto"/>
        <w:left w:val="none" w:sz="0" w:space="0" w:color="auto"/>
        <w:bottom w:val="none" w:sz="0" w:space="0" w:color="auto"/>
        <w:right w:val="none" w:sz="0" w:space="0" w:color="auto"/>
      </w:divBdr>
    </w:div>
    <w:div w:id="569312086">
      <w:bodyDiv w:val="1"/>
      <w:marLeft w:val="0"/>
      <w:marRight w:val="0"/>
      <w:marTop w:val="0"/>
      <w:marBottom w:val="0"/>
      <w:divBdr>
        <w:top w:val="none" w:sz="0" w:space="0" w:color="auto"/>
        <w:left w:val="none" w:sz="0" w:space="0" w:color="auto"/>
        <w:bottom w:val="none" w:sz="0" w:space="0" w:color="auto"/>
        <w:right w:val="none" w:sz="0" w:space="0" w:color="auto"/>
      </w:divBdr>
    </w:div>
    <w:div w:id="915364138">
      <w:bodyDiv w:val="1"/>
      <w:marLeft w:val="0"/>
      <w:marRight w:val="0"/>
      <w:marTop w:val="0"/>
      <w:marBottom w:val="0"/>
      <w:divBdr>
        <w:top w:val="none" w:sz="0" w:space="0" w:color="auto"/>
        <w:left w:val="none" w:sz="0" w:space="0" w:color="auto"/>
        <w:bottom w:val="none" w:sz="0" w:space="0" w:color="auto"/>
        <w:right w:val="none" w:sz="0" w:space="0" w:color="auto"/>
      </w:divBdr>
    </w:div>
    <w:div w:id="964971832">
      <w:bodyDiv w:val="1"/>
      <w:marLeft w:val="0"/>
      <w:marRight w:val="0"/>
      <w:marTop w:val="0"/>
      <w:marBottom w:val="0"/>
      <w:divBdr>
        <w:top w:val="none" w:sz="0" w:space="0" w:color="auto"/>
        <w:left w:val="none" w:sz="0" w:space="0" w:color="auto"/>
        <w:bottom w:val="none" w:sz="0" w:space="0" w:color="auto"/>
        <w:right w:val="none" w:sz="0" w:space="0" w:color="auto"/>
      </w:divBdr>
    </w:div>
    <w:div w:id="1051921560">
      <w:bodyDiv w:val="1"/>
      <w:marLeft w:val="0"/>
      <w:marRight w:val="0"/>
      <w:marTop w:val="0"/>
      <w:marBottom w:val="0"/>
      <w:divBdr>
        <w:top w:val="none" w:sz="0" w:space="0" w:color="auto"/>
        <w:left w:val="none" w:sz="0" w:space="0" w:color="auto"/>
        <w:bottom w:val="none" w:sz="0" w:space="0" w:color="auto"/>
        <w:right w:val="none" w:sz="0" w:space="0" w:color="auto"/>
      </w:divBdr>
    </w:div>
    <w:div w:id="1069186946">
      <w:bodyDiv w:val="1"/>
      <w:marLeft w:val="0"/>
      <w:marRight w:val="0"/>
      <w:marTop w:val="0"/>
      <w:marBottom w:val="0"/>
      <w:divBdr>
        <w:top w:val="none" w:sz="0" w:space="0" w:color="auto"/>
        <w:left w:val="none" w:sz="0" w:space="0" w:color="auto"/>
        <w:bottom w:val="none" w:sz="0" w:space="0" w:color="auto"/>
        <w:right w:val="none" w:sz="0" w:space="0" w:color="auto"/>
      </w:divBdr>
    </w:div>
    <w:div w:id="1365402284">
      <w:bodyDiv w:val="1"/>
      <w:marLeft w:val="0"/>
      <w:marRight w:val="0"/>
      <w:marTop w:val="0"/>
      <w:marBottom w:val="0"/>
      <w:divBdr>
        <w:top w:val="none" w:sz="0" w:space="0" w:color="auto"/>
        <w:left w:val="none" w:sz="0" w:space="0" w:color="auto"/>
        <w:bottom w:val="none" w:sz="0" w:space="0" w:color="auto"/>
        <w:right w:val="none" w:sz="0" w:space="0" w:color="auto"/>
      </w:divBdr>
    </w:div>
    <w:div w:id="1366448048">
      <w:bodyDiv w:val="1"/>
      <w:marLeft w:val="0"/>
      <w:marRight w:val="0"/>
      <w:marTop w:val="0"/>
      <w:marBottom w:val="0"/>
      <w:divBdr>
        <w:top w:val="none" w:sz="0" w:space="0" w:color="auto"/>
        <w:left w:val="none" w:sz="0" w:space="0" w:color="auto"/>
        <w:bottom w:val="none" w:sz="0" w:space="0" w:color="auto"/>
        <w:right w:val="none" w:sz="0" w:space="0" w:color="auto"/>
      </w:divBdr>
    </w:div>
    <w:div w:id="1514344735">
      <w:bodyDiv w:val="1"/>
      <w:marLeft w:val="0"/>
      <w:marRight w:val="0"/>
      <w:marTop w:val="0"/>
      <w:marBottom w:val="0"/>
      <w:divBdr>
        <w:top w:val="none" w:sz="0" w:space="0" w:color="auto"/>
        <w:left w:val="none" w:sz="0" w:space="0" w:color="auto"/>
        <w:bottom w:val="none" w:sz="0" w:space="0" w:color="auto"/>
        <w:right w:val="none" w:sz="0" w:space="0" w:color="auto"/>
      </w:divBdr>
    </w:div>
    <w:div w:id="1827822074">
      <w:bodyDiv w:val="1"/>
      <w:marLeft w:val="0"/>
      <w:marRight w:val="0"/>
      <w:marTop w:val="0"/>
      <w:marBottom w:val="0"/>
      <w:divBdr>
        <w:top w:val="none" w:sz="0" w:space="0" w:color="auto"/>
        <w:left w:val="none" w:sz="0" w:space="0" w:color="auto"/>
        <w:bottom w:val="none" w:sz="0" w:space="0" w:color="auto"/>
        <w:right w:val="none" w:sz="0" w:space="0" w:color="auto"/>
      </w:divBdr>
    </w:div>
    <w:div w:id="209022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TotalTime>
  <Pages>11</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Ghosh</dc:creator>
  <cp:keywords/>
  <dc:description/>
  <cp:lastModifiedBy>20141009</cp:lastModifiedBy>
  <cp:revision>5</cp:revision>
  <dcterms:created xsi:type="dcterms:W3CDTF">2023-11-21T05:58:00Z</dcterms:created>
  <dcterms:modified xsi:type="dcterms:W3CDTF">2023-12-18T20:56:00Z</dcterms:modified>
</cp:coreProperties>
</file>