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1C453" w14:textId="61B32758" w:rsidR="00E05B2E" w:rsidRDefault="00E05B2E" w:rsidP="006F02E1">
      <w:pPr>
        <w:jc w:val="both"/>
        <w:rPr>
          <w:noProof/>
        </w:rPr>
      </w:pPr>
    </w:p>
    <w:p w14:paraId="25522B26" w14:textId="3DCB600F" w:rsidR="00E14577" w:rsidRDefault="00E14577" w:rsidP="006F02E1">
      <w:pPr>
        <w:jc w:val="both"/>
      </w:pPr>
      <w:r w:rsidRPr="00465AC6">
        <w:rPr>
          <w:noProof/>
        </w:rPr>
        <w:drawing>
          <wp:anchor distT="0" distB="0" distL="114300" distR="114300" simplePos="0" relativeHeight="251659264" behindDoc="1" locked="1" layoutInCell="1" allowOverlap="1" wp14:anchorId="0CB72612" wp14:editId="24EBC98D">
            <wp:simplePos x="0" y="0"/>
            <wp:positionH relativeFrom="column">
              <wp:posOffset>-655320</wp:posOffset>
            </wp:positionH>
            <wp:positionV relativeFrom="page">
              <wp:posOffset>-76200</wp:posOffset>
            </wp:positionV>
            <wp:extent cx="7772400" cy="1005078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l="25103" t="6316" r="24330" b="1112"/>
                    <a:stretch>
                      <a:fillRect/>
                    </a:stretch>
                  </pic:blipFill>
                  <pic:spPr bwMode="auto">
                    <a:xfrm>
                      <a:off x="0" y="0"/>
                      <a:ext cx="7772400" cy="10050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65AC6">
        <w:rPr>
          <w:noProof/>
        </w:rPr>
        <mc:AlternateContent>
          <mc:Choice Requires="wps">
            <w:drawing>
              <wp:anchor distT="0" distB="0" distL="114300" distR="114300" simplePos="0" relativeHeight="251660288" behindDoc="1" locked="1" layoutInCell="1" allowOverlap="1" wp14:anchorId="45737153" wp14:editId="39022A31">
                <wp:simplePos x="0" y="0"/>
                <wp:positionH relativeFrom="column">
                  <wp:posOffset>-660400</wp:posOffset>
                </wp:positionH>
                <wp:positionV relativeFrom="page">
                  <wp:posOffset>3348990</wp:posOffset>
                </wp:positionV>
                <wp:extent cx="6530975" cy="3920490"/>
                <wp:effectExtent l="0" t="0" r="3175" b="3810"/>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530975" cy="39204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BB0DA" id="Rectangle 2" o:spid="_x0000_s1026" alt="&quot;&quot;" style="position:absolute;margin-left:-52pt;margin-top:263.7pt;width:514.25pt;height:308.7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" fillcolor="#fde700 [3206]" stroked="f" strokeweight="2pt">
                <w10:wrap anchory="page"/>
                <w10:anchorlock/>
              </v:rect>
            </w:pict>
          </mc:Fallback>
        </mc:AlternateContent>
      </w:r>
    </w:p>
    <w:tbl>
      <w:tblPr>
        <w:tblStyle w:val="TableGrid"/>
        <w:tblW w:w="111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29"/>
        <w:gridCol w:w="5591"/>
        <w:gridCol w:w="1542"/>
      </w:tblGrid>
      <w:tr w:rsidR="00A73656" w14:paraId="1B2D1AAA" w14:textId="77777777" w:rsidTr="00E05B2E">
        <w:trPr>
          <w:trHeight w:val="1149"/>
        </w:trPr>
        <w:tc>
          <w:tcPr>
            <w:tcW w:w="6939" w:type="dxa"/>
            <w:gridSpan w:val="2"/>
            <w:tcMar>
              <w:top w:w="576" w:type="dxa"/>
              <w:left w:w="115" w:type="dxa"/>
              <w:right w:w="115" w:type="dxa"/>
            </w:tcMar>
          </w:tcPr>
          <w:p w14:paraId="67533E6C" w14:textId="77777777" w:rsidR="00BD794A" w:rsidRDefault="0014622D" w:rsidP="006F02E1">
            <w:pPr>
              <w:pStyle w:val="Title"/>
              <w:jc w:val="both"/>
              <w:rPr>
                <w:sz w:val="72"/>
                <w:szCs w:val="54"/>
              </w:rPr>
            </w:pPr>
            <w:r>
              <w:rPr>
                <w:sz w:val="72"/>
                <w:szCs w:val="54"/>
              </w:rPr>
              <w:t>Network</w:t>
            </w:r>
            <w:r w:rsidR="00BD794A">
              <w:rPr>
                <w:sz w:val="72"/>
                <w:szCs w:val="54"/>
              </w:rPr>
              <w:t xml:space="preserve"> </w:t>
            </w:r>
            <w:r>
              <w:rPr>
                <w:sz w:val="72"/>
                <w:szCs w:val="54"/>
              </w:rPr>
              <w:t>and</w:t>
            </w:r>
          </w:p>
          <w:p w14:paraId="2037C148" w14:textId="043FE249" w:rsidR="00BD794A" w:rsidRDefault="005949A9" w:rsidP="006F02E1">
            <w:pPr>
              <w:pStyle w:val="Title"/>
              <w:jc w:val="both"/>
              <w:rPr>
                <w:sz w:val="72"/>
                <w:szCs w:val="54"/>
              </w:rPr>
            </w:pPr>
            <w:r>
              <w:rPr>
                <w:sz w:val="72"/>
                <w:szCs w:val="54"/>
              </w:rPr>
              <w:t>cyber security</w:t>
            </w:r>
          </w:p>
          <w:p w14:paraId="5C4E13DD" w14:textId="21D8ADAA" w:rsidR="00A73656" w:rsidRPr="004515E8" w:rsidRDefault="005949A9" w:rsidP="006F02E1">
            <w:pPr>
              <w:pStyle w:val="Title"/>
              <w:jc w:val="both"/>
              <w:rPr>
                <w:sz w:val="72"/>
                <w:szCs w:val="54"/>
              </w:rPr>
            </w:pPr>
            <w:r>
              <w:rPr>
                <w:sz w:val="72"/>
                <w:szCs w:val="54"/>
              </w:rPr>
              <w:t xml:space="preserve">essentials </w:t>
            </w:r>
            <w:r w:rsidR="00B03424" w:rsidRPr="004515E8">
              <w:rPr>
                <w:sz w:val="72"/>
                <w:szCs w:val="54"/>
              </w:rPr>
              <w:t xml:space="preserve"> </w:t>
            </w:r>
            <w:r w:rsidR="00390BBA" w:rsidRPr="004515E8">
              <w:rPr>
                <w:sz w:val="72"/>
                <w:szCs w:val="54"/>
              </w:rPr>
              <w:t xml:space="preserve"> </w:t>
            </w:r>
          </w:p>
        </w:tc>
        <w:tc>
          <w:tcPr>
            <w:tcW w:w="4223" w:type="dxa"/>
            <w:tcMar>
              <w:top w:w="576" w:type="dxa"/>
            </w:tcMar>
          </w:tcPr>
          <w:p w14:paraId="3A5CF4EE" w14:textId="77777777" w:rsidR="00A73656" w:rsidRDefault="00A73656" w:rsidP="006F02E1">
            <w:pPr>
              <w:spacing w:after="200"/>
              <w:jc w:val="both"/>
            </w:pPr>
          </w:p>
        </w:tc>
      </w:tr>
      <w:tr w:rsidR="00A73656" w14:paraId="2D301368" w14:textId="77777777" w:rsidTr="00E05B2E">
        <w:trPr>
          <w:trHeight w:val="621"/>
        </w:trPr>
        <w:tc>
          <w:tcPr>
            <w:tcW w:w="6939" w:type="dxa"/>
            <w:gridSpan w:val="2"/>
            <w:tcMar>
              <w:top w:w="1080" w:type="dxa"/>
              <w:left w:w="115" w:type="dxa"/>
              <w:right w:w="115" w:type="dxa"/>
            </w:tcMar>
          </w:tcPr>
          <w:p w14:paraId="2C64BB2F" w14:textId="3E30FF6F" w:rsidR="00A73656" w:rsidRPr="00D41196" w:rsidRDefault="00F14739" w:rsidP="006F02E1">
            <w:pPr>
              <w:pStyle w:val="Bold"/>
              <w:jc w:val="both"/>
            </w:pPr>
            <w:r w:rsidRPr="00F14739">
              <w:rPr>
                <w:rFonts w:asciiTheme="minorHAnsi" w:hAnsiTheme="minorHAnsi"/>
                <w:noProof/>
                <w:lang w:val="en-GB"/>
              </w:rPr>
              <mc:AlternateContent>
                <mc:Choice Requires="wps">
                  <w:drawing>
                    <wp:anchor distT="45720" distB="45720" distL="114300" distR="114300" simplePos="0" relativeHeight="251693056" behindDoc="0" locked="0" layoutInCell="1" allowOverlap="1" wp14:anchorId="5E528569" wp14:editId="07047A49">
                      <wp:simplePos x="0" y="0"/>
                      <wp:positionH relativeFrom="column">
                        <wp:posOffset>-72662</wp:posOffset>
                      </wp:positionH>
                      <wp:positionV relativeFrom="paragraph">
                        <wp:posOffset>473801</wp:posOffset>
                      </wp:positionV>
                      <wp:extent cx="5943600" cy="1404620"/>
                      <wp:effectExtent l="0" t="0" r="1905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noFill/>
                              <a:ln w="9525">
                                <a:solidFill>
                                  <a:srgbClr val="000000"/>
                                </a:solidFill>
                                <a:miter lim="800000"/>
                                <a:headEnd/>
                                <a:tailEnd/>
                              </a:ln>
                            </wps:spPr>
                            <wps:txbx>
                              <w:txbxContent>
                                <w:p w14:paraId="598133F2" w14:textId="4C51E86A" w:rsidR="00F14739" w:rsidRDefault="00F14739" w:rsidP="00F14739">
                                  <w:r w:rsidRPr="00F14739">
                                    <w:rPr>
                                      <w:b/>
                                      <w:bCs/>
                                    </w:rPr>
                                    <w:t>STUDENT</w:t>
                                  </w:r>
                                  <w:r>
                                    <w:t xml:space="preserve">: ZACHARIAS </w:t>
                                  </w:r>
                                  <w:proofErr w:type="gramStart"/>
                                  <w:r>
                                    <w:t>LAMBROU  (</w:t>
                                  </w:r>
                                  <w:proofErr w:type="gramEnd"/>
                                  <w:r w:rsidRPr="00F14739">
                                    <w:rPr>
                                      <w:b/>
                                      <w:bCs/>
                                    </w:rPr>
                                    <w:t>ID</w:t>
                                  </w:r>
                                  <w:r>
                                    <w:t xml:space="preserve">: 2435234)     </w:t>
                                  </w:r>
                                  <w:r w:rsidRPr="00F14739">
                                    <w:rPr>
                                      <w:b/>
                                      <w:bCs/>
                                    </w:rPr>
                                    <w:t>LECTURER</w:t>
                                  </w:r>
                                  <w:r>
                                    <w:t xml:space="preserve">: AMID NAIK     </w:t>
                                  </w:r>
                                  <w:r w:rsidRPr="00F14739">
                                    <w:rPr>
                                      <w:b/>
                                      <w:bCs/>
                                    </w:rPr>
                                    <w:t>GROUP</w:t>
                                  </w:r>
                                  <w:r>
                                    <w:t xml:space="preserve">: 2 </w:t>
                                  </w:r>
                                </w:p>
                                <w:p w14:paraId="4CB2C306" w14:textId="77777777" w:rsidR="00F14739" w:rsidRDefault="00F14739" w:rsidP="00F14739">
                                  <w:r w:rsidRPr="00F14739">
                                    <w:rPr>
                                      <w:b/>
                                      <w:bCs/>
                                    </w:rPr>
                                    <w:t>CAMPOUS</w:t>
                                  </w:r>
                                  <w:r>
                                    <w:t xml:space="preserve">: UNIVERSITY OF WALES TRINITY ST DAVID LONDON </w:t>
                                  </w:r>
                                </w:p>
                                <w:p w14:paraId="65BBE03A" w14:textId="2EC4BB4B" w:rsidR="00F14739" w:rsidRDefault="00F1473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E528569" id="_x0000_t202" coordsize="21600,21600" o:spt="202" path="m,l,21600r21600,l21600,xe">
                      <v:stroke joinstyle="miter"/>
                      <v:path gradientshapeok="t" o:connecttype="rect"/>
                    </v:shapetype>
                    <v:shape id="Text Box 2" o:spid="_x0000_s1026" type="#_x0000_t202" style="position:absolute;left:0;text-align:left;margin-left:-5.7pt;margin-top:37.3pt;width:468pt;height:110.6pt;z-index:251693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" filled="f">
                      <v:textbox style="mso-fit-shape-to-text:t">
                        <w:txbxContent>
                          <w:p w14:paraId="598133F2" w14:textId="4C51E86A" w:rsidR="00F14739" w:rsidRDefault="00F14739" w:rsidP="00F14739">
                            <w:r w:rsidRPr="00F14739">
                              <w:rPr>
                                <w:b/>
                                <w:bCs/>
                              </w:rPr>
                              <w:t>STUDENT</w:t>
                            </w:r>
                            <w:r>
                              <w:t xml:space="preserve">: ZACHARIAS </w:t>
                            </w:r>
                            <w:proofErr w:type="gramStart"/>
                            <w:r>
                              <w:t>LAMBROU  (</w:t>
                            </w:r>
                            <w:proofErr w:type="gramEnd"/>
                            <w:r w:rsidRPr="00F14739">
                              <w:rPr>
                                <w:b/>
                                <w:bCs/>
                              </w:rPr>
                              <w:t>ID</w:t>
                            </w:r>
                            <w:r>
                              <w:t xml:space="preserve">: 2435234)     </w:t>
                            </w:r>
                            <w:r w:rsidRPr="00F14739">
                              <w:rPr>
                                <w:b/>
                                <w:bCs/>
                              </w:rPr>
                              <w:t>LECTURER</w:t>
                            </w:r>
                            <w:r>
                              <w:t xml:space="preserve">: AMID NAIK     </w:t>
                            </w:r>
                            <w:r w:rsidRPr="00F14739">
                              <w:rPr>
                                <w:b/>
                                <w:bCs/>
                              </w:rPr>
                              <w:t>GROUP</w:t>
                            </w:r>
                            <w:r>
                              <w:t xml:space="preserve">: 2 </w:t>
                            </w:r>
                          </w:p>
                          <w:p w14:paraId="4CB2C306" w14:textId="77777777" w:rsidR="00F14739" w:rsidRDefault="00F14739" w:rsidP="00F14739">
                            <w:r w:rsidRPr="00F14739">
                              <w:rPr>
                                <w:b/>
                                <w:bCs/>
                              </w:rPr>
                              <w:t>CAMPOUS</w:t>
                            </w:r>
                            <w:r>
                              <w:t xml:space="preserve">: UNIVERSITY OF WALES TRINITY ST DAVID LONDON </w:t>
                            </w:r>
                          </w:p>
                          <w:p w14:paraId="65BBE03A" w14:textId="2EC4BB4B" w:rsidR="00F14739" w:rsidRDefault="00F14739"/>
                        </w:txbxContent>
                      </v:textbox>
                      <w10:wrap type="square"/>
                    </v:shape>
                  </w:pict>
                </mc:Fallback>
              </mc:AlternateContent>
            </w:r>
          </w:p>
          <w:p w14:paraId="2F6DC23B" w14:textId="60424E61" w:rsidR="00A73656" w:rsidRDefault="00A73656" w:rsidP="006F02E1">
            <w:pPr>
              <w:pStyle w:val="NoSpacing"/>
              <w:spacing w:before="120"/>
              <w:jc w:val="both"/>
            </w:pPr>
          </w:p>
        </w:tc>
        <w:tc>
          <w:tcPr>
            <w:tcW w:w="4223" w:type="dxa"/>
            <w:tcMar>
              <w:top w:w="1080" w:type="dxa"/>
              <w:left w:w="115" w:type="dxa"/>
              <w:right w:w="115" w:type="dxa"/>
            </w:tcMar>
          </w:tcPr>
          <w:p w14:paraId="20C12834" w14:textId="77777777" w:rsidR="00A73656" w:rsidRDefault="00A73656" w:rsidP="006F02E1">
            <w:pPr>
              <w:spacing w:after="200"/>
              <w:jc w:val="both"/>
            </w:pPr>
          </w:p>
        </w:tc>
      </w:tr>
      <w:tr w:rsidR="00A73656" w:rsidRPr="00C96056" w14:paraId="1E0C3E8D" w14:textId="77777777" w:rsidTr="00E05B2E">
        <w:trPr>
          <w:trHeight w:val="1544"/>
        </w:trPr>
        <w:tc>
          <w:tcPr>
            <w:tcW w:w="3105" w:type="dxa"/>
          </w:tcPr>
          <w:p w14:paraId="79A0A24C" w14:textId="77777777" w:rsidR="00E05B2E" w:rsidRPr="007B7736" w:rsidRDefault="00E05B2E" w:rsidP="006F02E1">
            <w:pPr>
              <w:pStyle w:val="Info"/>
              <w:framePr w:hSpace="0" w:wrap="auto" w:vAnchor="margin" w:hAnchor="text" w:yAlign="inline"/>
              <w:jc w:val="both"/>
              <w:rPr>
                <w:sz w:val="24"/>
              </w:rPr>
            </w:pPr>
          </w:p>
        </w:tc>
        <w:tc>
          <w:tcPr>
            <w:tcW w:w="3833" w:type="dxa"/>
          </w:tcPr>
          <w:p w14:paraId="12C84F29" w14:textId="3C3E544E" w:rsidR="00950911" w:rsidRPr="00865195" w:rsidRDefault="00950911" w:rsidP="006F02E1">
            <w:pPr>
              <w:pStyle w:val="NoSpacing"/>
              <w:spacing w:before="120"/>
              <w:jc w:val="both"/>
              <w:rPr>
                <w:rFonts w:ascii="Aptos" w:eastAsia="Aptos" w:hAnsi="Aptos" w:cs="Aptos"/>
                <w:color w:val="000000" w:themeColor="text1"/>
                <w:lang w:eastAsia="ja-JP"/>
              </w:rPr>
            </w:pPr>
            <w:r w:rsidRPr="00865195">
              <w:rPr>
                <w:rFonts w:ascii="Aptos" w:eastAsia="Aptos" w:hAnsi="Aptos" w:cs="Aptos"/>
                <w:color w:val="000000" w:themeColor="text1"/>
                <w:lang w:eastAsia="ja-JP"/>
              </w:rPr>
              <w:t>LECTURER</w:t>
            </w:r>
            <w:r w:rsidR="00D27F54">
              <w:rPr>
                <w:rFonts w:ascii="Aptos" w:eastAsia="Aptos" w:hAnsi="Aptos" w:cs="Aptos"/>
                <w:color w:val="000000" w:themeColor="text1"/>
                <w:lang w:eastAsia="ja-JP"/>
              </w:rPr>
              <w:t xml:space="preserve">: </w:t>
            </w:r>
            <w:r w:rsidR="0055559D">
              <w:rPr>
                <w:rFonts w:ascii="Aptos" w:eastAsia="Aptos" w:hAnsi="Aptos" w:cs="Aptos"/>
                <w:color w:val="000000" w:themeColor="text1"/>
                <w:lang w:eastAsia="ja-JP"/>
              </w:rPr>
              <w:t xml:space="preserve">Amit Naik </w:t>
            </w:r>
          </w:p>
          <w:p w14:paraId="06704684" w14:textId="5A765E83" w:rsidR="00A73656" w:rsidRPr="007B7736" w:rsidRDefault="00977C69" w:rsidP="006F02E1">
            <w:pPr>
              <w:pStyle w:val="NoSpacing"/>
              <w:spacing w:before="120"/>
              <w:jc w:val="both"/>
              <w:rPr>
                <w:sz w:val="24"/>
              </w:rPr>
            </w:pPr>
            <w:r>
              <w:rPr>
                <w:sz w:val="24"/>
              </w:rPr>
              <w:t>Group:2</w:t>
            </w:r>
          </w:p>
        </w:tc>
        <w:tc>
          <w:tcPr>
            <w:tcW w:w="4223" w:type="dxa"/>
          </w:tcPr>
          <w:p w14:paraId="7E3FFFF2" w14:textId="77777777" w:rsidR="002F2445" w:rsidRDefault="0029430A" w:rsidP="002F2445">
            <w:pPr>
              <w:pStyle w:val="Info"/>
              <w:framePr w:hSpace="0" w:wrap="auto" w:vAnchor="margin" w:hAnchor="text" w:yAlign="inline"/>
              <w:jc w:val="both"/>
              <w:rPr>
                <w:sz w:val="24"/>
              </w:rPr>
            </w:pPr>
            <w:r>
              <w:rPr>
                <w:sz w:val="24"/>
              </w:rPr>
              <w:t xml:space="preserve">CAMPUS: </w:t>
            </w:r>
          </w:p>
          <w:p w14:paraId="76A4743D" w14:textId="29F93D87" w:rsidR="00A73656" w:rsidRPr="007B7736" w:rsidRDefault="008B74FF" w:rsidP="002F2445">
            <w:pPr>
              <w:pStyle w:val="Info"/>
              <w:framePr w:hSpace="0" w:wrap="auto" w:vAnchor="margin" w:hAnchor="text" w:yAlign="inline"/>
              <w:jc w:val="both"/>
              <w:rPr>
                <w:sz w:val="24"/>
              </w:rPr>
            </w:pPr>
            <w:r>
              <w:rPr>
                <w:sz w:val="24"/>
              </w:rPr>
              <w:t xml:space="preserve">University </w:t>
            </w:r>
            <w:r w:rsidR="00E50420">
              <w:rPr>
                <w:sz w:val="24"/>
              </w:rPr>
              <w:t xml:space="preserve">of Wales </w:t>
            </w:r>
            <w:r w:rsidR="009D5206">
              <w:rPr>
                <w:sz w:val="24"/>
              </w:rPr>
              <w:t xml:space="preserve">Trinity </w:t>
            </w:r>
            <w:r w:rsidR="00E50420">
              <w:rPr>
                <w:sz w:val="24"/>
              </w:rPr>
              <w:t xml:space="preserve">St. </w:t>
            </w:r>
            <w:r w:rsidR="002F2445">
              <w:rPr>
                <w:sz w:val="24"/>
              </w:rPr>
              <w:t>David</w:t>
            </w:r>
            <w:r>
              <w:rPr>
                <w:sz w:val="24"/>
              </w:rPr>
              <w:t xml:space="preserve"> LONDON</w:t>
            </w:r>
          </w:p>
        </w:tc>
      </w:tr>
      <w:tr w:rsidR="00A73656" w:rsidRPr="00C96056" w14:paraId="5F40D737" w14:textId="77777777" w:rsidTr="00E05B2E">
        <w:trPr>
          <w:trHeight w:val="1122"/>
        </w:trPr>
        <w:tc>
          <w:tcPr>
            <w:tcW w:w="11162" w:type="dxa"/>
            <w:gridSpan w:val="3"/>
          </w:tcPr>
          <w:p w14:paraId="56C85A66" w14:textId="706ADA86" w:rsidR="00A73656" w:rsidRPr="00C96056" w:rsidRDefault="00727603" w:rsidP="006F02E1">
            <w:pPr>
              <w:pStyle w:val="Heading1"/>
              <w:framePr w:hSpace="0" w:wrap="auto" w:vAnchor="margin" w:hAnchor="text" w:yAlign="inline"/>
              <w:jc w:val="both"/>
            </w:pPr>
            <w:r w:rsidRPr="00E05B2E">
              <w:rPr>
                <w:sz w:val="32"/>
                <w:szCs w:val="30"/>
              </w:rPr>
              <w:t>15/05/</w:t>
            </w:r>
            <w:r w:rsidR="00A73656" w:rsidRPr="00E05B2E">
              <w:rPr>
                <w:sz w:val="32"/>
                <w:szCs w:val="30"/>
              </w:rPr>
              <w:t>20</w:t>
            </w:r>
            <w:r w:rsidRPr="00E05B2E">
              <w:rPr>
                <w:sz w:val="32"/>
                <w:szCs w:val="30"/>
              </w:rPr>
              <w:t>26</w:t>
            </w:r>
          </w:p>
        </w:tc>
      </w:tr>
    </w:tbl>
    <w:p w14:paraId="558D42DA" w14:textId="2ECF2FB7" w:rsidR="00E14577" w:rsidRDefault="00E14577" w:rsidP="006F02E1">
      <w:pPr>
        <w:spacing w:before="0" w:after="160" w:line="278" w:lineRule="auto"/>
        <w:jc w:val="both"/>
      </w:pPr>
    </w:p>
    <w:p w14:paraId="274A9849" w14:textId="77777777" w:rsidR="00A73656" w:rsidRDefault="00A73656" w:rsidP="006F02E1">
      <w:pPr>
        <w:pStyle w:val="Heading2"/>
        <w:jc w:val="both"/>
        <w:sectPr w:rsidR="00A73656" w:rsidSect="00A73656">
          <w:headerReference w:type="even" r:id="rId13"/>
          <w:headerReference w:type="default" r:id="rId14"/>
          <w:footerReference w:type="even" r:id="rId15"/>
          <w:footerReference w:type="default" r:id="rId16"/>
          <w:headerReference w:type="first" r:id="rId17"/>
          <w:footerReference w:type="first" r:id="rId18"/>
          <w:pgSz w:w="12240" w:h="15840" w:code="1"/>
          <w:pgMar w:top="4320" w:right="1152" w:bottom="720" w:left="1152" w:header="432" w:footer="144" w:gutter="0"/>
          <w:cols w:space="720"/>
          <w:docGrid w:linePitch="360"/>
        </w:sectPr>
      </w:pPr>
    </w:p>
    <w:p w14:paraId="73C1025B" w14:textId="3213A5CF" w:rsidR="00E14577" w:rsidRPr="005E08A8" w:rsidRDefault="00E14577" w:rsidP="006F02E1">
      <w:pPr>
        <w:pStyle w:val="Heading2"/>
        <w:jc w:val="both"/>
        <w:rPr>
          <w:rFonts w:asciiTheme="minorHAnsi" w:hAnsiTheme="minorHAnsi"/>
          <w:noProof w:val="0"/>
          <w:sz w:val="32"/>
          <w:szCs w:val="28"/>
          <w:lang w:val="en-GB"/>
        </w:rPr>
      </w:pPr>
      <w:r w:rsidRPr="005E08A8">
        <w:rPr>
          <w:rFonts w:asciiTheme="minorHAnsi" w:hAnsiTheme="minorHAnsi"/>
          <w:noProof w:val="0"/>
          <w:sz w:val="32"/>
          <w:szCs w:val="28"/>
          <w:lang w:val="en-GB"/>
        </w:rPr>
        <w:lastRenderedPageBreak/>
        <w:t>Executive summary</w:t>
      </w:r>
    </w:p>
    <w:p w14:paraId="5E73073D" w14:textId="77777777" w:rsidR="00110560" w:rsidRPr="00220FC2" w:rsidRDefault="00110560" w:rsidP="00110560">
      <w:pPr>
        <w:jc w:val="both"/>
        <w:rPr>
          <w:sz w:val="22"/>
          <w:szCs w:val="20"/>
          <w:lang w:val="en-GB"/>
        </w:rPr>
      </w:pPr>
      <w:proofErr w:type="spellStart"/>
      <w:r w:rsidRPr="00220FC2">
        <w:rPr>
          <w:sz w:val="22"/>
          <w:szCs w:val="20"/>
          <w:lang w:val="en-GB"/>
        </w:rPr>
        <w:t>HealthPlus</w:t>
      </w:r>
      <w:proofErr w:type="spellEnd"/>
      <w:r w:rsidRPr="00220FC2">
        <w:rPr>
          <w:sz w:val="22"/>
          <w:szCs w:val="20"/>
          <w:lang w:val="en-GB"/>
        </w:rPr>
        <w:t xml:space="preserve"> Analytics (HPA) operates as a data-driven healthcare technology organisation responsible for processing and storing highly sensitive patient information on behalf of hospitals and clinics across the United Kingdom. Recent security incidents, including unauthorised access to cloud-stored patient records and a ransomware attack targeting analytics servers, have exposed critical vulnerabilities. These events occurred against a backdrop of increasing hybrid and remote working practices and widespread use of personal devices for corporate activities. Such trends have amplified the organisation’s exposure to data protection risks and potential non-compliance with regulatory obligations.</w:t>
      </w:r>
    </w:p>
    <w:p w14:paraId="7DE9A9D0" w14:textId="77777777" w:rsidR="00110560" w:rsidRPr="00220FC2" w:rsidRDefault="00110560" w:rsidP="00110560">
      <w:pPr>
        <w:jc w:val="both"/>
        <w:rPr>
          <w:sz w:val="22"/>
          <w:szCs w:val="20"/>
          <w:lang w:val="en-GB"/>
        </w:rPr>
      </w:pPr>
      <w:r w:rsidRPr="00220FC2">
        <w:rPr>
          <w:sz w:val="22"/>
          <w:szCs w:val="20"/>
          <w:lang w:val="en-GB"/>
        </w:rPr>
        <w:t xml:space="preserve">This report develops a comprehensive data security and governance framework designed to address these challenges. The framework is grounded in recognised international and national standards, notably ISO/IEC 27001:2022, the NIST Cybersecurity Framework 2.0, and the requirements of the UK General Data Protection Regulation (UK GDPR), alongside NHS Digital Security Standards. It systematically covers threat identification, policy development, mitigation strategies, monitoring and incident response mechanisms, and staff training initiatives. </w:t>
      </w:r>
      <w:proofErr w:type="gramStart"/>
      <w:r w:rsidRPr="00220FC2">
        <w:rPr>
          <w:sz w:val="22"/>
          <w:szCs w:val="20"/>
          <w:lang w:val="en-GB"/>
        </w:rPr>
        <w:t>Particular attention</w:t>
      </w:r>
      <w:proofErr w:type="gramEnd"/>
      <w:r w:rsidRPr="00220FC2">
        <w:rPr>
          <w:sz w:val="22"/>
          <w:szCs w:val="20"/>
          <w:lang w:val="en-GB"/>
        </w:rPr>
        <w:t xml:space="preserve"> is given to the CIA triad — Confidentiality, Integrity, and Availability — as the foundational principles for evaluating security controls.</w:t>
      </w:r>
    </w:p>
    <w:p w14:paraId="08249E08" w14:textId="77777777" w:rsidR="00110560" w:rsidRPr="00220FC2" w:rsidRDefault="00110560" w:rsidP="00110560">
      <w:pPr>
        <w:jc w:val="both"/>
        <w:rPr>
          <w:sz w:val="22"/>
          <w:szCs w:val="20"/>
          <w:lang w:val="en-GB"/>
        </w:rPr>
      </w:pPr>
      <w:r w:rsidRPr="00220FC2">
        <w:rPr>
          <w:sz w:val="22"/>
          <w:szCs w:val="20"/>
          <w:lang w:val="en-GB"/>
        </w:rPr>
        <w:t>Implementation is proposed in phased stages over a 12- to 18-month period, with initial emphasis on high-impact, quick-win measures. The approach is designed to be realistic and achievable within the resource context of a mid-sized healthcare technology company. A supporting 10-minute board presentation is included as Appendix A. The framework seeks not only to reduce immediate risks but also to foster a sustainable culture of security awareness across the organisation.</w:t>
      </w:r>
    </w:p>
    <w:p w14:paraId="7FCF49FB" w14:textId="6EA448A6" w:rsidR="00110560" w:rsidRDefault="00110560" w:rsidP="00110560">
      <w:pPr>
        <w:jc w:val="both"/>
        <w:rPr>
          <w:sz w:val="22"/>
          <w:szCs w:val="20"/>
          <w:lang w:val="en-GB"/>
        </w:rPr>
      </w:pPr>
    </w:p>
    <w:p w14:paraId="56CA6B30" w14:textId="77777777" w:rsidR="006C6423" w:rsidRDefault="006C6423" w:rsidP="00110560">
      <w:pPr>
        <w:jc w:val="both"/>
        <w:rPr>
          <w:sz w:val="22"/>
          <w:szCs w:val="20"/>
          <w:lang w:val="en-GB"/>
        </w:rPr>
      </w:pPr>
    </w:p>
    <w:p w14:paraId="55367FBE" w14:textId="77777777" w:rsidR="006C6423" w:rsidRDefault="006C6423" w:rsidP="00110560">
      <w:pPr>
        <w:jc w:val="both"/>
        <w:rPr>
          <w:sz w:val="22"/>
          <w:szCs w:val="20"/>
          <w:lang w:val="en-GB"/>
        </w:rPr>
      </w:pPr>
    </w:p>
    <w:p w14:paraId="7F203A02" w14:textId="77777777" w:rsidR="006C6423" w:rsidRDefault="006C6423" w:rsidP="00110560">
      <w:pPr>
        <w:jc w:val="both"/>
        <w:rPr>
          <w:sz w:val="22"/>
          <w:szCs w:val="20"/>
          <w:lang w:val="en-GB"/>
        </w:rPr>
      </w:pPr>
    </w:p>
    <w:p w14:paraId="469842CC" w14:textId="77777777" w:rsidR="006C6423" w:rsidRDefault="006C6423" w:rsidP="00110560">
      <w:pPr>
        <w:jc w:val="both"/>
        <w:rPr>
          <w:sz w:val="22"/>
          <w:szCs w:val="20"/>
          <w:lang w:val="en-GB"/>
        </w:rPr>
      </w:pPr>
    </w:p>
    <w:p w14:paraId="01807D0C" w14:textId="77777777" w:rsidR="006C6423" w:rsidRDefault="006C6423" w:rsidP="00110560">
      <w:pPr>
        <w:jc w:val="both"/>
        <w:rPr>
          <w:sz w:val="22"/>
          <w:szCs w:val="20"/>
          <w:lang w:val="en-GB"/>
        </w:rPr>
      </w:pPr>
    </w:p>
    <w:p w14:paraId="622B9A49" w14:textId="77777777" w:rsidR="006C6423" w:rsidRDefault="006C6423" w:rsidP="00110560">
      <w:pPr>
        <w:jc w:val="both"/>
        <w:rPr>
          <w:sz w:val="22"/>
          <w:szCs w:val="20"/>
          <w:lang w:val="en-GB"/>
        </w:rPr>
      </w:pPr>
    </w:p>
    <w:p w14:paraId="2957BCAD" w14:textId="77777777" w:rsidR="006C6423" w:rsidRDefault="006C6423" w:rsidP="00110560">
      <w:pPr>
        <w:jc w:val="both"/>
        <w:rPr>
          <w:sz w:val="22"/>
          <w:szCs w:val="20"/>
          <w:lang w:val="en-GB"/>
        </w:rPr>
      </w:pPr>
    </w:p>
    <w:p w14:paraId="37E58BE8" w14:textId="77777777" w:rsidR="006C6423" w:rsidRDefault="006C6423" w:rsidP="00110560">
      <w:pPr>
        <w:jc w:val="both"/>
        <w:rPr>
          <w:sz w:val="22"/>
          <w:szCs w:val="20"/>
          <w:lang w:val="en-GB"/>
        </w:rPr>
      </w:pPr>
    </w:p>
    <w:p w14:paraId="19ED9F7E" w14:textId="77777777" w:rsidR="006C6423" w:rsidRDefault="006C6423" w:rsidP="00110560">
      <w:pPr>
        <w:jc w:val="both"/>
        <w:rPr>
          <w:sz w:val="22"/>
          <w:szCs w:val="20"/>
          <w:lang w:val="en-GB"/>
        </w:rPr>
      </w:pPr>
    </w:p>
    <w:p w14:paraId="11CD537A" w14:textId="77777777" w:rsidR="006C6423" w:rsidRDefault="006C6423" w:rsidP="00110560">
      <w:pPr>
        <w:jc w:val="both"/>
        <w:rPr>
          <w:sz w:val="22"/>
          <w:szCs w:val="20"/>
          <w:lang w:val="en-GB"/>
        </w:rPr>
      </w:pPr>
    </w:p>
    <w:p w14:paraId="0B1D89F1" w14:textId="77777777" w:rsidR="006C6423" w:rsidRDefault="006C6423" w:rsidP="00110560">
      <w:pPr>
        <w:jc w:val="both"/>
        <w:rPr>
          <w:sz w:val="22"/>
          <w:szCs w:val="20"/>
          <w:lang w:val="en-GB"/>
        </w:rPr>
      </w:pPr>
    </w:p>
    <w:p w14:paraId="7AA3D685" w14:textId="77777777" w:rsidR="006C6423" w:rsidRDefault="006C6423" w:rsidP="00110560">
      <w:pPr>
        <w:jc w:val="both"/>
        <w:rPr>
          <w:sz w:val="22"/>
          <w:szCs w:val="20"/>
          <w:lang w:val="en-GB"/>
        </w:rPr>
      </w:pPr>
    </w:p>
    <w:p w14:paraId="448D6ABC" w14:textId="77777777" w:rsidR="006C6423" w:rsidRPr="00220FC2" w:rsidRDefault="006C6423" w:rsidP="00110560">
      <w:pPr>
        <w:jc w:val="both"/>
        <w:rPr>
          <w:sz w:val="22"/>
          <w:szCs w:val="20"/>
          <w:lang w:val="en-GB"/>
        </w:rPr>
      </w:pPr>
    </w:p>
    <w:p w14:paraId="4E562169" w14:textId="77777777" w:rsidR="00110560" w:rsidRPr="005E08A8" w:rsidRDefault="00110560" w:rsidP="00110560">
      <w:pPr>
        <w:jc w:val="both"/>
        <w:rPr>
          <w:b/>
          <w:bCs/>
          <w:sz w:val="32"/>
          <w:szCs w:val="28"/>
          <w:lang w:val="en-GB"/>
        </w:rPr>
      </w:pPr>
      <w:r w:rsidRPr="005E08A8">
        <w:rPr>
          <w:b/>
          <w:bCs/>
          <w:sz w:val="32"/>
          <w:szCs w:val="28"/>
          <w:lang w:val="en-GB"/>
        </w:rPr>
        <w:lastRenderedPageBreak/>
        <w:t>1. Identification of Threats</w:t>
      </w:r>
    </w:p>
    <w:p w14:paraId="594CA377" w14:textId="77777777" w:rsidR="00110560" w:rsidRPr="00220FC2" w:rsidRDefault="00110560" w:rsidP="00110560">
      <w:pPr>
        <w:jc w:val="both"/>
        <w:rPr>
          <w:sz w:val="22"/>
          <w:szCs w:val="20"/>
          <w:lang w:val="en-GB"/>
        </w:rPr>
      </w:pPr>
      <w:r w:rsidRPr="00220FC2">
        <w:rPr>
          <w:sz w:val="22"/>
          <w:szCs w:val="20"/>
          <w:lang w:val="en-GB"/>
        </w:rPr>
        <w:t>The contemporary cybersecurity landscape confronting healthcare technology organisations is characterised by increasing sophistication and frequency of attacks. HPA, as a custodian of sensitive patient data, must contend with both external and internal threat vectors that have the potential to undermine patient privacy, operational continuity, and regulatory compliance. A formal risk assessment process, aligned with ISO 27001 Annex A controls and the NIST CSF Identify function, has been employed to map these threats.</w:t>
      </w:r>
    </w:p>
    <w:p w14:paraId="0CAB1CD8" w14:textId="77777777" w:rsidR="006C6423" w:rsidRPr="006C6423" w:rsidRDefault="00110560" w:rsidP="00110560">
      <w:pPr>
        <w:jc w:val="both"/>
        <w:rPr>
          <w:b/>
          <w:bCs/>
          <w:sz w:val="28"/>
          <w:szCs w:val="24"/>
          <w:lang w:val="en-GB"/>
        </w:rPr>
      </w:pPr>
      <w:r w:rsidRPr="006C6423">
        <w:rPr>
          <w:b/>
          <w:bCs/>
          <w:sz w:val="28"/>
          <w:szCs w:val="24"/>
          <w:lang w:val="en-GB"/>
        </w:rPr>
        <w:t>External Threats</w:t>
      </w:r>
      <w:r w:rsidR="006C6423" w:rsidRPr="006C6423">
        <w:rPr>
          <w:b/>
          <w:bCs/>
          <w:sz w:val="28"/>
          <w:szCs w:val="24"/>
          <w:lang w:val="en-GB"/>
        </w:rPr>
        <w:t>:</w:t>
      </w:r>
    </w:p>
    <w:p w14:paraId="6C2802C4" w14:textId="299D0816" w:rsidR="00110560" w:rsidRPr="00CA5211" w:rsidRDefault="00110560" w:rsidP="00110560">
      <w:pPr>
        <w:jc w:val="both"/>
        <w:rPr>
          <w:sz w:val="22"/>
          <w:szCs w:val="20"/>
          <w:lang w:val="en-GB"/>
        </w:rPr>
      </w:pPr>
      <w:r w:rsidRPr="00110560">
        <w:rPr>
          <w:lang w:val="en-GB"/>
        </w:rPr>
        <w:t xml:space="preserve"> </w:t>
      </w:r>
      <w:r w:rsidRPr="00220FC2">
        <w:rPr>
          <w:sz w:val="22"/>
          <w:szCs w:val="20"/>
          <w:lang w:val="en-GB"/>
        </w:rPr>
        <w:t xml:space="preserve">Ransomware continues to represent one of the most significant risks to healthcare entities. Industry reports indicate that the healthcare sector experienced a substantial proportion of global ransomware incidents in 2025, often resulting in operational disruption and demands for </w:t>
      </w:r>
      <w:proofErr w:type="gramStart"/>
      <w:r w:rsidRPr="00220FC2">
        <w:rPr>
          <w:sz w:val="22"/>
          <w:szCs w:val="20"/>
          <w:lang w:val="en-GB"/>
        </w:rPr>
        <w:t>payment</w:t>
      </w:r>
      <w:r w:rsidR="00CA5211">
        <w:rPr>
          <w:sz w:val="22"/>
          <w:szCs w:val="20"/>
          <w:lang w:val="en-GB"/>
        </w:rPr>
        <w:t xml:space="preserve"> </w:t>
      </w:r>
      <w:r w:rsidRPr="00220FC2">
        <w:rPr>
          <w:sz w:val="22"/>
          <w:szCs w:val="20"/>
          <w:lang w:val="en-GB"/>
        </w:rPr>
        <w:t>.</w:t>
      </w:r>
      <w:proofErr w:type="gramEnd"/>
      <w:r w:rsidR="00CA5211" w:rsidRPr="00CA5211">
        <w:rPr>
          <w:sz w:val="22"/>
          <w:szCs w:val="20"/>
          <w:lang w:val="en-GB"/>
        </w:rPr>
        <w:t>[</w:t>
      </w:r>
      <w:sdt>
        <w:sdtPr>
          <w:rPr>
            <w:sz w:val="22"/>
            <w:szCs w:val="20"/>
            <w:lang w:val="en-GB"/>
          </w:rPr>
          <w:id w:val="1123503089"/>
          <w:citation/>
        </w:sdtPr>
        <w:sdtEndPr/>
        <w:sdtContent>
          <w:r w:rsidR="00F0193E">
            <w:rPr>
              <w:sz w:val="22"/>
              <w:szCs w:val="20"/>
              <w:lang w:val="en-GB"/>
            </w:rPr>
            <w:fldChar w:fldCharType="begin"/>
          </w:r>
          <w:r w:rsidR="00F0193E">
            <w:rPr>
              <w:sz w:val="22"/>
              <w:szCs w:val="20"/>
              <w:lang w:val="en-GB"/>
            </w:rPr>
            <w:instrText xml:space="preserve"> CITATION Nus23 \l 2057 </w:instrText>
          </w:r>
          <w:r w:rsidR="00F0193E">
            <w:rPr>
              <w:sz w:val="22"/>
              <w:szCs w:val="20"/>
              <w:lang w:val="en-GB"/>
            </w:rPr>
            <w:fldChar w:fldCharType="separate"/>
          </w:r>
          <w:r w:rsidR="00CC7628">
            <w:rPr>
              <w:noProof/>
              <w:sz w:val="22"/>
              <w:szCs w:val="20"/>
              <w:lang w:val="en-GB"/>
            </w:rPr>
            <w:t xml:space="preserve"> </w:t>
          </w:r>
          <w:r w:rsidR="00CC7628" w:rsidRPr="00CC7628">
            <w:rPr>
              <w:noProof/>
              <w:sz w:val="22"/>
              <w:szCs w:val="20"/>
              <w:lang w:val="en-GB"/>
            </w:rPr>
            <w:t>[1]</w:t>
          </w:r>
          <w:r w:rsidR="00F0193E">
            <w:rPr>
              <w:sz w:val="22"/>
              <w:szCs w:val="20"/>
              <w:lang w:val="en-GB"/>
            </w:rPr>
            <w:fldChar w:fldCharType="end"/>
          </w:r>
        </w:sdtContent>
      </w:sdt>
      <w:r w:rsidR="00CA5211">
        <w:rPr>
          <w:sz w:val="22"/>
          <w:szCs w:val="20"/>
          <w:lang w:val="en-GB"/>
        </w:rPr>
        <w:t xml:space="preserve">. </w:t>
      </w:r>
      <w:r w:rsidRPr="00220FC2">
        <w:rPr>
          <w:sz w:val="22"/>
          <w:szCs w:val="20"/>
          <w:lang w:val="en-GB"/>
        </w:rPr>
        <w:t xml:space="preserve">These attacks typically encrypt critical systems and data, threatening availability and, in some cases, the integrity of patient records. Phishing and social engineering attacks remain the predominant initial access method, frequently exploiting human vulnerabilities through targeted spear-phishing or business email compromise. Cloud service misconfigurations have also emerged as a recurring weakness, enabling unauthorised access to stored patient information. Additional external risks include supply chain compromises affecting third-party vendors, advanced persistent </w:t>
      </w:r>
      <w:r w:rsidRPr="00220FC2">
        <w:rPr>
          <w:lang w:val="en-GB"/>
        </w:rPr>
        <w:t xml:space="preserve">threats (APTs) from sophisticated actors, and exploitation of zero-day </w:t>
      </w:r>
      <w:r w:rsidR="00B7438A" w:rsidRPr="00B7438A">
        <w:rPr>
          <w:lang w:val="en-GB"/>
        </w:rPr>
        <w:t xml:space="preserve">vulnerabilities </w:t>
      </w:r>
      <w:sdt>
        <w:sdtPr>
          <w:rPr>
            <w:lang w:val="en-GB"/>
          </w:rPr>
          <w:id w:val="429627098"/>
          <w:citation/>
        </w:sdtPr>
        <w:sdtEndPr/>
        <w:sdtContent>
          <w:r w:rsidR="001C2495">
            <w:rPr>
              <w:lang w:val="en-GB"/>
            </w:rPr>
            <w:fldChar w:fldCharType="begin"/>
          </w:r>
          <w:r w:rsidR="001C2495">
            <w:rPr>
              <w:lang w:val="en-GB"/>
            </w:rPr>
            <w:instrText xml:space="preserve"> CITATION AAb24 \l 2057 </w:instrText>
          </w:r>
          <w:r w:rsidR="001C2495">
            <w:rPr>
              <w:lang w:val="en-GB"/>
            </w:rPr>
            <w:fldChar w:fldCharType="separate"/>
          </w:r>
          <w:r w:rsidR="00CC7628" w:rsidRPr="00CC7628">
            <w:rPr>
              <w:noProof/>
              <w:lang w:val="en-GB"/>
            </w:rPr>
            <w:t>[2]</w:t>
          </w:r>
          <w:r w:rsidR="001C2495">
            <w:rPr>
              <w:lang w:val="en-GB"/>
            </w:rPr>
            <w:fldChar w:fldCharType="end"/>
          </w:r>
        </w:sdtContent>
      </w:sdt>
      <w:r w:rsidRPr="00220FC2">
        <w:rPr>
          <w:lang w:val="en-GB"/>
        </w:rPr>
        <w:t>in unpatched systems or connected medical analytics devices.</w:t>
      </w:r>
    </w:p>
    <w:p w14:paraId="5EDFC721" w14:textId="77777777" w:rsidR="006C6423" w:rsidRDefault="00110560" w:rsidP="00110560">
      <w:pPr>
        <w:jc w:val="both"/>
        <w:rPr>
          <w:sz w:val="22"/>
          <w:szCs w:val="20"/>
          <w:lang w:val="en-GB"/>
        </w:rPr>
      </w:pPr>
      <w:r w:rsidRPr="006C6423">
        <w:rPr>
          <w:b/>
          <w:bCs/>
          <w:sz w:val="28"/>
          <w:szCs w:val="24"/>
          <w:lang w:val="en-GB"/>
        </w:rPr>
        <w:t xml:space="preserve">Internal </w:t>
      </w:r>
      <w:proofErr w:type="gramStart"/>
      <w:r w:rsidRPr="006C6423">
        <w:rPr>
          <w:b/>
          <w:bCs/>
          <w:sz w:val="28"/>
          <w:szCs w:val="24"/>
          <w:lang w:val="en-GB"/>
        </w:rPr>
        <w:t>Threats</w:t>
      </w:r>
      <w:r w:rsidRPr="006C6423">
        <w:rPr>
          <w:sz w:val="28"/>
          <w:szCs w:val="24"/>
          <w:lang w:val="en-GB"/>
        </w:rPr>
        <w:t xml:space="preserve"> </w:t>
      </w:r>
      <w:r w:rsidR="00220FC2" w:rsidRPr="00220FC2">
        <w:rPr>
          <w:sz w:val="22"/>
          <w:szCs w:val="20"/>
          <w:lang w:val="en-GB"/>
        </w:rPr>
        <w:t>:</w:t>
      </w:r>
      <w:proofErr w:type="gramEnd"/>
      <w:r w:rsidR="00220FC2" w:rsidRPr="00220FC2">
        <w:rPr>
          <w:sz w:val="22"/>
          <w:szCs w:val="20"/>
          <w:lang w:val="en-GB"/>
        </w:rPr>
        <w:t xml:space="preserve"> </w:t>
      </w:r>
    </w:p>
    <w:p w14:paraId="55FF00AE" w14:textId="00447F99" w:rsidR="00110560" w:rsidRPr="00220FC2" w:rsidRDefault="00110560" w:rsidP="00110560">
      <w:pPr>
        <w:jc w:val="both"/>
        <w:rPr>
          <w:sz w:val="22"/>
          <w:szCs w:val="20"/>
          <w:lang w:val="en-GB"/>
        </w:rPr>
      </w:pPr>
      <w:r w:rsidRPr="00220FC2">
        <w:rPr>
          <w:sz w:val="22"/>
          <w:szCs w:val="20"/>
          <w:lang w:val="en-GB"/>
        </w:rPr>
        <w:t>Internal risks are equally concerning. Insider threats may arise from malicious intent or, more commonly, from inadvertent actions by authorised personnel. The proliferation of bring-your-own-device (BYOD) policies and remote working has increased the likelihood of human error, such as insecure data handling or falling victim to phishing. Third-party vendors with access to HPA systems introduce further risk through potential weaknesses in their own security practices.</w:t>
      </w:r>
    </w:p>
    <w:p w14:paraId="32C9E735" w14:textId="61D4670C" w:rsidR="00110560" w:rsidRPr="00220FC2" w:rsidRDefault="00110560" w:rsidP="00110560">
      <w:pPr>
        <w:jc w:val="both"/>
        <w:rPr>
          <w:sz w:val="22"/>
          <w:szCs w:val="20"/>
          <w:lang w:val="en-GB"/>
        </w:rPr>
      </w:pPr>
      <w:r w:rsidRPr="00220FC2">
        <w:rPr>
          <w:sz w:val="22"/>
          <w:szCs w:val="20"/>
          <w:lang w:val="en-GB"/>
        </w:rPr>
        <w:t>These threats have direct implications for the CIA triad. Breaches of confidentiality could result in unauthorised disclosure of protected health information, violating UK GDPR Article 5 principles. Compromised integrity might lead to inaccurate or altered patient data with serious clinical consequences</w:t>
      </w:r>
      <w:r w:rsidR="004D7437" w:rsidRPr="004D7437">
        <w:rPr>
          <w:sz w:val="22"/>
          <w:szCs w:val="20"/>
          <w:lang w:val="en-GB"/>
        </w:rPr>
        <w:t xml:space="preserve"> </w:t>
      </w:r>
      <w:sdt>
        <w:sdtPr>
          <w:rPr>
            <w:sz w:val="22"/>
            <w:szCs w:val="20"/>
            <w:lang w:val="en-GB"/>
          </w:rPr>
          <w:id w:val="1375892297"/>
          <w:citation/>
        </w:sdtPr>
        <w:sdtEndPr/>
        <w:sdtContent>
          <w:r w:rsidR="001C2495">
            <w:rPr>
              <w:sz w:val="22"/>
              <w:szCs w:val="20"/>
              <w:lang w:val="en-GB"/>
            </w:rPr>
            <w:fldChar w:fldCharType="begin"/>
          </w:r>
          <w:r w:rsidR="001C2495">
            <w:rPr>
              <w:sz w:val="22"/>
              <w:szCs w:val="20"/>
              <w:lang w:val="en-GB"/>
            </w:rPr>
            <w:instrText xml:space="preserve"> CITATION Pur23 \l 2057 </w:instrText>
          </w:r>
          <w:r w:rsidR="001C2495">
            <w:rPr>
              <w:sz w:val="22"/>
              <w:szCs w:val="20"/>
              <w:lang w:val="en-GB"/>
            </w:rPr>
            <w:fldChar w:fldCharType="separate"/>
          </w:r>
          <w:r w:rsidR="00CC7628" w:rsidRPr="00CC7628">
            <w:rPr>
              <w:noProof/>
              <w:sz w:val="22"/>
              <w:szCs w:val="20"/>
              <w:lang w:val="en-GB"/>
            </w:rPr>
            <w:t>[3]</w:t>
          </w:r>
          <w:r w:rsidR="001C2495">
            <w:rPr>
              <w:sz w:val="22"/>
              <w:szCs w:val="20"/>
              <w:lang w:val="en-GB"/>
            </w:rPr>
            <w:fldChar w:fldCharType="end"/>
          </w:r>
        </w:sdtContent>
      </w:sdt>
      <w:r w:rsidRPr="00220FC2">
        <w:rPr>
          <w:sz w:val="22"/>
          <w:szCs w:val="20"/>
          <w:lang w:val="en-GB"/>
        </w:rPr>
        <w:t xml:space="preserve"> </w:t>
      </w:r>
      <w:r w:rsidR="002005F1">
        <w:rPr>
          <w:sz w:val="22"/>
          <w:szCs w:val="20"/>
          <w:lang w:val="en-GB"/>
        </w:rPr>
        <w:t xml:space="preserve"> </w:t>
      </w:r>
      <w:r w:rsidRPr="00220FC2">
        <w:rPr>
          <w:sz w:val="22"/>
          <w:szCs w:val="20"/>
          <w:lang w:val="en-GB"/>
        </w:rPr>
        <w:t>Loss of availability, particularly during ransomware events, could disrupt analytics services essential to partner hospitals and clinics. Historical case studies, such as the 2024 NHS ransomware incidents, demonstrate the real-world impact: cancelled procedures, reputational damage, and regulatory fines.</w:t>
      </w:r>
    </w:p>
    <w:p w14:paraId="45C15342" w14:textId="2BC2222B" w:rsidR="003C44A7" w:rsidRDefault="003C44A7" w:rsidP="006F02E1">
      <w:pPr>
        <w:jc w:val="both"/>
        <w:rPr>
          <w:lang w:val="en-GB"/>
        </w:rPr>
      </w:pPr>
    </w:p>
    <w:p w14:paraId="42BC938E" w14:textId="77777777" w:rsidR="006C6423" w:rsidRDefault="006C6423" w:rsidP="006F02E1">
      <w:pPr>
        <w:jc w:val="both"/>
        <w:rPr>
          <w:lang w:val="en-GB"/>
        </w:rPr>
      </w:pPr>
    </w:p>
    <w:p w14:paraId="52D75114" w14:textId="77777777" w:rsidR="006C6423" w:rsidRDefault="006C6423" w:rsidP="006F02E1">
      <w:pPr>
        <w:jc w:val="both"/>
        <w:rPr>
          <w:lang w:val="en-GB"/>
        </w:rPr>
      </w:pPr>
    </w:p>
    <w:p w14:paraId="3DB8AAE4" w14:textId="77777777" w:rsidR="006C6423" w:rsidRDefault="006C6423" w:rsidP="006F02E1">
      <w:pPr>
        <w:jc w:val="both"/>
        <w:rPr>
          <w:lang w:val="en-GB"/>
        </w:rPr>
      </w:pPr>
    </w:p>
    <w:p w14:paraId="16D9A53A" w14:textId="77777777" w:rsidR="006C6423" w:rsidRDefault="006C6423" w:rsidP="006F02E1">
      <w:pPr>
        <w:jc w:val="both"/>
        <w:rPr>
          <w:lang w:val="en-GB"/>
        </w:rPr>
      </w:pPr>
    </w:p>
    <w:p w14:paraId="5C528C6C" w14:textId="77777777" w:rsidR="006C6423" w:rsidRDefault="006C6423" w:rsidP="006F02E1">
      <w:pPr>
        <w:jc w:val="both"/>
        <w:rPr>
          <w:lang w:val="en-GB"/>
        </w:rPr>
      </w:pPr>
    </w:p>
    <w:p w14:paraId="0A5A0DD2" w14:textId="77777777" w:rsidR="0042447D" w:rsidRDefault="0042447D" w:rsidP="006F02E1">
      <w:pPr>
        <w:spacing w:before="0" w:after="160" w:line="278" w:lineRule="auto"/>
        <w:jc w:val="both"/>
        <w:rPr>
          <w:b/>
          <w:bCs/>
          <w:lang w:val="en-GB"/>
        </w:rPr>
      </w:pPr>
    </w:p>
    <w:p w14:paraId="4E3918A7" w14:textId="7EB6FAD7" w:rsidR="005A6955" w:rsidRDefault="006F02E1" w:rsidP="006F02E1">
      <w:pPr>
        <w:spacing w:before="0" w:after="160" w:line="278" w:lineRule="auto"/>
        <w:jc w:val="both"/>
        <w:rPr>
          <w:lang w:val="en-GB"/>
        </w:rPr>
      </w:pPr>
      <w:r w:rsidRPr="00E77063">
        <w:rPr>
          <w:b/>
          <w:bCs/>
          <w:lang w:val="en-GB"/>
        </w:rPr>
        <w:lastRenderedPageBreak/>
        <w:t xml:space="preserve"> Threat</w:t>
      </w:r>
      <w:r w:rsidR="00C42F5D">
        <w:rPr>
          <w:b/>
          <w:bCs/>
          <w:lang w:val="en-GB"/>
        </w:rPr>
        <w:t>s</w:t>
      </w:r>
      <w:r w:rsidRPr="00E77063">
        <w:rPr>
          <w:b/>
          <w:bCs/>
          <w:lang w:val="en-GB"/>
        </w:rPr>
        <w:t xml:space="preserve"> </w:t>
      </w:r>
      <w:r w:rsidR="00525583">
        <w:rPr>
          <w:b/>
          <w:bCs/>
          <w:lang w:val="en-GB"/>
        </w:rPr>
        <w:t>Table</w:t>
      </w:r>
      <w:r w:rsidR="0042447D">
        <w:rPr>
          <w:b/>
          <w:bCs/>
          <w:lang w:val="en-GB"/>
        </w:rPr>
        <w:t xml:space="preserve"> design</w:t>
      </w:r>
      <w:r w:rsidR="00525583">
        <w:rPr>
          <w:b/>
          <w:bCs/>
          <w:lang w:val="en-GB"/>
        </w:rPr>
        <w:t xml:space="preserve"> </w:t>
      </w:r>
    </w:p>
    <w:tbl>
      <w:tblPr>
        <w:tblStyle w:val="ListTable3-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4"/>
        <w:gridCol w:w="1812"/>
        <w:gridCol w:w="1530"/>
        <w:gridCol w:w="2081"/>
      </w:tblGrid>
      <w:tr w:rsidR="00C92D01" w:rsidRPr="00F85CB7" w14:paraId="68372B05" w14:textId="77777777" w:rsidTr="00C92D01">
        <w:trPr>
          <w:cnfStyle w:val="100000000000" w:firstRow="1" w:lastRow="0" w:firstColumn="0" w:lastColumn="0" w:oddVBand="0" w:evenVBand="0" w:oddHBand="0" w:evenHBand="0" w:firstRowFirstColumn="0" w:firstRowLastColumn="0" w:lastRowFirstColumn="0" w:lastRowLastColumn="0"/>
          <w:trHeight w:val="701"/>
        </w:trPr>
        <w:tc>
          <w:tcPr>
            <w:cnfStyle w:val="001000000100" w:firstRow="0" w:lastRow="0" w:firstColumn="1" w:lastColumn="0" w:oddVBand="0" w:evenVBand="0" w:oddHBand="0" w:evenHBand="0" w:firstRowFirstColumn="1" w:firstRowLastColumn="0" w:lastRowFirstColumn="0" w:lastRowLastColumn="0"/>
            <w:tcW w:w="2644" w:type="dxa"/>
            <w:tcBorders>
              <w:bottom w:val="none" w:sz="0" w:space="0" w:color="auto"/>
              <w:right w:val="none" w:sz="0" w:space="0" w:color="auto"/>
            </w:tcBorders>
            <w:hideMark/>
          </w:tcPr>
          <w:p w14:paraId="480B9F31" w14:textId="77777777" w:rsidR="00C92D01" w:rsidRPr="00F85CB7" w:rsidRDefault="00C92D01" w:rsidP="00C92D01">
            <w:pPr>
              <w:spacing w:before="0" w:after="160" w:line="278" w:lineRule="auto"/>
              <w:jc w:val="center"/>
              <w:rPr>
                <w:rFonts w:cs="Times New Roman"/>
                <w:lang w:val="en-GB"/>
              </w:rPr>
            </w:pPr>
            <w:r w:rsidRPr="00F85CB7">
              <w:rPr>
                <w:rFonts w:cs="Times New Roman"/>
                <w:lang w:val="en-GB"/>
              </w:rPr>
              <w:t>Threat Type</w:t>
            </w:r>
          </w:p>
        </w:tc>
        <w:tc>
          <w:tcPr>
            <w:tcW w:w="1812" w:type="dxa"/>
            <w:hideMark/>
          </w:tcPr>
          <w:p w14:paraId="00E6F372" w14:textId="77777777" w:rsidR="00C92D01" w:rsidRPr="00F85CB7" w:rsidRDefault="00C92D01" w:rsidP="00C92D01">
            <w:pPr>
              <w:spacing w:before="0" w:after="160" w:line="278" w:lineRule="auto"/>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Likelihood</w:t>
            </w:r>
          </w:p>
        </w:tc>
        <w:tc>
          <w:tcPr>
            <w:tcW w:w="1530" w:type="dxa"/>
            <w:hideMark/>
          </w:tcPr>
          <w:p w14:paraId="37160B52" w14:textId="77777777" w:rsidR="00C92D01" w:rsidRPr="00F85CB7" w:rsidRDefault="00C92D01" w:rsidP="00C92D01">
            <w:pPr>
              <w:spacing w:before="0" w:after="160" w:line="278" w:lineRule="auto"/>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Impact</w:t>
            </w:r>
          </w:p>
        </w:tc>
        <w:tc>
          <w:tcPr>
            <w:tcW w:w="2081" w:type="dxa"/>
            <w:hideMark/>
          </w:tcPr>
          <w:p w14:paraId="63BD1763" w14:textId="77777777" w:rsidR="00C92D01" w:rsidRPr="00F85CB7" w:rsidRDefault="00C92D01" w:rsidP="00C92D01">
            <w:pPr>
              <w:spacing w:before="0" w:after="160" w:line="278" w:lineRule="auto"/>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Risk Level</w:t>
            </w:r>
          </w:p>
        </w:tc>
      </w:tr>
      <w:tr w:rsidR="00C92D01" w:rsidRPr="00F85CB7" w14:paraId="06089F90" w14:textId="77777777" w:rsidTr="00F85C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4" w:type="dxa"/>
            <w:tcBorders>
              <w:top w:val="none" w:sz="0" w:space="0" w:color="auto"/>
              <w:bottom w:val="none" w:sz="0" w:space="0" w:color="auto"/>
              <w:right w:val="none" w:sz="0" w:space="0" w:color="auto"/>
            </w:tcBorders>
            <w:hideMark/>
          </w:tcPr>
          <w:p w14:paraId="277A5AE6" w14:textId="77777777" w:rsidR="00C92D01" w:rsidRPr="00F85CB7" w:rsidRDefault="00C92D01" w:rsidP="00C92D01">
            <w:pPr>
              <w:spacing w:before="0" w:after="160" w:line="278" w:lineRule="auto"/>
              <w:jc w:val="center"/>
              <w:rPr>
                <w:rFonts w:cs="Times New Roman"/>
                <w:b w:val="0"/>
                <w:bCs w:val="0"/>
                <w:lang w:val="en-GB"/>
              </w:rPr>
            </w:pPr>
            <w:r w:rsidRPr="00F85CB7">
              <w:rPr>
                <w:rFonts w:cs="Times New Roman"/>
                <w:b w:val="0"/>
                <w:bCs w:val="0"/>
                <w:lang w:val="en-GB"/>
              </w:rPr>
              <w:t>Ransomware</w:t>
            </w:r>
          </w:p>
        </w:tc>
        <w:tc>
          <w:tcPr>
            <w:tcW w:w="1812" w:type="dxa"/>
            <w:tcBorders>
              <w:top w:val="none" w:sz="0" w:space="0" w:color="auto"/>
              <w:bottom w:val="none" w:sz="0" w:space="0" w:color="auto"/>
            </w:tcBorders>
            <w:shd w:val="clear" w:color="auto" w:fill="FFD7D5" w:themeFill="accent6" w:themeFillTint="33"/>
            <w:hideMark/>
          </w:tcPr>
          <w:p w14:paraId="1BFDFB9B"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High</w:t>
            </w:r>
          </w:p>
        </w:tc>
        <w:tc>
          <w:tcPr>
            <w:tcW w:w="1530" w:type="dxa"/>
            <w:tcBorders>
              <w:top w:val="none" w:sz="0" w:space="0" w:color="auto"/>
              <w:bottom w:val="none" w:sz="0" w:space="0" w:color="auto"/>
            </w:tcBorders>
            <w:shd w:val="clear" w:color="auto" w:fill="FFAFAB" w:themeFill="accent6" w:themeFillTint="66"/>
            <w:hideMark/>
          </w:tcPr>
          <w:p w14:paraId="79AA18CF"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Very High</w:t>
            </w:r>
          </w:p>
        </w:tc>
        <w:tc>
          <w:tcPr>
            <w:tcW w:w="2081" w:type="dxa"/>
            <w:tcBorders>
              <w:top w:val="none" w:sz="0" w:space="0" w:color="auto"/>
              <w:bottom w:val="none" w:sz="0" w:space="0" w:color="auto"/>
            </w:tcBorders>
            <w:shd w:val="clear" w:color="auto" w:fill="FF8881" w:themeFill="accent6" w:themeFillTint="99"/>
            <w:hideMark/>
          </w:tcPr>
          <w:p w14:paraId="0D86C38D"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Critical</w:t>
            </w:r>
          </w:p>
        </w:tc>
      </w:tr>
      <w:tr w:rsidR="00C92D01" w:rsidRPr="00F85CB7" w14:paraId="276E06E1" w14:textId="77777777" w:rsidTr="00F85CB7">
        <w:tc>
          <w:tcPr>
            <w:cnfStyle w:val="001000000000" w:firstRow="0" w:lastRow="0" w:firstColumn="1" w:lastColumn="0" w:oddVBand="0" w:evenVBand="0" w:oddHBand="0" w:evenHBand="0" w:firstRowFirstColumn="0" w:firstRowLastColumn="0" w:lastRowFirstColumn="0" w:lastRowLastColumn="0"/>
            <w:tcW w:w="2644" w:type="dxa"/>
            <w:tcBorders>
              <w:right w:val="none" w:sz="0" w:space="0" w:color="auto"/>
            </w:tcBorders>
            <w:hideMark/>
          </w:tcPr>
          <w:p w14:paraId="13DE18A7" w14:textId="77777777" w:rsidR="00C92D01" w:rsidRPr="00F85CB7" w:rsidRDefault="00C92D01" w:rsidP="00C92D01">
            <w:pPr>
              <w:spacing w:before="0" w:after="160" w:line="278" w:lineRule="auto"/>
              <w:jc w:val="center"/>
              <w:rPr>
                <w:rFonts w:cs="Times New Roman"/>
                <w:b w:val="0"/>
                <w:bCs w:val="0"/>
                <w:lang w:val="en-GB"/>
              </w:rPr>
            </w:pPr>
            <w:r w:rsidRPr="00F85CB7">
              <w:rPr>
                <w:rFonts w:cs="Times New Roman"/>
                <w:b w:val="0"/>
                <w:bCs w:val="0"/>
                <w:lang w:val="en-GB"/>
              </w:rPr>
              <w:t>Phishing &amp; Social Eng.</w:t>
            </w:r>
          </w:p>
        </w:tc>
        <w:tc>
          <w:tcPr>
            <w:tcW w:w="1812" w:type="dxa"/>
            <w:shd w:val="clear" w:color="auto" w:fill="FFD7D5" w:themeFill="accent6" w:themeFillTint="33"/>
            <w:hideMark/>
          </w:tcPr>
          <w:p w14:paraId="4A648121" w14:textId="77777777" w:rsidR="00C92D01" w:rsidRPr="00F85CB7" w:rsidRDefault="00C92D01" w:rsidP="00C92D01">
            <w:pPr>
              <w:spacing w:before="0" w:after="160" w:line="278" w:lineRule="auto"/>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Very High</w:t>
            </w:r>
          </w:p>
        </w:tc>
        <w:tc>
          <w:tcPr>
            <w:tcW w:w="1530" w:type="dxa"/>
            <w:shd w:val="clear" w:color="auto" w:fill="FFAFAB" w:themeFill="accent6" w:themeFillTint="66"/>
            <w:hideMark/>
          </w:tcPr>
          <w:p w14:paraId="0CBAAD40" w14:textId="77777777" w:rsidR="00C92D01" w:rsidRPr="00F85CB7" w:rsidRDefault="00C92D01" w:rsidP="00C92D01">
            <w:pPr>
              <w:spacing w:before="0" w:after="160" w:line="278" w:lineRule="auto"/>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High</w:t>
            </w:r>
          </w:p>
        </w:tc>
        <w:tc>
          <w:tcPr>
            <w:tcW w:w="2081" w:type="dxa"/>
            <w:shd w:val="clear" w:color="auto" w:fill="FF8881" w:themeFill="accent6" w:themeFillTint="99"/>
            <w:hideMark/>
          </w:tcPr>
          <w:p w14:paraId="7095370E" w14:textId="77777777" w:rsidR="00C92D01" w:rsidRPr="00F85CB7" w:rsidRDefault="00C92D01" w:rsidP="00C92D01">
            <w:pPr>
              <w:spacing w:before="0" w:after="160" w:line="278" w:lineRule="auto"/>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Critical</w:t>
            </w:r>
          </w:p>
        </w:tc>
      </w:tr>
      <w:tr w:rsidR="00C92D01" w:rsidRPr="00F85CB7" w14:paraId="29F64D43" w14:textId="77777777" w:rsidTr="00F85C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4" w:type="dxa"/>
            <w:tcBorders>
              <w:top w:val="none" w:sz="0" w:space="0" w:color="auto"/>
              <w:bottom w:val="none" w:sz="0" w:space="0" w:color="auto"/>
              <w:right w:val="none" w:sz="0" w:space="0" w:color="auto"/>
            </w:tcBorders>
            <w:hideMark/>
          </w:tcPr>
          <w:p w14:paraId="430AA3B4" w14:textId="77777777" w:rsidR="00C92D01" w:rsidRPr="00F85CB7" w:rsidRDefault="00C92D01" w:rsidP="00C92D01">
            <w:pPr>
              <w:spacing w:before="0" w:after="160" w:line="278" w:lineRule="auto"/>
              <w:jc w:val="center"/>
              <w:rPr>
                <w:rFonts w:cs="Times New Roman"/>
                <w:b w:val="0"/>
                <w:bCs w:val="0"/>
                <w:lang w:val="en-GB"/>
              </w:rPr>
            </w:pPr>
            <w:r w:rsidRPr="00F85CB7">
              <w:rPr>
                <w:rFonts w:cs="Times New Roman"/>
                <w:b w:val="0"/>
                <w:bCs w:val="0"/>
                <w:lang w:val="en-GB"/>
              </w:rPr>
              <w:t>Cloud Misconfiguration</w:t>
            </w:r>
          </w:p>
        </w:tc>
        <w:tc>
          <w:tcPr>
            <w:tcW w:w="1812" w:type="dxa"/>
            <w:tcBorders>
              <w:top w:val="none" w:sz="0" w:space="0" w:color="auto"/>
              <w:bottom w:val="none" w:sz="0" w:space="0" w:color="auto"/>
            </w:tcBorders>
            <w:shd w:val="clear" w:color="auto" w:fill="FFD7D5" w:themeFill="accent6" w:themeFillTint="33"/>
            <w:hideMark/>
          </w:tcPr>
          <w:p w14:paraId="0A37128D"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High</w:t>
            </w:r>
          </w:p>
        </w:tc>
        <w:tc>
          <w:tcPr>
            <w:tcW w:w="1530" w:type="dxa"/>
            <w:tcBorders>
              <w:top w:val="none" w:sz="0" w:space="0" w:color="auto"/>
              <w:bottom w:val="none" w:sz="0" w:space="0" w:color="auto"/>
            </w:tcBorders>
            <w:shd w:val="clear" w:color="auto" w:fill="FFAFAB" w:themeFill="accent6" w:themeFillTint="66"/>
            <w:hideMark/>
          </w:tcPr>
          <w:p w14:paraId="7DCF5CBF"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High</w:t>
            </w:r>
          </w:p>
        </w:tc>
        <w:tc>
          <w:tcPr>
            <w:tcW w:w="2081" w:type="dxa"/>
            <w:tcBorders>
              <w:top w:val="none" w:sz="0" w:space="0" w:color="auto"/>
              <w:bottom w:val="none" w:sz="0" w:space="0" w:color="auto"/>
            </w:tcBorders>
            <w:shd w:val="clear" w:color="auto" w:fill="FF8881" w:themeFill="accent6" w:themeFillTint="99"/>
            <w:hideMark/>
          </w:tcPr>
          <w:p w14:paraId="17260E11"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High</w:t>
            </w:r>
          </w:p>
        </w:tc>
      </w:tr>
      <w:tr w:rsidR="00C92D01" w:rsidRPr="00F85CB7" w14:paraId="0F149F18" w14:textId="77777777" w:rsidTr="00F85CB7">
        <w:tc>
          <w:tcPr>
            <w:cnfStyle w:val="001000000000" w:firstRow="0" w:lastRow="0" w:firstColumn="1" w:lastColumn="0" w:oddVBand="0" w:evenVBand="0" w:oddHBand="0" w:evenHBand="0" w:firstRowFirstColumn="0" w:firstRowLastColumn="0" w:lastRowFirstColumn="0" w:lastRowLastColumn="0"/>
            <w:tcW w:w="2644" w:type="dxa"/>
            <w:tcBorders>
              <w:right w:val="none" w:sz="0" w:space="0" w:color="auto"/>
            </w:tcBorders>
            <w:hideMark/>
          </w:tcPr>
          <w:p w14:paraId="68FEC7D2" w14:textId="77777777" w:rsidR="00C92D01" w:rsidRPr="00F85CB7" w:rsidRDefault="00C92D01" w:rsidP="00C92D01">
            <w:pPr>
              <w:spacing w:before="0" w:after="160" w:line="278" w:lineRule="auto"/>
              <w:jc w:val="center"/>
              <w:rPr>
                <w:rFonts w:cs="Times New Roman"/>
                <w:b w:val="0"/>
                <w:bCs w:val="0"/>
                <w:lang w:val="en-GB"/>
              </w:rPr>
            </w:pPr>
            <w:r w:rsidRPr="00F85CB7">
              <w:rPr>
                <w:rFonts w:cs="Times New Roman"/>
                <w:b w:val="0"/>
                <w:bCs w:val="0"/>
                <w:lang w:val="en-GB"/>
              </w:rPr>
              <w:t>Insider Threats</w:t>
            </w:r>
          </w:p>
        </w:tc>
        <w:tc>
          <w:tcPr>
            <w:tcW w:w="1812" w:type="dxa"/>
            <w:shd w:val="clear" w:color="auto" w:fill="FFD7D5" w:themeFill="accent6" w:themeFillTint="33"/>
            <w:hideMark/>
          </w:tcPr>
          <w:p w14:paraId="1144C43E" w14:textId="77777777" w:rsidR="00C92D01" w:rsidRPr="00F85CB7" w:rsidRDefault="00C92D01" w:rsidP="00C92D01">
            <w:pPr>
              <w:spacing w:before="0" w:after="160" w:line="278" w:lineRule="auto"/>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Medium</w:t>
            </w:r>
          </w:p>
        </w:tc>
        <w:tc>
          <w:tcPr>
            <w:tcW w:w="1530" w:type="dxa"/>
            <w:shd w:val="clear" w:color="auto" w:fill="FFAFAB" w:themeFill="accent6" w:themeFillTint="66"/>
            <w:hideMark/>
          </w:tcPr>
          <w:p w14:paraId="16294928" w14:textId="77777777" w:rsidR="00C92D01" w:rsidRPr="00F85CB7" w:rsidRDefault="00C92D01" w:rsidP="00C92D01">
            <w:pPr>
              <w:spacing w:before="0" w:after="160" w:line="278" w:lineRule="auto"/>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High</w:t>
            </w:r>
          </w:p>
        </w:tc>
        <w:tc>
          <w:tcPr>
            <w:tcW w:w="2081" w:type="dxa"/>
            <w:shd w:val="clear" w:color="auto" w:fill="FF8881" w:themeFill="accent6" w:themeFillTint="99"/>
            <w:hideMark/>
          </w:tcPr>
          <w:p w14:paraId="48E833B6" w14:textId="77777777" w:rsidR="00C92D01" w:rsidRPr="00F85CB7" w:rsidRDefault="00C92D01" w:rsidP="00C92D01">
            <w:pPr>
              <w:spacing w:before="0" w:after="160" w:line="278" w:lineRule="auto"/>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F85CB7">
              <w:rPr>
                <w:rFonts w:cs="Times New Roman"/>
                <w:lang w:val="en-GB"/>
              </w:rPr>
              <w:t>High</w:t>
            </w:r>
          </w:p>
        </w:tc>
      </w:tr>
      <w:tr w:rsidR="00C92D01" w:rsidRPr="00F85CB7" w14:paraId="7BAB00A5" w14:textId="77777777" w:rsidTr="00F85CB7">
        <w:trPr>
          <w:cnfStyle w:val="000000100000" w:firstRow="0" w:lastRow="0" w:firstColumn="0" w:lastColumn="0" w:oddVBand="0" w:evenVBand="0" w:oddHBand="1" w:evenHBand="0" w:firstRowFirstColumn="0" w:firstRowLastColumn="0" w:lastRowFirstColumn="0" w:lastRowLastColumn="0"/>
          <w:trHeight w:val="919"/>
        </w:trPr>
        <w:tc>
          <w:tcPr>
            <w:cnfStyle w:val="001000000000" w:firstRow="0" w:lastRow="0" w:firstColumn="1" w:lastColumn="0" w:oddVBand="0" w:evenVBand="0" w:oddHBand="0" w:evenHBand="0" w:firstRowFirstColumn="0" w:firstRowLastColumn="0" w:lastRowFirstColumn="0" w:lastRowLastColumn="0"/>
            <w:tcW w:w="2644" w:type="dxa"/>
            <w:tcBorders>
              <w:top w:val="none" w:sz="0" w:space="0" w:color="auto"/>
              <w:bottom w:val="none" w:sz="0" w:space="0" w:color="auto"/>
              <w:right w:val="none" w:sz="0" w:space="0" w:color="auto"/>
            </w:tcBorders>
            <w:hideMark/>
          </w:tcPr>
          <w:p w14:paraId="25280442" w14:textId="77777777" w:rsidR="00C92D01" w:rsidRPr="00F85CB7" w:rsidRDefault="00C92D01" w:rsidP="00C92D01">
            <w:pPr>
              <w:spacing w:before="0" w:after="160" w:line="278" w:lineRule="auto"/>
              <w:jc w:val="center"/>
              <w:rPr>
                <w:rFonts w:cs="Times New Roman"/>
                <w:b w:val="0"/>
                <w:bCs w:val="0"/>
                <w:lang w:val="en-GB"/>
              </w:rPr>
            </w:pPr>
            <w:r w:rsidRPr="00F85CB7">
              <w:rPr>
                <w:rFonts w:cs="Times New Roman"/>
                <w:b w:val="0"/>
                <w:bCs w:val="0"/>
                <w:lang w:val="en-GB"/>
              </w:rPr>
              <w:t>Supply Chain Attacks</w:t>
            </w:r>
          </w:p>
        </w:tc>
        <w:tc>
          <w:tcPr>
            <w:tcW w:w="1812" w:type="dxa"/>
            <w:tcBorders>
              <w:top w:val="none" w:sz="0" w:space="0" w:color="auto"/>
              <w:bottom w:val="none" w:sz="0" w:space="0" w:color="auto"/>
            </w:tcBorders>
            <w:shd w:val="clear" w:color="auto" w:fill="FFD7D5" w:themeFill="accent6" w:themeFillTint="33"/>
            <w:hideMark/>
          </w:tcPr>
          <w:p w14:paraId="0B3815B9"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Medium</w:t>
            </w:r>
          </w:p>
        </w:tc>
        <w:tc>
          <w:tcPr>
            <w:tcW w:w="1530" w:type="dxa"/>
            <w:tcBorders>
              <w:top w:val="none" w:sz="0" w:space="0" w:color="auto"/>
              <w:bottom w:val="none" w:sz="0" w:space="0" w:color="auto"/>
            </w:tcBorders>
            <w:shd w:val="clear" w:color="auto" w:fill="FFAFAB" w:themeFill="accent6" w:themeFillTint="66"/>
            <w:hideMark/>
          </w:tcPr>
          <w:p w14:paraId="01A60119"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Very High</w:t>
            </w:r>
          </w:p>
        </w:tc>
        <w:tc>
          <w:tcPr>
            <w:tcW w:w="2081" w:type="dxa"/>
            <w:tcBorders>
              <w:top w:val="none" w:sz="0" w:space="0" w:color="auto"/>
              <w:bottom w:val="none" w:sz="0" w:space="0" w:color="auto"/>
            </w:tcBorders>
            <w:shd w:val="clear" w:color="auto" w:fill="FF8881" w:themeFill="accent6" w:themeFillTint="99"/>
            <w:hideMark/>
          </w:tcPr>
          <w:p w14:paraId="5884D9F9" w14:textId="77777777" w:rsidR="00C92D01" w:rsidRPr="00F85CB7" w:rsidRDefault="00C92D01" w:rsidP="00C92D01">
            <w:pPr>
              <w:spacing w:before="0" w:after="160" w:line="278" w:lineRule="auto"/>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F85CB7">
              <w:rPr>
                <w:rFonts w:cs="Times New Roman"/>
                <w:lang w:val="en-GB"/>
              </w:rPr>
              <w:t>High</w:t>
            </w:r>
          </w:p>
        </w:tc>
      </w:tr>
    </w:tbl>
    <w:p w14:paraId="166AD150" w14:textId="58321A82" w:rsidR="00E22BDB" w:rsidRDefault="00F85CB7" w:rsidP="006F02E1">
      <w:pPr>
        <w:spacing w:before="0" w:after="160" w:line="278" w:lineRule="auto"/>
        <w:jc w:val="both"/>
        <w:rPr>
          <w:lang w:val="en-GB"/>
        </w:rPr>
      </w:pPr>
      <w:r>
        <w:rPr>
          <w:noProof/>
        </w:rPr>
        <mc:AlternateContent>
          <mc:Choice Requires="wps">
            <w:drawing>
              <wp:anchor distT="0" distB="0" distL="114300" distR="114300" simplePos="0" relativeHeight="251691008" behindDoc="1" locked="0" layoutInCell="1" allowOverlap="1" wp14:anchorId="33BA7909" wp14:editId="40E45A21">
                <wp:simplePos x="0" y="0"/>
                <wp:positionH relativeFrom="column">
                  <wp:posOffset>-12247</wp:posOffset>
                </wp:positionH>
                <wp:positionV relativeFrom="paragraph">
                  <wp:posOffset>75021</wp:posOffset>
                </wp:positionV>
                <wp:extent cx="5551170" cy="635"/>
                <wp:effectExtent l="0" t="0" r="0" b="0"/>
                <wp:wrapNone/>
                <wp:docPr id="686630898" name="Text Box 1"/>
                <wp:cNvGraphicFramePr/>
                <a:graphic xmlns:a="http://schemas.openxmlformats.org/drawingml/2006/main">
                  <a:graphicData uri="http://schemas.microsoft.com/office/word/2010/wordprocessingShape">
                    <wps:wsp>
                      <wps:cNvSpPr txBox="1"/>
                      <wps:spPr>
                        <a:xfrm>
                          <a:off x="0" y="0"/>
                          <a:ext cx="5551170" cy="635"/>
                        </a:xfrm>
                        <a:prstGeom prst="rect">
                          <a:avLst/>
                        </a:prstGeom>
                        <a:solidFill>
                          <a:prstClr val="white"/>
                        </a:solidFill>
                        <a:ln>
                          <a:noFill/>
                        </a:ln>
                      </wps:spPr>
                      <wps:txbx>
                        <w:txbxContent>
                          <w:p w14:paraId="757F7CB0" w14:textId="46533C11" w:rsidR="006D564A" w:rsidRPr="00B51A29" w:rsidRDefault="006D564A" w:rsidP="006D564A">
                            <w:pPr>
                              <w:pStyle w:val="Caption"/>
                              <w:rPr>
                                <w:noProof/>
                                <w:color w:val="000000" w:themeColor="text1"/>
                                <w:szCs w:val="22"/>
                              </w:rPr>
                            </w:pPr>
                            <w:r>
                              <w:t xml:space="preserve">Fig.  </w:t>
                            </w:r>
                            <w:fldSimple w:instr=" SEQ Fig._ \* ARABIC ">
                              <w:r w:rsidR="007C7B4A">
                                <w:rPr>
                                  <w:noProof/>
                                </w:rPr>
                                <w:t>1</w:t>
                              </w:r>
                            </w:fldSimple>
                            <w:r>
                              <w:t xml:space="preserve">: </w:t>
                            </w:r>
                            <w:r w:rsidRPr="00202948">
                              <w:t xml:space="preserve"> "HPA Threat Assessment: Likelihood versus Impact"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A7909" id="Text Box 1" o:spid="_x0000_s1027" type="#_x0000_t202" style="position:absolute;left:0;text-align:left;margin-left:-.95pt;margin-top:5.9pt;width:437.1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" stroked="f">
                <v:textbox style="mso-fit-shape-to-text:t" inset="0,0,0,0">
                  <w:txbxContent>
                    <w:p w14:paraId="757F7CB0" w14:textId="46533C11" w:rsidR="006D564A" w:rsidRPr="00B51A29" w:rsidRDefault="006D564A" w:rsidP="006D564A">
                      <w:pPr>
                        <w:pStyle w:val="Caption"/>
                        <w:rPr>
                          <w:noProof/>
                          <w:color w:val="000000" w:themeColor="text1"/>
                          <w:szCs w:val="22"/>
                        </w:rPr>
                      </w:pPr>
                      <w:r>
                        <w:t xml:space="preserve">Fig.  </w:t>
                      </w:r>
                      <w:fldSimple w:instr=" SEQ Fig._ \* ARABIC ">
                        <w:r w:rsidR="007C7B4A">
                          <w:rPr>
                            <w:noProof/>
                          </w:rPr>
                          <w:t>1</w:t>
                        </w:r>
                      </w:fldSimple>
                      <w:r>
                        <w:t xml:space="preserve">: </w:t>
                      </w:r>
                      <w:r w:rsidRPr="00202948">
                        <w:t xml:space="preserve"> "HPA Threat Assessment: Likelihood versus Impact"</w:t>
                      </w:r>
                    </w:p>
                  </w:txbxContent>
                </v:textbox>
              </v:shape>
            </w:pict>
          </mc:Fallback>
        </mc:AlternateContent>
      </w:r>
    </w:p>
    <w:p w14:paraId="5758E830" w14:textId="5069CF53" w:rsidR="00E22BDB" w:rsidRPr="006930F2" w:rsidRDefault="00E22BDB" w:rsidP="006F02E1">
      <w:pPr>
        <w:spacing w:before="0" w:after="160" w:line="278" w:lineRule="auto"/>
        <w:jc w:val="both"/>
        <w:rPr>
          <w:sz w:val="22"/>
          <w:szCs w:val="20"/>
          <w:lang w:val="en-GB"/>
        </w:rPr>
      </w:pPr>
    </w:p>
    <w:p w14:paraId="56E71CB1" w14:textId="7FD750A5" w:rsidR="00B62A38" w:rsidRPr="006930F2" w:rsidRDefault="00B62A38" w:rsidP="00B62A38">
      <w:pPr>
        <w:spacing w:before="0" w:after="160" w:line="278" w:lineRule="auto"/>
        <w:jc w:val="both"/>
        <w:rPr>
          <w:sz w:val="22"/>
          <w:szCs w:val="20"/>
          <w:lang w:val="en-GB"/>
        </w:rPr>
      </w:pPr>
      <w:r w:rsidRPr="006930F2">
        <w:rPr>
          <w:sz w:val="22"/>
          <w:szCs w:val="20"/>
          <w:lang w:val="en-GB"/>
        </w:rPr>
        <w:t>These threats directly affect the CIA triad: breaches may compromise patient confidentiality, alter data integrity, or impair system availability, with potential regulatory and reputational consequences.</w:t>
      </w:r>
    </w:p>
    <w:p w14:paraId="66D610E2" w14:textId="77777777" w:rsidR="00B62A38" w:rsidRDefault="00B62A38" w:rsidP="006F02E1">
      <w:pPr>
        <w:spacing w:before="0" w:after="160" w:line="278" w:lineRule="auto"/>
        <w:jc w:val="both"/>
        <w:rPr>
          <w:lang w:val="en-GB"/>
        </w:rPr>
      </w:pPr>
    </w:p>
    <w:p w14:paraId="31B6395F" w14:textId="22078B3F" w:rsidR="00E22BDB" w:rsidRDefault="004E54BF" w:rsidP="006F02E1">
      <w:pPr>
        <w:spacing w:before="0" w:after="160" w:line="278" w:lineRule="auto"/>
        <w:jc w:val="both"/>
        <w:rPr>
          <w:lang w:val="en-GB"/>
        </w:rPr>
      </w:pPr>
      <w:r w:rsidRPr="001B1AD3">
        <w:rPr>
          <w:noProof/>
          <w:lang w:val="en-GB"/>
        </w:rPr>
        <mc:AlternateContent>
          <mc:Choice Requires="wps">
            <w:drawing>
              <wp:anchor distT="45720" distB="45720" distL="114300" distR="114300" simplePos="0" relativeHeight="251671552" behindDoc="0" locked="0" layoutInCell="1" allowOverlap="1" wp14:anchorId="6B5C5618" wp14:editId="7C7CC8E5">
                <wp:simplePos x="0" y="0"/>
                <wp:positionH relativeFrom="margin">
                  <wp:posOffset>3267985</wp:posOffset>
                </wp:positionH>
                <wp:positionV relativeFrom="paragraph">
                  <wp:posOffset>184902</wp:posOffset>
                </wp:positionV>
                <wp:extent cx="1861185" cy="260985"/>
                <wp:effectExtent l="0" t="0" r="0" b="5715"/>
                <wp:wrapSquare wrapText="bothSides"/>
                <wp:docPr id="11623835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1185" cy="260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286823E" w14:textId="6B6CC0A4" w:rsidR="001B1AD3" w:rsidRPr="002E1016" w:rsidRDefault="009A721F" w:rsidP="00132D56">
                            <w:pPr>
                              <w:pStyle w:val="ListParagraph"/>
                              <w:numPr>
                                <w:ilvl w:val="0"/>
                                <w:numId w:val="12"/>
                              </w:numPr>
                              <w:spacing w:before="100" w:beforeAutospacing="1"/>
                              <w:rPr>
                                <w:color w:val="FFFFFF" w:themeColor="background1"/>
                                <w:sz w:val="14"/>
                                <w:szCs w:val="14"/>
                              </w:rPr>
                            </w:pPr>
                            <w:r w:rsidRPr="002E1016">
                              <w:rPr>
                                <w:color w:val="FFFFFF" w:themeColor="background1"/>
                                <w:sz w:val="14"/>
                                <w:szCs w:val="14"/>
                              </w:rPr>
                              <w:t>Supply Chain Attacks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C5618" id="_x0000_s1028" type="#_x0000_t202" style="position:absolute;left:0;text-align:left;margin-left:257.3pt;margin-top:14.55pt;width:146.55pt;height:20.5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" filled="f" stroked="f">
                <v:textbox>
                  <w:txbxContent>
                    <w:p w14:paraId="6286823E" w14:textId="6B6CC0A4" w:rsidR="001B1AD3" w:rsidRPr="002E1016" w:rsidRDefault="009A721F" w:rsidP="00132D56">
                      <w:pPr>
                        <w:pStyle w:val="ListParagraph"/>
                        <w:numPr>
                          <w:ilvl w:val="0"/>
                          <w:numId w:val="12"/>
                        </w:numPr>
                        <w:spacing w:before="100" w:beforeAutospacing="1"/>
                        <w:rPr>
                          <w:color w:val="FFFFFF" w:themeColor="background1"/>
                          <w:sz w:val="14"/>
                          <w:szCs w:val="14"/>
                        </w:rPr>
                      </w:pPr>
                      <w:r w:rsidRPr="002E1016">
                        <w:rPr>
                          <w:color w:val="FFFFFF" w:themeColor="background1"/>
                          <w:sz w:val="14"/>
                          <w:szCs w:val="14"/>
                        </w:rPr>
                        <w:t>Supply Chain Attacks</w:t>
                      </w:r>
                    </w:p>
                  </w:txbxContent>
                </v:textbox>
                <w10:wrap type="square" anchorx="margin"/>
              </v:shape>
            </w:pict>
          </mc:Fallback>
        </mc:AlternateContent>
      </w:r>
    </w:p>
    <w:p w14:paraId="62D4CF51" w14:textId="07423222" w:rsidR="00E22BDB" w:rsidRPr="00E77063" w:rsidRDefault="002B0B16" w:rsidP="00B60378">
      <w:pPr>
        <w:tabs>
          <w:tab w:val="center" w:pos="4968"/>
        </w:tabs>
        <w:spacing w:before="0" w:after="160" w:line="278" w:lineRule="auto"/>
        <w:jc w:val="both"/>
        <w:rPr>
          <w:lang w:val="en-GB"/>
        </w:rPr>
      </w:pPr>
      <w:r w:rsidRPr="001B1AD3">
        <w:rPr>
          <w:noProof/>
          <w:lang w:val="en-GB"/>
        </w:rPr>
        <mc:AlternateContent>
          <mc:Choice Requires="wps">
            <w:drawing>
              <wp:anchor distT="45720" distB="45720" distL="114300" distR="114300" simplePos="0" relativeHeight="251673600" behindDoc="0" locked="0" layoutInCell="1" allowOverlap="1" wp14:anchorId="52CCD2F4" wp14:editId="065E8334">
                <wp:simplePos x="0" y="0"/>
                <wp:positionH relativeFrom="margin">
                  <wp:posOffset>3582670</wp:posOffset>
                </wp:positionH>
                <wp:positionV relativeFrom="paragraph">
                  <wp:posOffset>144780</wp:posOffset>
                </wp:positionV>
                <wp:extent cx="1861185" cy="260985"/>
                <wp:effectExtent l="0" t="0" r="0" b="5715"/>
                <wp:wrapSquare wrapText="bothSides"/>
                <wp:docPr id="11440474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1185" cy="260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9B42940" w14:textId="20E6AD92" w:rsidR="004A29CC" w:rsidRPr="002E1016" w:rsidRDefault="00663243" w:rsidP="004A29CC">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Inside threads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CD2F4" id="_x0000_s1029" type="#_x0000_t202" style="position:absolute;left:0;text-align:left;margin-left:282.1pt;margin-top:11.4pt;width:146.55pt;height:20.5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" filled="f" stroked="f">
                <v:textbox>
                  <w:txbxContent>
                    <w:p w14:paraId="59B42940" w14:textId="20E6AD92" w:rsidR="004A29CC" w:rsidRPr="002E1016" w:rsidRDefault="00663243" w:rsidP="004A29CC">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Inside threads </w:t>
                      </w:r>
                    </w:p>
                  </w:txbxContent>
                </v:textbox>
                <w10:wrap type="square" anchorx="margin"/>
              </v:shape>
            </w:pict>
          </mc:Fallback>
        </mc:AlternateContent>
      </w:r>
      <w:r w:rsidR="00B60378">
        <w:rPr>
          <w:lang w:val="en-GB"/>
        </w:rPr>
        <w:tab/>
      </w:r>
    </w:p>
    <w:p w14:paraId="32E260CE" w14:textId="6409EDE4" w:rsidR="00B60378" w:rsidRDefault="00DC0FD1" w:rsidP="006F02E1">
      <w:pPr>
        <w:spacing w:before="0" w:after="160" w:line="278" w:lineRule="auto"/>
        <w:jc w:val="both"/>
        <w:rPr>
          <w:lang w:val="en-GB"/>
        </w:rPr>
      </w:pPr>
      <w:r w:rsidRPr="001B1AD3">
        <w:rPr>
          <w:noProof/>
          <w:lang w:val="en-GB"/>
        </w:rPr>
        <mc:AlternateContent>
          <mc:Choice Requires="wps">
            <w:drawing>
              <wp:anchor distT="45720" distB="45720" distL="114300" distR="114300" simplePos="0" relativeHeight="251675648" behindDoc="0" locked="0" layoutInCell="1" allowOverlap="1" wp14:anchorId="1515305B" wp14:editId="54401A02">
                <wp:simplePos x="0" y="0"/>
                <wp:positionH relativeFrom="margin">
                  <wp:posOffset>3267075</wp:posOffset>
                </wp:positionH>
                <wp:positionV relativeFrom="paragraph">
                  <wp:posOffset>123190</wp:posOffset>
                </wp:positionV>
                <wp:extent cx="1861185" cy="260985"/>
                <wp:effectExtent l="0" t="0" r="0" b="5715"/>
                <wp:wrapSquare wrapText="bothSides"/>
                <wp:docPr id="20564134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1185" cy="260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896C05C" w14:textId="64BDE1CA" w:rsidR="004A29CC" w:rsidRPr="002E1016" w:rsidRDefault="00F13457" w:rsidP="004A29CC">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Phishing &amp; Social Engineering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5305B" id="_x0000_s1030" type="#_x0000_t202" style="position:absolute;left:0;text-align:left;margin-left:257.25pt;margin-top:9.7pt;width:146.55pt;height:20.5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" filled="f" stroked="f">
                <v:textbox>
                  <w:txbxContent>
                    <w:p w14:paraId="6896C05C" w14:textId="64BDE1CA" w:rsidR="004A29CC" w:rsidRPr="002E1016" w:rsidRDefault="00F13457" w:rsidP="004A29CC">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Phishing &amp; Social Engineering </w:t>
                      </w:r>
                    </w:p>
                  </w:txbxContent>
                </v:textbox>
                <w10:wrap type="square" anchorx="margin"/>
              </v:shape>
            </w:pict>
          </mc:Fallback>
        </mc:AlternateContent>
      </w:r>
      <w:r w:rsidR="00C93A81">
        <w:rPr>
          <w:lang w:val="en-GB"/>
        </w:rPr>
        <w:t xml:space="preserve"> </w:t>
      </w:r>
    </w:p>
    <w:p w14:paraId="39BCDFAA" w14:textId="77777777" w:rsidR="006C6423" w:rsidRDefault="002B0B16" w:rsidP="00DC1665">
      <w:pPr>
        <w:spacing w:before="0" w:after="160" w:line="278" w:lineRule="auto"/>
        <w:jc w:val="both"/>
        <w:rPr>
          <w:lang w:val="en-GB"/>
        </w:rPr>
      </w:pPr>
      <w:r w:rsidRPr="001B1AD3">
        <w:rPr>
          <w:noProof/>
          <w:lang w:val="en-GB"/>
        </w:rPr>
        <mc:AlternateContent>
          <mc:Choice Requires="wps">
            <w:drawing>
              <wp:anchor distT="45720" distB="45720" distL="114300" distR="114300" simplePos="0" relativeHeight="251679744" behindDoc="0" locked="0" layoutInCell="1" allowOverlap="1" wp14:anchorId="61B576F3" wp14:editId="2EDCB234">
                <wp:simplePos x="0" y="0"/>
                <wp:positionH relativeFrom="margin">
                  <wp:posOffset>3268980</wp:posOffset>
                </wp:positionH>
                <wp:positionV relativeFrom="paragraph">
                  <wp:posOffset>300990</wp:posOffset>
                </wp:positionV>
                <wp:extent cx="1861185" cy="260985"/>
                <wp:effectExtent l="0" t="0" r="0" b="5715"/>
                <wp:wrapSquare wrapText="bothSides"/>
                <wp:docPr id="11849039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1185" cy="260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AF494D" w14:textId="68435E73" w:rsidR="0097252E" w:rsidRPr="002E1016" w:rsidRDefault="00DC0FD1" w:rsidP="0097252E">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Cloud Misconfiguration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B576F3" id="_x0000_s1031" type="#_x0000_t202" style="position:absolute;left:0;text-align:left;margin-left:257.4pt;margin-top:23.7pt;width:146.55pt;height:20.5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" filled="f" stroked="f">
                <v:textbox>
                  <w:txbxContent>
                    <w:p w14:paraId="28AF494D" w14:textId="68435E73" w:rsidR="0097252E" w:rsidRPr="002E1016" w:rsidRDefault="00DC0FD1" w:rsidP="0097252E">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Cloud Misconfiguration </w:t>
                      </w:r>
                    </w:p>
                  </w:txbxContent>
                </v:textbox>
                <w10:wrap type="square" anchorx="margin"/>
              </v:shape>
            </w:pict>
          </mc:Fallback>
        </mc:AlternateContent>
      </w:r>
      <w:r w:rsidRPr="001B1AD3">
        <w:rPr>
          <w:noProof/>
          <w:lang w:val="en-GB"/>
        </w:rPr>
        <mc:AlternateContent>
          <mc:Choice Requires="wps">
            <w:drawing>
              <wp:anchor distT="45720" distB="45720" distL="114300" distR="114300" simplePos="0" relativeHeight="251677696" behindDoc="0" locked="0" layoutInCell="1" allowOverlap="1" wp14:anchorId="0F26F262" wp14:editId="5E5F024F">
                <wp:simplePos x="0" y="0"/>
                <wp:positionH relativeFrom="margin">
                  <wp:posOffset>3616325</wp:posOffset>
                </wp:positionH>
                <wp:positionV relativeFrom="paragraph">
                  <wp:posOffset>29845</wp:posOffset>
                </wp:positionV>
                <wp:extent cx="1861185" cy="260985"/>
                <wp:effectExtent l="0" t="0" r="0" b="5715"/>
                <wp:wrapSquare wrapText="bothSides"/>
                <wp:docPr id="723372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1185" cy="260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A743D96" w14:textId="123F9E6C" w:rsidR="0097252E" w:rsidRPr="002E1016" w:rsidRDefault="005957A9" w:rsidP="0097252E">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Ransomware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26F262" id="_x0000_s1032" type="#_x0000_t202" style="position:absolute;left:0;text-align:left;margin-left:284.75pt;margin-top:2.35pt;width:146.55pt;height:20.5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" filled="f" stroked="f">
                <v:textbox>
                  <w:txbxContent>
                    <w:p w14:paraId="5A743D96" w14:textId="123F9E6C" w:rsidR="0097252E" w:rsidRPr="002E1016" w:rsidRDefault="005957A9" w:rsidP="0097252E">
                      <w:pPr>
                        <w:pStyle w:val="ListParagraph"/>
                        <w:numPr>
                          <w:ilvl w:val="0"/>
                          <w:numId w:val="12"/>
                        </w:numPr>
                        <w:spacing w:before="100" w:beforeAutospacing="1"/>
                        <w:rPr>
                          <w:color w:val="FFFFFF" w:themeColor="background1"/>
                          <w:sz w:val="14"/>
                          <w:szCs w:val="14"/>
                        </w:rPr>
                      </w:pPr>
                      <w:r>
                        <w:rPr>
                          <w:color w:val="FFFFFF" w:themeColor="background1"/>
                          <w:sz w:val="14"/>
                          <w:szCs w:val="14"/>
                        </w:rPr>
                        <w:t xml:space="preserve">Ransomware </w:t>
                      </w:r>
                    </w:p>
                  </w:txbxContent>
                </v:textbox>
                <w10:wrap type="square" anchorx="margin"/>
              </v:shape>
            </w:pict>
          </mc:Fallback>
        </mc:AlternateContent>
      </w:r>
      <w:r w:rsidR="00267C1C">
        <w:rPr>
          <w:lang w:val="en-GB"/>
        </w:rPr>
        <w:br/>
      </w:r>
      <w:r w:rsidR="00267C1C">
        <w:rPr>
          <w:lang w:val="en-GB"/>
        </w:rPr>
        <w:br/>
      </w:r>
      <w:r w:rsidR="00267C1C">
        <w:rPr>
          <w:lang w:val="en-GB"/>
        </w:rPr>
        <w:br/>
      </w:r>
      <w:r w:rsidR="00267C1C">
        <w:rPr>
          <w:lang w:val="en-GB"/>
        </w:rPr>
        <w:br/>
      </w:r>
      <w:r w:rsidR="00267C1C">
        <w:rPr>
          <w:lang w:val="en-GB"/>
        </w:rPr>
        <w:br/>
      </w:r>
      <w:r w:rsidR="00267C1C">
        <w:rPr>
          <w:lang w:val="en-GB"/>
        </w:rPr>
        <w:br/>
      </w:r>
    </w:p>
    <w:p w14:paraId="4D7E5234" w14:textId="77777777" w:rsidR="006C6423" w:rsidRDefault="006C6423" w:rsidP="00DC1665">
      <w:pPr>
        <w:spacing w:before="0" w:after="160" w:line="278" w:lineRule="auto"/>
        <w:jc w:val="both"/>
        <w:rPr>
          <w:lang w:val="en-GB"/>
        </w:rPr>
      </w:pPr>
    </w:p>
    <w:p w14:paraId="4CF7B3BD" w14:textId="77777777" w:rsidR="006C6423" w:rsidRDefault="006C6423" w:rsidP="00DC1665">
      <w:pPr>
        <w:spacing w:before="0" w:after="160" w:line="278" w:lineRule="auto"/>
        <w:jc w:val="both"/>
        <w:rPr>
          <w:lang w:val="en-GB"/>
        </w:rPr>
      </w:pPr>
    </w:p>
    <w:p w14:paraId="73253CCE" w14:textId="77777777" w:rsidR="006C6423" w:rsidRDefault="006C6423" w:rsidP="00DC1665">
      <w:pPr>
        <w:spacing w:before="0" w:after="160" w:line="278" w:lineRule="auto"/>
        <w:jc w:val="both"/>
        <w:rPr>
          <w:lang w:val="en-GB"/>
        </w:rPr>
      </w:pPr>
    </w:p>
    <w:p w14:paraId="26D70E00" w14:textId="77777777" w:rsidR="006C6423" w:rsidRDefault="006C6423" w:rsidP="00DC1665">
      <w:pPr>
        <w:spacing w:before="0" w:after="160" w:line="278" w:lineRule="auto"/>
        <w:jc w:val="both"/>
        <w:rPr>
          <w:lang w:val="en-GB"/>
        </w:rPr>
      </w:pPr>
    </w:p>
    <w:p w14:paraId="094A0A4E" w14:textId="77777777" w:rsidR="006C6423" w:rsidRDefault="006C6423" w:rsidP="00DC1665">
      <w:pPr>
        <w:spacing w:before="0" w:after="160" w:line="278" w:lineRule="auto"/>
        <w:jc w:val="both"/>
        <w:rPr>
          <w:lang w:val="en-GB"/>
        </w:rPr>
      </w:pPr>
    </w:p>
    <w:p w14:paraId="7B189B6C" w14:textId="77777777" w:rsidR="006C6423" w:rsidRDefault="006C6423" w:rsidP="00DC1665">
      <w:pPr>
        <w:spacing w:before="0" w:after="160" w:line="278" w:lineRule="auto"/>
        <w:jc w:val="both"/>
        <w:rPr>
          <w:lang w:val="en-GB"/>
        </w:rPr>
      </w:pPr>
    </w:p>
    <w:p w14:paraId="3F21E40E" w14:textId="77777777" w:rsidR="006C6423" w:rsidRDefault="006C6423" w:rsidP="00DC1665">
      <w:pPr>
        <w:spacing w:before="0" w:after="160" w:line="278" w:lineRule="auto"/>
        <w:jc w:val="both"/>
        <w:rPr>
          <w:lang w:val="en-GB"/>
        </w:rPr>
      </w:pPr>
    </w:p>
    <w:p w14:paraId="7DF81BA2" w14:textId="77777777" w:rsidR="005E08A8" w:rsidRDefault="005E08A8" w:rsidP="00DC1665">
      <w:pPr>
        <w:spacing w:before="0" w:after="160" w:line="278" w:lineRule="auto"/>
        <w:jc w:val="both"/>
        <w:rPr>
          <w:lang w:val="en-GB"/>
        </w:rPr>
      </w:pPr>
    </w:p>
    <w:p w14:paraId="37B636DB" w14:textId="5715E4D1" w:rsidR="00DC1665" w:rsidRPr="005E08A8" w:rsidRDefault="00267C1C" w:rsidP="00DC1665">
      <w:pPr>
        <w:spacing w:before="0" w:after="160" w:line="278" w:lineRule="auto"/>
        <w:jc w:val="both"/>
        <w:rPr>
          <w:b/>
          <w:bCs/>
          <w:sz w:val="28"/>
          <w:szCs w:val="24"/>
          <w:lang w:val="en-GB"/>
        </w:rPr>
      </w:pPr>
      <w:r w:rsidRPr="005E08A8">
        <w:rPr>
          <w:sz w:val="28"/>
          <w:szCs w:val="24"/>
          <w:lang w:val="en-GB"/>
        </w:rPr>
        <w:br/>
      </w:r>
      <w:r w:rsidRPr="005E08A8">
        <w:rPr>
          <w:sz w:val="28"/>
          <w:szCs w:val="24"/>
          <w:lang w:val="en-GB"/>
        </w:rPr>
        <w:br/>
      </w:r>
      <w:r w:rsidRPr="005E08A8">
        <w:rPr>
          <w:sz w:val="28"/>
          <w:szCs w:val="24"/>
          <w:lang w:val="en-GB"/>
        </w:rPr>
        <w:lastRenderedPageBreak/>
        <w:br/>
      </w:r>
      <w:r w:rsidR="006F02E1" w:rsidRPr="005E08A8">
        <w:rPr>
          <w:b/>
          <w:bCs/>
          <w:sz w:val="32"/>
          <w:szCs w:val="28"/>
          <w:lang w:val="en-GB"/>
        </w:rPr>
        <w:t>2. Security Policies</w:t>
      </w:r>
    </w:p>
    <w:p w14:paraId="1ADB35CF" w14:textId="0C8DD1CC" w:rsidR="005A3DDB" w:rsidRDefault="0002261E" w:rsidP="005A3DDB">
      <w:pPr>
        <w:keepNext/>
        <w:spacing w:before="0" w:after="160" w:line="278" w:lineRule="auto"/>
        <w:jc w:val="both"/>
      </w:pPr>
      <w:r>
        <w:rPr>
          <w:noProof/>
          <w:lang w:val="en-GB"/>
          <w14:ligatures w14:val="standardContextual"/>
        </w:rPr>
        <w:drawing>
          <wp:inline distT="0" distB="0" distL="0" distR="0" wp14:anchorId="635457DF" wp14:editId="4D212B7A">
            <wp:extent cx="5181600" cy="1772920"/>
            <wp:effectExtent l="0" t="0" r="0" b="0"/>
            <wp:docPr id="16961101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10114" name="Picture 11"/>
                    <pic:cNvPicPr/>
                  </pic:nvPicPr>
                  <pic:blipFill rotWithShape="1">
                    <a:blip r:embed="rId19" cstate="print">
                      <a:extLst>
                        <a:ext uri="{28A0092B-C50C-407E-A947-70E740481C1C}">
                          <a14:useLocalDpi xmlns:a14="http://schemas.microsoft.com/office/drawing/2010/main" val="0"/>
                        </a:ext>
                      </a:extLst>
                    </a:blip>
                    <a:srcRect l="10359" t="9576" r="7431" b="8263"/>
                    <a:stretch>
                      <a:fillRect/>
                    </a:stretch>
                  </pic:blipFill>
                  <pic:spPr bwMode="auto">
                    <a:xfrm>
                      <a:off x="0" y="0"/>
                      <a:ext cx="5186928" cy="1774743"/>
                    </a:xfrm>
                    <a:prstGeom prst="rect">
                      <a:avLst/>
                    </a:prstGeom>
                    <a:ln>
                      <a:noFill/>
                    </a:ln>
                    <a:extLst>
                      <a:ext uri="{53640926-AAD7-44D8-BBD7-CCE9431645EC}">
                        <a14:shadowObscured xmlns:a14="http://schemas.microsoft.com/office/drawing/2010/main"/>
                      </a:ext>
                    </a:extLst>
                  </pic:spPr>
                </pic:pic>
              </a:graphicData>
            </a:graphic>
          </wp:inline>
        </w:drawing>
      </w:r>
    </w:p>
    <w:p w14:paraId="4C4F2581" w14:textId="196A7CE8" w:rsidR="00672C1A" w:rsidRDefault="005A3DDB" w:rsidP="005A3DDB">
      <w:pPr>
        <w:pStyle w:val="Caption"/>
        <w:jc w:val="both"/>
        <w:rPr>
          <w:lang w:val="en-GB"/>
        </w:rPr>
      </w:pPr>
      <w:r>
        <w:t xml:space="preserve">Fig.  </w:t>
      </w:r>
      <w:fldSimple w:instr=" SEQ Fig._ \* ARABIC ">
        <w:r w:rsidR="007C7B4A">
          <w:rPr>
            <w:noProof/>
          </w:rPr>
          <w:t>2</w:t>
        </w:r>
      </w:fldSimple>
      <w:r>
        <w:t xml:space="preserve">: </w:t>
      </w:r>
      <w:r w:rsidRPr="00B874E7">
        <w:t>CIA Triad – How Policies Align</w:t>
      </w:r>
    </w:p>
    <w:p w14:paraId="08FF86BA" w14:textId="77777777" w:rsidR="001C2495" w:rsidRDefault="006F02E1" w:rsidP="001C2495">
      <w:pPr>
        <w:spacing w:before="0" w:after="160" w:line="278" w:lineRule="auto"/>
        <w:jc w:val="both"/>
        <w:rPr>
          <w:sz w:val="22"/>
          <w:szCs w:val="20"/>
          <w:lang w:val="en-GB"/>
        </w:rPr>
      </w:pPr>
      <w:r w:rsidRPr="006930F2">
        <w:rPr>
          <w:sz w:val="22"/>
          <w:szCs w:val="20"/>
          <w:lang w:val="en-GB"/>
        </w:rPr>
        <w:t>The proposed policies align with ISO 27001 controls, NIST guidelines, and UK GDPR principles. They will form part of a formal Information Security Management System (ISMS).</w:t>
      </w:r>
    </w:p>
    <w:p w14:paraId="781C5DFD" w14:textId="77777777" w:rsidR="005E08A8" w:rsidRDefault="0061127F" w:rsidP="005E08A8">
      <w:pPr>
        <w:keepNext/>
        <w:keepLines/>
        <w:spacing w:before="0" w:line="278" w:lineRule="auto"/>
        <w:jc w:val="both"/>
        <w:rPr>
          <w:sz w:val="22"/>
          <w:szCs w:val="20"/>
          <w:lang w:val="en-GB"/>
        </w:rPr>
      </w:pPr>
      <w:r w:rsidRPr="006930F2">
        <w:rPr>
          <w:sz w:val="22"/>
          <w:szCs w:val="20"/>
          <w:lang w:val="en-GB"/>
        </w:rPr>
        <w:t>Effective governance requires a clear set of security policies that provide direction and establish accountability. The proposed policies have been developed in alignment with ISO 27001 Clause 5 and Annex A, NIST CSF Govern and Protect functions, and UK GDPR obligations</w:t>
      </w:r>
      <w:r w:rsidR="00D276FF" w:rsidRPr="00D276FF">
        <w:rPr>
          <w:rFonts w:ascii="Times New Roman" w:eastAsia="Times New Roman" w:hAnsi="Times New Roman" w:cs="Times New Roman"/>
          <w:color w:val="auto"/>
          <w:szCs w:val="24"/>
          <w:lang w:val="en-GB" w:eastAsia="en-GB"/>
        </w:rPr>
        <w:t xml:space="preserve"> </w:t>
      </w:r>
      <w:r w:rsidR="00D276FF" w:rsidRPr="00D276FF">
        <w:rPr>
          <w:sz w:val="22"/>
          <w:szCs w:val="20"/>
          <w:lang w:val="en-GB"/>
        </w:rPr>
        <w:t xml:space="preserve"> </w:t>
      </w:r>
      <w:sdt>
        <w:sdtPr>
          <w:rPr>
            <w:sz w:val="22"/>
            <w:szCs w:val="20"/>
            <w:lang w:val="en-GB"/>
          </w:rPr>
          <w:id w:val="1379281737"/>
          <w:citation/>
        </w:sdtPr>
        <w:sdtEndPr/>
        <w:sdtContent>
          <w:r w:rsidR="00D72708">
            <w:rPr>
              <w:sz w:val="22"/>
              <w:szCs w:val="20"/>
              <w:lang w:val="en-GB"/>
            </w:rPr>
            <w:fldChar w:fldCharType="begin"/>
          </w:r>
          <w:r w:rsidR="00D72708">
            <w:rPr>
              <w:sz w:val="22"/>
              <w:szCs w:val="20"/>
              <w:lang w:val="en-GB"/>
            </w:rPr>
            <w:instrText xml:space="preserve"> CITATION Jai24 \l 2057 </w:instrText>
          </w:r>
          <w:r w:rsidR="00D72708">
            <w:rPr>
              <w:sz w:val="22"/>
              <w:szCs w:val="20"/>
              <w:lang w:val="en-GB"/>
            </w:rPr>
            <w:fldChar w:fldCharType="separate"/>
          </w:r>
          <w:r w:rsidR="00CC7628" w:rsidRPr="00CC7628">
            <w:rPr>
              <w:noProof/>
              <w:sz w:val="22"/>
              <w:szCs w:val="20"/>
              <w:lang w:val="en-GB"/>
            </w:rPr>
            <w:t>[4]</w:t>
          </w:r>
          <w:r w:rsidR="00D72708">
            <w:rPr>
              <w:sz w:val="22"/>
              <w:szCs w:val="20"/>
              <w:lang w:val="en-GB"/>
            </w:rPr>
            <w:fldChar w:fldCharType="end"/>
          </w:r>
        </w:sdtContent>
      </w:sdt>
      <w:r w:rsidR="00D276FF" w:rsidRPr="00D276FF">
        <w:rPr>
          <w:sz w:val="22"/>
          <w:szCs w:val="20"/>
          <w:lang w:val="en-GB"/>
        </w:rPr>
        <w:t>.</w:t>
      </w:r>
      <w:r w:rsidRPr="006930F2">
        <w:rPr>
          <w:sz w:val="22"/>
          <w:szCs w:val="20"/>
          <w:lang w:val="en-GB"/>
        </w:rPr>
        <w:t>. They will be integrated into a formal Information Security Management System (ISMS) subject to leadership approval, regular review, and version control.</w:t>
      </w:r>
    </w:p>
    <w:p w14:paraId="7CE1C08A" w14:textId="77777777" w:rsidR="005E08A8" w:rsidRDefault="0061127F" w:rsidP="005E08A8">
      <w:pPr>
        <w:keepNext/>
        <w:keepLines/>
        <w:spacing w:before="0" w:line="278" w:lineRule="auto"/>
        <w:jc w:val="both"/>
        <w:rPr>
          <w:sz w:val="28"/>
          <w:szCs w:val="24"/>
          <w:lang w:val="en-GB"/>
        </w:rPr>
      </w:pPr>
      <w:r w:rsidRPr="001C2495">
        <w:rPr>
          <w:b/>
          <w:bCs/>
          <w:sz w:val="28"/>
          <w:szCs w:val="24"/>
          <w:lang w:val="en-GB"/>
        </w:rPr>
        <w:t xml:space="preserve">Key </w:t>
      </w:r>
      <w:proofErr w:type="gramStart"/>
      <w:r w:rsidRPr="001C2495">
        <w:rPr>
          <w:b/>
          <w:bCs/>
          <w:sz w:val="28"/>
          <w:szCs w:val="24"/>
          <w:lang w:val="en-GB"/>
        </w:rPr>
        <w:t>Policies</w:t>
      </w:r>
      <w:r w:rsidRPr="001C2495">
        <w:rPr>
          <w:sz w:val="28"/>
          <w:szCs w:val="24"/>
          <w:lang w:val="en-GB"/>
        </w:rPr>
        <w:t xml:space="preserve"> </w:t>
      </w:r>
      <w:r w:rsidR="00E8757B" w:rsidRPr="006C6423">
        <w:rPr>
          <w:sz w:val="28"/>
          <w:szCs w:val="24"/>
          <w:lang w:val="en-GB"/>
        </w:rPr>
        <w:t>:</w:t>
      </w:r>
      <w:proofErr w:type="gramEnd"/>
    </w:p>
    <w:p w14:paraId="2D1A1FEB" w14:textId="77777777" w:rsidR="005E08A8" w:rsidRDefault="0061127F" w:rsidP="005E08A8">
      <w:pPr>
        <w:keepNext/>
        <w:keepLines/>
        <w:spacing w:before="0" w:line="278" w:lineRule="auto"/>
        <w:jc w:val="both"/>
        <w:rPr>
          <w:sz w:val="22"/>
          <w:szCs w:val="20"/>
          <w:lang w:val="en-GB"/>
        </w:rPr>
      </w:pPr>
      <w:r w:rsidRPr="006930F2">
        <w:rPr>
          <w:sz w:val="22"/>
          <w:szCs w:val="20"/>
          <w:lang w:val="en-GB"/>
        </w:rPr>
        <w:t>The Acceptable Use and BYOD Policy will define permissible activities on corporate and personal devices, mandating encryption, device management solutions, and restrictions on sensitive data handling. The Access Control Policy will enforce role-based access control (RBAC) and the principle of least privilege, supported by regular access reviews and privileged access management. A dedicated Data Classification, Handling, and Encryption Policy will categorise patient information as “Highly Sensitive,” requiring AES-256 encryption at rest and in transit, together with data loss prevention tools and pseudonymisation techniques where appropriate</w:t>
      </w:r>
      <w:r w:rsidR="005E08A8">
        <w:rPr>
          <w:sz w:val="22"/>
          <w:szCs w:val="20"/>
          <w:lang w:val="en-GB"/>
        </w:rPr>
        <w:t>.</w:t>
      </w:r>
    </w:p>
    <w:p w14:paraId="02A0E413" w14:textId="53D853F7" w:rsidR="0061127F" w:rsidRPr="006930F2" w:rsidRDefault="0061127F" w:rsidP="005E08A8">
      <w:pPr>
        <w:keepNext/>
        <w:keepLines/>
        <w:spacing w:before="0" w:line="278" w:lineRule="auto"/>
        <w:jc w:val="both"/>
        <w:rPr>
          <w:sz w:val="22"/>
          <w:szCs w:val="20"/>
          <w:lang w:val="en-GB"/>
        </w:rPr>
      </w:pPr>
      <w:r w:rsidRPr="006930F2">
        <w:rPr>
          <w:sz w:val="22"/>
          <w:szCs w:val="20"/>
          <w:lang w:val="en-GB"/>
        </w:rPr>
        <w:t>Additional policies include an Incident Response and Breach Notification Policy aligned with the UK GDPR 72-hour reporting requirement, a Remote Work and Cloud Security Policy mandating virtual private network usage and secure cloud configurations, a Third-Party and Vendor Risk Management Policy requiring due diligence and data processing agreements, and a Backup and Disaster Recovery Policy incorporating the 3-2-1 rule with immutable storage.</w:t>
      </w:r>
    </w:p>
    <w:p w14:paraId="610700C6" w14:textId="74A6DA6F" w:rsidR="00AA52BD" w:rsidRDefault="00F050F7" w:rsidP="00AA52BD">
      <w:pPr>
        <w:keepNext/>
        <w:spacing w:before="0" w:after="160" w:line="278" w:lineRule="auto"/>
        <w:jc w:val="both"/>
      </w:pPr>
      <w:r>
        <w:rPr>
          <w:noProof/>
          <w:lang w:val="en-GB"/>
          <w14:ligatures w14:val="standardContextual"/>
        </w:rPr>
        <w:drawing>
          <wp:inline distT="0" distB="0" distL="0" distR="0" wp14:anchorId="3F6DCAE8" wp14:editId="1CC78A92">
            <wp:extent cx="3376942" cy="1103674"/>
            <wp:effectExtent l="0" t="0" r="0" b="1270"/>
            <wp:docPr id="9234224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422461" name="Picture 10"/>
                    <pic:cNvPicPr/>
                  </pic:nvPicPr>
                  <pic:blipFill rotWithShape="1">
                    <a:blip r:embed="rId20" cstate="print">
                      <a:extLst>
                        <a:ext uri="{28A0092B-C50C-407E-A947-70E740481C1C}">
                          <a14:useLocalDpi xmlns:a14="http://schemas.microsoft.com/office/drawing/2010/main" val="0"/>
                        </a:ext>
                      </a:extLst>
                    </a:blip>
                    <a:srcRect l="8576" t="26212" r="7099" b="5726"/>
                    <a:stretch>
                      <a:fillRect/>
                    </a:stretch>
                  </pic:blipFill>
                  <pic:spPr bwMode="auto">
                    <a:xfrm>
                      <a:off x="0" y="0"/>
                      <a:ext cx="3388101" cy="1107321"/>
                    </a:xfrm>
                    <a:prstGeom prst="rect">
                      <a:avLst/>
                    </a:prstGeom>
                    <a:ln>
                      <a:noFill/>
                    </a:ln>
                    <a:extLst>
                      <a:ext uri="{53640926-AAD7-44D8-BBD7-CCE9431645EC}">
                        <a14:shadowObscured xmlns:a14="http://schemas.microsoft.com/office/drawing/2010/main"/>
                      </a:ext>
                    </a:extLst>
                  </pic:spPr>
                </pic:pic>
              </a:graphicData>
            </a:graphic>
          </wp:inline>
        </w:drawing>
      </w:r>
    </w:p>
    <w:p w14:paraId="47A27876" w14:textId="34BC2411" w:rsidR="00F050F7" w:rsidRPr="00E77063" w:rsidRDefault="00AA52BD" w:rsidP="00AA52BD">
      <w:pPr>
        <w:pStyle w:val="Caption"/>
        <w:jc w:val="both"/>
        <w:rPr>
          <w:lang w:val="en-GB"/>
        </w:rPr>
      </w:pPr>
      <w:r>
        <w:t xml:space="preserve">Fig.  </w:t>
      </w:r>
      <w:fldSimple w:instr=" SEQ Fig._ \* ARABIC ">
        <w:r w:rsidR="007C7B4A">
          <w:rPr>
            <w:noProof/>
          </w:rPr>
          <w:t>3</w:t>
        </w:r>
      </w:fldSimple>
      <w:r>
        <w:t xml:space="preserve">: </w:t>
      </w:r>
      <w:r w:rsidRPr="00B157EF">
        <w:t>Alignment with CIA Triad</w:t>
      </w:r>
    </w:p>
    <w:p w14:paraId="5442D826" w14:textId="633D1222" w:rsidR="006F02E1" w:rsidRPr="00E77063" w:rsidRDefault="006F02E1" w:rsidP="006F02E1">
      <w:pPr>
        <w:spacing w:before="0" w:after="160" w:line="278" w:lineRule="auto"/>
        <w:jc w:val="both"/>
        <w:rPr>
          <w:lang w:val="en-GB"/>
        </w:rPr>
      </w:pPr>
      <w:r w:rsidRPr="00E77063">
        <w:rPr>
          <w:lang w:val="en-GB"/>
        </w:rPr>
        <w:t>All policies will be documented, approved by senior management, communicated organisation-wide, and subject to annual review.</w:t>
      </w:r>
    </w:p>
    <w:p w14:paraId="7B7DD651" w14:textId="5614771C" w:rsidR="006F02E1" w:rsidRPr="006C6423" w:rsidRDefault="006F02E1" w:rsidP="006F02E1">
      <w:pPr>
        <w:spacing w:before="0" w:after="160" w:line="278" w:lineRule="auto"/>
        <w:jc w:val="both"/>
        <w:rPr>
          <w:b/>
          <w:bCs/>
          <w:sz w:val="32"/>
          <w:szCs w:val="28"/>
          <w:lang w:val="en-GB"/>
        </w:rPr>
      </w:pPr>
      <w:r w:rsidRPr="006C6423">
        <w:rPr>
          <w:b/>
          <w:bCs/>
          <w:sz w:val="32"/>
          <w:szCs w:val="28"/>
          <w:lang w:val="en-GB"/>
        </w:rPr>
        <w:lastRenderedPageBreak/>
        <w:t>3. Mitigation Measures</w:t>
      </w:r>
    </w:p>
    <w:p w14:paraId="3958C20B" w14:textId="47928E21" w:rsidR="004010B0" w:rsidRPr="004010B0" w:rsidRDefault="00C62C9C" w:rsidP="004010B0">
      <w:pPr>
        <w:spacing w:before="100" w:beforeAutospacing="1" w:after="100" w:afterAutospacing="1" w:line="240" w:lineRule="auto"/>
        <w:jc w:val="both"/>
        <w:rPr>
          <w:sz w:val="22"/>
          <w:szCs w:val="20"/>
          <w:lang w:val="en-GB"/>
        </w:rPr>
      </w:pPr>
      <w:r w:rsidRPr="006930F2">
        <w:rPr>
          <w:sz w:val="22"/>
          <w:szCs w:val="20"/>
          <w:lang w:val="en-GB"/>
        </w:rPr>
        <w:t>Mitigation measures are designed to address identified risks through a layered, defence-in-depth strategy that is both technically robust and organisationally feasible</w:t>
      </w:r>
      <w:r w:rsidR="004010B0" w:rsidRPr="004010B0">
        <w:rPr>
          <w:sz w:val="22"/>
          <w:szCs w:val="20"/>
          <w:lang w:val="en-GB"/>
        </w:rPr>
        <w:t xml:space="preserve"> </w:t>
      </w:r>
      <w:sdt>
        <w:sdtPr>
          <w:rPr>
            <w:sz w:val="22"/>
            <w:szCs w:val="20"/>
            <w:lang w:val="en-GB"/>
          </w:rPr>
          <w:id w:val="-1544825934"/>
          <w:citation/>
        </w:sdtPr>
        <w:sdtEndPr/>
        <w:sdtContent>
          <w:r w:rsidR="00D72708">
            <w:rPr>
              <w:sz w:val="22"/>
              <w:szCs w:val="20"/>
              <w:lang w:val="en-GB"/>
            </w:rPr>
            <w:fldChar w:fldCharType="begin"/>
          </w:r>
          <w:r w:rsidR="00D72708">
            <w:rPr>
              <w:sz w:val="22"/>
              <w:szCs w:val="20"/>
              <w:lang w:val="en-GB"/>
            </w:rPr>
            <w:instrText xml:space="preserve"> CITATION Tha22 \l 2057 </w:instrText>
          </w:r>
          <w:r w:rsidR="00D72708">
            <w:rPr>
              <w:sz w:val="22"/>
              <w:szCs w:val="20"/>
              <w:lang w:val="en-GB"/>
            </w:rPr>
            <w:fldChar w:fldCharType="separate"/>
          </w:r>
          <w:r w:rsidR="00CC7628" w:rsidRPr="00CC7628">
            <w:rPr>
              <w:noProof/>
              <w:sz w:val="22"/>
              <w:szCs w:val="20"/>
              <w:lang w:val="en-GB"/>
            </w:rPr>
            <w:t>[5]</w:t>
          </w:r>
          <w:r w:rsidR="00D72708">
            <w:rPr>
              <w:sz w:val="22"/>
              <w:szCs w:val="20"/>
              <w:lang w:val="en-GB"/>
            </w:rPr>
            <w:fldChar w:fldCharType="end"/>
          </w:r>
        </w:sdtContent>
      </w:sdt>
    </w:p>
    <w:p w14:paraId="6147E3ED" w14:textId="77777777" w:rsidR="00C62C9C" w:rsidRPr="006930F2" w:rsidRDefault="00C62C9C" w:rsidP="00F91521">
      <w:pPr>
        <w:spacing w:before="100" w:beforeAutospacing="1" w:after="100" w:afterAutospacing="1" w:line="240" w:lineRule="auto"/>
        <w:jc w:val="both"/>
        <w:rPr>
          <w:sz w:val="22"/>
          <w:szCs w:val="20"/>
          <w:lang w:val="en-GB"/>
        </w:rPr>
      </w:pPr>
      <w:r w:rsidRPr="006930F2">
        <w:rPr>
          <w:sz w:val="22"/>
          <w:szCs w:val="20"/>
          <w:lang w:val="en-GB"/>
        </w:rPr>
        <w:t xml:space="preserve">Core technical controls include the adoption of zero-trust architecture with micro-segmentation to limit lateral movement in the event of a breach. Endpoint detection and response (EDR) solutions, centralised SIEM platforms, and data loss prevention tools will be deployed to provide real-time visibility and protection. Multi-factor authentication will be enforced universally, supported by </w:t>
      </w:r>
      <w:proofErr w:type="spellStart"/>
      <w:r w:rsidRPr="006930F2">
        <w:rPr>
          <w:sz w:val="22"/>
          <w:szCs w:val="20"/>
          <w:lang w:val="en-GB"/>
        </w:rPr>
        <w:t>passwordless</w:t>
      </w:r>
      <w:proofErr w:type="spellEnd"/>
      <w:r w:rsidRPr="006930F2">
        <w:rPr>
          <w:sz w:val="22"/>
          <w:szCs w:val="20"/>
          <w:lang w:val="en-GB"/>
        </w:rPr>
        <w:t xml:space="preserve"> technologies where practicable. Automated vulnerability management processes, including weekly scanning and timely patching, will reduce exposure to known exploits. All patient data will benefit from strong encryption and tokenisation for analytics workloads.</w:t>
      </w:r>
    </w:p>
    <w:p w14:paraId="1DFFF6E2" w14:textId="77777777" w:rsidR="00C62C9C" w:rsidRPr="006930F2" w:rsidRDefault="00C62C9C" w:rsidP="00F91521">
      <w:pPr>
        <w:spacing w:before="100" w:beforeAutospacing="1" w:after="100" w:afterAutospacing="1" w:line="240" w:lineRule="auto"/>
        <w:jc w:val="both"/>
        <w:rPr>
          <w:sz w:val="22"/>
          <w:szCs w:val="20"/>
          <w:lang w:val="en-GB"/>
        </w:rPr>
      </w:pPr>
      <w:r w:rsidRPr="006930F2">
        <w:rPr>
          <w:sz w:val="22"/>
          <w:szCs w:val="20"/>
          <w:lang w:val="en-GB"/>
        </w:rPr>
        <w:t>Organisational measures include the appointment of a Data Protection Officer to oversee GDPR compliance and the conduct of Data Protection Impact Assessments for new processing activities. Physical security enhancements, such as controlled access to facilities and CCTV monitoring, will complement technical controls.</w:t>
      </w:r>
    </w:p>
    <w:p w14:paraId="5DA62B25" w14:textId="77777777" w:rsidR="001839AC" w:rsidRPr="0062689D" w:rsidRDefault="00BF2A5A" w:rsidP="00F91521">
      <w:pPr>
        <w:pStyle w:val="Caption"/>
        <w:jc w:val="both"/>
        <w:rPr>
          <w:i w:val="0"/>
          <w:iCs w:val="0"/>
          <w:color w:val="153D63" w:themeColor="text2" w:themeTint="E6"/>
          <w:sz w:val="24"/>
          <w:szCs w:val="22"/>
          <w:lang w:val="en-GB"/>
        </w:rPr>
      </w:pPr>
      <w:r w:rsidRPr="00B54331">
        <w:rPr>
          <w:i w:val="0"/>
          <w:iCs w:val="0"/>
          <w:noProof/>
          <w:color w:val="000000" w:themeColor="text1"/>
          <w:sz w:val="24"/>
          <w:szCs w:val="22"/>
          <w:lang w:val="en-GB"/>
        </w:rPr>
        <w:drawing>
          <wp:inline distT="0" distB="0" distL="0" distR="0" wp14:anchorId="40EC50F7" wp14:editId="12517262">
            <wp:extent cx="2623457" cy="3579688"/>
            <wp:effectExtent l="0" t="0" r="5715" b="1905"/>
            <wp:docPr id="20495595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559526" name="Picture 2049559526"/>
                    <pic:cNvPicPr/>
                  </pic:nvPicPr>
                  <pic:blipFill rotWithShape="1">
                    <a:blip r:embed="rId21" cstate="print">
                      <a:extLst>
                        <a:ext uri="{28A0092B-C50C-407E-A947-70E740481C1C}">
                          <a14:useLocalDpi xmlns:a14="http://schemas.microsoft.com/office/drawing/2010/main" val="0"/>
                        </a:ext>
                      </a:extLst>
                    </a:blip>
                    <a:srcRect l="14485" t="3663" r="4316" b="3650"/>
                    <a:stretch>
                      <a:fillRect/>
                    </a:stretch>
                  </pic:blipFill>
                  <pic:spPr bwMode="auto">
                    <a:xfrm>
                      <a:off x="0" y="0"/>
                      <a:ext cx="2647980" cy="3613149"/>
                    </a:xfrm>
                    <a:prstGeom prst="rect">
                      <a:avLst/>
                    </a:prstGeom>
                    <a:ln>
                      <a:noFill/>
                    </a:ln>
                    <a:extLst>
                      <a:ext uri="{53640926-AAD7-44D8-BBD7-CCE9431645EC}">
                        <a14:shadowObscured xmlns:a14="http://schemas.microsoft.com/office/drawing/2010/main"/>
                      </a:ext>
                    </a:extLst>
                  </pic:spPr>
                </pic:pic>
              </a:graphicData>
            </a:graphic>
          </wp:inline>
        </w:drawing>
      </w:r>
      <w:r w:rsidR="001839AC" w:rsidRPr="00B54331">
        <w:rPr>
          <w:i w:val="0"/>
          <w:iCs w:val="0"/>
          <w:color w:val="000000" w:themeColor="text1"/>
          <w:sz w:val="24"/>
          <w:szCs w:val="22"/>
          <w:lang w:val="en-GB"/>
        </w:rPr>
        <w:br/>
      </w:r>
      <w:r w:rsidR="001839AC" w:rsidRPr="0062689D">
        <w:rPr>
          <w:color w:val="153D63" w:themeColor="text2" w:themeTint="E6"/>
        </w:rPr>
        <w:t xml:space="preserve">Fig.  </w:t>
      </w:r>
      <w:r w:rsidR="001839AC" w:rsidRPr="0062689D">
        <w:rPr>
          <w:color w:val="153D63" w:themeColor="text2" w:themeTint="E6"/>
        </w:rPr>
        <w:fldChar w:fldCharType="begin"/>
      </w:r>
      <w:r w:rsidR="001839AC" w:rsidRPr="0062689D">
        <w:rPr>
          <w:color w:val="153D63" w:themeColor="text2" w:themeTint="E6"/>
        </w:rPr>
        <w:instrText xml:space="preserve"> SEQ Fig._ \* ARABIC </w:instrText>
      </w:r>
      <w:r w:rsidR="001839AC" w:rsidRPr="0062689D">
        <w:rPr>
          <w:color w:val="153D63" w:themeColor="text2" w:themeTint="E6"/>
        </w:rPr>
        <w:fldChar w:fldCharType="separate"/>
      </w:r>
      <w:r w:rsidR="001839AC" w:rsidRPr="0062689D">
        <w:rPr>
          <w:color w:val="153D63" w:themeColor="text2" w:themeTint="E6"/>
        </w:rPr>
        <w:t>4</w:t>
      </w:r>
      <w:r w:rsidR="001839AC" w:rsidRPr="0062689D">
        <w:rPr>
          <w:color w:val="153D63" w:themeColor="text2" w:themeTint="E6"/>
        </w:rPr>
        <w:fldChar w:fldCharType="end"/>
      </w:r>
      <w:r w:rsidR="001839AC" w:rsidRPr="0062689D">
        <w:rPr>
          <w:color w:val="153D63" w:themeColor="text2" w:themeTint="E6"/>
        </w:rPr>
        <w:t>: Layered Defence Model</w:t>
      </w:r>
      <w:r w:rsidR="001839AC" w:rsidRPr="0062689D">
        <w:rPr>
          <w:i w:val="0"/>
          <w:iCs w:val="0"/>
          <w:color w:val="153D63" w:themeColor="text2" w:themeTint="E6"/>
          <w:sz w:val="24"/>
          <w:szCs w:val="22"/>
          <w:lang w:val="en-GB"/>
        </w:rPr>
        <w:t xml:space="preserve"> </w:t>
      </w:r>
    </w:p>
    <w:p w14:paraId="0DEDB234" w14:textId="77777777" w:rsidR="00C62C9C" w:rsidRDefault="00C62C9C" w:rsidP="00F91521">
      <w:pPr>
        <w:spacing w:before="100" w:beforeAutospacing="1" w:after="100" w:afterAutospacing="1" w:line="240" w:lineRule="auto"/>
        <w:jc w:val="both"/>
        <w:rPr>
          <w:sz w:val="22"/>
          <w:szCs w:val="20"/>
          <w:lang w:val="en-GB"/>
        </w:rPr>
      </w:pPr>
      <w:r w:rsidRPr="003423A2">
        <w:rPr>
          <w:sz w:val="22"/>
          <w:szCs w:val="20"/>
          <w:lang w:val="en-GB"/>
        </w:rPr>
        <w:t>A phased rollout is proposed: Phase 1 (Q3 2026) focuses on MFA, backups, and policy communication; Phase 2 encompasses tool deployment and network segmentation. Estimated initial investment is considered proportionate to the risk profile and potential cost of future incidents.</w:t>
      </w:r>
    </w:p>
    <w:p w14:paraId="3D6C18E2" w14:textId="77777777" w:rsidR="006C6423" w:rsidRDefault="006C6423" w:rsidP="00F91521">
      <w:pPr>
        <w:spacing w:before="100" w:beforeAutospacing="1" w:after="100" w:afterAutospacing="1" w:line="240" w:lineRule="auto"/>
        <w:jc w:val="both"/>
        <w:rPr>
          <w:sz w:val="22"/>
          <w:szCs w:val="20"/>
          <w:lang w:val="en-GB"/>
        </w:rPr>
      </w:pPr>
    </w:p>
    <w:p w14:paraId="5AFE35CE" w14:textId="77777777" w:rsidR="006C6423" w:rsidRDefault="006C6423" w:rsidP="00F91521">
      <w:pPr>
        <w:spacing w:before="100" w:beforeAutospacing="1" w:after="100" w:afterAutospacing="1" w:line="240" w:lineRule="auto"/>
        <w:jc w:val="both"/>
        <w:rPr>
          <w:sz w:val="22"/>
          <w:szCs w:val="20"/>
          <w:lang w:val="en-GB"/>
        </w:rPr>
      </w:pPr>
    </w:p>
    <w:p w14:paraId="24F98684" w14:textId="77777777" w:rsidR="006C6423" w:rsidRDefault="006C6423" w:rsidP="00F91521">
      <w:pPr>
        <w:spacing w:before="100" w:beforeAutospacing="1" w:after="100" w:afterAutospacing="1" w:line="240" w:lineRule="auto"/>
        <w:jc w:val="both"/>
        <w:rPr>
          <w:sz w:val="22"/>
          <w:szCs w:val="20"/>
          <w:lang w:val="en-GB"/>
        </w:rPr>
      </w:pPr>
    </w:p>
    <w:p w14:paraId="37486471" w14:textId="77777777" w:rsidR="00C62C9C" w:rsidRPr="005E08A8" w:rsidRDefault="00C62C9C" w:rsidP="00F91521">
      <w:pPr>
        <w:spacing w:before="100" w:beforeAutospacing="1" w:after="100" w:afterAutospacing="1" w:line="240" w:lineRule="auto"/>
        <w:jc w:val="both"/>
        <w:outlineLvl w:val="2"/>
        <w:rPr>
          <w:b/>
          <w:bCs/>
          <w:sz w:val="32"/>
          <w:szCs w:val="28"/>
          <w:lang w:val="en-GB"/>
        </w:rPr>
      </w:pPr>
      <w:r w:rsidRPr="005E08A8">
        <w:rPr>
          <w:b/>
          <w:bCs/>
          <w:sz w:val="32"/>
          <w:szCs w:val="28"/>
          <w:lang w:val="en-GB"/>
        </w:rPr>
        <w:lastRenderedPageBreak/>
        <w:t>4. Monitoring and Incident Response</w:t>
      </w:r>
    </w:p>
    <w:p w14:paraId="6F420B34" w14:textId="77777777" w:rsidR="00C62C9C" w:rsidRPr="003423A2" w:rsidRDefault="00C62C9C" w:rsidP="00F91521">
      <w:pPr>
        <w:spacing w:before="100" w:beforeAutospacing="1" w:after="100" w:afterAutospacing="1" w:line="240" w:lineRule="auto"/>
        <w:jc w:val="both"/>
        <w:rPr>
          <w:sz w:val="22"/>
          <w:szCs w:val="20"/>
          <w:lang w:val="en-GB"/>
        </w:rPr>
      </w:pPr>
      <w:r w:rsidRPr="003423A2">
        <w:rPr>
          <w:sz w:val="22"/>
          <w:szCs w:val="20"/>
          <w:lang w:val="en-GB"/>
        </w:rPr>
        <w:t>Proactive monitoring forms a critical component of the framework. A centralised SIEM solution will aggregate logs from endpoints, networks, cloud services, and applications, employing behavioural analytics and threat intelligence feeds for anomaly detection. Regular penetration testing, vulnerability assessments, and red-team exercises will validate control effectiveness.</w:t>
      </w:r>
    </w:p>
    <w:p w14:paraId="53B4C705" w14:textId="77777777" w:rsidR="00C62C9C" w:rsidRPr="003423A2" w:rsidRDefault="00C62C9C" w:rsidP="00F91521">
      <w:pPr>
        <w:spacing w:before="100" w:beforeAutospacing="1" w:after="100" w:afterAutospacing="1" w:line="240" w:lineRule="auto"/>
        <w:jc w:val="both"/>
        <w:rPr>
          <w:sz w:val="22"/>
          <w:szCs w:val="20"/>
          <w:lang w:val="en-GB"/>
        </w:rPr>
      </w:pPr>
      <w:r w:rsidRPr="003423A2">
        <w:rPr>
          <w:sz w:val="22"/>
          <w:szCs w:val="20"/>
          <w:lang w:val="en-GB"/>
        </w:rPr>
        <w:t>The incident response plan follows NIST SP 800-61 Rev. 2 guidance and ISO 27001 requirements. Designated roles include an Incident Response Lead, technical responders, communications liaison, and legal/GDPR advisor.</w:t>
      </w:r>
    </w:p>
    <w:p w14:paraId="16685F77" w14:textId="77777777" w:rsidR="001839AC" w:rsidRPr="00B54331" w:rsidRDefault="001839AC" w:rsidP="00F91521">
      <w:pPr>
        <w:pStyle w:val="Caption"/>
        <w:jc w:val="both"/>
        <w:rPr>
          <w:i w:val="0"/>
          <w:iCs w:val="0"/>
          <w:color w:val="000000" w:themeColor="text1"/>
          <w:sz w:val="24"/>
          <w:szCs w:val="22"/>
          <w:lang w:val="en-GB"/>
        </w:rPr>
      </w:pPr>
      <w:r w:rsidRPr="00B54331">
        <w:rPr>
          <w:i w:val="0"/>
          <w:iCs w:val="0"/>
          <w:noProof/>
          <w:color w:val="000000" w:themeColor="text1"/>
          <w:sz w:val="24"/>
          <w:szCs w:val="22"/>
          <w:lang w:val="en-GB"/>
        </w:rPr>
        <w:drawing>
          <wp:inline distT="0" distB="0" distL="0" distR="0" wp14:anchorId="5A4EE4AF" wp14:editId="4068DF75">
            <wp:extent cx="2371338" cy="4528185"/>
            <wp:effectExtent l="0" t="0" r="0" b="5715"/>
            <wp:docPr id="163629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927" name="Picture 1636292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76357" cy="4537768"/>
                    </a:xfrm>
                    <a:prstGeom prst="rect">
                      <a:avLst/>
                    </a:prstGeom>
                  </pic:spPr>
                </pic:pic>
              </a:graphicData>
            </a:graphic>
          </wp:inline>
        </w:drawing>
      </w:r>
      <w:r w:rsidRPr="00B54331">
        <w:rPr>
          <w:i w:val="0"/>
          <w:iCs w:val="0"/>
          <w:color w:val="000000" w:themeColor="text1"/>
          <w:sz w:val="24"/>
          <w:szCs w:val="22"/>
          <w:lang w:val="en-GB"/>
        </w:rPr>
        <w:br/>
      </w:r>
      <w:r w:rsidRPr="0062689D">
        <w:rPr>
          <w:color w:val="153D63" w:themeColor="text2" w:themeTint="E6"/>
        </w:rPr>
        <w:t xml:space="preserve">Fig.  </w:t>
      </w:r>
      <w:r w:rsidRPr="0062689D">
        <w:rPr>
          <w:color w:val="153D63" w:themeColor="text2" w:themeTint="E6"/>
        </w:rPr>
        <w:fldChar w:fldCharType="begin"/>
      </w:r>
      <w:r w:rsidRPr="0062689D">
        <w:rPr>
          <w:color w:val="153D63" w:themeColor="text2" w:themeTint="E6"/>
        </w:rPr>
        <w:instrText xml:space="preserve"> SEQ Fig._ \* ARABIC </w:instrText>
      </w:r>
      <w:r w:rsidRPr="0062689D">
        <w:rPr>
          <w:color w:val="153D63" w:themeColor="text2" w:themeTint="E6"/>
        </w:rPr>
        <w:fldChar w:fldCharType="separate"/>
      </w:r>
      <w:r w:rsidRPr="0062689D">
        <w:rPr>
          <w:color w:val="153D63" w:themeColor="text2" w:themeTint="E6"/>
        </w:rPr>
        <w:t>5</w:t>
      </w:r>
      <w:r w:rsidRPr="0062689D">
        <w:rPr>
          <w:color w:val="153D63" w:themeColor="text2" w:themeTint="E6"/>
        </w:rPr>
        <w:fldChar w:fldCharType="end"/>
      </w:r>
      <w:r w:rsidRPr="0062689D">
        <w:rPr>
          <w:color w:val="153D63" w:themeColor="text2" w:themeTint="E6"/>
        </w:rPr>
        <w:t>: Incident Response Process</w:t>
      </w:r>
    </w:p>
    <w:p w14:paraId="3A979CC5" w14:textId="43F0E1FC" w:rsidR="00C62C9C" w:rsidRPr="003423A2" w:rsidRDefault="00C62C9C" w:rsidP="00F91521">
      <w:pPr>
        <w:spacing w:before="100" w:beforeAutospacing="1" w:after="100" w:afterAutospacing="1" w:line="240" w:lineRule="auto"/>
        <w:jc w:val="both"/>
        <w:rPr>
          <w:sz w:val="22"/>
          <w:szCs w:val="20"/>
          <w:lang w:val="en-GB"/>
        </w:rPr>
      </w:pPr>
      <w:r w:rsidRPr="003423A2">
        <w:rPr>
          <w:sz w:val="22"/>
          <w:szCs w:val="20"/>
          <w:lang w:val="en-GB"/>
        </w:rPr>
        <w:t>Clear escalation matrices, communication templates, and backup restoration procedures will ensure compliance with regulatory timelines and minimise business disruption. Tabletop exercises will be conducted quarterly.</w:t>
      </w:r>
    </w:p>
    <w:p w14:paraId="089F58B1" w14:textId="77777777" w:rsidR="006C6423" w:rsidRDefault="006C6423" w:rsidP="006C6423">
      <w:pPr>
        <w:spacing w:before="100" w:beforeAutospacing="1" w:after="100" w:afterAutospacing="1" w:line="240" w:lineRule="auto"/>
        <w:jc w:val="both"/>
        <w:outlineLvl w:val="2"/>
        <w:rPr>
          <w:b/>
          <w:bCs/>
          <w:sz w:val="28"/>
          <w:szCs w:val="24"/>
          <w:lang w:val="en-GB"/>
        </w:rPr>
      </w:pPr>
    </w:p>
    <w:p w14:paraId="5A568396" w14:textId="77777777" w:rsidR="006C6423" w:rsidRDefault="006C6423" w:rsidP="006C6423">
      <w:pPr>
        <w:spacing w:before="100" w:beforeAutospacing="1" w:after="100" w:afterAutospacing="1" w:line="240" w:lineRule="auto"/>
        <w:jc w:val="both"/>
        <w:outlineLvl w:val="2"/>
        <w:rPr>
          <w:b/>
          <w:bCs/>
          <w:sz w:val="28"/>
          <w:szCs w:val="24"/>
          <w:lang w:val="en-GB"/>
        </w:rPr>
      </w:pPr>
    </w:p>
    <w:p w14:paraId="41AB8F4A" w14:textId="77777777" w:rsidR="006C6423" w:rsidRDefault="006C6423" w:rsidP="006C6423">
      <w:pPr>
        <w:spacing w:before="100" w:beforeAutospacing="1" w:after="100" w:afterAutospacing="1" w:line="240" w:lineRule="auto"/>
        <w:jc w:val="both"/>
        <w:outlineLvl w:val="2"/>
        <w:rPr>
          <w:b/>
          <w:bCs/>
          <w:sz w:val="28"/>
          <w:szCs w:val="24"/>
          <w:lang w:val="en-GB"/>
        </w:rPr>
      </w:pPr>
    </w:p>
    <w:p w14:paraId="68E68BB5" w14:textId="77777777" w:rsidR="006C6423" w:rsidRDefault="006C6423" w:rsidP="006C6423">
      <w:pPr>
        <w:spacing w:before="100" w:beforeAutospacing="1" w:after="100" w:afterAutospacing="1" w:line="240" w:lineRule="auto"/>
        <w:jc w:val="both"/>
        <w:outlineLvl w:val="2"/>
        <w:rPr>
          <w:b/>
          <w:bCs/>
          <w:sz w:val="28"/>
          <w:szCs w:val="24"/>
          <w:lang w:val="en-GB"/>
        </w:rPr>
      </w:pPr>
    </w:p>
    <w:p w14:paraId="65252964" w14:textId="6DA4DE06" w:rsidR="006C6423" w:rsidRPr="005E08A8" w:rsidRDefault="00C62C9C" w:rsidP="006C6423">
      <w:pPr>
        <w:spacing w:before="100" w:beforeAutospacing="1" w:after="100" w:afterAutospacing="1" w:line="240" w:lineRule="auto"/>
        <w:jc w:val="both"/>
        <w:outlineLvl w:val="2"/>
        <w:rPr>
          <w:b/>
          <w:bCs/>
          <w:sz w:val="32"/>
          <w:szCs w:val="28"/>
          <w:lang w:val="en-GB"/>
        </w:rPr>
      </w:pPr>
      <w:r w:rsidRPr="005E08A8">
        <w:rPr>
          <w:b/>
          <w:bCs/>
          <w:sz w:val="32"/>
          <w:szCs w:val="28"/>
          <w:lang w:val="en-GB"/>
        </w:rPr>
        <w:t>5. Training and Awareness Programme</w:t>
      </w:r>
    </w:p>
    <w:p w14:paraId="4443B497" w14:textId="3329C988" w:rsidR="00C62C9C" w:rsidRPr="006C6423" w:rsidRDefault="00C62C9C" w:rsidP="006C6423">
      <w:pPr>
        <w:spacing w:before="100" w:beforeAutospacing="1" w:after="100" w:afterAutospacing="1" w:line="240" w:lineRule="auto"/>
        <w:jc w:val="both"/>
        <w:outlineLvl w:val="2"/>
        <w:rPr>
          <w:b/>
          <w:bCs/>
          <w:sz w:val="28"/>
          <w:szCs w:val="24"/>
          <w:lang w:val="en-GB"/>
        </w:rPr>
      </w:pPr>
      <w:r w:rsidRPr="003423A2">
        <w:rPr>
          <w:sz w:val="22"/>
          <w:szCs w:val="20"/>
          <w:lang w:val="en-GB"/>
        </w:rPr>
        <w:t>Recognising that human factors contribute significantly to security incidents, a comprehensive training programme has been designed to build organisational capability and culture.</w:t>
      </w:r>
    </w:p>
    <w:p w14:paraId="7473EEF3" w14:textId="77777777" w:rsidR="00C62C9C" w:rsidRPr="003423A2" w:rsidRDefault="00C62C9C" w:rsidP="00F91521">
      <w:pPr>
        <w:spacing w:before="100" w:beforeAutospacing="1" w:after="100" w:afterAutospacing="1" w:line="240" w:lineRule="auto"/>
        <w:jc w:val="both"/>
        <w:rPr>
          <w:sz w:val="22"/>
          <w:szCs w:val="20"/>
          <w:lang w:val="en-GB"/>
        </w:rPr>
      </w:pPr>
      <w:r w:rsidRPr="003423A2">
        <w:rPr>
          <w:sz w:val="22"/>
          <w:szCs w:val="20"/>
          <w:lang w:val="en-GB"/>
        </w:rPr>
        <w:t xml:space="preserve">The programme includes mandatory onboarding modules covering core policies, phishing recognition, and GDPR responsibilities. Annual refresher training, supplemented by quarterly micro-learning modules and simulated phishing campaigns, will reinforce key messages. Role-based training will be provided for technical staff, data analysts, and clinical liaison personnel. </w:t>
      </w:r>
      <w:r w:rsidRPr="00B54331">
        <w:rPr>
          <w:lang w:val="en-GB"/>
        </w:rPr>
        <w:t xml:space="preserve">Gamification elements and knowledge assessments </w:t>
      </w:r>
      <w:r w:rsidRPr="003423A2">
        <w:rPr>
          <w:sz w:val="22"/>
          <w:szCs w:val="20"/>
          <w:lang w:val="en-GB"/>
        </w:rPr>
        <w:t>will enhance engagement. Effectiveness will be measured through phishing click rates (target below 5%), completion rates, and incident trend analysis.</w:t>
      </w:r>
    </w:p>
    <w:p w14:paraId="1E70DC21" w14:textId="77777777" w:rsidR="00683660" w:rsidRPr="003423A2" w:rsidRDefault="00683660" w:rsidP="00F91521">
      <w:pPr>
        <w:pStyle w:val="Caption"/>
        <w:jc w:val="both"/>
        <w:rPr>
          <w:i w:val="0"/>
          <w:iCs w:val="0"/>
          <w:color w:val="000000" w:themeColor="text1"/>
          <w:sz w:val="22"/>
          <w:szCs w:val="20"/>
          <w:lang w:val="en-GB"/>
        </w:rPr>
      </w:pPr>
    </w:p>
    <w:p w14:paraId="52617028" w14:textId="7B559CE4" w:rsidR="00683660" w:rsidRPr="00B54331" w:rsidRDefault="00683660" w:rsidP="00F91521">
      <w:pPr>
        <w:pStyle w:val="Caption"/>
        <w:jc w:val="both"/>
        <w:rPr>
          <w:i w:val="0"/>
          <w:iCs w:val="0"/>
          <w:color w:val="000000" w:themeColor="text1"/>
          <w:sz w:val="24"/>
          <w:szCs w:val="22"/>
          <w:lang w:val="en-GB"/>
        </w:rPr>
      </w:pPr>
      <w:r w:rsidRPr="00B54331">
        <w:rPr>
          <w:i w:val="0"/>
          <w:iCs w:val="0"/>
          <w:noProof/>
          <w:color w:val="000000" w:themeColor="text1"/>
          <w:sz w:val="24"/>
          <w:szCs w:val="22"/>
          <w:lang w:val="en-GB"/>
        </w:rPr>
        <w:drawing>
          <wp:inline distT="0" distB="0" distL="0" distR="0" wp14:anchorId="4EF7DE5A" wp14:editId="3B261E65">
            <wp:extent cx="6052457" cy="3842385"/>
            <wp:effectExtent l="0" t="0" r="5715" b="5715"/>
            <wp:docPr id="8273037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3872" b="5888"/>
                    <a:stretch>
                      <a:fillRect/>
                    </a:stretch>
                  </pic:blipFill>
                  <pic:spPr bwMode="auto">
                    <a:xfrm>
                      <a:off x="0" y="0"/>
                      <a:ext cx="6052885" cy="3842657"/>
                    </a:xfrm>
                    <a:prstGeom prst="rect">
                      <a:avLst/>
                    </a:prstGeom>
                    <a:noFill/>
                    <a:ln>
                      <a:noFill/>
                    </a:ln>
                    <a:extLst>
                      <a:ext uri="{53640926-AAD7-44D8-BBD7-CCE9431645EC}">
                        <a14:shadowObscured xmlns:a14="http://schemas.microsoft.com/office/drawing/2010/main"/>
                      </a:ext>
                    </a:extLst>
                  </pic:spPr>
                </pic:pic>
              </a:graphicData>
            </a:graphic>
          </wp:inline>
        </w:drawing>
      </w:r>
      <w:r w:rsidRPr="00B54331">
        <w:rPr>
          <w:i w:val="0"/>
          <w:iCs w:val="0"/>
          <w:color w:val="000000" w:themeColor="text1"/>
          <w:sz w:val="24"/>
          <w:szCs w:val="22"/>
          <w:lang w:val="en-GB"/>
        </w:rPr>
        <w:br/>
      </w:r>
      <w:r w:rsidRPr="0062689D">
        <w:rPr>
          <w:color w:val="153D63" w:themeColor="text2" w:themeTint="E6"/>
        </w:rPr>
        <w:t xml:space="preserve">Fig.  </w:t>
      </w:r>
      <w:r w:rsidRPr="0062689D">
        <w:rPr>
          <w:color w:val="153D63" w:themeColor="text2" w:themeTint="E6"/>
        </w:rPr>
        <w:fldChar w:fldCharType="begin"/>
      </w:r>
      <w:r w:rsidRPr="0062689D">
        <w:rPr>
          <w:color w:val="153D63" w:themeColor="text2" w:themeTint="E6"/>
        </w:rPr>
        <w:instrText xml:space="preserve"> SEQ Fig._ \* ARABIC </w:instrText>
      </w:r>
      <w:r w:rsidRPr="0062689D">
        <w:rPr>
          <w:color w:val="153D63" w:themeColor="text2" w:themeTint="E6"/>
        </w:rPr>
        <w:fldChar w:fldCharType="separate"/>
      </w:r>
      <w:r w:rsidRPr="0062689D">
        <w:rPr>
          <w:color w:val="153D63" w:themeColor="text2" w:themeTint="E6"/>
        </w:rPr>
        <w:t>6</w:t>
      </w:r>
      <w:r w:rsidRPr="0062689D">
        <w:rPr>
          <w:color w:val="153D63" w:themeColor="text2" w:themeTint="E6"/>
        </w:rPr>
        <w:fldChar w:fldCharType="end"/>
      </w:r>
      <w:r w:rsidRPr="0062689D">
        <w:rPr>
          <w:color w:val="153D63" w:themeColor="text2" w:themeTint="E6"/>
        </w:rPr>
        <w:t>: Training Programme Timeline</w:t>
      </w:r>
    </w:p>
    <w:p w14:paraId="52D480F2" w14:textId="7C92102D" w:rsidR="00C62C9C" w:rsidRDefault="00C62C9C" w:rsidP="00F91521">
      <w:pPr>
        <w:spacing w:before="100" w:beforeAutospacing="1" w:after="100" w:afterAutospacing="1" w:line="240" w:lineRule="auto"/>
        <w:jc w:val="both"/>
        <w:rPr>
          <w:sz w:val="22"/>
          <w:szCs w:val="20"/>
          <w:lang w:val="en-GB"/>
        </w:rPr>
      </w:pPr>
      <w:r w:rsidRPr="003423A2">
        <w:rPr>
          <w:sz w:val="22"/>
          <w:szCs w:val="20"/>
          <w:lang w:val="en-GB"/>
        </w:rPr>
        <w:t>Leadership participation will be emphasised to demonstrate commitment from the top.</w:t>
      </w:r>
    </w:p>
    <w:p w14:paraId="2F27268C" w14:textId="77777777" w:rsidR="006C6423" w:rsidRDefault="006C6423" w:rsidP="00F91521">
      <w:pPr>
        <w:spacing w:before="100" w:beforeAutospacing="1" w:after="100" w:afterAutospacing="1" w:line="240" w:lineRule="auto"/>
        <w:jc w:val="both"/>
        <w:rPr>
          <w:sz w:val="22"/>
          <w:szCs w:val="20"/>
          <w:lang w:val="en-GB"/>
        </w:rPr>
      </w:pPr>
    </w:p>
    <w:p w14:paraId="3F3F2688" w14:textId="77777777" w:rsidR="006C6423" w:rsidRDefault="006C6423" w:rsidP="00F91521">
      <w:pPr>
        <w:spacing w:before="100" w:beforeAutospacing="1" w:after="100" w:afterAutospacing="1" w:line="240" w:lineRule="auto"/>
        <w:jc w:val="both"/>
        <w:rPr>
          <w:sz w:val="22"/>
          <w:szCs w:val="20"/>
          <w:lang w:val="en-GB"/>
        </w:rPr>
      </w:pPr>
    </w:p>
    <w:p w14:paraId="06FAC2A6" w14:textId="77777777" w:rsidR="006C6423" w:rsidRDefault="006C6423" w:rsidP="00F91521">
      <w:pPr>
        <w:spacing w:before="100" w:beforeAutospacing="1" w:after="100" w:afterAutospacing="1" w:line="240" w:lineRule="auto"/>
        <w:jc w:val="both"/>
        <w:rPr>
          <w:sz w:val="22"/>
          <w:szCs w:val="20"/>
          <w:lang w:val="en-GB"/>
        </w:rPr>
      </w:pPr>
    </w:p>
    <w:p w14:paraId="65358989" w14:textId="77777777" w:rsidR="006C6423" w:rsidRDefault="006C6423" w:rsidP="00F91521">
      <w:pPr>
        <w:spacing w:before="100" w:beforeAutospacing="1" w:after="100" w:afterAutospacing="1" w:line="240" w:lineRule="auto"/>
        <w:jc w:val="both"/>
        <w:rPr>
          <w:sz w:val="22"/>
          <w:szCs w:val="20"/>
          <w:lang w:val="en-GB"/>
        </w:rPr>
      </w:pPr>
    </w:p>
    <w:p w14:paraId="1FACB6C7" w14:textId="3E915C11" w:rsidR="006C6423" w:rsidRDefault="006C6423" w:rsidP="00F91521">
      <w:pPr>
        <w:spacing w:before="100" w:beforeAutospacing="1" w:after="100" w:afterAutospacing="1" w:line="240" w:lineRule="auto"/>
        <w:jc w:val="both"/>
        <w:rPr>
          <w:sz w:val="22"/>
          <w:szCs w:val="20"/>
          <w:lang w:val="en-GB"/>
        </w:rPr>
      </w:pPr>
    </w:p>
    <w:p w14:paraId="6204D95C" w14:textId="77777777" w:rsidR="006C6423" w:rsidRPr="003423A2" w:rsidRDefault="006C6423" w:rsidP="00F91521">
      <w:pPr>
        <w:spacing w:before="100" w:beforeAutospacing="1" w:after="100" w:afterAutospacing="1" w:line="240" w:lineRule="auto"/>
        <w:jc w:val="both"/>
        <w:rPr>
          <w:sz w:val="22"/>
          <w:szCs w:val="20"/>
          <w:lang w:val="en-GB"/>
        </w:rPr>
      </w:pPr>
    </w:p>
    <w:p w14:paraId="3522DEB2" w14:textId="77777777" w:rsidR="00C62C9C" w:rsidRPr="003423A2" w:rsidRDefault="00C62C9C" w:rsidP="00F91521">
      <w:pPr>
        <w:spacing w:before="100" w:beforeAutospacing="1" w:after="100" w:afterAutospacing="1" w:line="240" w:lineRule="auto"/>
        <w:jc w:val="both"/>
        <w:outlineLvl w:val="2"/>
        <w:rPr>
          <w:b/>
          <w:bCs/>
          <w:sz w:val="28"/>
          <w:szCs w:val="24"/>
          <w:lang w:val="en-GB"/>
        </w:rPr>
      </w:pPr>
      <w:r w:rsidRPr="003423A2">
        <w:rPr>
          <w:b/>
          <w:bCs/>
          <w:sz w:val="28"/>
          <w:szCs w:val="24"/>
          <w:lang w:val="en-GB"/>
        </w:rPr>
        <w:t>Conclusion and Recommendations</w:t>
      </w:r>
    </w:p>
    <w:p w14:paraId="15C62084" w14:textId="4FA15CFD" w:rsidR="00C62C9C" w:rsidRDefault="00C62C9C" w:rsidP="00F91521">
      <w:pPr>
        <w:spacing w:before="100" w:beforeAutospacing="1" w:after="100" w:afterAutospacing="1" w:line="240" w:lineRule="auto"/>
        <w:jc w:val="both"/>
        <w:rPr>
          <w:sz w:val="22"/>
          <w:szCs w:val="20"/>
          <w:lang w:val="en-GB"/>
        </w:rPr>
      </w:pPr>
      <w:r w:rsidRPr="003423A2">
        <w:rPr>
          <w:sz w:val="22"/>
          <w:szCs w:val="20"/>
          <w:lang w:val="en-GB"/>
        </w:rPr>
        <w:t xml:space="preserve">This framework provides a systematic and standards-aligned response to the security challenges facing </w:t>
      </w:r>
      <w:proofErr w:type="spellStart"/>
      <w:proofErr w:type="gramStart"/>
      <w:r w:rsidRPr="003423A2">
        <w:rPr>
          <w:sz w:val="22"/>
          <w:szCs w:val="20"/>
          <w:lang w:val="en-GB"/>
        </w:rPr>
        <w:t>HealthPlus</w:t>
      </w:r>
      <w:proofErr w:type="spellEnd"/>
      <w:r w:rsidRPr="003423A2">
        <w:rPr>
          <w:sz w:val="22"/>
          <w:szCs w:val="20"/>
          <w:lang w:val="en-GB"/>
        </w:rPr>
        <w:t xml:space="preserve"> </w:t>
      </w:r>
      <w:r w:rsidR="00D46D9A">
        <w:rPr>
          <w:sz w:val="22"/>
          <w:szCs w:val="20"/>
          <w:lang w:val="en-GB"/>
        </w:rPr>
        <w:t xml:space="preserve"> </w:t>
      </w:r>
      <w:r w:rsidRPr="003423A2">
        <w:rPr>
          <w:sz w:val="22"/>
          <w:szCs w:val="20"/>
          <w:lang w:val="en-GB"/>
        </w:rPr>
        <w:t>Analytics</w:t>
      </w:r>
      <w:proofErr w:type="gramEnd"/>
      <w:r w:rsidRPr="003423A2">
        <w:rPr>
          <w:sz w:val="22"/>
          <w:szCs w:val="20"/>
          <w:lang w:val="en-GB"/>
        </w:rPr>
        <w:t>. By addressing threats, policies, mitigation, monitoring, response, and awareness in an integrated manner, the organisation can significantly strengthen its security posture, ensure regulatory compliance, and protect patient data.</w:t>
      </w:r>
    </w:p>
    <w:p w14:paraId="5E1DF8C7" w14:textId="77777777" w:rsidR="006C6423" w:rsidRPr="003423A2" w:rsidRDefault="006C6423" w:rsidP="00F91521">
      <w:pPr>
        <w:spacing w:before="100" w:beforeAutospacing="1" w:after="100" w:afterAutospacing="1" w:line="240" w:lineRule="auto"/>
        <w:jc w:val="both"/>
        <w:rPr>
          <w:sz w:val="22"/>
          <w:szCs w:val="20"/>
          <w:lang w:val="en-GB"/>
        </w:rPr>
      </w:pPr>
    </w:p>
    <w:p w14:paraId="6CDA373A" w14:textId="77777777" w:rsidR="00C62C9C" w:rsidRPr="003423A2" w:rsidRDefault="00C62C9C" w:rsidP="00F91521">
      <w:pPr>
        <w:spacing w:before="100" w:beforeAutospacing="1" w:after="100" w:afterAutospacing="1" w:line="240" w:lineRule="auto"/>
        <w:jc w:val="both"/>
        <w:rPr>
          <w:b/>
          <w:bCs/>
          <w:sz w:val="28"/>
          <w:szCs w:val="24"/>
          <w:lang w:val="en-GB"/>
        </w:rPr>
      </w:pPr>
      <w:r w:rsidRPr="003423A2">
        <w:rPr>
          <w:b/>
          <w:bCs/>
          <w:sz w:val="28"/>
          <w:szCs w:val="24"/>
          <w:lang w:val="en-GB"/>
        </w:rPr>
        <w:t>Immediate Recommendations</w:t>
      </w:r>
    </w:p>
    <w:p w14:paraId="0A858CA8" w14:textId="77777777" w:rsidR="00C62C9C" w:rsidRPr="003423A2" w:rsidRDefault="00C62C9C" w:rsidP="00F91521">
      <w:pPr>
        <w:numPr>
          <w:ilvl w:val="0"/>
          <w:numId w:val="13"/>
        </w:numPr>
        <w:spacing w:before="100" w:beforeAutospacing="1" w:after="100" w:afterAutospacing="1" w:line="240" w:lineRule="auto"/>
        <w:jc w:val="both"/>
        <w:rPr>
          <w:sz w:val="22"/>
          <w:szCs w:val="20"/>
          <w:lang w:val="en-GB"/>
        </w:rPr>
      </w:pPr>
      <w:r w:rsidRPr="003423A2">
        <w:rPr>
          <w:sz w:val="22"/>
          <w:szCs w:val="20"/>
          <w:lang w:val="en-GB"/>
        </w:rPr>
        <w:t>Approve the framework and allocate necessary budget.</w:t>
      </w:r>
    </w:p>
    <w:p w14:paraId="4071C1C1" w14:textId="77777777" w:rsidR="00C62C9C" w:rsidRPr="003423A2" w:rsidRDefault="00C62C9C" w:rsidP="00F91521">
      <w:pPr>
        <w:numPr>
          <w:ilvl w:val="0"/>
          <w:numId w:val="13"/>
        </w:numPr>
        <w:spacing w:before="100" w:beforeAutospacing="1" w:after="100" w:afterAutospacing="1" w:line="240" w:lineRule="auto"/>
        <w:jc w:val="both"/>
        <w:rPr>
          <w:sz w:val="22"/>
          <w:szCs w:val="20"/>
          <w:lang w:val="en-GB"/>
        </w:rPr>
      </w:pPr>
      <w:r w:rsidRPr="003423A2">
        <w:rPr>
          <w:sz w:val="22"/>
          <w:szCs w:val="20"/>
          <w:lang w:val="en-GB"/>
        </w:rPr>
        <w:t>Establish a cross-functional Security Governance Committee.</w:t>
      </w:r>
    </w:p>
    <w:p w14:paraId="6722CFD8" w14:textId="77777777" w:rsidR="00C62C9C" w:rsidRPr="003423A2" w:rsidRDefault="00C62C9C" w:rsidP="00F91521">
      <w:pPr>
        <w:numPr>
          <w:ilvl w:val="0"/>
          <w:numId w:val="13"/>
        </w:numPr>
        <w:spacing w:before="100" w:beforeAutospacing="1" w:after="100" w:afterAutospacing="1" w:line="240" w:lineRule="auto"/>
        <w:jc w:val="both"/>
        <w:rPr>
          <w:sz w:val="22"/>
          <w:szCs w:val="20"/>
          <w:lang w:val="en-GB"/>
        </w:rPr>
      </w:pPr>
      <w:r w:rsidRPr="003423A2">
        <w:rPr>
          <w:sz w:val="22"/>
          <w:szCs w:val="20"/>
          <w:lang w:val="en-GB"/>
        </w:rPr>
        <w:t>Commence Phase 1 implementation during Q3 2026.</w:t>
      </w:r>
    </w:p>
    <w:p w14:paraId="18AE1140" w14:textId="77777777" w:rsidR="000F1695" w:rsidRPr="00B54331" w:rsidRDefault="000F1695" w:rsidP="00F91521">
      <w:pPr>
        <w:spacing w:before="100" w:beforeAutospacing="1" w:after="100" w:afterAutospacing="1" w:line="240" w:lineRule="auto"/>
        <w:jc w:val="both"/>
        <w:rPr>
          <w:lang w:val="en-GB"/>
        </w:rPr>
      </w:pPr>
    </w:p>
    <w:p w14:paraId="548F9F91" w14:textId="77777777" w:rsidR="000F1695" w:rsidRPr="00B54331" w:rsidRDefault="000F1695" w:rsidP="00F91521">
      <w:pPr>
        <w:spacing w:before="100" w:beforeAutospacing="1" w:after="100" w:afterAutospacing="1" w:line="240" w:lineRule="auto"/>
        <w:jc w:val="both"/>
        <w:rPr>
          <w:lang w:val="en-GB"/>
        </w:rPr>
      </w:pPr>
    </w:p>
    <w:p w14:paraId="2975961B" w14:textId="77777777" w:rsidR="000F1695" w:rsidRDefault="000F1695" w:rsidP="00F91521">
      <w:pPr>
        <w:spacing w:before="100" w:beforeAutospacing="1" w:after="100" w:afterAutospacing="1" w:line="240" w:lineRule="auto"/>
        <w:jc w:val="both"/>
        <w:rPr>
          <w:lang w:val="en-GB"/>
        </w:rPr>
      </w:pPr>
    </w:p>
    <w:p w14:paraId="49C9B9D5" w14:textId="77777777" w:rsidR="00A42857" w:rsidRDefault="00A42857" w:rsidP="00F91521">
      <w:pPr>
        <w:spacing w:before="100" w:beforeAutospacing="1" w:after="100" w:afterAutospacing="1" w:line="240" w:lineRule="auto"/>
        <w:jc w:val="both"/>
        <w:rPr>
          <w:lang w:val="en-GB"/>
        </w:rPr>
      </w:pPr>
    </w:p>
    <w:p w14:paraId="05571375" w14:textId="77777777" w:rsidR="00A42857" w:rsidRDefault="00A42857" w:rsidP="00F91521">
      <w:pPr>
        <w:spacing w:before="100" w:beforeAutospacing="1" w:after="100" w:afterAutospacing="1" w:line="240" w:lineRule="auto"/>
        <w:jc w:val="both"/>
        <w:rPr>
          <w:lang w:val="en-GB"/>
        </w:rPr>
      </w:pPr>
    </w:p>
    <w:p w14:paraId="18CDAEF0" w14:textId="77777777" w:rsidR="00A42857" w:rsidRDefault="00A42857" w:rsidP="00F91521">
      <w:pPr>
        <w:spacing w:before="100" w:beforeAutospacing="1" w:after="100" w:afterAutospacing="1" w:line="240" w:lineRule="auto"/>
        <w:jc w:val="both"/>
        <w:rPr>
          <w:lang w:val="en-GB"/>
        </w:rPr>
      </w:pPr>
    </w:p>
    <w:p w14:paraId="5A3D28D8" w14:textId="77777777" w:rsidR="00A42857" w:rsidRDefault="00A42857" w:rsidP="00F91521">
      <w:pPr>
        <w:spacing w:before="100" w:beforeAutospacing="1" w:after="100" w:afterAutospacing="1" w:line="240" w:lineRule="auto"/>
        <w:jc w:val="both"/>
        <w:rPr>
          <w:lang w:val="en-GB"/>
        </w:rPr>
      </w:pPr>
    </w:p>
    <w:p w14:paraId="0876B2FB" w14:textId="77777777" w:rsidR="00A42857" w:rsidRDefault="00A42857" w:rsidP="00F91521">
      <w:pPr>
        <w:spacing w:before="100" w:beforeAutospacing="1" w:after="100" w:afterAutospacing="1" w:line="240" w:lineRule="auto"/>
        <w:jc w:val="both"/>
        <w:rPr>
          <w:lang w:val="en-GB"/>
        </w:rPr>
      </w:pPr>
    </w:p>
    <w:p w14:paraId="07BE0485" w14:textId="77777777" w:rsidR="00A42857" w:rsidRDefault="00A42857" w:rsidP="00F91521">
      <w:pPr>
        <w:spacing w:before="100" w:beforeAutospacing="1" w:after="100" w:afterAutospacing="1" w:line="240" w:lineRule="auto"/>
        <w:jc w:val="both"/>
        <w:rPr>
          <w:lang w:val="en-GB"/>
        </w:rPr>
      </w:pPr>
    </w:p>
    <w:p w14:paraId="27FC93D1" w14:textId="77777777" w:rsidR="00A42857" w:rsidRDefault="00A42857" w:rsidP="00F91521">
      <w:pPr>
        <w:spacing w:before="100" w:beforeAutospacing="1" w:after="100" w:afterAutospacing="1" w:line="240" w:lineRule="auto"/>
        <w:jc w:val="both"/>
        <w:rPr>
          <w:lang w:val="en-GB"/>
        </w:rPr>
      </w:pPr>
    </w:p>
    <w:p w14:paraId="0EB6F132" w14:textId="77777777" w:rsidR="00A42857" w:rsidRDefault="00A42857" w:rsidP="00F91521">
      <w:pPr>
        <w:spacing w:before="100" w:beforeAutospacing="1" w:after="100" w:afterAutospacing="1" w:line="240" w:lineRule="auto"/>
        <w:jc w:val="both"/>
        <w:rPr>
          <w:lang w:val="en-GB"/>
        </w:rPr>
      </w:pPr>
    </w:p>
    <w:p w14:paraId="5DECA444" w14:textId="77777777" w:rsidR="00A42857" w:rsidRDefault="00A42857" w:rsidP="00F91521">
      <w:pPr>
        <w:spacing w:before="100" w:beforeAutospacing="1" w:after="100" w:afterAutospacing="1" w:line="240" w:lineRule="auto"/>
        <w:jc w:val="both"/>
        <w:rPr>
          <w:lang w:val="en-GB"/>
        </w:rPr>
      </w:pPr>
    </w:p>
    <w:p w14:paraId="2EF0FFC1" w14:textId="77777777" w:rsidR="00A42857" w:rsidRDefault="00A42857" w:rsidP="00F91521">
      <w:pPr>
        <w:spacing w:before="100" w:beforeAutospacing="1" w:after="100" w:afterAutospacing="1" w:line="240" w:lineRule="auto"/>
        <w:jc w:val="both"/>
        <w:rPr>
          <w:lang w:val="en-GB"/>
        </w:rPr>
      </w:pPr>
    </w:p>
    <w:p w14:paraId="3339FFC8" w14:textId="77777777" w:rsidR="00A42857" w:rsidRDefault="00A42857" w:rsidP="00F91521">
      <w:pPr>
        <w:spacing w:before="100" w:beforeAutospacing="1" w:after="100" w:afterAutospacing="1" w:line="240" w:lineRule="auto"/>
        <w:jc w:val="both"/>
        <w:rPr>
          <w:lang w:val="en-GB"/>
        </w:rPr>
      </w:pPr>
    </w:p>
    <w:p w14:paraId="1E9DE6B5" w14:textId="77777777" w:rsidR="00A42857" w:rsidRDefault="00A42857" w:rsidP="00F91521">
      <w:pPr>
        <w:spacing w:before="100" w:beforeAutospacing="1" w:after="100" w:afterAutospacing="1" w:line="240" w:lineRule="auto"/>
        <w:jc w:val="both"/>
        <w:rPr>
          <w:lang w:val="en-GB"/>
        </w:rPr>
      </w:pPr>
    </w:p>
    <w:p w14:paraId="1DA8EC6E" w14:textId="77777777" w:rsidR="00A42857" w:rsidRDefault="00A42857" w:rsidP="00F91521">
      <w:pPr>
        <w:spacing w:before="100" w:beforeAutospacing="1" w:after="100" w:afterAutospacing="1" w:line="240" w:lineRule="auto"/>
        <w:jc w:val="both"/>
        <w:rPr>
          <w:lang w:val="en-GB"/>
        </w:rPr>
      </w:pPr>
    </w:p>
    <w:p w14:paraId="50D87F55" w14:textId="77777777" w:rsidR="0042447D" w:rsidRDefault="0042447D" w:rsidP="00F91521">
      <w:pPr>
        <w:spacing w:before="100" w:beforeAutospacing="1" w:after="100" w:afterAutospacing="1" w:line="240" w:lineRule="auto"/>
        <w:jc w:val="both"/>
        <w:rPr>
          <w:lang w:val="en-GB"/>
        </w:rPr>
      </w:pPr>
    </w:p>
    <w:p w14:paraId="6587BB0A" w14:textId="77777777" w:rsidR="00EE1277" w:rsidRDefault="00EE1277" w:rsidP="00D46D9A">
      <w:pPr>
        <w:spacing w:before="100" w:beforeAutospacing="1" w:after="100" w:afterAutospacing="1" w:line="240" w:lineRule="auto"/>
        <w:jc w:val="both"/>
        <w:rPr>
          <w:b/>
          <w:bCs/>
          <w:lang w:val="en-GB"/>
        </w:rPr>
      </w:pPr>
    </w:p>
    <w:sdt>
      <w:sdtPr>
        <w:rPr>
          <w:rFonts w:asciiTheme="minorHAnsi" w:eastAsiaTheme="minorEastAsia" w:hAnsiTheme="minorHAnsi" w:cstheme="minorBidi"/>
          <w:b w:val="0"/>
          <w:bCs/>
          <w:caps w:val="0"/>
          <w:color w:val="000000" w:themeColor="text1"/>
          <w:sz w:val="24"/>
          <w:szCs w:val="22"/>
        </w:rPr>
        <w:id w:val="799723374"/>
        <w:docPartObj>
          <w:docPartGallery w:val="Bibliographies"/>
          <w:docPartUnique/>
        </w:docPartObj>
      </w:sdtPr>
      <w:sdtEndPr>
        <w:rPr>
          <w:bCs w:val="0"/>
        </w:rPr>
      </w:sdtEndPr>
      <w:sdtContent>
        <w:p w14:paraId="356B12E9" w14:textId="009E06FF" w:rsidR="007417C6" w:rsidRPr="007417C6" w:rsidRDefault="00E71B20">
          <w:pPr>
            <w:pStyle w:val="Heading1"/>
            <w:framePr w:wrap="around"/>
            <w:rPr>
              <w:b w:val="0"/>
              <w:bCs/>
            </w:rPr>
          </w:pPr>
          <w:r w:rsidRPr="005E08A8">
            <w:rPr>
              <w:rFonts w:asciiTheme="minorHAnsi" w:eastAsiaTheme="minorEastAsia" w:hAnsiTheme="minorHAnsi" w:cstheme="minorBidi"/>
              <w:bCs/>
              <w:caps w:val="0"/>
              <w:color w:val="000000" w:themeColor="text1"/>
              <w:sz w:val="32"/>
              <w:szCs w:val="28"/>
              <w:lang w:val="en-GB"/>
            </w:rPr>
            <w:t>Reference</w:t>
          </w:r>
          <w:r w:rsidR="005E08A8">
            <w:rPr>
              <w:rFonts w:asciiTheme="minorHAnsi" w:eastAsiaTheme="minorEastAsia" w:hAnsiTheme="minorHAnsi" w:cstheme="minorBidi"/>
              <w:bCs/>
              <w:caps w:val="0"/>
              <w:color w:val="000000" w:themeColor="text1"/>
              <w:sz w:val="32"/>
              <w:szCs w:val="28"/>
              <w:lang w:val="en-GB"/>
            </w:rPr>
            <w:t>s</w:t>
          </w:r>
        </w:p>
        <w:sdt>
          <w:sdtPr>
            <w:id w:val="-573587230"/>
            <w:bibliography/>
          </w:sdtPr>
          <w:sdtEndPr/>
          <w:sdtContent>
            <w:p w14:paraId="076007E0" w14:textId="77777777" w:rsidR="00CC7628" w:rsidRDefault="007417C6">
              <w:pPr>
                <w:rPr>
                  <w:rFonts w:eastAsiaTheme="minorHAnsi"/>
                  <w:noProof/>
                  <w:color w:val="auto"/>
                  <w:kern w:val="2"/>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7"/>
                <w:gridCol w:w="9579"/>
              </w:tblGrid>
              <w:tr w:rsidR="00CC7628" w14:paraId="3291221B" w14:textId="77777777">
                <w:trPr>
                  <w:divId w:val="258102241"/>
                  <w:tblCellSpacing w:w="15" w:type="dxa"/>
                </w:trPr>
                <w:tc>
                  <w:tcPr>
                    <w:tcW w:w="50" w:type="pct"/>
                    <w:hideMark/>
                  </w:tcPr>
                  <w:p w14:paraId="33331CCA" w14:textId="6C9E1387" w:rsidR="00CC7628" w:rsidRDefault="00CC7628">
                    <w:pPr>
                      <w:pStyle w:val="Bibliography"/>
                      <w:rPr>
                        <w:noProof/>
                        <w:szCs w:val="24"/>
                      </w:rPr>
                    </w:pPr>
                    <w:r>
                      <w:rPr>
                        <w:noProof/>
                      </w:rPr>
                      <w:t xml:space="preserve">[1] </w:t>
                    </w:r>
                  </w:p>
                </w:tc>
                <w:tc>
                  <w:tcPr>
                    <w:tcW w:w="0" w:type="auto"/>
                    <w:hideMark/>
                  </w:tcPr>
                  <w:p w14:paraId="4AE44753" w14:textId="77777777" w:rsidR="00CC7628" w:rsidRDefault="00CC7628">
                    <w:pPr>
                      <w:pStyle w:val="Bibliography"/>
                      <w:rPr>
                        <w:noProof/>
                      </w:rPr>
                    </w:pPr>
                    <w:r>
                      <w:rPr>
                        <w:noProof/>
                      </w:rPr>
                      <w:t xml:space="preserve">T. Nusairat, "A Recent Assessment for the Ransomware Attacks Against Internet of Medical Things," in </w:t>
                    </w:r>
                    <w:r>
                      <w:rPr>
                        <w:i/>
                        <w:iCs/>
                        <w:noProof/>
                      </w:rPr>
                      <w:t>IEEE Int Conf. on Electrical, Computer and Energy Technologies</w:t>
                    </w:r>
                    <w:r>
                      <w:rPr>
                        <w:noProof/>
                      </w:rPr>
                      <w:t xml:space="preserve">, Washigton DC, 2023. </w:t>
                    </w:r>
                  </w:p>
                </w:tc>
              </w:tr>
              <w:tr w:rsidR="00CC7628" w14:paraId="21EDE80C" w14:textId="77777777">
                <w:trPr>
                  <w:divId w:val="258102241"/>
                  <w:tblCellSpacing w:w="15" w:type="dxa"/>
                </w:trPr>
                <w:tc>
                  <w:tcPr>
                    <w:tcW w:w="50" w:type="pct"/>
                    <w:hideMark/>
                  </w:tcPr>
                  <w:p w14:paraId="04D62F51" w14:textId="77777777" w:rsidR="00CC7628" w:rsidRDefault="00CC7628">
                    <w:pPr>
                      <w:pStyle w:val="Bibliography"/>
                      <w:rPr>
                        <w:noProof/>
                      </w:rPr>
                    </w:pPr>
                    <w:r>
                      <w:rPr>
                        <w:noProof/>
                      </w:rPr>
                      <w:t xml:space="preserve">[2] </w:t>
                    </w:r>
                  </w:p>
                </w:tc>
                <w:tc>
                  <w:tcPr>
                    <w:tcW w:w="0" w:type="auto"/>
                    <w:hideMark/>
                  </w:tcPr>
                  <w:p w14:paraId="27E1F12C" w14:textId="77777777" w:rsidR="00CC7628" w:rsidRDefault="00CC7628">
                    <w:pPr>
                      <w:pStyle w:val="Bibliography"/>
                      <w:rPr>
                        <w:noProof/>
                      </w:rPr>
                    </w:pPr>
                    <w:r>
                      <w:rPr>
                        <w:noProof/>
                      </w:rPr>
                      <w:t xml:space="preserve">A. A., "“Emerging Cyber Risks &amp; Threats in Healthcare Systems,”," in </w:t>
                    </w:r>
                    <w:r>
                      <w:rPr>
                        <w:i/>
                        <w:iCs/>
                        <w:noProof/>
                      </w:rPr>
                      <w:t>IEEE Access</w:t>
                    </w:r>
                    <w:r>
                      <w:rPr>
                        <w:noProof/>
                      </w:rPr>
                      <w:t xml:space="preserve">, 2024. </w:t>
                    </w:r>
                  </w:p>
                </w:tc>
              </w:tr>
              <w:tr w:rsidR="00CC7628" w14:paraId="7031D014" w14:textId="77777777">
                <w:trPr>
                  <w:divId w:val="258102241"/>
                  <w:tblCellSpacing w:w="15" w:type="dxa"/>
                </w:trPr>
                <w:tc>
                  <w:tcPr>
                    <w:tcW w:w="50" w:type="pct"/>
                    <w:hideMark/>
                  </w:tcPr>
                  <w:p w14:paraId="3EEBDDA4" w14:textId="77777777" w:rsidR="00CC7628" w:rsidRDefault="00CC7628">
                    <w:pPr>
                      <w:pStyle w:val="Bibliography"/>
                      <w:rPr>
                        <w:noProof/>
                      </w:rPr>
                    </w:pPr>
                    <w:r>
                      <w:rPr>
                        <w:noProof/>
                      </w:rPr>
                      <w:t xml:space="preserve">[3] </w:t>
                    </w:r>
                  </w:p>
                </w:tc>
                <w:tc>
                  <w:tcPr>
                    <w:tcW w:w="0" w:type="auto"/>
                    <w:hideMark/>
                  </w:tcPr>
                  <w:p w14:paraId="79A2A8C7" w14:textId="77777777" w:rsidR="00CC7628" w:rsidRDefault="00CC7628">
                    <w:pPr>
                      <w:pStyle w:val="Bibliography"/>
                      <w:rPr>
                        <w:noProof/>
                      </w:rPr>
                    </w:pPr>
                    <w:r>
                      <w:rPr>
                        <w:noProof/>
                      </w:rPr>
                      <w:t xml:space="preserve">M. Puri, "“Enhancing the Safety of Data with CyberSecurity,”," in </w:t>
                    </w:r>
                    <w:r>
                      <w:rPr>
                        <w:i/>
                        <w:iCs/>
                        <w:noProof/>
                      </w:rPr>
                      <w:t>Proc. IEEE Int. Conf. on Computing, Communication and Security</w:t>
                    </w:r>
                    <w:r>
                      <w:rPr>
                        <w:noProof/>
                      </w:rPr>
                      <w:t xml:space="preserve">, 2023.. </w:t>
                    </w:r>
                  </w:p>
                </w:tc>
              </w:tr>
              <w:tr w:rsidR="00CC7628" w14:paraId="3A1A0BC4" w14:textId="77777777">
                <w:trPr>
                  <w:divId w:val="258102241"/>
                  <w:tblCellSpacing w:w="15" w:type="dxa"/>
                </w:trPr>
                <w:tc>
                  <w:tcPr>
                    <w:tcW w:w="50" w:type="pct"/>
                    <w:hideMark/>
                  </w:tcPr>
                  <w:p w14:paraId="42087DC9" w14:textId="77777777" w:rsidR="00CC7628" w:rsidRDefault="00CC7628">
                    <w:pPr>
                      <w:pStyle w:val="Bibliography"/>
                      <w:rPr>
                        <w:noProof/>
                      </w:rPr>
                    </w:pPr>
                    <w:r>
                      <w:rPr>
                        <w:noProof/>
                      </w:rPr>
                      <w:t xml:space="preserve">[4] </w:t>
                    </w:r>
                  </w:p>
                </w:tc>
                <w:tc>
                  <w:tcPr>
                    <w:tcW w:w="0" w:type="auto"/>
                    <w:hideMark/>
                  </w:tcPr>
                  <w:p w14:paraId="5ACE5EDC" w14:textId="77777777" w:rsidR="00CC7628" w:rsidRDefault="00CC7628">
                    <w:pPr>
                      <w:pStyle w:val="Bibliography"/>
                      <w:rPr>
                        <w:noProof/>
                      </w:rPr>
                    </w:pPr>
                    <w:r>
                      <w:rPr>
                        <w:noProof/>
                      </w:rPr>
                      <w:t xml:space="preserve">S. Jain, "“Emerging Technologies for Cybersecurity in Healthcare: Evaluating Risks and Implementing Standards,"," in </w:t>
                    </w:r>
                    <w:r>
                      <w:rPr>
                        <w:i/>
                        <w:iCs/>
                        <w:noProof/>
                      </w:rPr>
                      <w:t>in Proc. IEEE Conf. on Recent Advances in Intelligent Systems,</w:t>
                    </w:r>
                    <w:r>
                      <w:rPr>
                        <w:noProof/>
                      </w:rPr>
                      <w:t xml:space="preserve">, 2024. </w:t>
                    </w:r>
                  </w:p>
                </w:tc>
              </w:tr>
              <w:tr w:rsidR="00CC7628" w14:paraId="0C90108D" w14:textId="77777777">
                <w:trPr>
                  <w:divId w:val="258102241"/>
                  <w:tblCellSpacing w:w="15" w:type="dxa"/>
                </w:trPr>
                <w:tc>
                  <w:tcPr>
                    <w:tcW w:w="50" w:type="pct"/>
                    <w:hideMark/>
                  </w:tcPr>
                  <w:p w14:paraId="144242FC" w14:textId="77777777" w:rsidR="00CC7628" w:rsidRDefault="00CC7628">
                    <w:pPr>
                      <w:pStyle w:val="Bibliography"/>
                      <w:rPr>
                        <w:noProof/>
                        <w:lang w:val="en-GB"/>
                      </w:rPr>
                    </w:pPr>
                    <w:r>
                      <w:rPr>
                        <w:noProof/>
                      </w:rPr>
                      <w:t xml:space="preserve">[5] </w:t>
                    </w:r>
                  </w:p>
                </w:tc>
                <w:tc>
                  <w:tcPr>
                    <w:tcW w:w="0" w:type="auto"/>
                    <w:hideMark/>
                  </w:tcPr>
                  <w:p w14:paraId="4D107CC9" w14:textId="77777777" w:rsidR="00CC7628" w:rsidRDefault="00CC7628">
                    <w:pPr>
                      <w:pStyle w:val="Bibliography"/>
                      <w:rPr>
                        <w:noProof/>
                      </w:rPr>
                    </w:pPr>
                    <w:r>
                      <w:rPr>
                        <w:noProof/>
                      </w:rPr>
                      <w:t xml:space="preserve">A.-F. M. Thamer. N, ““Security against Ransomware Attack in Medical Healthcare Environment Using Blockchain Technology",” in </w:t>
                    </w:r>
                    <w:r>
                      <w:rPr>
                        <w:i/>
                        <w:iCs/>
                        <w:noProof/>
                      </w:rPr>
                      <w:t>in Proc. IEEE Int. Conf. on Computing and Informatics</w:t>
                    </w:r>
                    <w:r>
                      <w:rPr>
                        <w:noProof/>
                      </w:rPr>
                      <w:t xml:space="preserve">, 2022. </w:t>
                    </w:r>
                  </w:p>
                </w:tc>
              </w:tr>
            </w:tbl>
            <w:p w14:paraId="67C14EC8" w14:textId="67AA58F2" w:rsidR="007417C6" w:rsidRDefault="007417C6">
              <w:r>
                <w:rPr>
                  <w:b/>
                  <w:bCs/>
                  <w:noProof/>
                </w:rPr>
                <w:fldChar w:fldCharType="end"/>
              </w:r>
            </w:p>
          </w:sdtContent>
        </w:sdt>
      </w:sdtContent>
    </w:sdt>
    <w:p w14:paraId="0BA718EB" w14:textId="77777777" w:rsidR="002379F6" w:rsidRDefault="002379F6" w:rsidP="00D46D9A">
      <w:pPr>
        <w:spacing w:before="100" w:beforeAutospacing="1" w:after="100" w:afterAutospacing="1" w:line="240" w:lineRule="auto"/>
        <w:jc w:val="both"/>
        <w:rPr>
          <w:lang w:val="en-GB"/>
        </w:rPr>
      </w:pPr>
    </w:p>
    <w:p w14:paraId="02A2D75D" w14:textId="77777777" w:rsidR="002379F6" w:rsidRDefault="002379F6" w:rsidP="00D46D9A">
      <w:pPr>
        <w:spacing w:before="100" w:beforeAutospacing="1" w:after="100" w:afterAutospacing="1" w:line="240" w:lineRule="auto"/>
        <w:jc w:val="both"/>
        <w:rPr>
          <w:lang w:val="en-GB"/>
        </w:rPr>
      </w:pPr>
    </w:p>
    <w:p w14:paraId="19B75719" w14:textId="77777777" w:rsidR="002379F6" w:rsidRDefault="002379F6" w:rsidP="00D46D9A">
      <w:pPr>
        <w:spacing w:before="100" w:beforeAutospacing="1" w:after="100" w:afterAutospacing="1" w:line="240" w:lineRule="auto"/>
        <w:jc w:val="both"/>
        <w:rPr>
          <w:lang w:val="en-GB"/>
        </w:rPr>
      </w:pPr>
    </w:p>
    <w:p w14:paraId="56C5B227" w14:textId="77777777" w:rsidR="002379F6" w:rsidRDefault="002379F6" w:rsidP="00D46D9A">
      <w:pPr>
        <w:spacing w:before="100" w:beforeAutospacing="1" w:after="100" w:afterAutospacing="1" w:line="240" w:lineRule="auto"/>
        <w:jc w:val="both"/>
        <w:rPr>
          <w:lang w:val="en-GB"/>
        </w:rPr>
      </w:pPr>
    </w:p>
    <w:p w14:paraId="1E72E189" w14:textId="77777777" w:rsidR="002379F6" w:rsidRDefault="002379F6" w:rsidP="00D46D9A">
      <w:pPr>
        <w:spacing w:before="100" w:beforeAutospacing="1" w:after="100" w:afterAutospacing="1" w:line="240" w:lineRule="auto"/>
        <w:jc w:val="both"/>
        <w:rPr>
          <w:lang w:val="en-GB"/>
        </w:rPr>
      </w:pPr>
    </w:p>
    <w:p w14:paraId="7C7F5774" w14:textId="77777777" w:rsidR="002379F6" w:rsidRDefault="002379F6" w:rsidP="00D46D9A">
      <w:pPr>
        <w:spacing w:before="100" w:beforeAutospacing="1" w:after="100" w:afterAutospacing="1" w:line="240" w:lineRule="auto"/>
        <w:jc w:val="both"/>
        <w:rPr>
          <w:lang w:val="en-GB"/>
        </w:rPr>
      </w:pPr>
    </w:p>
    <w:p w14:paraId="60FCD00B" w14:textId="3842FA0B" w:rsidR="00D46D9A" w:rsidRPr="00D46D9A" w:rsidRDefault="00D46D9A" w:rsidP="00D46D9A">
      <w:pPr>
        <w:spacing w:before="100" w:beforeAutospacing="1" w:after="100" w:afterAutospacing="1" w:line="240" w:lineRule="auto"/>
        <w:jc w:val="both"/>
        <w:rPr>
          <w:lang w:val="en-GB"/>
        </w:rPr>
      </w:pPr>
      <w:proofErr w:type="gramStart"/>
      <w:r w:rsidRPr="00D46D9A">
        <w:rPr>
          <w:lang w:val="en-GB"/>
        </w:rPr>
        <w:lastRenderedPageBreak/>
        <w:t>.</w:t>
      </w:r>
      <w:r w:rsidRPr="00D46D9A">
        <w:rPr>
          <w:b/>
          <w:bCs/>
          <w:lang w:val="en-GB"/>
        </w:rPr>
        <w:t>Standards</w:t>
      </w:r>
      <w:proofErr w:type="gramEnd"/>
    </w:p>
    <w:p w14:paraId="5DC6171A" w14:textId="77777777" w:rsidR="00D46D9A" w:rsidRPr="00D46D9A" w:rsidRDefault="00D46D9A" w:rsidP="00D46D9A">
      <w:pPr>
        <w:numPr>
          <w:ilvl w:val="0"/>
          <w:numId w:val="15"/>
        </w:numPr>
        <w:spacing w:before="100" w:beforeAutospacing="1" w:after="100" w:afterAutospacing="1" w:line="240" w:lineRule="auto"/>
        <w:jc w:val="both"/>
        <w:rPr>
          <w:lang w:val="en-GB"/>
        </w:rPr>
      </w:pPr>
      <w:r w:rsidRPr="00D46D9A">
        <w:rPr>
          <w:lang w:val="en-GB"/>
        </w:rPr>
        <w:t xml:space="preserve">ISO/IEC 27001:2022, </w:t>
      </w:r>
      <w:r w:rsidRPr="00D46D9A">
        <w:rPr>
          <w:i/>
          <w:iCs/>
          <w:lang w:val="en-GB"/>
        </w:rPr>
        <w:t>Information security, cybersecurity and privacy protection — Information security management systems — Requirements</w:t>
      </w:r>
      <w:r w:rsidRPr="00D46D9A">
        <w:rPr>
          <w:lang w:val="en-GB"/>
        </w:rPr>
        <w:t>.</w:t>
      </w:r>
    </w:p>
    <w:p w14:paraId="137129DF" w14:textId="77777777" w:rsidR="00D46D9A" w:rsidRPr="00D46D9A" w:rsidRDefault="00D46D9A" w:rsidP="00D46D9A">
      <w:pPr>
        <w:numPr>
          <w:ilvl w:val="0"/>
          <w:numId w:val="15"/>
        </w:numPr>
        <w:spacing w:before="100" w:beforeAutospacing="1" w:after="100" w:afterAutospacing="1" w:line="240" w:lineRule="auto"/>
        <w:jc w:val="both"/>
        <w:rPr>
          <w:lang w:val="en-GB"/>
        </w:rPr>
      </w:pPr>
      <w:r w:rsidRPr="00D46D9A">
        <w:rPr>
          <w:lang w:val="en-GB"/>
        </w:rPr>
        <w:t>NIST Cybersecurity Framework 2.0, National Institute of Standards and Technology, 2024.</w:t>
      </w:r>
    </w:p>
    <w:p w14:paraId="5E5CF0D1" w14:textId="77777777" w:rsidR="00D46D9A" w:rsidRDefault="00D46D9A" w:rsidP="00D46D9A">
      <w:pPr>
        <w:spacing w:before="100" w:beforeAutospacing="1" w:after="100" w:afterAutospacing="1" w:line="240" w:lineRule="auto"/>
        <w:jc w:val="both"/>
        <w:rPr>
          <w:b/>
          <w:bCs/>
          <w:lang w:val="en-GB"/>
        </w:rPr>
      </w:pPr>
    </w:p>
    <w:p w14:paraId="4D2A9B17" w14:textId="77777777" w:rsidR="00D46D9A" w:rsidRDefault="00D46D9A" w:rsidP="00D46D9A">
      <w:pPr>
        <w:spacing w:before="100" w:beforeAutospacing="1" w:after="100" w:afterAutospacing="1" w:line="240" w:lineRule="auto"/>
        <w:jc w:val="both"/>
        <w:rPr>
          <w:b/>
          <w:bCs/>
          <w:lang w:val="en-GB"/>
        </w:rPr>
      </w:pPr>
    </w:p>
    <w:p w14:paraId="55D254DA" w14:textId="77777777" w:rsidR="00D46D9A" w:rsidRDefault="00D46D9A" w:rsidP="00D46D9A">
      <w:pPr>
        <w:spacing w:before="100" w:beforeAutospacing="1" w:after="100" w:afterAutospacing="1" w:line="240" w:lineRule="auto"/>
        <w:jc w:val="both"/>
        <w:rPr>
          <w:b/>
          <w:bCs/>
          <w:lang w:val="en-GB"/>
        </w:rPr>
      </w:pPr>
    </w:p>
    <w:p w14:paraId="1357E61E" w14:textId="77777777" w:rsidR="00D46D9A" w:rsidRDefault="00D46D9A" w:rsidP="00D46D9A">
      <w:pPr>
        <w:spacing w:before="100" w:beforeAutospacing="1" w:after="100" w:afterAutospacing="1" w:line="240" w:lineRule="auto"/>
        <w:jc w:val="both"/>
        <w:rPr>
          <w:b/>
          <w:bCs/>
          <w:lang w:val="en-GB"/>
        </w:rPr>
      </w:pPr>
    </w:p>
    <w:p w14:paraId="2B954BB0" w14:textId="77777777" w:rsidR="00D46D9A" w:rsidRDefault="00D46D9A" w:rsidP="00D46D9A">
      <w:pPr>
        <w:spacing w:before="100" w:beforeAutospacing="1" w:after="100" w:afterAutospacing="1" w:line="240" w:lineRule="auto"/>
        <w:jc w:val="both"/>
        <w:rPr>
          <w:b/>
          <w:bCs/>
          <w:lang w:val="en-GB"/>
        </w:rPr>
      </w:pPr>
    </w:p>
    <w:p w14:paraId="7760194A" w14:textId="01093672" w:rsidR="00D46D9A" w:rsidRPr="00D46D9A" w:rsidRDefault="00D46D9A" w:rsidP="00D46D9A">
      <w:pPr>
        <w:spacing w:before="100" w:beforeAutospacing="1" w:after="100" w:afterAutospacing="1" w:line="240" w:lineRule="auto"/>
        <w:jc w:val="both"/>
        <w:rPr>
          <w:lang w:val="en-GB"/>
        </w:rPr>
      </w:pPr>
      <w:r w:rsidRPr="00D46D9A">
        <w:rPr>
          <w:b/>
          <w:bCs/>
          <w:lang w:val="en-GB"/>
        </w:rPr>
        <w:t>Appendix A: Board Presentation</w:t>
      </w:r>
      <w:r w:rsidRPr="00D46D9A">
        <w:rPr>
          <w:lang w:val="en-GB"/>
        </w:rPr>
        <w:t xml:space="preserve"> The attached 10-slide PowerPoint presentation summarises the key findings and recommendations for the Board of Directors.</w:t>
      </w:r>
    </w:p>
    <w:p w14:paraId="2C29405B" w14:textId="77777777" w:rsidR="00A42857" w:rsidRPr="00B54331" w:rsidRDefault="00A42857" w:rsidP="00F91521">
      <w:pPr>
        <w:spacing w:before="100" w:beforeAutospacing="1" w:after="100" w:afterAutospacing="1" w:line="240" w:lineRule="auto"/>
        <w:jc w:val="both"/>
        <w:rPr>
          <w:lang w:val="en-GB"/>
        </w:rPr>
      </w:pPr>
    </w:p>
    <w:p w14:paraId="04F73974" w14:textId="77777777" w:rsidR="00E27B1A" w:rsidRDefault="00E27B1A" w:rsidP="006F02E1">
      <w:pPr>
        <w:spacing w:before="0" w:after="160" w:line="278" w:lineRule="auto"/>
        <w:jc w:val="both"/>
        <w:rPr>
          <w:b/>
          <w:bCs/>
          <w:lang w:val="en-GB"/>
        </w:rPr>
      </w:pPr>
    </w:p>
    <w:p w14:paraId="5BE87D85" w14:textId="77777777" w:rsidR="00E27B1A" w:rsidRDefault="00E27B1A" w:rsidP="006F02E1">
      <w:pPr>
        <w:spacing w:before="0" w:after="160" w:line="278" w:lineRule="auto"/>
        <w:jc w:val="both"/>
        <w:rPr>
          <w:b/>
          <w:bCs/>
          <w:lang w:val="en-GB"/>
        </w:rPr>
      </w:pPr>
    </w:p>
    <w:sectPr w:rsidR="00E27B1A" w:rsidSect="00A73656">
      <w:pgSz w:w="12240" w:h="15840" w:code="1"/>
      <w:pgMar w:top="1440" w:right="1152" w:bottom="720" w:left="1152" w:header="432" w:footer="14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4EFC3" w14:textId="77777777" w:rsidR="005054CA" w:rsidRDefault="005054CA" w:rsidP="00E14577">
      <w:pPr>
        <w:spacing w:before="0" w:line="240" w:lineRule="auto"/>
      </w:pPr>
      <w:r>
        <w:separator/>
      </w:r>
    </w:p>
  </w:endnote>
  <w:endnote w:type="continuationSeparator" w:id="0">
    <w:p w14:paraId="30FC7FA4" w14:textId="77777777" w:rsidR="005054CA" w:rsidRDefault="005054CA" w:rsidP="00E1457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Microsoft Sans Serif">
    <w:panose1 w:val="020B0604020202020204"/>
    <w:charset w:val="00"/>
    <w:family w:val="swiss"/>
    <w:pitch w:val="variable"/>
    <w:sig w:usb0="E5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92ECF9" w14:textId="77777777" w:rsidR="00CA2741" w:rsidRDefault="00CA27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AE6A9" w14:textId="77777777" w:rsidR="008A6801" w:rsidRDefault="008A6801" w:rsidP="00D30526">
    <w:pPr>
      <w:pStyle w:val="Footer"/>
      <w:ind w:firstLine="360"/>
      <w:jc w:val="center"/>
    </w:pPr>
    <w:r>
      <w:rPr>
        <w:noProof/>
        <w14:ligatures w14:val="standardContextual"/>
      </w:rPr>
      <mc:AlternateContent>
        <mc:Choice Requires="wps">
          <w:drawing>
            <wp:anchor distT="0" distB="0" distL="114300" distR="114300" simplePos="0" relativeHeight="251661312" behindDoc="1" locked="1" layoutInCell="1" allowOverlap="1" wp14:anchorId="64726DE7" wp14:editId="59D9178A">
              <wp:simplePos x="0" y="0"/>
              <wp:positionH relativeFrom="column">
                <wp:posOffset>-731520</wp:posOffset>
              </wp:positionH>
              <wp:positionV relativeFrom="page">
                <wp:posOffset>9420225</wp:posOffset>
              </wp:positionV>
              <wp:extent cx="7772400" cy="640080"/>
              <wp:effectExtent l="0" t="0" r="0" b="7620"/>
              <wp:wrapNone/>
              <wp:docPr id="1660517193"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640080"/>
                      </a:xfrm>
                      <a:prstGeom prst="rect">
                        <a:avLst/>
                      </a:prstGeom>
                      <a:solidFill>
                        <a:schemeClr val="accent3"/>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3B33B0E8" id="Rectangle 1" o:spid="_x0000_s1026" alt="&quot;&quot;" style="position:absolute;margin-left:-57.6pt;margin-top:741.75pt;width:612pt;height:50.4pt;z-index:-251655168;visibility:visible;mso-wrap-style:square;mso-width-percent:1000;mso-height-percent:0;mso-wrap-distance-left:9pt;mso-wrap-distance-top:0;mso-wrap-distance-right:9pt;mso-wrap-distance-bottom:0;mso-position-horizontal:absolute;mso-position-horizontal-relative:text;mso-position-vertical:absolute;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" fillcolor="#fde700 [3206]" stroked="f" strokeweight="2pt">
              <w10:wrap anchory="page"/>
              <w10:anchorlock/>
            </v:rect>
          </w:pict>
        </mc:Fallback>
      </mc:AlternateContent>
    </w:r>
  </w:p>
  <w:p w14:paraId="2FFD8FCD" w14:textId="77777777" w:rsidR="00E14577" w:rsidRDefault="00E145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9E4D6" w14:textId="77777777" w:rsidR="00CA2741" w:rsidRDefault="00CA2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9B42D" w14:textId="77777777" w:rsidR="005054CA" w:rsidRDefault="005054CA" w:rsidP="00E14577">
      <w:pPr>
        <w:spacing w:before="0" w:line="240" w:lineRule="auto"/>
      </w:pPr>
      <w:r>
        <w:separator/>
      </w:r>
    </w:p>
  </w:footnote>
  <w:footnote w:type="continuationSeparator" w:id="0">
    <w:p w14:paraId="5EDFB352" w14:textId="77777777" w:rsidR="005054CA" w:rsidRDefault="005054CA" w:rsidP="00E14577">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6455145"/>
      <w:docPartObj>
        <w:docPartGallery w:val="Page Numbers (Top of Page)"/>
        <w:docPartUnique/>
      </w:docPartObj>
    </w:sdtPr>
    <w:sdtEndPr>
      <w:rPr>
        <w:rStyle w:val="PageNumber"/>
      </w:rPr>
    </w:sdtEndPr>
    <w:sdtContent>
      <w:p w14:paraId="687FB7BA" w14:textId="7E33DF2B" w:rsidR="00E14577" w:rsidRDefault="00E14577" w:rsidP="00A62354">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D62D49">
          <w:rPr>
            <w:rStyle w:val="PageNumber"/>
            <w:noProof/>
          </w:rPr>
          <w:t>1</w:t>
        </w:r>
        <w:r>
          <w:rPr>
            <w:rStyle w:val="PageNumber"/>
          </w:rPr>
          <w:fldChar w:fldCharType="end"/>
        </w:r>
      </w:p>
    </w:sdtContent>
  </w:sdt>
  <w:p w14:paraId="06B850E3" w14:textId="77777777" w:rsidR="00E14577" w:rsidRDefault="00E14577" w:rsidP="00E1457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1513015"/>
      <w:docPartObj>
        <w:docPartGallery w:val="Page Numbers (Top of Page)"/>
        <w:docPartUnique/>
      </w:docPartObj>
    </w:sdtPr>
    <w:sdtEndPr>
      <w:rPr>
        <w:rStyle w:val="PageNumber"/>
      </w:rPr>
    </w:sdtEndPr>
    <w:sdtContent>
      <w:p w14:paraId="730366C4" w14:textId="77777777" w:rsidR="00E14577" w:rsidRDefault="00E14577" w:rsidP="00E14577">
        <w:pPr>
          <w:pStyle w:val="Footer"/>
          <w:rPr>
            <w:rStyle w:val="PageNumber"/>
          </w:rPr>
        </w:pPr>
        <w:r>
          <w:rPr>
            <w:noProof/>
            <w14:ligatures w14:val="standardContextual"/>
          </w:rPr>
          <mc:AlternateContent>
            <mc:Choice Requires="wps">
              <w:drawing>
                <wp:anchor distT="0" distB="0" distL="114300" distR="114300" simplePos="0" relativeHeight="251659264" behindDoc="1" locked="1" layoutInCell="1" allowOverlap="1" wp14:anchorId="0D134CDB" wp14:editId="031DAECE">
                  <wp:simplePos x="0" y="0"/>
                  <wp:positionH relativeFrom="column">
                    <wp:posOffset>-914400</wp:posOffset>
                  </wp:positionH>
                  <wp:positionV relativeFrom="paragraph">
                    <wp:posOffset>-265430</wp:posOffset>
                  </wp:positionV>
                  <wp:extent cx="1700784" cy="640080"/>
                  <wp:effectExtent l="0" t="0" r="0" b="7620"/>
                  <wp:wrapNone/>
                  <wp:docPr id="1130146015"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700784" cy="640080"/>
                          </a:xfrm>
                          <a:prstGeom prst="rect">
                            <a:avLst/>
                          </a:prstGeom>
                          <a:solidFill>
                            <a:schemeClr val="accent3"/>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74091" id="Rectangle 1" o:spid="_x0000_s1026" alt="&quot;&quot;" style="position:absolute;margin-left:-1in;margin-top:-20.9pt;width:133.9pt;height:50.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" fillcolor="#fde700 [3206]" stroked="f" strokeweight="2pt">
                  <w10:anchorlock/>
                </v:rect>
              </w:pict>
            </mc:Fallback>
          </mc:AlternateConten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8A56B3" w14:textId="77777777" w:rsidR="00E14577" w:rsidRDefault="00E14577" w:rsidP="00E14577">
    <w:pPr>
      <w:pStyle w:val="Header"/>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1D2DB" w14:textId="77777777" w:rsidR="00CA2741" w:rsidRDefault="00CA2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15DE66A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DA3323"/>
    <w:multiLevelType w:val="multilevel"/>
    <w:tmpl w:val="F4A86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E6380"/>
    <w:multiLevelType w:val="multilevel"/>
    <w:tmpl w:val="DAC2C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9E3DD9"/>
    <w:multiLevelType w:val="multilevel"/>
    <w:tmpl w:val="E732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10A23"/>
    <w:multiLevelType w:val="hybridMultilevel"/>
    <w:tmpl w:val="1084F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A054F"/>
    <w:multiLevelType w:val="multilevel"/>
    <w:tmpl w:val="D1543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377AD4"/>
    <w:multiLevelType w:val="multilevel"/>
    <w:tmpl w:val="E8663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864657"/>
    <w:multiLevelType w:val="hybridMultilevel"/>
    <w:tmpl w:val="90661946"/>
    <w:lvl w:ilvl="0" w:tplc="09F2020C">
      <w:start w:val="1"/>
      <w:numFmt w:val="bullet"/>
      <w:lvlText w:val="•"/>
      <w:lvlJc w:val="left"/>
      <w:pPr>
        <w:tabs>
          <w:tab w:val="num" w:pos="720"/>
        </w:tabs>
        <w:ind w:left="720" w:hanging="360"/>
      </w:pPr>
      <w:rPr>
        <w:rFonts w:ascii="Times New Roman" w:hAnsi="Times New Roman" w:hint="default"/>
      </w:rPr>
    </w:lvl>
    <w:lvl w:ilvl="1" w:tplc="CD6C39BC" w:tentative="1">
      <w:start w:val="1"/>
      <w:numFmt w:val="bullet"/>
      <w:lvlText w:val="•"/>
      <w:lvlJc w:val="left"/>
      <w:pPr>
        <w:tabs>
          <w:tab w:val="num" w:pos="1440"/>
        </w:tabs>
        <w:ind w:left="1440" w:hanging="360"/>
      </w:pPr>
      <w:rPr>
        <w:rFonts w:ascii="Times New Roman" w:hAnsi="Times New Roman" w:hint="default"/>
      </w:rPr>
    </w:lvl>
    <w:lvl w:ilvl="2" w:tplc="67A242BE" w:tentative="1">
      <w:start w:val="1"/>
      <w:numFmt w:val="bullet"/>
      <w:lvlText w:val="•"/>
      <w:lvlJc w:val="left"/>
      <w:pPr>
        <w:tabs>
          <w:tab w:val="num" w:pos="2160"/>
        </w:tabs>
        <w:ind w:left="2160" w:hanging="360"/>
      </w:pPr>
      <w:rPr>
        <w:rFonts w:ascii="Times New Roman" w:hAnsi="Times New Roman" w:hint="default"/>
      </w:rPr>
    </w:lvl>
    <w:lvl w:ilvl="3" w:tplc="EA38FAF2" w:tentative="1">
      <w:start w:val="1"/>
      <w:numFmt w:val="bullet"/>
      <w:lvlText w:val="•"/>
      <w:lvlJc w:val="left"/>
      <w:pPr>
        <w:tabs>
          <w:tab w:val="num" w:pos="2880"/>
        </w:tabs>
        <w:ind w:left="2880" w:hanging="360"/>
      </w:pPr>
      <w:rPr>
        <w:rFonts w:ascii="Times New Roman" w:hAnsi="Times New Roman" w:hint="default"/>
      </w:rPr>
    </w:lvl>
    <w:lvl w:ilvl="4" w:tplc="BEA0848A" w:tentative="1">
      <w:start w:val="1"/>
      <w:numFmt w:val="bullet"/>
      <w:lvlText w:val="•"/>
      <w:lvlJc w:val="left"/>
      <w:pPr>
        <w:tabs>
          <w:tab w:val="num" w:pos="3600"/>
        </w:tabs>
        <w:ind w:left="3600" w:hanging="360"/>
      </w:pPr>
      <w:rPr>
        <w:rFonts w:ascii="Times New Roman" w:hAnsi="Times New Roman" w:hint="default"/>
      </w:rPr>
    </w:lvl>
    <w:lvl w:ilvl="5" w:tplc="24F64E94" w:tentative="1">
      <w:start w:val="1"/>
      <w:numFmt w:val="bullet"/>
      <w:lvlText w:val="•"/>
      <w:lvlJc w:val="left"/>
      <w:pPr>
        <w:tabs>
          <w:tab w:val="num" w:pos="4320"/>
        </w:tabs>
        <w:ind w:left="4320" w:hanging="360"/>
      </w:pPr>
      <w:rPr>
        <w:rFonts w:ascii="Times New Roman" w:hAnsi="Times New Roman" w:hint="default"/>
      </w:rPr>
    </w:lvl>
    <w:lvl w:ilvl="6" w:tplc="D55499FA" w:tentative="1">
      <w:start w:val="1"/>
      <w:numFmt w:val="bullet"/>
      <w:lvlText w:val="•"/>
      <w:lvlJc w:val="left"/>
      <w:pPr>
        <w:tabs>
          <w:tab w:val="num" w:pos="5040"/>
        </w:tabs>
        <w:ind w:left="5040" w:hanging="360"/>
      </w:pPr>
      <w:rPr>
        <w:rFonts w:ascii="Times New Roman" w:hAnsi="Times New Roman" w:hint="default"/>
      </w:rPr>
    </w:lvl>
    <w:lvl w:ilvl="7" w:tplc="75D4E6C0" w:tentative="1">
      <w:start w:val="1"/>
      <w:numFmt w:val="bullet"/>
      <w:lvlText w:val="•"/>
      <w:lvlJc w:val="left"/>
      <w:pPr>
        <w:tabs>
          <w:tab w:val="num" w:pos="5760"/>
        </w:tabs>
        <w:ind w:left="5760" w:hanging="360"/>
      </w:pPr>
      <w:rPr>
        <w:rFonts w:ascii="Times New Roman" w:hAnsi="Times New Roman" w:hint="default"/>
      </w:rPr>
    </w:lvl>
    <w:lvl w:ilvl="8" w:tplc="15F2492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69820A2"/>
    <w:multiLevelType w:val="multilevel"/>
    <w:tmpl w:val="31AC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5A28F9"/>
    <w:multiLevelType w:val="multilevel"/>
    <w:tmpl w:val="1D9C3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B94914"/>
    <w:multiLevelType w:val="multilevel"/>
    <w:tmpl w:val="762E1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5743A6"/>
    <w:multiLevelType w:val="multilevel"/>
    <w:tmpl w:val="EAD6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FC59DC"/>
    <w:multiLevelType w:val="multilevel"/>
    <w:tmpl w:val="9BD0204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967503"/>
    <w:multiLevelType w:val="multilevel"/>
    <w:tmpl w:val="AC1E9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363878"/>
    <w:multiLevelType w:val="multilevel"/>
    <w:tmpl w:val="2CE6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405310">
    <w:abstractNumId w:val="12"/>
  </w:num>
  <w:num w:numId="2" w16cid:durableId="1276593716">
    <w:abstractNumId w:val="0"/>
  </w:num>
  <w:num w:numId="3" w16cid:durableId="1094787701">
    <w:abstractNumId w:val="5"/>
  </w:num>
  <w:num w:numId="4" w16cid:durableId="1849522990">
    <w:abstractNumId w:val="2"/>
  </w:num>
  <w:num w:numId="5" w16cid:durableId="144057157">
    <w:abstractNumId w:val="14"/>
  </w:num>
  <w:num w:numId="6" w16cid:durableId="1415934108">
    <w:abstractNumId w:val="8"/>
  </w:num>
  <w:num w:numId="7" w16cid:durableId="1873375830">
    <w:abstractNumId w:val="10"/>
  </w:num>
  <w:num w:numId="8" w16cid:durableId="1284113969">
    <w:abstractNumId w:val="6"/>
  </w:num>
  <w:num w:numId="9" w16cid:durableId="1927301268">
    <w:abstractNumId w:val="9"/>
  </w:num>
  <w:num w:numId="10" w16cid:durableId="380908831">
    <w:abstractNumId w:val="3"/>
  </w:num>
  <w:num w:numId="11" w16cid:durableId="850530206">
    <w:abstractNumId w:val="7"/>
  </w:num>
  <w:num w:numId="12" w16cid:durableId="1293437139">
    <w:abstractNumId w:val="4"/>
  </w:num>
  <w:num w:numId="13" w16cid:durableId="1380662741">
    <w:abstractNumId w:val="13"/>
  </w:num>
  <w:num w:numId="14" w16cid:durableId="737636006">
    <w:abstractNumId w:val="11"/>
  </w:num>
  <w:num w:numId="15" w16cid:durableId="1391540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603"/>
    <w:rsid w:val="000021A5"/>
    <w:rsid w:val="0000727E"/>
    <w:rsid w:val="000135C5"/>
    <w:rsid w:val="0002261E"/>
    <w:rsid w:val="00035BE4"/>
    <w:rsid w:val="00055D31"/>
    <w:rsid w:val="000C4E0E"/>
    <w:rsid w:val="000F1695"/>
    <w:rsid w:val="001048EC"/>
    <w:rsid w:val="00106FE3"/>
    <w:rsid w:val="00110560"/>
    <w:rsid w:val="00113F44"/>
    <w:rsid w:val="00132D56"/>
    <w:rsid w:val="00142D36"/>
    <w:rsid w:val="00144DC0"/>
    <w:rsid w:val="0014622D"/>
    <w:rsid w:val="001705C1"/>
    <w:rsid w:val="001839AC"/>
    <w:rsid w:val="00184261"/>
    <w:rsid w:val="00187C41"/>
    <w:rsid w:val="00191B95"/>
    <w:rsid w:val="001B1AD3"/>
    <w:rsid w:val="001C2495"/>
    <w:rsid w:val="001E1CD0"/>
    <w:rsid w:val="001F63B9"/>
    <w:rsid w:val="002005F1"/>
    <w:rsid w:val="00217351"/>
    <w:rsid w:val="00220FC2"/>
    <w:rsid w:val="002379F6"/>
    <w:rsid w:val="002466E0"/>
    <w:rsid w:val="0025158E"/>
    <w:rsid w:val="00252C93"/>
    <w:rsid w:val="00267C1C"/>
    <w:rsid w:val="0029430A"/>
    <w:rsid w:val="0029651C"/>
    <w:rsid w:val="002A1D15"/>
    <w:rsid w:val="002B0B16"/>
    <w:rsid w:val="002B3578"/>
    <w:rsid w:val="002E0F52"/>
    <w:rsid w:val="002E1016"/>
    <w:rsid w:val="002F2445"/>
    <w:rsid w:val="002F5C46"/>
    <w:rsid w:val="00303175"/>
    <w:rsid w:val="00315F17"/>
    <w:rsid w:val="003423A2"/>
    <w:rsid w:val="00345668"/>
    <w:rsid w:val="00351367"/>
    <w:rsid w:val="00376444"/>
    <w:rsid w:val="00380DD3"/>
    <w:rsid w:val="00390BBA"/>
    <w:rsid w:val="003A71F1"/>
    <w:rsid w:val="003B2605"/>
    <w:rsid w:val="003C3E31"/>
    <w:rsid w:val="003C44A7"/>
    <w:rsid w:val="003E6712"/>
    <w:rsid w:val="004010B0"/>
    <w:rsid w:val="00421A37"/>
    <w:rsid w:val="0042447D"/>
    <w:rsid w:val="00450A99"/>
    <w:rsid w:val="004515E8"/>
    <w:rsid w:val="004A29CC"/>
    <w:rsid w:val="004B2B1A"/>
    <w:rsid w:val="004C4D2C"/>
    <w:rsid w:val="004C6124"/>
    <w:rsid w:val="004D7437"/>
    <w:rsid w:val="004E54BF"/>
    <w:rsid w:val="005054CA"/>
    <w:rsid w:val="0052119A"/>
    <w:rsid w:val="005239B0"/>
    <w:rsid w:val="00523A54"/>
    <w:rsid w:val="00525583"/>
    <w:rsid w:val="00542955"/>
    <w:rsid w:val="005516AE"/>
    <w:rsid w:val="0055559D"/>
    <w:rsid w:val="005555E6"/>
    <w:rsid w:val="00556B4E"/>
    <w:rsid w:val="00574C2A"/>
    <w:rsid w:val="005949A9"/>
    <w:rsid w:val="005957A9"/>
    <w:rsid w:val="005A3DDB"/>
    <w:rsid w:val="005A6955"/>
    <w:rsid w:val="005E08A8"/>
    <w:rsid w:val="00607211"/>
    <w:rsid w:val="0061127F"/>
    <w:rsid w:val="006256E2"/>
    <w:rsid w:val="0062689D"/>
    <w:rsid w:val="0064050B"/>
    <w:rsid w:val="00663243"/>
    <w:rsid w:val="00665B15"/>
    <w:rsid w:val="00672C1A"/>
    <w:rsid w:val="00683660"/>
    <w:rsid w:val="006843C8"/>
    <w:rsid w:val="006930F2"/>
    <w:rsid w:val="006B1ECB"/>
    <w:rsid w:val="006C6423"/>
    <w:rsid w:val="006C673C"/>
    <w:rsid w:val="006D564A"/>
    <w:rsid w:val="006E0043"/>
    <w:rsid w:val="006F02E1"/>
    <w:rsid w:val="007162E3"/>
    <w:rsid w:val="00727603"/>
    <w:rsid w:val="007279E6"/>
    <w:rsid w:val="007417C6"/>
    <w:rsid w:val="007561A8"/>
    <w:rsid w:val="0077342D"/>
    <w:rsid w:val="00790C8D"/>
    <w:rsid w:val="00797982"/>
    <w:rsid w:val="007A580A"/>
    <w:rsid w:val="007B01E9"/>
    <w:rsid w:val="007B07B7"/>
    <w:rsid w:val="007B7736"/>
    <w:rsid w:val="007C7B4A"/>
    <w:rsid w:val="007E6D68"/>
    <w:rsid w:val="007F2A50"/>
    <w:rsid w:val="007F7E66"/>
    <w:rsid w:val="0081573B"/>
    <w:rsid w:val="008248EA"/>
    <w:rsid w:val="008347D0"/>
    <w:rsid w:val="00834836"/>
    <w:rsid w:val="008441EF"/>
    <w:rsid w:val="0084463C"/>
    <w:rsid w:val="008628A3"/>
    <w:rsid w:val="00865195"/>
    <w:rsid w:val="008837D3"/>
    <w:rsid w:val="008927C0"/>
    <w:rsid w:val="008A5444"/>
    <w:rsid w:val="008A6801"/>
    <w:rsid w:val="008B09C6"/>
    <w:rsid w:val="008B74FF"/>
    <w:rsid w:val="008C1D86"/>
    <w:rsid w:val="008D3879"/>
    <w:rsid w:val="008E5020"/>
    <w:rsid w:val="008E6A2C"/>
    <w:rsid w:val="00916BBC"/>
    <w:rsid w:val="00931508"/>
    <w:rsid w:val="0094529B"/>
    <w:rsid w:val="0094796E"/>
    <w:rsid w:val="00950911"/>
    <w:rsid w:val="00953324"/>
    <w:rsid w:val="00955F19"/>
    <w:rsid w:val="0097252E"/>
    <w:rsid w:val="00977C69"/>
    <w:rsid w:val="00983B2E"/>
    <w:rsid w:val="009A721F"/>
    <w:rsid w:val="009B07AD"/>
    <w:rsid w:val="009C231F"/>
    <w:rsid w:val="009C36B2"/>
    <w:rsid w:val="009D5206"/>
    <w:rsid w:val="009D6230"/>
    <w:rsid w:val="009D7A2E"/>
    <w:rsid w:val="009F14AB"/>
    <w:rsid w:val="009F4745"/>
    <w:rsid w:val="009F5220"/>
    <w:rsid w:val="00A33B91"/>
    <w:rsid w:val="00A3534D"/>
    <w:rsid w:val="00A42857"/>
    <w:rsid w:val="00A6379A"/>
    <w:rsid w:val="00A73656"/>
    <w:rsid w:val="00AA52BD"/>
    <w:rsid w:val="00AB29DA"/>
    <w:rsid w:val="00AC4272"/>
    <w:rsid w:val="00AC4FE6"/>
    <w:rsid w:val="00AD40D7"/>
    <w:rsid w:val="00AF0954"/>
    <w:rsid w:val="00B01B9E"/>
    <w:rsid w:val="00B03424"/>
    <w:rsid w:val="00B54331"/>
    <w:rsid w:val="00B561B6"/>
    <w:rsid w:val="00B60378"/>
    <w:rsid w:val="00B60D06"/>
    <w:rsid w:val="00B62A38"/>
    <w:rsid w:val="00B62D04"/>
    <w:rsid w:val="00B7438A"/>
    <w:rsid w:val="00B86EF5"/>
    <w:rsid w:val="00BA5E9D"/>
    <w:rsid w:val="00BD267F"/>
    <w:rsid w:val="00BD794A"/>
    <w:rsid w:val="00BE27F8"/>
    <w:rsid w:val="00BE4AE8"/>
    <w:rsid w:val="00BF2A5A"/>
    <w:rsid w:val="00C06F37"/>
    <w:rsid w:val="00C14808"/>
    <w:rsid w:val="00C34256"/>
    <w:rsid w:val="00C42F5D"/>
    <w:rsid w:val="00C55079"/>
    <w:rsid w:val="00C62C9C"/>
    <w:rsid w:val="00C82F20"/>
    <w:rsid w:val="00C86411"/>
    <w:rsid w:val="00C90CD8"/>
    <w:rsid w:val="00C92D01"/>
    <w:rsid w:val="00C93A81"/>
    <w:rsid w:val="00C93CBF"/>
    <w:rsid w:val="00CA2741"/>
    <w:rsid w:val="00CA5211"/>
    <w:rsid w:val="00CB4C53"/>
    <w:rsid w:val="00CC7628"/>
    <w:rsid w:val="00CF1539"/>
    <w:rsid w:val="00D01C02"/>
    <w:rsid w:val="00D216E8"/>
    <w:rsid w:val="00D276FF"/>
    <w:rsid w:val="00D27F54"/>
    <w:rsid w:val="00D30526"/>
    <w:rsid w:val="00D41196"/>
    <w:rsid w:val="00D46D9A"/>
    <w:rsid w:val="00D62D49"/>
    <w:rsid w:val="00D710F8"/>
    <w:rsid w:val="00D72708"/>
    <w:rsid w:val="00D81EA7"/>
    <w:rsid w:val="00DA3EA3"/>
    <w:rsid w:val="00DA43EE"/>
    <w:rsid w:val="00DB7B3F"/>
    <w:rsid w:val="00DC0FD1"/>
    <w:rsid w:val="00DC1665"/>
    <w:rsid w:val="00E05B2E"/>
    <w:rsid w:val="00E14577"/>
    <w:rsid w:val="00E22BDB"/>
    <w:rsid w:val="00E271F8"/>
    <w:rsid w:val="00E27B1A"/>
    <w:rsid w:val="00E36C83"/>
    <w:rsid w:val="00E50420"/>
    <w:rsid w:val="00E504BA"/>
    <w:rsid w:val="00E6545A"/>
    <w:rsid w:val="00E711D1"/>
    <w:rsid w:val="00E71368"/>
    <w:rsid w:val="00E71B20"/>
    <w:rsid w:val="00E73876"/>
    <w:rsid w:val="00E77063"/>
    <w:rsid w:val="00E8757B"/>
    <w:rsid w:val="00EA5E9E"/>
    <w:rsid w:val="00EB74CB"/>
    <w:rsid w:val="00EC194B"/>
    <w:rsid w:val="00EE1277"/>
    <w:rsid w:val="00F0193E"/>
    <w:rsid w:val="00F050F7"/>
    <w:rsid w:val="00F052BA"/>
    <w:rsid w:val="00F13457"/>
    <w:rsid w:val="00F14739"/>
    <w:rsid w:val="00F5285F"/>
    <w:rsid w:val="00F545BB"/>
    <w:rsid w:val="00F77AAB"/>
    <w:rsid w:val="00F85CB7"/>
    <w:rsid w:val="00F91521"/>
    <w:rsid w:val="00F944C0"/>
    <w:rsid w:val="00F96851"/>
    <w:rsid w:val="00FB0D9C"/>
    <w:rsid w:val="00FE0B1F"/>
    <w:rsid w:val="00FF05FA"/>
    <w:rsid w:val="00FF4E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9D562A"/>
  <w15:chartTrackingRefBased/>
  <w15:docId w15:val="{19907781-C740-4E43-8A7D-54C2A7BC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2E1"/>
    <w:pPr>
      <w:spacing w:before="120" w:after="0" w:line="312" w:lineRule="auto"/>
    </w:pPr>
    <w:rPr>
      <w:rFonts w:eastAsiaTheme="minorEastAsia"/>
      <w:color w:val="000000" w:themeColor="text1"/>
      <w:kern w:val="0"/>
      <w:szCs w:val="22"/>
      <w14:ligatures w14:val="none"/>
    </w:rPr>
  </w:style>
  <w:style w:type="paragraph" w:styleId="Heading1">
    <w:name w:val="heading 1"/>
    <w:basedOn w:val="Normal"/>
    <w:next w:val="Normal"/>
    <w:link w:val="Heading1Char"/>
    <w:uiPriority w:val="9"/>
    <w:qFormat/>
    <w:rsid w:val="00D41196"/>
    <w:pPr>
      <w:keepNext/>
      <w:keepLines/>
      <w:framePr w:hSpace="180" w:wrap="around" w:vAnchor="page" w:hAnchor="margin" w:y="5119"/>
      <w:spacing w:before="360" w:after="80"/>
      <w:outlineLvl w:val="0"/>
    </w:pPr>
    <w:rPr>
      <w:rFonts w:asciiTheme="majorHAnsi" w:eastAsiaTheme="majorEastAsia" w:hAnsiTheme="majorHAnsi" w:cs="Times New Roman (Headings CS)"/>
      <w:b/>
      <w:caps/>
      <w:color w:val="FFFFFF" w:themeColor="background1"/>
      <w:sz w:val="52"/>
      <w:szCs w:val="40"/>
    </w:rPr>
  </w:style>
  <w:style w:type="paragraph" w:styleId="Heading2">
    <w:name w:val="heading 2"/>
    <w:basedOn w:val="Bold"/>
    <w:next w:val="Normal"/>
    <w:link w:val="Heading2Char"/>
    <w:uiPriority w:val="9"/>
    <w:unhideWhenUsed/>
    <w:qFormat/>
    <w:rsid w:val="00D41196"/>
    <w:pPr>
      <w:outlineLvl w:val="1"/>
    </w:pPr>
    <w:rPr>
      <w:noProof/>
      <w:szCs w:val="40"/>
    </w:rPr>
  </w:style>
  <w:style w:type="paragraph" w:styleId="Heading3">
    <w:name w:val="heading 3"/>
    <w:basedOn w:val="Normal"/>
    <w:next w:val="Normal"/>
    <w:link w:val="Heading3Char"/>
    <w:uiPriority w:val="9"/>
    <w:semiHidden/>
    <w:unhideWhenUsed/>
    <w:qFormat/>
    <w:rsid w:val="00E14577"/>
    <w:pPr>
      <w:keepNext/>
      <w:keepLines/>
      <w:spacing w:before="160" w:after="80"/>
      <w:outlineLvl w:val="2"/>
    </w:pPr>
    <w:rPr>
      <w:rFonts w:eastAsiaTheme="majorEastAsia" w:cstheme="majorBidi"/>
      <w:color w:val="039A6C" w:themeColor="accent1" w:themeShade="BF"/>
      <w:sz w:val="28"/>
      <w:szCs w:val="28"/>
    </w:rPr>
  </w:style>
  <w:style w:type="paragraph" w:styleId="Heading4">
    <w:name w:val="heading 4"/>
    <w:basedOn w:val="Normal"/>
    <w:next w:val="Normal"/>
    <w:link w:val="Heading4Char"/>
    <w:uiPriority w:val="9"/>
    <w:semiHidden/>
    <w:unhideWhenUsed/>
    <w:qFormat/>
    <w:rsid w:val="00E14577"/>
    <w:pPr>
      <w:keepNext/>
      <w:keepLines/>
      <w:spacing w:before="80" w:after="40"/>
      <w:outlineLvl w:val="3"/>
    </w:pPr>
    <w:rPr>
      <w:rFonts w:eastAsiaTheme="majorEastAsia" w:cstheme="majorBidi"/>
      <w:i/>
      <w:iCs/>
      <w:color w:val="039A6C" w:themeColor="accent1" w:themeShade="BF"/>
    </w:rPr>
  </w:style>
  <w:style w:type="paragraph" w:styleId="Heading5">
    <w:name w:val="heading 5"/>
    <w:basedOn w:val="Normal"/>
    <w:next w:val="Normal"/>
    <w:link w:val="Heading5Char"/>
    <w:uiPriority w:val="9"/>
    <w:semiHidden/>
    <w:unhideWhenUsed/>
    <w:qFormat/>
    <w:rsid w:val="00E14577"/>
    <w:pPr>
      <w:keepNext/>
      <w:keepLines/>
      <w:spacing w:before="80" w:after="40"/>
      <w:outlineLvl w:val="4"/>
    </w:pPr>
    <w:rPr>
      <w:rFonts w:eastAsiaTheme="majorEastAsia" w:cstheme="majorBidi"/>
      <w:color w:val="039A6C" w:themeColor="accent1" w:themeShade="BF"/>
    </w:rPr>
  </w:style>
  <w:style w:type="paragraph" w:styleId="Heading6">
    <w:name w:val="heading 6"/>
    <w:basedOn w:val="Normal"/>
    <w:next w:val="Normal"/>
    <w:link w:val="Heading6Char"/>
    <w:uiPriority w:val="9"/>
    <w:semiHidden/>
    <w:unhideWhenUsed/>
    <w:qFormat/>
    <w:rsid w:val="00E145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5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5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5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196"/>
    <w:rPr>
      <w:rFonts w:asciiTheme="majorHAnsi" w:eastAsiaTheme="majorEastAsia" w:hAnsiTheme="majorHAnsi" w:cs="Times New Roman (Headings CS)"/>
      <w:b/>
      <w:caps/>
      <w:color w:val="FFFFFF" w:themeColor="background1"/>
      <w:kern w:val="0"/>
      <w:sz w:val="52"/>
      <w:szCs w:val="40"/>
      <w14:ligatures w14:val="none"/>
    </w:rPr>
  </w:style>
  <w:style w:type="character" w:customStyle="1" w:styleId="Heading2Char">
    <w:name w:val="Heading 2 Char"/>
    <w:basedOn w:val="DefaultParagraphFont"/>
    <w:link w:val="Heading2"/>
    <w:uiPriority w:val="9"/>
    <w:rsid w:val="00D41196"/>
    <w:rPr>
      <w:rFonts w:asciiTheme="majorHAnsi" w:eastAsiaTheme="minorEastAsia" w:hAnsiTheme="majorHAnsi"/>
      <w:b/>
      <w:bCs/>
      <w:noProof/>
      <w:color w:val="000000" w:themeColor="text1"/>
      <w:kern w:val="0"/>
      <w:szCs w:val="40"/>
      <w14:ligatures w14:val="none"/>
    </w:rPr>
  </w:style>
  <w:style w:type="character" w:customStyle="1" w:styleId="Heading3Char">
    <w:name w:val="Heading 3 Char"/>
    <w:basedOn w:val="DefaultParagraphFont"/>
    <w:link w:val="Heading3"/>
    <w:uiPriority w:val="9"/>
    <w:semiHidden/>
    <w:rsid w:val="00E14577"/>
    <w:rPr>
      <w:rFonts w:eastAsiaTheme="majorEastAsia" w:cstheme="majorBidi"/>
      <w:color w:val="039A6C" w:themeColor="accent1" w:themeShade="BF"/>
      <w:sz w:val="28"/>
      <w:szCs w:val="28"/>
    </w:rPr>
  </w:style>
  <w:style w:type="character" w:customStyle="1" w:styleId="Heading4Char">
    <w:name w:val="Heading 4 Char"/>
    <w:basedOn w:val="DefaultParagraphFont"/>
    <w:link w:val="Heading4"/>
    <w:uiPriority w:val="9"/>
    <w:semiHidden/>
    <w:rsid w:val="00E14577"/>
    <w:rPr>
      <w:rFonts w:eastAsiaTheme="majorEastAsia" w:cstheme="majorBidi"/>
      <w:i/>
      <w:iCs/>
      <w:color w:val="039A6C" w:themeColor="accent1" w:themeShade="BF"/>
    </w:rPr>
  </w:style>
  <w:style w:type="character" w:customStyle="1" w:styleId="Heading5Char">
    <w:name w:val="Heading 5 Char"/>
    <w:basedOn w:val="DefaultParagraphFont"/>
    <w:link w:val="Heading5"/>
    <w:uiPriority w:val="9"/>
    <w:semiHidden/>
    <w:rsid w:val="00E14577"/>
    <w:rPr>
      <w:rFonts w:eastAsiaTheme="majorEastAsia" w:cstheme="majorBidi"/>
      <w:color w:val="039A6C" w:themeColor="accent1" w:themeShade="BF"/>
    </w:rPr>
  </w:style>
  <w:style w:type="character" w:customStyle="1" w:styleId="Heading6Char">
    <w:name w:val="Heading 6 Char"/>
    <w:basedOn w:val="DefaultParagraphFont"/>
    <w:link w:val="Heading6"/>
    <w:uiPriority w:val="9"/>
    <w:semiHidden/>
    <w:rsid w:val="00E145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5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5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577"/>
    <w:rPr>
      <w:rFonts w:eastAsiaTheme="majorEastAsia" w:cstheme="majorBidi"/>
      <w:color w:val="272727" w:themeColor="text1" w:themeTint="D8"/>
    </w:rPr>
  </w:style>
  <w:style w:type="paragraph" w:styleId="Title">
    <w:name w:val="Title"/>
    <w:basedOn w:val="Normal"/>
    <w:next w:val="Normal"/>
    <w:link w:val="TitleChar"/>
    <w:uiPriority w:val="1"/>
    <w:qFormat/>
    <w:rsid w:val="00D41196"/>
    <w:pPr>
      <w:spacing w:before="0" w:line="216" w:lineRule="auto"/>
      <w:contextualSpacing/>
    </w:pPr>
    <w:rPr>
      <w:rFonts w:eastAsiaTheme="majorEastAsia" w:cs="Times New Roman (Headings CS)"/>
      <w:b/>
      <w:caps/>
      <w:color w:val="auto"/>
      <w:spacing w:val="-10"/>
      <w:kern w:val="28"/>
      <w:sz w:val="96"/>
      <w:szCs w:val="56"/>
      <w14:ligatures w14:val="standardContextual"/>
    </w:rPr>
  </w:style>
  <w:style w:type="character" w:customStyle="1" w:styleId="TitleChar">
    <w:name w:val="Title Char"/>
    <w:basedOn w:val="DefaultParagraphFont"/>
    <w:link w:val="Title"/>
    <w:uiPriority w:val="1"/>
    <w:rsid w:val="00D41196"/>
    <w:rPr>
      <w:rFonts w:eastAsiaTheme="majorEastAsia" w:cs="Times New Roman (Headings CS)"/>
      <w:b/>
      <w:caps/>
      <w:spacing w:val="-10"/>
      <w:kern w:val="28"/>
      <w:sz w:val="96"/>
      <w:szCs w:val="56"/>
    </w:rPr>
  </w:style>
  <w:style w:type="paragraph" w:styleId="Subtitle">
    <w:name w:val="Subtitle"/>
    <w:basedOn w:val="Normal"/>
    <w:next w:val="Normal"/>
    <w:link w:val="SubtitleChar"/>
    <w:uiPriority w:val="11"/>
    <w:qFormat/>
    <w:rsid w:val="00E145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5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577"/>
    <w:pPr>
      <w:spacing w:before="160"/>
      <w:jc w:val="center"/>
    </w:pPr>
    <w:rPr>
      <w:i/>
      <w:iCs/>
      <w:color w:val="404040" w:themeColor="text1" w:themeTint="BF"/>
    </w:rPr>
  </w:style>
  <w:style w:type="character" w:customStyle="1" w:styleId="QuoteChar">
    <w:name w:val="Quote Char"/>
    <w:basedOn w:val="DefaultParagraphFont"/>
    <w:link w:val="Quote"/>
    <w:uiPriority w:val="29"/>
    <w:rsid w:val="00E14577"/>
    <w:rPr>
      <w:i/>
      <w:iCs/>
      <w:color w:val="404040" w:themeColor="text1" w:themeTint="BF"/>
    </w:rPr>
  </w:style>
  <w:style w:type="paragraph" w:styleId="ListParagraph">
    <w:name w:val="List Paragraph"/>
    <w:basedOn w:val="Normal"/>
    <w:uiPriority w:val="34"/>
    <w:qFormat/>
    <w:rsid w:val="00E14577"/>
    <w:pPr>
      <w:ind w:left="720"/>
      <w:contextualSpacing/>
    </w:pPr>
  </w:style>
  <w:style w:type="character" w:styleId="IntenseEmphasis">
    <w:name w:val="Intense Emphasis"/>
    <w:basedOn w:val="DefaultParagraphFont"/>
    <w:uiPriority w:val="21"/>
    <w:qFormat/>
    <w:rsid w:val="00E14577"/>
    <w:rPr>
      <w:i/>
      <w:iCs/>
      <w:color w:val="039A6C" w:themeColor="accent1" w:themeShade="BF"/>
    </w:rPr>
  </w:style>
  <w:style w:type="paragraph" w:styleId="IntenseQuote">
    <w:name w:val="Intense Quote"/>
    <w:basedOn w:val="Normal"/>
    <w:next w:val="Normal"/>
    <w:link w:val="IntenseQuoteChar"/>
    <w:uiPriority w:val="30"/>
    <w:qFormat/>
    <w:rsid w:val="00E14577"/>
    <w:pPr>
      <w:pBdr>
        <w:top w:val="single" w:sz="4" w:space="10" w:color="039A6C" w:themeColor="accent1" w:themeShade="BF"/>
        <w:bottom w:val="single" w:sz="4" w:space="10" w:color="039A6C" w:themeColor="accent1" w:themeShade="BF"/>
      </w:pBdr>
      <w:spacing w:before="360" w:after="360"/>
      <w:ind w:left="864" w:right="864"/>
      <w:jc w:val="center"/>
    </w:pPr>
    <w:rPr>
      <w:i/>
      <w:iCs/>
      <w:color w:val="039A6C" w:themeColor="accent1" w:themeShade="BF"/>
    </w:rPr>
  </w:style>
  <w:style w:type="character" w:customStyle="1" w:styleId="IntenseQuoteChar">
    <w:name w:val="Intense Quote Char"/>
    <w:basedOn w:val="DefaultParagraphFont"/>
    <w:link w:val="IntenseQuote"/>
    <w:uiPriority w:val="30"/>
    <w:rsid w:val="00E14577"/>
    <w:rPr>
      <w:i/>
      <w:iCs/>
      <w:color w:val="039A6C" w:themeColor="accent1" w:themeShade="BF"/>
    </w:rPr>
  </w:style>
  <w:style w:type="character" w:styleId="IntenseReference">
    <w:name w:val="Intense Reference"/>
    <w:basedOn w:val="DefaultParagraphFont"/>
    <w:uiPriority w:val="32"/>
    <w:qFormat/>
    <w:rsid w:val="00E14577"/>
    <w:rPr>
      <w:b/>
      <w:bCs/>
      <w:smallCaps/>
      <w:color w:val="039A6C" w:themeColor="accent1" w:themeShade="BF"/>
      <w:spacing w:val="5"/>
    </w:rPr>
  </w:style>
  <w:style w:type="paragraph" w:customStyle="1" w:styleId="Info">
    <w:name w:val="Info"/>
    <w:basedOn w:val="Normal"/>
    <w:qFormat/>
    <w:rsid w:val="00CF1539"/>
    <w:pPr>
      <w:framePr w:hSpace="180" w:wrap="around" w:vAnchor="page" w:hAnchor="margin" w:y="5119"/>
      <w:spacing w:before="0"/>
    </w:pPr>
    <w:rPr>
      <w:szCs w:val="24"/>
    </w:rPr>
  </w:style>
  <w:style w:type="paragraph" w:customStyle="1" w:styleId="Bold">
    <w:name w:val="Bold"/>
    <w:basedOn w:val="Normal"/>
    <w:qFormat/>
    <w:rsid w:val="00D41196"/>
    <w:rPr>
      <w:rFonts w:asciiTheme="majorHAnsi" w:hAnsiTheme="majorHAnsi"/>
      <w:b/>
      <w:bCs/>
    </w:rPr>
  </w:style>
  <w:style w:type="table" w:styleId="TableGrid">
    <w:name w:val="Table Grid"/>
    <w:basedOn w:val="TableNormal"/>
    <w:uiPriority w:val="39"/>
    <w:rsid w:val="00E14577"/>
    <w:pPr>
      <w:spacing w:after="0" w:line="240" w:lineRule="auto"/>
    </w:pPr>
    <w:rPr>
      <w:kern w:val="0"/>
      <w:sz w:val="18"/>
      <w:szCs w:val="18"/>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14577"/>
    <w:rPr>
      <w:color w:val="0000FF"/>
      <w:u w:val="single"/>
    </w:rPr>
  </w:style>
  <w:style w:type="paragraph" w:styleId="Header">
    <w:name w:val="header"/>
    <w:basedOn w:val="Normal"/>
    <w:link w:val="HeaderChar"/>
    <w:uiPriority w:val="99"/>
    <w:unhideWhenUsed/>
    <w:rsid w:val="00E14577"/>
    <w:pPr>
      <w:tabs>
        <w:tab w:val="center" w:pos="4680"/>
        <w:tab w:val="right" w:pos="9360"/>
      </w:tabs>
      <w:spacing w:before="0" w:line="240" w:lineRule="auto"/>
    </w:pPr>
  </w:style>
  <w:style w:type="character" w:customStyle="1" w:styleId="HeaderChar">
    <w:name w:val="Header Char"/>
    <w:basedOn w:val="DefaultParagraphFont"/>
    <w:link w:val="Header"/>
    <w:uiPriority w:val="99"/>
    <w:rsid w:val="00E14577"/>
    <w:rPr>
      <w:rFonts w:eastAsiaTheme="minorEastAsia"/>
      <w:color w:val="000000" w:themeColor="text1"/>
      <w:kern w:val="0"/>
      <w:sz w:val="22"/>
      <w:szCs w:val="22"/>
      <w14:ligatures w14:val="none"/>
    </w:rPr>
  </w:style>
  <w:style w:type="paragraph" w:styleId="Footer">
    <w:name w:val="footer"/>
    <w:basedOn w:val="Normal"/>
    <w:link w:val="FooterChar"/>
    <w:uiPriority w:val="99"/>
    <w:unhideWhenUsed/>
    <w:rsid w:val="00B561B6"/>
    <w:pPr>
      <w:tabs>
        <w:tab w:val="center" w:pos="4680"/>
        <w:tab w:val="right" w:pos="9360"/>
      </w:tabs>
      <w:spacing w:before="0" w:line="240" w:lineRule="auto"/>
    </w:pPr>
    <w:rPr>
      <w:rFonts w:cs="Times New Roman (Body CS)"/>
      <w:sz w:val="20"/>
    </w:rPr>
  </w:style>
  <w:style w:type="character" w:customStyle="1" w:styleId="FooterChar">
    <w:name w:val="Footer Char"/>
    <w:basedOn w:val="DefaultParagraphFont"/>
    <w:link w:val="Footer"/>
    <w:uiPriority w:val="99"/>
    <w:rsid w:val="00B561B6"/>
    <w:rPr>
      <w:rFonts w:ascii="Microsoft Sans Serif" w:eastAsiaTheme="minorEastAsia" w:hAnsi="Microsoft Sans Serif" w:cs="Times New Roman (Body CS)"/>
      <w:color w:val="000000" w:themeColor="text1"/>
      <w:kern w:val="0"/>
      <w:sz w:val="20"/>
      <w:szCs w:val="22"/>
      <w14:ligatures w14:val="none"/>
    </w:rPr>
  </w:style>
  <w:style w:type="character" w:styleId="PageNumber">
    <w:name w:val="page number"/>
    <w:basedOn w:val="DefaultParagraphFont"/>
    <w:uiPriority w:val="99"/>
    <w:semiHidden/>
    <w:unhideWhenUsed/>
    <w:rsid w:val="00E14577"/>
  </w:style>
  <w:style w:type="paragraph" w:styleId="ListBullet">
    <w:name w:val="List Bullet"/>
    <w:basedOn w:val="Normal"/>
    <w:uiPriority w:val="99"/>
    <w:rsid w:val="00D41196"/>
    <w:pPr>
      <w:numPr>
        <w:numId w:val="2"/>
      </w:numPr>
      <w:ind w:left="720"/>
    </w:pPr>
  </w:style>
  <w:style w:type="character" w:styleId="Emphasis">
    <w:name w:val="Emphasis"/>
    <w:basedOn w:val="DefaultParagraphFont"/>
    <w:uiPriority w:val="20"/>
    <w:qFormat/>
    <w:rsid w:val="00D41196"/>
    <w:rPr>
      <w:b/>
      <w:i w:val="0"/>
      <w:iCs/>
    </w:rPr>
  </w:style>
  <w:style w:type="paragraph" w:styleId="NoSpacing">
    <w:name w:val="No Spacing"/>
    <w:link w:val="NoSpacingChar"/>
    <w:uiPriority w:val="1"/>
    <w:qFormat/>
    <w:rsid w:val="0072760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727603"/>
    <w:rPr>
      <w:rFonts w:eastAsiaTheme="minorEastAsia"/>
      <w:kern w:val="0"/>
      <w:sz w:val="22"/>
      <w:szCs w:val="22"/>
      <w14:ligatures w14:val="none"/>
    </w:rPr>
  </w:style>
  <w:style w:type="paragraph" w:styleId="NormalWeb">
    <w:name w:val="Normal (Web)"/>
    <w:basedOn w:val="Normal"/>
    <w:uiPriority w:val="99"/>
    <w:semiHidden/>
    <w:unhideWhenUsed/>
    <w:rsid w:val="00E77063"/>
    <w:rPr>
      <w:rFonts w:ascii="Times New Roman" w:hAnsi="Times New Roman" w:cs="Times New Roman"/>
      <w:szCs w:val="24"/>
    </w:rPr>
  </w:style>
  <w:style w:type="paragraph" w:styleId="Caption">
    <w:name w:val="caption"/>
    <w:basedOn w:val="Normal"/>
    <w:next w:val="Normal"/>
    <w:uiPriority w:val="35"/>
    <w:unhideWhenUsed/>
    <w:qFormat/>
    <w:rsid w:val="00345668"/>
    <w:pPr>
      <w:spacing w:before="0" w:after="200" w:line="240" w:lineRule="auto"/>
    </w:pPr>
    <w:rPr>
      <w:i/>
      <w:iCs/>
      <w:color w:val="0E2841" w:themeColor="text2"/>
      <w:sz w:val="18"/>
      <w:szCs w:val="18"/>
    </w:rPr>
  </w:style>
  <w:style w:type="table" w:styleId="GridTable5Dark-Accent5">
    <w:name w:val="Grid Table 5 Dark Accent 5"/>
    <w:basedOn w:val="TableNormal"/>
    <w:uiPriority w:val="50"/>
    <w:rsid w:val="00C92D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DBFB"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14EEB"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14EEB"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14EEB"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14EEB" w:themeFill="accent5"/>
      </w:tcPr>
    </w:tblStylePr>
    <w:tblStylePr w:type="band1Vert">
      <w:tblPr/>
      <w:tcPr>
        <w:shd w:val="clear" w:color="auto" w:fill="C5B8F7" w:themeFill="accent5" w:themeFillTint="66"/>
      </w:tcPr>
    </w:tblStylePr>
    <w:tblStylePr w:type="band1Horz">
      <w:tblPr/>
      <w:tcPr>
        <w:shd w:val="clear" w:color="auto" w:fill="C5B8F7" w:themeFill="accent5" w:themeFillTint="66"/>
      </w:tcPr>
    </w:tblStylePr>
  </w:style>
  <w:style w:type="table" w:styleId="GridTable5Dark-Accent6">
    <w:name w:val="Grid Table 5 Dark Accent 6"/>
    <w:basedOn w:val="TableNormal"/>
    <w:uiPriority w:val="50"/>
    <w:rsid w:val="00C92D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D7D5"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3A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3A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3A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3A2E" w:themeFill="accent6"/>
      </w:tcPr>
    </w:tblStylePr>
    <w:tblStylePr w:type="band1Vert">
      <w:tblPr/>
      <w:tcPr>
        <w:shd w:val="clear" w:color="auto" w:fill="FFAFAB" w:themeFill="accent6" w:themeFillTint="66"/>
      </w:tcPr>
    </w:tblStylePr>
    <w:tblStylePr w:type="band1Horz">
      <w:tblPr/>
      <w:tcPr>
        <w:shd w:val="clear" w:color="auto" w:fill="FFAFAB" w:themeFill="accent6" w:themeFillTint="66"/>
      </w:tcPr>
    </w:tblStylePr>
  </w:style>
  <w:style w:type="table" w:styleId="GridTable5Dark-Accent1">
    <w:name w:val="Grid Table 5 Dark Accent 1"/>
    <w:basedOn w:val="TableNormal"/>
    <w:uiPriority w:val="50"/>
    <w:rsid w:val="00C92D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4FDEC"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5CF9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5CF9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5CF9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5CF92" w:themeFill="accent1"/>
      </w:tcPr>
    </w:tblStylePr>
    <w:tblStylePr w:type="band1Vert">
      <w:tblPr/>
      <w:tcPr>
        <w:shd w:val="clear" w:color="auto" w:fill="8AFCD9" w:themeFill="accent1" w:themeFillTint="66"/>
      </w:tcPr>
    </w:tblStylePr>
    <w:tblStylePr w:type="band1Horz">
      <w:tblPr/>
      <w:tcPr>
        <w:shd w:val="clear" w:color="auto" w:fill="8AFCD9" w:themeFill="accent1" w:themeFillTint="66"/>
      </w:tcPr>
    </w:tblStylePr>
  </w:style>
  <w:style w:type="table" w:styleId="GridTable5Dark-Accent3">
    <w:name w:val="Grid Table 5 Dark Accent 3"/>
    <w:basedOn w:val="TableNormal"/>
    <w:uiPriority w:val="50"/>
    <w:rsid w:val="00C92D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ACB"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DE7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DE7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DE7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DE700" w:themeFill="accent3"/>
      </w:tcPr>
    </w:tblStylePr>
    <w:tblStylePr w:type="band1Vert">
      <w:tblPr/>
      <w:tcPr>
        <w:shd w:val="clear" w:color="auto" w:fill="FFF598" w:themeFill="accent3" w:themeFillTint="66"/>
      </w:tcPr>
    </w:tblStylePr>
    <w:tblStylePr w:type="band1Horz">
      <w:tblPr/>
      <w:tcPr>
        <w:shd w:val="clear" w:color="auto" w:fill="FFF598" w:themeFill="accent3" w:themeFillTint="66"/>
      </w:tcPr>
    </w:tblStylePr>
  </w:style>
  <w:style w:type="table" w:styleId="ListTable3-Accent3">
    <w:name w:val="List Table 3 Accent 3"/>
    <w:basedOn w:val="TableNormal"/>
    <w:uiPriority w:val="48"/>
    <w:rsid w:val="00C92D01"/>
    <w:pPr>
      <w:spacing w:after="0" w:line="240" w:lineRule="auto"/>
    </w:pPr>
    <w:tblPr>
      <w:tblStyleRowBandSize w:val="1"/>
      <w:tblStyleColBandSize w:val="1"/>
      <w:tblBorders>
        <w:top w:val="single" w:sz="4" w:space="0" w:color="FDE700" w:themeColor="accent3"/>
        <w:left w:val="single" w:sz="4" w:space="0" w:color="FDE700" w:themeColor="accent3"/>
        <w:bottom w:val="single" w:sz="4" w:space="0" w:color="FDE700" w:themeColor="accent3"/>
        <w:right w:val="single" w:sz="4" w:space="0" w:color="FDE700" w:themeColor="accent3"/>
      </w:tblBorders>
    </w:tblPr>
    <w:tblStylePr w:type="firstRow">
      <w:rPr>
        <w:b/>
        <w:bCs/>
        <w:color w:val="FFFFFF" w:themeColor="background1"/>
      </w:rPr>
      <w:tblPr/>
      <w:tcPr>
        <w:shd w:val="clear" w:color="auto" w:fill="FDE700" w:themeFill="accent3"/>
      </w:tcPr>
    </w:tblStylePr>
    <w:tblStylePr w:type="lastRow">
      <w:rPr>
        <w:b/>
        <w:bCs/>
      </w:rPr>
      <w:tblPr/>
      <w:tcPr>
        <w:tcBorders>
          <w:top w:val="double" w:sz="4" w:space="0" w:color="FDE7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DE700" w:themeColor="accent3"/>
          <w:right w:val="single" w:sz="4" w:space="0" w:color="FDE700" w:themeColor="accent3"/>
        </w:tcBorders>
      </w:tcPr>
    </w:tblStylePr>
    <w:tblStylePr w:type="band1Horz">
      <w:tblPr/>
      <w:tcPr>
        <w:tcBorders>
          <w:top w:val="single" w:sz="4" w:space="0" w:color="FDE700" w:themeColor="accent3"/>
          <w:bottom w:val="single" w:sz="4" w:space="0" w:color="FDE7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DE700" w:themeColor="accent3"/>
          <w:left w:val="nil"/>
        </w:tcBorders>
      </w:tcPr>
    </w:tblStylePr>
    <w:tblStylePr w:type="swCell">
      <w:tblPr/>
      <w:tcPr>
        <w:tcBorders>
          <w:top w:val="double" w:sz="4" w:space="0" w:color="FDE700" w:themeColor="accent3"/>
          <w:right w:val="nil"/>
        </w:tcBorders>
      </w:tcPr>
    </w:tblStylePr>
  </w:style>
  <w:style w:type="paragraph" w:styleId="Bibliography">
    <w:name w:val="Bibliography"/>
    <w:basedOn w:val="Normal"/>
    <w:next w:val="Normal"/>
    <w:uiPriority w:val="37"/>
    <w:unhideWhenUsed/>
    <w:rsid w:val="009D7A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82902">
      <w:bodyDiv w:val="1"/>
      <w:marLeft w:val="0"/>
      <w:marRight w:val="0"/>
      <w:marTop w:val="0"/>
      <w:marBottom w:val="0"/>
      <w:divBdr>
        <w:top w:val="none" w:sz="0" w:space="0" w:color="auto"/>
        <w:left w:val="none" w:sz="0" w:space="0" w:color="auto"/>
        <w:bottom w:val="none" w:sz="0" w:space="0" w:color="auto"/>
        <w:right w:val="none" w:sz="0" w:space="0" w:color="auto"/>
      </w:divBdr>
    </w:div>
    <w:div w:id="21135359">
      <w:bodyDiv w:val="1"/>
      <w:marLeft w:val="0"/>
      <w:marRight w:val="0"/>
      <w:marTop w:val="0"/>
      <w:marBottom w:val="0"/>
      <w:divBdr>
        <w:top w:val="none" w:sz="0" w:space="0" w:color="auto"/>
        <w:left w:val="none" w:sz="0" w:space="0" w:color="auto"/>
        <w:bottom w:val="none" w:sz="0" w:space="0" w:color="auto"/>
        <w:right w:val="none" w:sz="0" w:space="0" w:color="auto"/>
      </w:divBdr>
    </w:div>
    <w:div w:id="34736759">
      <w:bodyDiv w:val="1"/>
      <w:marLeft w:val="0"/>
      <w:marRight w:val="0"/>
      <w:marTop w:val="0"/>
      <w:marBottom w:val="0"/>
      <w:divBdr>
        <w:top w:val="none" w:sz="0" w:space="0" w:color="auto"/>
        <w:left w:val="none" w:sz="0" w:space="0" w:color="auto"/>
        <w:bottom w:val="none" w:sz="0" w:space="0" w:color="auto"/>
        <w:right w:val="none" w:sz="0" w:space="0" w:color="auto"/>
      </w:divBdr>
    </w:div>
    <w:div w:id="67778095">
      <w:bodyDiv w:val="1"/>
      <w:marLeft w:val="0"/>
      <w:marRight w:val="0"/>
      <w:marTop w:val="0"/>
      <w:marBottom w:val="0"/>
      <w:divBdr>
        <w:top w:val="none" w:sz="0" w:space="0" w:color="auto"/>
        <w:left w:val="none" w:sz="0" w:space="0" w:color="auto"/>
        <w:bottom w:val="none" w:sz="0" w:space="0" w:color="auto"/>
        <w:right w:val="none" w:sz="0" w:space="0" w:color="auto"/>
      </w:divBdr>
    </w:div>
    <w:div w:id="104815801">
      <w:bodyDiv w:val="1"/>
      <w:marLeft w:val="0"/>
      <w:marRight w:val="0"/>
      <w:marTop w:val="0"/>
      <w:marBottom w:val="0"/>
      <w:divBdr>
        <w:top w:val="none" w:sz="0" w:space="0" w:color="auto"/>
        <w:left w:val="none" w:sz="0" w:space="0" w:color="auto"/>
        <w:bottom w:val="none" w:sz="0" w:space="0" w:color="auto"/>
        <w:right w:val="none" w:sz="0" w:space="0" w:color="auto"/>
      </w:divBdr>
    </w:div>
    <w:div w:id="156500321">
      <w:bodyDiv w:val="1"/>
      <w:marLeft w:val="0"/>
      <w:marRight w:val="0"/>
      <w:marTop w:val="0"/>
      <w:marBottom w:val="0"/>
      <w:divBdr>
        <w:top w:val="none" w:sz="0" w:space="0" w:color="auto"/>
        <w:left w:val="none" w:sz="0" w:space="0" w:color="auto"/>
        <w:bottom w:val="none" w:sz="0" w:space="0" w:color="auto"/>
        <w:right w:val="none" w:sz="0" w:space="0" w:color="auto"/>
      </w:divBdr>
    </w:div>
    <w:div w:id="158732753">
      <w:bodyDiv w:val="1"/>
      <w:marLeft w:val="0"/>
      <w:marRight w:val="0"/>
      <w:marTop w:val="0"/>
      <w:marBottom w:val="0"/>
      <w:divBdr>
        <w:top w:val="none" w:sz="0" w:space="0" w:color="auto"/>
        <w:left w:val="none" w:sz="0" w:space="0" w:color="auto"/>
        <w:bottom w:val="none" w:sz="0" w:space="0" w:color="auto"/>
        <w:right w:val="none" w:sz="0" w:space="0" w:color="auto"/>
      </w:divBdr>
    </w:div>
    <w:div w:id="214586175">
      <w:bodyDiv w:val="1"/>
      <w:marLeft w:val="0"/>
      <w:marRight w:val="0"/>
      <w:marTop w:val="0"/>
      <w:marBottom w:val="0"/>
      <w:divBdr>
        <w:top w:val="none" w:sz="0" w:space="0" w:color="auto"/>
        <w:left w:val="none" w:sz="0" w:space="0" w:color="auto"/>
        <w:bottom w:val="none" w:sz="0" w:space="0" w:color="auto"/>
        <w:right w:val="none" w:sz="0" w:space="0" w:color="auto"/>
      </w:divBdr>
    </w:div>
    <w:div w:id="220599526">
      <w:bodyDiv w:val="1"/>
      <w:marLeft w:val="0"/>
      <w:marRight w:val="0"/>
      <w:marTop w:val="0"/>
      <w:marBottom w:val="0"/>
      <w:divBdr>
        <w:top w:val="none" w:sz="0" w:space="0" w:color="auto"/>
        <w:left w:val="none" w:sz="0" w:space="0" w:color="auto"/>
        <w:bottom w:val="none" w:sz="0" w:space="0" w:color="auto"/>
        <w:right w:val="none" w:sz="0" w:space="0" w:color="auto"/>
      </w:divBdr>
    </w:div>
    <w:div w:id="258102241">
      <w:bodyDiv w:val="1"/>
      <w:marLeft w:val="0"/>
      <w:marRight w:val="0"/>
      <w:marTop w:val="0"/>
      <w:marBottom w:val="0"/>
      <w:divBdr>
        <w:top w:val="none" w:sz="0" w:space="0" w:color="auto"/>
        <w:left w:val="none" w:sz="0" w:space="0" w:color="auto"/>
        <w:bottom w:val="none" w:sz="0" w:space="0" w:color="auto"/>
        <w:right w:val="none" w:sz="0" w:space="0" w:color="auto"/>
      </w:divBdr>
    </w:div>
    <w:div w:id="279143617">
      <w:bodyDiv w:val="1"/>
      <w:marLeft w:val="0"/>
      <w:marRight w:val="0"/>
      <w:marTop w:val="0"/>
      <w:marBottom w:val="0"/>
      <w:divBdr>
        <w:top w:val="none" w:sz="0" w:space="0" w:color="auto"/>
        <w:left w:val="none" w:sz="0" w:space="0" w:color="auto"/>
        <w:bottom w:val="none" w:sz="0" w:space="0" w:color="auto"/>
        <w:right w:val="none" w:sz="0" w:space="0" w:color="auto"/>
      </w:divBdr>
    </w:div>
    <w:div w:id="313146573">
      <w:bodyDiv w:val="1"/>
      <w:marLeft w:val="0"/>
      <w:marRight w:val="0"/>
      <w:marTop w:val="0"/>
      <w:marBottom w:val="0"/>
      <w:divBdr>
        <w:top w:val="none" w:sz="0" w:space="0" w:color="auto"/>
        <w:left w:val="none" w:sz="0" w:space="0" w:color="auto"/>
        <w:bottom w:val="none" w:sz="0" w:space="0" w:color="auto"/>
        <w:right w:val="none" w:sz="0" w:space="0" w:color="auto"/>
      </w:divBdr>
    </w:div>
    <w:div w:id="334571364">
      <w:bodyDiv w:val="1"/>
      <w:marLeft w:val="0"/>
      <w:marRight w:val="0"/>
      <w:marTop w:val="0"/>
      <w:marBottom w:val="0"/>
      <w:divBdr>
        <w:top w:val="none" w:sz="0" w:space="0" w:color="auto"/>
        <w:left w:val="none" w:sz="0" w:space="0" w:color="auto"/>
        <w:bottom w:val="none" w:sz="0" w:space="0" w:color="auto"/>
        <w:right w:val="none" w:sz="0" w:space="0" w:color="auto"/>
      </w:divBdr>
    </w:div>
    <w:div w:id="346449173">
      <w:bodyDiv w:val="1"/>
      <w:marLeft w:val="0"/>
      <w:marRight w:val="0"/>
      <w:marTop w:val="0"/>
      <w:marBottom w:val="0"/>
      <w:divBdr>
        <w:top w:val="none" w:sz="0" w:space="0" w:color="auto"/>
        <w:left w:val="none" w:sz="0" w:space="0" w:color="auto"/>
        <w:bottom w:val="none" w:sz="0" w:space="0" w:color="auto"/>
        <w:right w:val="none" w:sz="0" w:space="0" w:color="auto"/>
      </w:divBdr>
    </w:div>
    <w:div w:id="383409995">
      <w:bodyDiv w:val="1"/>
      <w:marLeft w:val="0"/>
      <w:marRight w:val="0"/>
      <w:marTop w:val="0"/>
      <w:marBottom w:val="0"/>
      <w:divBdr>
        <w:top w:val="none" w:sz="0" w:space="0" w:color="auto"/>
        <w:left w:val="none" w:sz="0" w:space="0" w:color="auto"/>
        <w:bottom w:val="none" w:sz="0" w:space="0" w:color="auto"/>
        <w:right w:val="none" w:sz="0" w:space="0" w:color="auto"/>
      </w:divBdr>
    </w:div>
    <w:div w:id="421686820">
      <w:bodyDiv w:val="1"/>
      <w:marLeft w:val="0"/>
      <w:marRight w:val="0"/>
      <w:marTop w:val="0"/>
      <w:marBottom w:val="0"/>
      <w:divBdr>
        <w:top w:val="none" w:sz="0" w:space="0" w:color="auto"/>
        <w:left w:val="none" w:sz="0" w:space="0" w:color="auto"/>
        <w:bottom w:val="none" w:sz="0" w:space="0" w:color="auto"/>
        <w:right w:val="none" w:sz="0" w:space="0" w:color="auto"/>
      </w:divBdr>
    </w:div>
    <w:div w:id="569077141">
      <w:bodyDiv w:val="1"/>
      <w:marLeft w:val="0"/>
      <w:marRight w:val="0"/>
      <w:marTop w:val="0"/>
      <w:marBottom w:val="0"/>
      <w:divBdr>
        <w:top w:val="none" w:sz="0" w:space="0" w:color="auto"/>
        <w:left w:val="none" w:sz="0" w:space="0" w:color="auto"/>
        <w:bottom w:val="none" w:sz="0" w:space="0" w:color="auto"/>
        <w:right w:val="none" w:sz="0" w:space="0" w:color="auto"/>
      </w:divBdr>
    </w:div>
    <w:div w:id="736636161">
      <w:bodyDiv w:val="1"/>
      <w:marLeft w:val="0"/>
      <w:marRight w:val="0"/>
      <w:marTop w:val="0"/>
      <w:marBottom w:val="0"/>
      <w:divBdr>
        <w:top w:val="none" w:sz="0" w:space="0" w:color="auto"/>
        <w:left w:val="none" w:sz="0" w:space="0" w:color="auto"/>
        <w:bottom w:val="none" w:sz="0" w:space="0" w:color="auto"/>
        <w:right w:val="none" w:sz="0" w:space="0" w:color="auto"/>
      </w:divBdr>
    </w:div>
    <w:div w:id="757797645">
      <w:bodyDiv w:val="1"/>
      <w:marLeft w:val="0"/>
      <w:marRight w:val="0"/>
      <w:marTop w:val="0"/>
      <w:marBottom w:val="0"/>
      <w:divBdr>
        <w:top w:val="none" w:sz="0" w:space="0" w:color="auto"/>
        <w:left w:val="none" w:sz="0" w:space="0" w:color="auto"/>
        <w:bottom w:val="none" w:sz="0" w:space="0" w:color="auto"/>
        <w:right w:val="none" w:sz="0" w:space="0" w:color="auto"/>
      </w:divBdr>
    </w:div>
    <w:div w:id="905067676">
      <w:bodyDiv w:val="1"/>
      <w:marLeft w:val="0"/>
      <w:marRight w:val="0"/>
      <w:marTop w:val="0"/>
      <w:marBottom w:val="0"/>
      <w:divBdr>
        <w:top w:val="none" w:sz="0" w:space="0" w:color="auto"/>
        <w:left w:val="none" w:sz="0" w:space="0" w:color="auto"/>
        <w:bottom w:val="none" w:sz="0" w:space="0" w:color="auto"/>
        <w:right w:val="none" w:sz="0" w:space="0" w:color="auto"/>
      </w:divBdr>
    </w:div>
    <w:div w:id="915822584">
      <w:bodyDiv w:val="1"/>
      <w:marLeft w:val="0"/>
      <w:marRight w:val="0"/>
      <w:marTop w:val="0"/>
      <w:marBottom w:val="0"/>
      <w:divBdr>
        <w:top w:val="none" w:sz="0" w:space="0" w:color="auto"/>
        <w:left w:val="none" w:sz="0" w:space="0" w:color="auto"/>
        <w:bottom w:val="none" w:sz="0" w:space="0" w:color="auto"/>
        <w:right w:val="none" w:sz="0" w:space="0" w:color="auto"/>
      </w:divBdr>
    </w:div>
    <w:div w:id="927881751">
      <w:bodyDiv w:val="1"/>
      <w:marLeft w:val="0"/>
      <w:marRight w:val="0"/>
      <w:marTop w:val="0"/>
      <w:marBottom w:val="0"/>
      <w:divBdr>
        <w:top w:val="none" w:sz="0" w:space="0" w:color="auto"/>
        <w:left w:val="none" w:sz="0" w:space="0" w:color="auto"/>
        <w:bottom w:val="none" w:sz="0" w:space="0" w:color="auto"/>
        <w:right w:val="none" w:sz="0" w:space="0" w:color="auto"/>
      </w:divBdr>
    </w:div>
    <w:div w:id="976496043">
      <w:bodyDiv w:val="1"/>
      <w:marLeft w:val="0"/>
      <w:marRight w:val="0"/>
      <w:marTop w:val="0"/>
      <w:marBottom w:val="0"/>
      <w:divBdr>
        <w:top w:val="none" w:sz="0" w:space="0" w:color="auto"/>
        <w:left w:val="none" w:sz="0" w:space="0" w:color="auto"/>
        <w:bottom w:val="none" w:sz="0" w:space="0" w:color="auto"/>
        <w:right w:val="none" w:sz="0" w:space="0" w:color="auto"/>
      </w:divBdr>
    </w:div>
    <w:div w:id="1008555755">
      <w:bodyDiv w:val="1"/>
      <w:marLeft w:val="0"/>
      <w:marRight w:val="0"/>
      <w:marTop w:val="0"/>
      <w:marBottom w:val="0"/>
      <w:divBdr>
        <w:top w:val="none" w:sz="0" w:space="0" w:color="auto"/>
        <w:left w:val="none" w:sz="0" w:space="0" w:color="auto"/>
        <w:bottom w:val="none" w:sz="0" w:space="0" w:color="auto"/>
        <w:right w:val="none" w:sz="0" w:space="0" w:color="auto"/>
      </w:divBdr>
    </w:div>
    <w:div w:id="1009210334">
      <w:bodyDiv w:val="1"/>
      <w:marLeft w:val="0"/>
      <w:marRight w:val="0"/>
      <w:marTop w:val="0"/>
      <w:marBottom w:val="0"/>
      <w:divBdr>
        <w:top w:val="none" w:sz="0" w:space="0" w:color="auto"/>
        <w:left w:val="none" w:sz="0" w:space="0" w:color="auto"/>
        <w:bottom w:val="none" w:sz="0" w:space="0" w:color="auto"/>
        <w:right w:val="none" w:sz="0" w:space="0" w:color="auto"/>
      </w:divBdr>
    </w:div>
    <w:div w:id="1027491445">
      <w:bodyDiv w:val="1"/>
      <w:marLeft w:val="0"/>
      <w:marRight w:val="0"/>
      <w:marTop w:val="0"/>
      <w:marBottom w:val="0"/>
      <w:divBdr>
        <w:top w:val="none" w:sz="0" w:space="0" w:color="auto"/>
        <w:left w:val="none" w:sz="0" w:space="0" w:color="auto"/>
        <w:bottom w:val="none" w:sz="0" w:space="0" w:color="auto"/>
        <w:right w:val="none" w:sz="0" w:space="0" w:color="auto"/>
      </w:divBdr>
    </w:div>
    <w:div w:id="1038777771">
      <w:bodyDiv w:val="1"/>
      <w:marLeft w:val="0"/>
      <w:marRight w:val="0"/>
      <w:marTop w:val="0"/>
      <w:marBottom w:val="0"/>
      <w:divBdr>
        <w:top w:val="none" w:sz="0" w:space="0" w:color="auto"/>
        <w:left w:val="none" w:sz="0" w:space="0" w:color="auto"/>
        <w:bottom w:val="none" w:sz="0" w:space="0" w:color="auto"/>
        <w:right w:val="none" w:sz="0" w:space="0" w:color="auto"/>
      </w:divBdr>
    </w:div>
    <w:div w:id="1047074270">
      <w:bodyDiv w:val="1"/>
      <w:marLeft w:val="0"/>
      <w:marRight w:val="0"/>
      <w:marTop w:val="0"/>
      <w:marBottom w:val="0"/>
      <w:divBdr>
        <w:top w:val="none" w:sz="0" w:space="0" w:color="auto"/>
        <w:left w:val="none" w:sz="0" w:space="0" w:color="auto"/>
        <w:bottom w:val="none" w:sz="0" w:space="0" w:color="auto"/>
        <w:right w:val="none" w:sz="0" w:space="0" w:color="auto"/>
      </w:divBdr>
    </w:div>
    <w:div w:id="1094321707">
      <w:bodyDiv w:val="1"/>
      <w:marLeft w:val="0"/>
      <w:marRight w:val="0"/>
      <w:marTop w:val="0"/>
      <w:marBottom w:val="0"/>
      <w:divBdr>
        <w:top w:val="none" w:sz="0" w:space="0" w:color="auto"/>
        <w:left w:val="none" w:sz="0" w:space="0" w:color="auto"/>
        <w:bottom w:val="none" w:sz="0" w:space="0" w:color="auto"/>
        <w:right w:val="none" w:sz="0" w:space="0" w:color="auto"/>
      </w:divBdr>
    </w:div>
    <w:div w:id="1109932559">
      <w:bodyDiv w:val="1"/>
      <w:marLeft w:val="0"/>
      <w:marRight w:val="0"/>
      <w:marTop w:val="0"/>
      <w:marBottom w:val="0"/>
      <w:divBdr>
        <w:top w:val="none" w:sz="0" w:space="0" w:color="auto"/>
        <w:left w:val="none" w:sz="0" w:space="0" w:color="auto"/>
        <w:bottom w:val="none" w:sz="0" w:space="0" w:color="auto"/>
        <w:right w:val="none" w:sz="0" w:space="0" w:color="auto"/>
      </w:divBdr>
    </w:div>
    <w:div w:id="1178472184">
      <w:bodyDiv w:val="1"/>
      <w:marLeft w:val="0"/>
      <w:marRight w:val="0"/>
      <w:marTop w:val="0"/>
      <w:marBottom w:val="0"/>
      <w:divBdr>
        <w:top w:val="none" w:sz="0" w:space="0" w:color="auto"/>
        <w:left w:val="none" w:sz="0" w:space="0" w:color="auto"/>
        <w:bottom w:val="none" w:sz="0" w:space="0" w:color="auto"/>
        <w:right w:val="none" w:sz="0" w:space="0" w:color="auto"/>
      </w:divBdr>
    </w:div>
    <w:div w:id="1202397564">
      <w:bodyDiv w:val="1"/>
      <w:marLeft w:val="0"/>
      <w:marRight w:val="0"/>
      <w:marTop w:val="0"/>
      <w:marBottom w:val="0"/>
      <w:divBdr>
        <w:top w:val="none" w:sz="0" w:space="0" w:color="auto"/>
        <w:left w:val="none" w:sz="0" w:space="0" w:color="auto"/>
        <w:bottom w:val="none" w:sz="0" w:space="0" w:color="auto"/>
        <w:right w:val="none" w:sz="0" w:space="0" w:color="auto"/>
      </w:divBdr>
    </w:div>
    <w:div w:id="1275870969">
      <w:bodyDiv w:val="1"/>
      <w:marLeft w:val="0"/>
      <w:marRight w:val="0"/>
      <w:marTop w:val="0"/>
      <w:marBottom w:val="0"/>
      <w:divBdr>
        <w:top w:val="none" w:sz="0" w:space="0" w:color="auto"/>
        <w:left w:val="none" w:sz="0" w:space="0" w:color="auto"/>
        <w:bottom w:val="none" w:sz="0" w:space="0" w:color="auto"/>
        <w:right w:val="none" w:sz="0" w:space="0" w:color="auto"/>
      </w:divBdr>
    </w:div>
    <w:div w:id="1322854629">
      <w:bodyDiv w:val="1"/>
      <w:marLeft w:val="0"/>
      <w:marRight w:val="0"/>
      <w:marTop w:val="0"/>
      <w:marBottom w:val="0"/>
      <w:divBdr>
        <w:top w:val="none" w:sz="0" w:space="0" w:color="auto"/>
        <w:left w:val="none" w:sz="0" w:space="0" w:color="auto"/>
        <w:bottom w:val="none" w:sz="0" w:space="0" w:color="auto"/>
        <w:right w:val="none" w:sz="0" w:space="0" w:color="auto"/>
      </w:divBdr>
    </w:div>
    <w:div w:id="1351835248">
      <w:bodyDiv w:val="1"/>
      <w:marLeft w:val="0"/>
      <w:marRight w:val="0"/>
      <w:marTop w:val="0"/>
      <w:marBottom w:val="0"/>
      <w:divBdr>
        <w:top w:val="none" w:sz="0" w:space="0" w:color="auto"/>
        <w:left w:val="none" w:sz="0" w:space="0" w:color="auto"/>
        <w:bottom w:val="none" w:sz="0" w:space="0" w:color="auto"/>
        <w:right w:val="none" w:sz="0" w:space="0" w:color="auto"/>
      </w:divBdr>
    </w:div>
    <w:div w:id="1377584113">
      <w:bodyDiv w:val="1"/>
      <w:marLeft w:val="0"/>
      <w:marRight w:val="0"/>
      <w:marTop w:val="0"/>
      <w:marBottom w:val="0"/>
      <w:divBdr>
        <w:top w:val="none" w:sz="0" w:space="0" w:color="auto"/>
        <w:left w:val="none" w:sz="0" w:space="0" w:color="auto"/>
        <w:bottom w:val="none" w:sz="0" w:space="0" w:color="auto"/>
        <w:right w:val="none" w:sz="0" w:space="0" w:color="auto"/>
      </w:divBdr>
    </w:div>
    <w:div w:id="1450709825">
      <w:bodyDiv w:val="1"/>
      <w:marLeft w:val="0"/>
      <w:marRight w:val="0"/>
      <w:marTop w:val="0"/>
      <w:marBottom w:val="0"/>
      <w:divBdr>
        <w:top w:val="none" w:sz="0" w:space="0" w:color="auto"/>
        <w:left w:val="none" w:sz="0" w:space="0" w:color="auto"/>
        <w:bottom w:val="none" w:sz="0" w:space="0" w:color="auto"/>
        <w:right w:val="none" w:sz="0" w:space="0" w:color="auto"/>
      </w:divBdr>
    </w:div>
    <w:div w:id="1478305655">
      <w:bodyDiv w:val="1"/>
      <w:marLeft w:val="0"/>
      <w:marRight w:val="0"/>
      <w:marTop w:val="0"/>
      <w:marBottom w:val="0"/>
      <w:divBdr>
        <w:top w:val="none" w:sz="0" w:space="0" w:color="auto"/>
        <w:left w:val="none" w:sz="0" w:space="0" w:color="auto"/>
        <w:bottom w:val="none" w:sz="0" w:space="0" w:color="auto"/>
        <w:right w:val="none" w:sz="0" w:space="0" w:color="auto"/>
      </w:divBdr>
    </w:div>
    <w:div w:id="1505708533">
      <w:bodyDiv w:val="1"/>
      <w:marLeft w:val="0"/>
      <w:marRight w:val="0"/>
      <w:marTop w:val="0"/>
      <w:marBottom w:val="0"/>
      <w:divBdr>
        <w:top w:val="none" w:sz="0" w:space="0" w:color="auto"/>
        <w:left w:val="none" w:sz="0" w:space="0" w:color="auto"/>
        <w:bottom w:val="none" w:sz="0" w:space="0" w:color="auto"/>
        <w:right w:val="none" w:sz="0" w:space="0" w:color="auto"/>
      </w:divBdr>
    </w:div>
    <w:div w:id="1671177161">
      <w:bodyDiv w:val="1"/>
      <w:marLeft w:val="0"/>
      <w:marRight w:val="0"/>
      <w:marTop w:val="0"/>
      <w:marBottom w:val="0"/>
      <w:divBdr>
        <w:top w:val="none" w:sz="0" w:space="0" w:color="auto"/>
        <w:left w:val="none" w:sz="0" w:space="0" w:color="auto"/>
        <w:bottom w:val="none" w:sz="0" w:space="0" w:color="auto"/>
        <w:right w:val="none" w:sz="0" w:space="0" w:color="auto"/>
      </w:divBdr>
    </w:div>
    <w:div w:id="1680767603">
      <w:bodyDiv w:val="1"/>
      <w:marLeft w:val="0"/>
      <w:marRight w:val="0"/>
      <w:marTop w:val="0"/>
      <w:marBottom w:val="0"/>
      <w:divBdr>
        <w:top w:val="none" w:sz="0" w:space="0" w:color="auto"/>
        <w:left w:val="none" w:sz="0" w:space="0" w:color="auto"/>
        <w:bottom w:val="none" w:sz="0" w:space="0" w:color="auto"/>
        <w:right w:val="none" w:sz="0" w:space="0" w:color="auto"/>
      </w:divBdr>
    </w:div>
    <w:div w:id="1683778432">
      <w:bodyDiv w:val="1"/>
      <w:marLeft w:val="0"/>
      <w:marRight w:val="0"/>
      <w:marTop w:val="0"/>
      <w:marBottom w:val="0"/>
      <w:divBdr>
        <w:top w:val="none" w:sz="0" w:space="0" w:color="auto"/>
        <w:left w:val="none" w:sz="0" w:space="0" w:color="auto"/>
        <w:bottom w:val="none" w:sz="0" w:space="0" w:color="auto"/>
        <w:right w:val="none" w:sz="0" w:space="0" w:color="auto"/>
      </w:divBdr>
    </w:div>
    <w:div w:id="1687050875">
      <w:bodyDiv w:val="1"/>
      <w:marLeft w:val="0"/>
      <w:marRight w:val="0"/>
      <w:marTop w:val="0"/>
      <w:marBottom w:val="0"/>
      <w:divBdr>
        <w:top w:val="none" w:sz="0" w:space="0" w:color="auto"/>
        <w:left w:val="none" w:sz="0" w:space="0" w:color="auto"/>
        <w:bottom w:val="none" w:sz="0" w:space="0" w:color="auto"/>
        <w:right w:val="none" w:sz="0" w:space="0" w:color="auto"/>
      </w:divBdr>
    </w:div>
    <w:div w:id="1745109149">
      <w:bodyDiv w:val="1"/>
      <w:marLeft w:val="0"/>
      <w:marRight w:val="0"/>
      <w:marTop w:val="0"/>
      <w:marBottom w:val="0"/>
      <w:divBdr>
        <w:top w:val="none" w:sz="0" w:space="0" w:color="auto"/>
        <w:left w:val="none" w:sz="0" w:space="0" w:color="auto"/>
        <w:bottom w:val="none" w:sz="0" w:space="0" w:color="auto"/>
        <w:right w:val="none" w:sz="0" w:space="0" w:color="auto"/>
      </w:divBdr>
    </w:div>
    <w:div w:id="1746292389">
      <w:bodyDiv w:val="1"/>
      <w:marLeft w:val="0"/>
      <w:marRight w:val="0"/>
      <w:marTop w:val="0"/>
      <w:marBottom w:val="0"/>
      <w:divBdr>
        <w:top w:val="none" w:sz="0" w:space="0" w:color="auto"/>
        <w:left w:val="none" w:sz="0" w:space="0" w:color="auto"/>
        <w:bottom w:val="none" w:sz="0" w:space="0" w:color="auto"/>
        <w:right w:val="none" w:sz="0" w:space="0" w:color="auto"/>
      </w:divBdr>
    </w:div>
    <w:div w:id="1850946640">
      <w:bodyDiv w:val="1"/>
      <w:marLeft w:val="0"/>
      <w:marRight w:val="0"/>
      <w:marTop w:val="0"/>
      <w:marBottom w:val="0"/>
      <w:divBdr>
        <w:top w:val="none" w:sz="0" w:space="0" w:color="auto"/>
        <w:left w:val="none" w:sz="0" w:space="0" w:color="auto"/>
        <w:bottom w:val="none" w:sz="0" w:space="0" w:color="auto"/>
        <w:right w:val="none" w:sz="0" w:space="0" w:color="auto"/>
      </w:divBdr>
    </w:div>
    <w:div w:id="1905525157">
      <w:bodyDiv w:val="1"/>
      <w:marLeft w:val="0"/>
      <w:marRight w:val="0"/>
      <w:marTop w:val="0"/>
      <w:marBottom w:val="0"/>
      <w:divBdr>
        <w:top w:val="none" w:sz="0" w:space="0" w:color="auto"/>
        <w:left w:val="none" w:sz="0" w:space="0" w:color="auto"/>
        <w:bottom w:val="none" w:sz="0" w:space="0" w:color="auto"/>
        <w:right w:val="none" w:sz="0" w:space="0" w:color="auto"/>
      </w:divBdr>
    </w:div>
    <w:div w:id="1910461578">
      <w:bodyDiv w:val="1"/>
      <w:marLeft w:val="0"/>
      <w:marRight w:val="0"/>
      <w:marTop w:val="0"/>
      <w:marBottom w:val="0"/>
      <w:divBdr>
        <w:top w:val="none" w:sz="0" w:space="0" w:color="auto"/>
        <w:left w:val="none" w:sz="0" w:space="0" w:color="auto"/>
        <w:bottom w:val="none" w:sz="0" w:space="0" w:color="auto"/>
        <w:right w:val="none" w:sz="0" w:space="0" w:color="auto"/>
      </w:divBdr>
    </w:div>
    <w:div w:id="1926330835">
      <w:bodyDiv w:val="1"/>
      <w:marLeft w:val="0"/>
      <w:marRight w:val="0"/>
      <w:marTop w:val="0"/>
      <w:marBottom w:val="0"/>
      <w:divBdr>
        <w:top w:val="none" w:sz="0" w:space="0" w:color="auto"/>
        <w:left w:val="none" w:sz="0" w:space="0" w:color="auto"/>
        <w:bottom w:val="none" w:sz="0" w:space="0" w:color="auto"/>
        <w:right w:val="none" w:sz="0" w:space="0" w:color="auto"/>
      </w:divBdr>
    </w:div>
    <w:div w:id="1932858078">
      <w:bodyDiv w:val="1"/>
      <w:marLeft w:val="0"/>
      <w:marRight w:val="0"/>
      <w:marTop w:val="0"/>
      <w:marBottom w:val="0"/>
      <w:divBdr>
        <w:top w:val="none" w:sz="0" w:space="0" w:color="auto"/>
        <w:left w:val="none" w:sz="0" w:space="0" w:color="auto"/>
        <w:bottom w:val="none" w:sz="0" w:space="0" w:color="auto"/>
        <w:right w:val="none" w:sz="0" w:space="0" w:color="auto"/>
      </w:divBdr>
    </w:div>
    <w:div w:id="2006081179">
      <w:bodyDiv w:val="1"/>
      <w:marLeft w:val="0"/>
      <w:marRight w:val="0"/>
      <w:marTop w:val="0"/>
      <w:marBottom w:val="0"/>
      <w:divBdr>
        <w:top w:val="none" w:sz="0" w:space="0" w:color="auto"/>
        <w:left w:val="none" w:sz="0" w:space="0" w:color="auto"/>
        <w:bottom w:val="none" w:sz="0" w:space="0" w:color="auto"/>
        <w:right w:val="none" w:sz="0" w:space="0" w:color="auto"/>
      </w:divBdr>
    </w:div>
    <w:div w:id="2047756996">
      <w:bodyDiv w:val="1"/>
      <w:marLeft w:val="0"/>
      <w:marRight w:val="0"/>
      <w:marTop w:val="0"/>
      <w:marBottom w:val="0"/>
      <w:divBdr>
        <w:top w:val="none" w:sz="0" w:space="0" w:color="auto"/>
        <w:left w:val="none" w:sz="0" w:space="0" w:color="auto"/>
        <w:bottom w:val="none" w:sz="0" w:space="0" w:color="auto"/>
        <w:right w:val="none" w:sz="0" w:space="0" w:color="auto"/>
      </w:divBdr>
    </w:div>
    <w:div w:id="2072271929">
      <w:bodyDiv w:val="1"/>
      <w:marLeft w:val="0"/>
      <w:marRight w:val="0"/>
      <w:marTop w:val="0"/>
      <w:marBottom w:val="0"/>
      <w:divBdr>
        <w:top w:val="none" w:sz="0" w:space="0" w:color="auto"/>
        <w:left w:val="none" w:sz="0" w:space="0" w:color="auto"/>
        <w:bottom w:val="none" w:sz="0" w:space="0" w:color="auto"/>
        <w:right w:val="none" w:sz="0" w:space="0" w:color="auto"/>
      </w:divBdr>
    </w:div>
    <w:div w:id="2087485217">
      <w:bodyDiv w:val="1"/>
      <w:marLeft w:val="0"/>
      <w:marRight w:val="0"/>
      <w:marTop w:val="0"/>
      <w:marBottom w:val="0"/>
      <w:divBdr>
        <w:top w:val="none" w:sz="0" w:space="0" w:color="auto"/>
        <w:left w:val="none" w:sz="0" w:space="0" w:color="auto"/>
        <w:bottom w:val="none" w:sz="0" w:space="0" w:color="auto"/>
        <w:right w:val="none" w:sz="0" w:space="0" w:color="auto"/>
      </w:divBdr>
    </w:div>
    <w:div w:id="212680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pixabay.com/en/matrix-code-computer-pc-data-356024/" TargetMode="External"/><Relationship Id="rId17" Type="http://schemas.openxmlformats.org/officeDocument/2006/relationships/header" Target="head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Local\Microsoft\Office\16.0\DTS\en-GB%7b8463D2DA-2812-46A9-829F-BD707CC4E5E6%7d\%7b49694BA5-9E8B-4317-8ACC-1A3E42F8424B%7dTF15d030a7-4d0a-4c1c-8a3e-3a7590a124cedd8a6b98_win32-38785b346894.dotx" TargetMode="External"/></Relationships>
</file>

<file path=word/theme/theme1.xml><?xml version="1.0" encoding="utf-8"?>
<a:theme xmlns:a="http://schemas.openxmlformats.org/drawingml/2006/main" name="Office Theme">
  <a:themeElements>
    <a:clrScheme name="Business report professional design">
      <a:dk1>
        <a:srgbClr val="000000"/>
      </a:dk1>
      <a:lt1>
        <a:srgbClr val="FFFFFF"/>
      </a:lt1>
      <a:dk2>
        <a:srgbClr val="0E2841"/>
      </a:dk2>
      <a:lt2>
        <a:srgbClr val="E8E8E8"/>
      </a:lt2>
      <a:accent1>
        <a:srgbClr val="05CF92"/>
      </a:accent1>
      <a:accent2>
        <a:srgbClr val="0054B9"/>
      </a:accent2>
      <a:accent3>
        <a:srgbClr val="FDE700"/>
      </a:accent3>
      <a:accent4>
        <a:srgbClr val="F160B7"/>
      </a:accent4>
      <a:accent5>
        <a:srgbClr val="714EEB"/>
      </a:accent5>
      <a:accent6>
        <a:srgbClr val="FF3A2E"/>
      </a:accent6>
      <a:hlink>
        <a:srgbClr val="467886"/>
      </a:hlink>
      <a:folHlink>
        <a:srgbClr val="96607D"/>
      </a:folHlink>
    </a:clrScheme>
    <a:fontScheme name="Custom 21">
      <a:majorFont>
        <a:latin typeface="Franklin Gothic Demi"/>
        <a:ea typeface=""/>
        <a:cs typeface=""/>
      </a:majorFont>
      <a:minorFont>
        <a:latin typeface="Franklin Gothic Book"/>
        <a:ea typeface=""/>
        <a:cs typeface=""/>
      </a:minorFont>
    </a:fontScheme>
    <a:fmtScheme name="Frosted Glass">
      <a:fillStyleLst>
        <a:solidFill>
          <a:schemeClr val="phClr"/>
        </a:solidFill>
        <a:gradFill rotWithShape="1">
          <a:gsLst>
            <a:gs pos="0">
              <a:schemeClr val="phClr">
                <a:tint val="1000"/>
                <a:satMod val="100000"/>
              </a:schemeClr>
            </a:gs>
            <a:gs pos="68000">
              <a:schemeClr val="phClr">
                <a:tint val="77000"/>
                <a:satMod val="100000"/>
              </a:schemeClr>
            </a:gs>
            <a:gs pos="81000">
              <a:schemeClr val="phClr">
                <a:tint val="79000"/>
                <a:satMod val="100000"/>
              </a:schemeClr>
            </a:gs>
            <a:gs pos="86000">
              <a:schemeClr val="phClr">
                <a:tint val="73000"/>
                <a:satMod val="100000"/>
              </a:schemeClr>
            </a:gs>
            <a:gs pos="100000">
              <a:schemeClr val="phClr">
                <a:tint val="35000"/>
                <a:satMod val="100000"/>
              </a:schemeClr>
            </a:gs>
          </a:gsLst>
          <a:lin ang="5400000" scaled="0"/>
        </a:gradFill>
        <a:gradFill rotWithShape="1">
          <a:gsLst>
            <a:gs pos="0">
              <a:schemeClr val="phClr">
                <a:tint val="73000"/>
                <a:shade val="100000"/>
                <a:satMod val="150000"/>
              </a:schemeClr>
            </a:gs>
            <a:gs pos="25000">
              <a:schemeClr val="phClr">
                <a:tint val="96000"/>
                <a:shade val="80000"/>
                <a:satMod val="105000"/>
              </a:schemeClr>
            </a:gs>
            <a:gs pos="38000">
              <a:schemeClr val="phClr">
                <a:tint val="96000"/>
                <a:shade val="59000"/>
                <a:satMod val="120000"/>
              </a:schemeClr>
            </a:gs>
            <a:gs pos="55000">
              <a:schemeClr val="phClr">
                <a:tint val="100000"/>
                <a:shade val="57000"/>
                <a:satMod val="120000"/>
              </a:schemeClr>
            </a:gs>
            <a:gs pos="80000">
              <a:schemeClr val="phClr">
                <a:tint val="100000"/>
                <a:shade val="56000"/>
                <a:satMod val="145000"/>
              </a:schemeClr>
            </a:gs>
            <a:gs pos="88000">
              <a:schemeClr val="phClr">
                <a:tint val="100000"/>
                <a:shade val="63000"/>
                <a:satMod val="160000"/>
              </a:schemeClr>
            </a:gs>
            <a:gs pos="100000">
              <a:schemeClr val="phClr">
                <a:tint val="99000"/>
                <a:shade val="100000"/>
                <a:satMod val="155000"/>
              </a:schemeClr>
            </a:gs>
          </a:gsLst>
          <a:lin ang="54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scene3d>
            <a:camera prst="orthographicFront">
              <a:rot lat="0" lon="0" rev="0"/>
            </a:camera>
            <a:lightRig rig="glow" dir="tl">
              <a:rot lat="0" lon="0" rev="1800000"/>
            </a:lightRig>
          </a:scene3d>
          <a:sp3d contourW="10160" prstMaterial="dkEdge">
            <a:bevelT w="0" h="0" prst="angle"/>
            <a:contourClr>
              <a:schemeClr val="phClr">
                <a:shade val="30000"/>
                <a:satMod val="150000"/>
              </a:schemeClr>
            </a:contourClr>
          </a:sp3d>
        </a:effectStyle>
        <a:effectStyle>
          <a:effectLst>
            <a:glow rad="50800">
              <a:schemeClr val="phClr">
                <a:tint val="68000"/>
                <a:shade val="93000"/>
                <a:alpha val="37000"/>
                <a:satMod val="250000"/>
              </a:schemeClr>
            </a:glow>
          </a:effectLst>
          <a:scene3d>
            <a:camera prst="orthographicFront">
              <a:rot lat="0" lon="0" rev="0"/>
            </a:camera>
            <a:lightRig rig="glow" dir="t">
              <a:rot lat="0" lon="0" rev="1800000"/>
            </a:lightRig>
          </a:scene3d>
          <a:sp3d contourW="10160" prstMaterial="dkEdge">
            <a:bevelT w="20320" h="19050" prst="angle"/>
            <a:contourClr>
              <a:schemeClr val="phClr">
                <a:shade val="3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Nus23</b:Tag>
    <b:SourceType>ConferenceProceedings</b:SourceType>
    <b:Guid>{D0734263-6933-48A8-8207-CADCA7621CDB}</b:Guid>
    <b:Author>
      <b:Author>
        <b:NameList>
          <b:Person>
            <b:Last>Nusairat</b:Last>
            <b:First>T.</b:First>
          </b:Person>
        </b:NameList>
      </b:Author>
    </b:Author>
    <b:Title>A Recent Assessment for the Ransomware Attacks Against Internet of Medical Things</b:Title>
    <b:Year>2023</b:Year>
    <b:City>Washigton DC</b:City>
    <b:ConferenceName>IEEE Int Conf. on  Electrical, Computer and Energy Technologies</b:ConferenceName>
    <b:RefOrder>1</b:RefOrder>
  </b:Source>
  <b:Source>
    <b:Tag>AAb24</b:Tag>
    <b:SourceType>ConferenceProceedings</b:SourceType>
    <b:Guid>{070CA4FE-7A4F-4298-9568-03976740122E}</b:Guid>
    <b:Author>
      <b:Author>
        <b:NameList>
          <b:Person>
            <b:Last>A.</b:Last>
            <b:First>Abdi</b:First>
          </b:Person>
        </b:NameList>
      </b:Author>
    </b:Author>
    <b:Title>“Emerging Cyber Risks &amp; Threats in Healthcare Systems,”</b:Title>
    <b:Year>2024</b:Year>
    <b:ConferenceName>IEEE Access</b:ConferenceName>
    <b:Pages> pp. 12345-12360,</b:Pages>
    <b:Volume>vol. 12</b:Volume>
    <b:RefOrder>2</b:RefOrder>
  </b:Source>
  <b:Source>
    <b:Tag>Pur23</b:Tag>
    <b:SourceType>ConferenceProceedings</b:SourceType>
    <b:Guid>{D1BD18CC-1FB1-4722-BF15-3A3330BC17D9}</b:Guid>
    <b:Author>
      <b:Author>
        <b:NameList>
          <b:Person>
            <b:Last>Puri</b:Last>
            <b:First>M.</b:First>
          </b:Person>
        </b:NameList>
      </b:Author>
    </b:Author>
    <b:Title>“Enhancing the Safety of Data with CyberSecurity,”</b:Title>
    <b:Year> 2023.</b:Year>
    <b:ConferenceName>Proc. IEEE Int. Conf. on Computing, Communication and Security</b:ConferenceName>
    <b:RefOrder>3</b:RefOrder>
  </b:Source>
  <b:Source>
    <b:Tag>Jai24</b:Tag>
    <b:SourceType>ConferenceProceedings</b:SourceType>
    <b:Guid>{654908BB-9611-4F27-BEC7-327013B89D19}</b:Guid>
    <b:Author>
      <b:Author>
        <b:NameList>
          <b:Person>
            <b:Last>Jain</b:Last>
            <b:First>S.</b:First>
          </b:Person>
        </b:NameList>
      </b:Author>
    </b:Author>
    <b:Title>“Emerging Technologies for Cybersecurity in Healthcare: Evaluating Risks and Implementing Standards,"</b:Title>
    <b:Year>2024</b:Year>
    <b:ConferenceName>in Proc. IEEE Conf. on Recent Advances in Intelligent Systems,</b:ConferenceName>
    <b:RefOrder>4</b:RefOrder>
  </b:Source>
  <b:Source>
    <b:Tag>Tha22</b:Tag>
    <b:SourceType>ConferenceProceedings</b:SourceType>
    <b:Guid>{2506E020-F0E2-4039-92D2-DDD23B015F1A}</b:Guid>
    <b:LCID>en-GB</b:LCID>
    <b:Author>
      <b:Author>
        <b:NameList>
          <b:Person>
            <b:Last>Thamer. N</b:Last>
            <b:First>Al-Farsi</b:First>
            <b:Middle>M</b:Middle>
          </b:Person>
        </b:NameList>
      </b:Author>
    </b:Author>
    <b:Title>“Security against Ransomware Attack in Medical Healthcare Environment Using Blockchain Technology"</b:Title>
    <b:Year>2022</b:Year>
    <b:ConferenceName>in Proc. IEEE Int. Conf. on Computing and Informatics</b:ConferenceName>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9EF24591-485F-4287-8B61-F3DC9ED4E722}">
  <ds:schemaRefs>
    <ds:schemaRef ds:uri="http://schemas.openxmlformats.org/officeDocument/2006/bibliography"/>
  </ds:schemaRefs>
</ds:datastoreItem>
</file>

<file path=customXml/itemProps2.xml><?xml version="1.0" encoding="utf-8"?>
<ds:datastoreItem xmlns:ds="http://schemas.openxmlformats.org/officeDocument/2006/customXml" ds:itemID="{8AA05782-1956-4ABD-9469-5855286A5A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CA0720-E518-4C54-8EC1-2FF547E897F0}">
  <ds:schemaRefs>
    <ds:schemaRef ds:uri="http://schemas.microsoft.com/sharepoint/v3/contenttype/forms"/>
  </ds:schemaRefs>
</ds:datastoreItem>
</file>

<file path=customXml/itemProps4.xml><?xml version="1.0" encoding="utf-8"?>
<ds:datastoreItem xmlns:ds="http://schemas.openxmlformats.org/officeDocument/2006/customXml" ds:itemID="{27A94286-1488-4B05-BE05-620B873327F0}">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{49694BA5-9E8B-4317-8ACC-1A3E42F8424B}TF15d030a7-4d0a-4c1c-8a3e-3a7590a124cedd8a6b98_win32-38785b346894</Template>
  <TotalTime>2423</TotalTime>
  <Pages>11</Pages>
  <Words>1883</Words>
  <Characters>10739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Zacharias Lambrou (2435234)</cp:lastModifiedBy>
  <cp:revision>185</cp:revision>
  <cp:lastPrinted>2025-05-01T20:47:00Z</cp:lastPrinted>
  <dcterms:created xsi:type="dcterms:W3CDTF">2026-05-16T14:59:00Z</dcterms:created>
  <dcterms:modified xsi:type="dcterms:W3CDTF">2026-05-19T13:48:00Z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