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27976003"/>
        <w:docPartObj>
          <w:docPartGallery w:val="Cover Pages"/>
          <w:docPartUnique/>
        </w:docPartObj>
      </w:sdtPr>
      <w:sdtEndPr>
        <w:rPr>
          <w:color w:val="00B050"/>
        </w:rPr>
      </w:sdtEndPr>
      <w:sdtContent>
        <w:p w14:paraId="3156D9BC" w14:textId="4859F55A" w:rsidR="00F63723" w:rsidRPr="006D387F" w:rsidRDefault="001A4CB5">
          <w:pPr>
            <w:rPr>
              <w:rFonts w:ascii="Arial" w:hAnsi="Arial" w:cs="Arial"/>
            </w:rPr>
          </w:pPr>
          <w:r w:rsidRPr="006D387F">
            <w:rPr>
              <w:rFonts w:ascii="Arial" w:hAnsi="Arial" w:cs="Arial"/>
              <w:noProof/>
              <w:color w:val="00B050"/>
            </w:rPr>
            <w:drawing>
              <wp:anchor distT="0" distB="0" distL="114300" distR="114300" simplePos="0" relativeHeight="251661312" behindDoc="1" locked="0" layoutInCell="1" allowOverlap="1" wp14:anchorId="1DE576D1" wp14:editId="3B4439E6">
                <wp:simplePos x="0" y="0"/>
                <wp:positionH relativeFrom="column">
                  <wp:posOffset>1003300</wp:posOffset>
                </wp:positionH>
                <wp:positionV relativeFrom="paragraph">
                  <wp:posOffset>6350</wp:posOffset>
                </wp:positionV>
                <wp:extent cx="4034155" cy="1614805"/>
                <wp:effectExtent l="0" t="0" r="4445" b="4445"/>
                <wp:wrapTight wrapText="bothSides">
                  <wp:wrapPolygon edited="0">
                    <wp:start x="0" y="0"/>
                    <wp:lineTo x="0" y="21405"/>
                    <wp:lineTo x="21522" y="21405"/>
                    <wp:lineTo x="21522" y="0"/>
                    <wp:lineTo x="0" y="0"/>
                  </wp:wrapPolygon>
                </wp:wrapTight>
                <wp:docPr id="115776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4155" cy="1614805"/>
                        </a:xfrm>
                        <a:prstGeom prst="rect">
                          <a:avLst/>
                        </a:prstGeom>
                        <a:noFill/>
                      </pic:spPr>
                    </pic:pic>
                  </a:graphicData>
                </a:graphic>
                <wp14:sizeRelH relativeFrom="margin">
                  <wp14:pctWidth>0</wp14:pctWidth>
                </wp14:sizeRelH>
                <wp14:sizeRelV relativeFrom="margin">
                  <wp14:pctHeight>0</wp14:pctHeight>
                </wp14:sizeRelV>
              </wp:anchor>
            </w:drawing>
          </w:r>
          <w:r w:rsidR="00F63723" w:rsidRPr="006D387F">
            <w:rPr>
              <w:rFonts w:ascii="Arial" w:hAnsi="Arial" w:cs="Arial"/>
              <w:noProof/>
            </w:rPr>
            <mc:AlternateContent>
              <mc:Choice Requires="wps">
                <w:drawing>
                  <wp:anchor distT="0" distB="0" distL="114300" distR="114300" simplePos="0" relativeHeight="251659264" behindDoc="0" locked="0" layoutInCell="1" allowOverlap="1" wp14:anchorId="4DA64F80" wp14:editId="1084648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18AE04" w14:textId="4A20D9AC" w:rsidR="00F63723" w:rsidRDefault="00F63723">
                                    <w:pPr>
                                      <w:pStyle w:val="NoSpacing"/>
                                      <w:jc w:val="right"/>
                                      <w:rPr>
                                        <w:color w:val="595959" w:themeColor="text1" w:themeTint="A6"/>
                                        <w:sz w:val="28"/>
                                        <w:szCs w:val="28"/>
                                      </w:rPr>
                                    </w:pPr>
                                    <w:r>
                                      <w:rPr>
                                        <w:color w:val="595959" w:themeColor="text1" w:themeTint="A6"/>
                                        <w:sz w:val="28"/>
                                        <w:szCs w:val="28"/>
                                      </w:rPr>
                                      <w:t>Najia Chaddoudi (23</w:t>
                                    </w:r>
                                    <w:r w:rsidR="006D387F">
                                      <w:rPr>
                                        <w:color w:val="595959" w:themeColor="text1" w:themeTint="A6"/>
                                        <w:sz w:val="28"/>
                                        <w:szCs w:val="28"/>
                                      </w:rPr>
                                      <w:t>20940)</w:t>
                                    </w:r>
                                  </w:p>
                                </w:sdtContent>
                              </w:sdt>
                              <w:p w14:paraId="51D8A433" w14:textId="7F97E9B1" w:rsidR="00F63723" w:rsidRDefault="00EA75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3723">
                                      <w:rPr>
                                        <w:color w:val="595959" w:themeColor="text1" w:themeTint="A6"/>
                                        <w:sz w:val="18"/>
                                        <w:szCs w:val="18"/>
                                      </w:rPr>
                                      <w:t>Lecturer: Yohan Mendis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A64F80" id="_x0000_t202" coordsize="21600,21600" o:spt="202" path="m,l,21600r21600,l21600,xe">
                    <v:stroke joinstyle="miter"/>
                    <v:path gradientshapeok="t" o:connecttype="rect"/>
                  </v:shapetype>
                  <v:shape id="Text Box 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18AE04" w14:textId="4A20D9AC" w:rsidR="00F63723" w:rsidRDefault="00F63723">
                              <w:pPr>
                                <w:pStyle w:val="NoSpacing"/>
                                <w:jc w:val="right"/>
                                <w:rPr>
                                  <w:color w:val="595959" w:themeColor="text1" w:themeTint="A6"/>
                                  <w:sz w:val="28"/>
                                  <w:szCs w:val="28"/>
                                </w:rPr>
                              </w:pPr>
                              <w:r>
                                <w:rPr>
                                  <w:color w:val="595959" w:themeColor="text1" w:themeTint="A6"/>
                                  <w:sz w:val="28"/>
                                  <w:szCs w:val="28"/>
                                </w:rPr>
                                <w:t>Najia Chaddoudi (23</w:t>
                              </w:r>
                              <w:r w:rsidR="006D387F">
                                <w:rPr>
                                  <w:color w:val="595959" w:themeColor="text1" w:themeTint="A6"/>
                                  <w:sz w:val="28"/>
                                  <w:szCs w:val="28"/>
                                </w:rPr>
                                <w:t>20940)</w:t>
                              </w:r>
                            </w:p>
                          </w:sdtContent>
                        </w:sdt>
                        <w:p w14:paraId="51D8A433" w14:textId="7F97E9B1" w:rsidR="00F63723" w:rsidRDefault="00EA75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3723">
                                <w:rPr>
                                  <w:color w:val="595959" w:themeColor="text1" w:themeTint="A6"/>
                                  <w:sz w:val="18"/>
                                  <w:szCs w:val="18"/>
                                </w:rPr>
                                <w:t>Lecturer: Yohan Mendis</w:t>
                              </w:r>
                            </w:sdtContent>
                          </w:sdt>
                        </w:p>
                      </w:txbxContent>
                    </v:textbox>
                    <w10:wrap type="square" anchorx="page" anchory="page"/>
                  </v:shape>
                </w:pict>
              </mc:Fallback>
            </mc:AlternateContent>
          </w:r>
          <w:r w:rsidR="00F63723" w:rsidRPr="006D387F">
            <w:rPr>
              <w:rFonts w:ascii="Arial" w:hAnsi="Arial" w:cs="Arial"/>
              <w:noProof/>
            </w:rPr>
            <mc:AlternateContent>
              <mc:Choice Requires="wps">
                <w:drawing>
                  <wp:anchor distT="0" distB="0" distL="114300" distR="114300" simplePos="0" relativeHeight="251660288" behindDoc="0" locked="0" layoutInCell="1" allowOverlap="1" wp14:anchorId="6A6BCC67" wp14:editId="62A1C98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12F7F" w14:textId="77777777" w:rsidR="00F63723" w:rsidRPr="001A4CB5" w:rsidRDefault="00F63723">
                                <w:pPr>
                                  <w:pStyle w:val="NoSpacing"/>
                                  <w:jc w:val="right"/>
                                  <w:rPr>
                                    <w:color w:val="00B050"/>
                                    <w:sz w:val="28"/>
                                    <w:szCs w:val="28"/>
                                  </w:rPr>
                                </w:pPr>
                                <w:r w:rsidRPr="001A4CB5">
                                  <w:rPr>
                                    <w:color w:val="00B05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EA7D0B6" w14:textId="5A4D5882" w:rsidR="00F63723" w:rsidRDefault="001A4CB5">
                                    <w:pPr>
                                      <w:pStyle w:val="NoSpacing"/>
                                      <w:jc w:val="right"/>
                                      <w:rPr>
                                        <w:color w:val="595959" w:themeColor="text1" w:themeTint="A6"/>
                                        <w:sz w:val="20"/>
                                        <w:szCs w:val="20"/>
                                      </w:rPr>
                                    </w:pPr>
                                    <w:r w:rsidRPr="001A4CB5">
                                      <w:rPr>
                                        <w:color w:val="595959" w:themeColor="text1" w:themeTint="A6"/>
                                        <w:sz w:val="20"/>
                                        <w:szCs w:val="20"/>
                                      </w:rPr>
                                      <w:t>This report analyses Innocent Drinks’ market environment and recommends a wellness-focused product development strategy supported by circular economy practices to drive sustainable growth.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6BCC67" id="Text Box 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CA12F7F" w14:textId="77777777" w:rsidR="00F63723" w:rsidRPr="001A4CB5" w:rsidRDefault="00F63723">
                          <w:pPr>
                            <w:pStyle w:val="NoSpacing"/>
                            <w:jc w:val="right"/>
                            <w:rPr>
                              <w:color w:val="00B050"/>
                              <w:sz w:val="28"/>
                              <w:szCs w:val="28"/>
                            </w:rPr>
                          </w:pPr>
                          <w:r w:rsidRPr="001A4CB5">
                            <w:rPr>
                              <w:color w:val="00B05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EA7D0B6" w14:textId="5A4D5882" w:rsidR="00F63723" w:rsidRDefault="001A4CB5">
                              <w:pPr>
                                <w:pStyle w:val="NoSpacing"/>
                                <w:jc w:val="right"/>
                                <w:rPr>
                                  <w:color w:val="595959" w:themeColor="text1" w:themeTint="A6"/>
                                  <w:sz w:val="20"/>
                                  <w:szCs w:val="20"/>
                                </w:rPr>
                              </w:pPr>
                              <w:r w:rsidRPr="001A4CB5">
                                <w:rPr>
                                  <w:color w:val="595959" w:themeColor="text1" w:themeTint="A6"/>
                                  <w:sz w:val="20"/>
                                  <w:szCs w:val="20"/>
                                </w:rPr>
                                <w:t>This report analyses Innocent Drinks’ market environment and recommends a wellness-focused product development strategy supported by circular economy practices to drive sustainable growth.</w:t>
                              </w:r>
                            </w:p>
                          </w:sdtContent>
                        </w:sdt>
                      </w:txbxContent>
                    </v:textbox>
                    <w10:wrap type="square" anchorx="page" anchory="page"/>
                  </v:shape>
                </w:pict>
              </mc:Fallback>
            </mc:AlternateContent>
          </w:r>
          <w:r w:rsidR="00F63723" w:rsidRPr="006D387F">
            <w:rPr>
              <w:rFonts w:ascii="Arial" w:hAnsi="Arial" w:cs="Arial"/>
              <w:noProof/>
            </w:rPr>
            <mc:AlternateContent>
              <mc:Choice Requires="wps">
                <w:drawing>
                  <wp:anchor distT="0" distB="0" distL="114300" distR="114300" simplePos="0" relativeHeight="251658240" behindDoc="0" locked="0" layoutInCell="1" allowOverlap="1" wp14:anchorId="00724987" wp14:editId="457EA80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64416" w14:textId="74288E9D" w:rsidR="00F63723" w:rsidRDefault="00EA75CF">
                                <w:pPr>
                                  <w:jc w:val="right"/>
                                  <w:rPr>
                                    <w:color w:val="4F81BD"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63723" w:rsidRPr="001A4CB5">
                                      <w:rPr>
                                        <w:caps/>
                                        <w:color w:val="00B050"/>
                                        <w:sz w:val="64"/>
                                        <w:szCs w:val="64"/>
                                      </w:rPr>
                                      <w:t>Strategic Management for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9EB259" w14:textId="39ED3FE8" w:rsidR="00F63723" w:rsidRDefault="00EA75CF">
                                    <w:pPr>
                                      <w:jc w:val="right"/>
                                      <w:rPr>
                                        <w:smallCaps/>
                                        <w:color w:val="404040" w:themeColor="text1" w:themeTint="BF"/>
                                        <w:sz w:val="36"/>
                                        <w:szCs w:val="36"/>
                                      </w:rPr>
                                    </w:pPr>
                                    <w:r>
                                      <w:rPr>
                                        <w:color w:val="404040" w:themeColor="text1" w:themeTint="BF"/>
                                        <w:sz w:val="36"/>
                                        <w:szCs w:val="36"/>
                                      </w:rPr>
                                      <w:t>BA (Hons) Leadership and Management Skills for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724987"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F64416" w14:textId="74288E9D" w:rsidR="00F63723" w:rsidRDefault="00EA75CF">
                          <w:pPr>
                            <w:jc w:val="right"/>
                            <w:rPr>
                              <w:color w:val="4F81BD"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63723" w:rsidRPr="001A4CB5">
                                <w:rPr>
                                  <w:caps/>
                                  <w:color w:val="00B050"/>
                                  <w:sz w:val="64"/>
                                  <w:szCs w:val="64"/>
                                </w:rPr>
                                <w:t>Strategic Management for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9EB259" w14:textId="39ED3FE8" w:rsidR="00F63723" w:rsidRDefault="00EA75CF">
                              <w:pPr>
                                <w:jc w:val="right"/>
                                <w:rPr>
                                  <w:smallCaps/>
                                  <w:color w:val="404040" w:themeColor="text1" w:themeTint="BF"/>
                                  <w:sz w:val="36"/>
                                  <w:szCs w:val="36"/>
                                </w:rPr>
                              </w:pPr>
                              <w:r>
                                <w:rPr>
                                  <w:color w:val="404040" w:themeColor="text1" w:themeTint="BF"/>
                                  <w:sz w:val="36"/>
                                  <w:szCs w:val="36"/>
                                </w:rPr>
                                <w:t>BA (Hons) Leadership and Management Skills for the Workplace</w:t>
                              </w:r>
                            </w:p>
                          </w:sdtContent>
                        </w:sdt>
                      </w:txbxContent>
                    </v:textbox>
                    <w10:wrap type="square" anchorx="page" anchory="page"/>
                  </v:shape>
                </w:pict>
              </mc:Fallback>
            </mc:AlternateContent>
          </w:r>
        </w:p>
        <w:p w14:paraId="2FFE1189" w14:textId="7090D428" w:rsidR="001A4CB5" w:rsidRPr="006D387F" w:rsidRDefault="00F63723" w:rsidP="001A4CB5">
          <w:pPr>
            <w:rPr>
              <w:rFonts w:ascii="Arial" w:hAnsi="Arial" w:cs="Arial"/>
              <w:color w:val="00B050"/>
            </w:rPr>
          </w:pPr>
          <w:r w:rsidRPr="006D387F">
            <w:rPr>
              <w:rFonts w:ascii="Arial" w:hAnsi="Arial" w:cs="Arial"/>
              <w:color w:val="00B050"/>
            </w:rPr>
            <w:br w:type="page"/>
          </w:r>
        </w:p>
        <w:p w14:paraId="3C9BFC71" w14:textId="44096753" w:rsidR="001A4CB5" w:rsidRPr="006D387F" w:rsidRDefault="001A4CB5" w:rsidP="001A4CB5">
          <w:pPr>
            <w:rPr>
              <w:rFonts w:ascii="Arial" w:hAnsi="Arial" w:cs="Arial"/>
              <w:color w:val="00B050"/>
            </w:rPr>
          </w:pPr>
          <w:r w:rsidRPr="006D387F">
            <w:rPr>
              <w:rFonts w:ascii="Arial" w:hAnsi="Arial" w:cs="Arial"/>
              <w:color w:val="00B050"/>
            </w:rPr>
            <w:lastRenderedPageBreak/>
            <w:t>Table of Content:</w:t>
          </w:r>
        </w:p>
        <w:p w14:paraId="15B2FD7E" w14:textId="56EF2328" w:rsidR="001A4CB5" w:rsidRPr="001A4CB5" w:rsidRDefault="001A4CB5" w:rsidP="001A4CB5">
          <w:pPr>
            <w:numPr>
              <w:ilvl w:val="0"/>
              <w:numId w:val="11"/>
            </w:numPr>
            <w:rPr>
              <w:rFonts w:ascii="Arial" w:hAnsi="Arial" w:cs="Arial"/>
              <w:lang w:val="en-GB"/>
            </w:rPr>
          </w:pPr>
          <w:r w:rsidRPr="001A4CB5">
            <w:rPr>
              <w:rFonts w:ascii="Arial" w:hAnsi="Arial" w:cs="Arial"/>
              <w:lang w:val="en-GB"/>
            </w:rPr>
            <w:t>Executive Summary</w:t>
          </w:r>
          <w:r w:rsidR="00EA75CF">
            <w:rPr>
              <w:rFonts w:ascii="Arial" w:hAnsi="Arial" w:cs="Arial"/>
              <w:lang w:val="en-GB"/>
            </w:rPr>
            <w:t>………………………………………………………..… Page 2</w:t>
          </w:r>
        </w:p>
        <w:p w14:paraId="0EB38718" w14:textId="5C67F052" w:rsidR="001A4CB5" w:rsidRPr="001A4CB5" w:rsidRDefault="001A4CB5" w:rsidP="001A4CB5">
          <w:pPr>
            <w:numPr>
              <w:ilvl w:val="0"/>
              <w:numId w:val="11"/>
            </w:numPr>
            <w:rPr>
              <w:rFonts w:ascii="Arial" w:hAnsi="Arial" w:cs="Arial"/>
              <w:lang w:val="en-GB"/>
            </w:rPr>
          </w:pPr>
          <w:r w:rsidRPr="001A4CB5">
            <w:rPr>
              <w:rFonts w:ascii="Arial" w:hAnsi="Arial" w:cs="Arial"/>
              <w:lang w:val="en-GB"/>
            </w:rPr>
            <w:t>Introduction to Innocent Drinks</w:t>
          </w:r>
          <w:r w:rsidR="00EA75CF">
            <w:rPr>
              <w:rFonts w:ascii="Arial" w:hAnsi="Arial" w:cs="Arial"/>
              <w:lang w:val="en-GB"/>
            </w:rPr>
            <w:t xml:space="preserve"> ……………………………………….……. Page 3</w:t>
          </w:r>
        </w:p>
        <w:p w14:paraId="18525FAA" w14:textId="65049966" w:rsidR="001A4CB5" w:rsidRPr="001A4CB5" w:rsidRDefault="001A4CB5" w:rsidP="001A4CB5">
          <w:pPr>
            <w:numPr>
              <w:ilvl w:val="0"/>
              <w:numId w:val="11"/>
            </w:numPr>
            <w:rPr>
              <w:rFonts w:ascii="Arial" w:hAnsi="Arial" w:cs="Arial"/>
              <w:lang w:val="en-GB"/>
            </w:rPr>
          </w:pPr>
          <w:r w:rsidRPr="001A4CB5">
            <w:rPr>
              <w:rFonts w:ascii="Arial" w:hAnsi="Arial" w:cs="Arial"/>
              <w:lang w:val="en-GB"/>
            </w:rPr>
            <w:t>Evaluation of Current Market Situation</w:t>
          </w:r>
          <w:r w:rsidR="00EA75CF">
            <w:rPr>
              <w:rFonts w:ascii="Arial" w:hAnsi="Arial" w:cs="Arial"/>
              <w:lang w:val="en-GB"/>
            </w:rPr>
            <w:t xml:space="preserve"> …………………………….…… Page 4-5</w:t>
          </w:r>
        </w:p>
        <w:p w14:paraId="2B2CBC39" w14:textId="626FD67E" w:rsidR="001A4CB5" w:rsidRPr="001A4CB5" w:rsidRDefault="001A4CB5" w:rsidP="001A4CB5">
          <w:pPr>
            <w:numPr>
              <w:ilvl w:val="0"/>
              <w:numId w:val="11"/>
            </w:numPr>
            <w:rPr>
              <w:rFonts w:ascii="Arial" w:hAnsi="Arial" w:cs="Arial"/>
              <w:lang w:val="en-GB"/>
            </w:rPr>
          </w:pPr>
          <w:r w:rsidRPr="001A4CB5">
            <w:rPr>
              <w:rFonts w:ascii="Arial" w:hAnsi="Arial" w:cs="Arial"/>
              <w:lang w:val="en-GB"/>
            </w:rPr>
            <w:t>Strategic Growth Options and Proposed Strate</w:t>
          </w:r>
          <w:r w:rsidR="00EA75CF">
            <w:rPr>
              <w:rFonts w:ascii="Arial" w:hAnsi="Arial" w:cs="Arial"/>
              <w:lang w:val="en-GB"/>
            </w:rPr>
            <w:t>g</w:t>
          </w:r>
          <w:r w:rsidRPr="001A4CB5">
            <w:rPr>
              <w:rFonts w:ascii="Arial" w:hAnsi="Arial" w:cs="Arial"/>
              <w:lang w:val="en-GB"/>
            </w:rPr>
            <w:t>y</w:t>
          </w:r>
          <w:r w:rsidR="00EA75CF">
            <w:rPr>
              <w:rFonts w:ascii="Arial" w:hAnsi="Arial" w:cs="Arial"/>
              <w:lang w:val="en-GB"/>
            </w:rPr>
            <w:t>…………………..….. Page 6-7</w:t>
          </w:r>
        </w:p>
        <w:p w14:paraId="6E3DAAC6" w14:textId="4A81045F" w:rsidR="001A4CB5" w:rsidRPr="001A4CB5" w:rsidRDefault="001A4CB5" w:rsidP="001A4CB5">
          <w:pPr>
            <w:numPr>
              <w:ilvl w:val="0"/>
              <w:numId w:val="11"/>
            </w:numPr>
            <w:rPr>
              <w:rFonts w:ascii="Arial" w:hAnsi="Arial" w:cs="Arial"/>
              <w:lang w:val="en-GB"/>
            </w:rPr>
          </w:pPr>
          <w:r w:rsidRPr="001A4CB5">
            <w:rPr>
              <w:rFonts w:ascii="Arial" w:hAnsi="Arial" w:cs="Arial"/>
              <w:lang w:val="en-GB"/>
            </w:rPr>
            <w:t>Strategy Evaluation</w:t>
          </w:r>
          <w:r w:rsidR="00EA75CF">
            <w:rPr>
              <w:rFonts w:ascii="Arial" w:hAnsi="Arial" w:cs="Arial"/>
              <w:lang w:val="en-GB"/>
            </w:rPr>
            <w:t xml:space="preserve"> ………………………………………………………..Page 7-8</w:t>
          </w:r>
        </w:p>
        <w:p w14:paraId="4ECD667D" w14:textId="11C05C50" w:rsidR="001A4CB5" w:rsidRPr="001A4CB5" w:rsidRDefault="001A4CB5" w:rsidP="001A4CB5">
          <w:pPr>
            <w:ind w:left="360"/>
            <w:rPr>
              <w:rFonts w:ascii="Arial" w:hAnsi="Arial" w:cs="Arial"/>
              <w:lang w:val="en-GB"/>
            </w:rPr>
          </w:pPr>
          <w:r w:rsidRPr="001A4CB5">
            <w:rPr>
              <w:rFonts w:ascii="Arial" w:hAnsi="Arial" w:cs="Arial"/>
              <w:lang w:val="en-GB"/>
            </w:rPr>
            <w:t> </w:t>
          </w:r>
          <w:r w:rsidRPr="001A4CB5">
            <w:rPr>
              <w:rFonts w:ascii="Arial" w:hAnsi="Arial" w:cs="Arial"/>
              <w:lang w:val="en-GB"/>
            </w:rPr>
            <w:t>5.1 Table: SFA Evaluation of the “Natural Wellness Platform” Strategy</w:t>
          </w:r>
          <w:r w:rsidR="00EA75CF">
            <w:rPr>
              <w:rFonts w:ascii="Arial" w:hAnsi="Arial" w:cs="Arial"/>
              <w:lang w:val="en-GB"/>
            </w:rPr>
            <w:t>…. Page 9</w:t>
          </w:r>
        </w:p>
        <w:p w14:paraId="38E1AD4A" w14:textId="0FD70D97" w:rsidR="001A4CB5" w:rsidRPr="001A4CB5" w:rsidRDefault="001A4CB5" w:rsidP="001A4CB5">
          <w:pPr>
            <w:numPr>
              <w:ilvl w:val="0"/>
              <w:numId w:val="12"/>
            </w:numPr>
            <w:rPr>
              <w:rFonts w:ascii="Arial" w:hAnsi="Arial" w:cs="Arial"/>
              <w:lang w:val="en-GB"/>
            </w:rPr>
          </w:pPr>
          <w:r w:rsidRPr="001A4CB5">
            <w:rPr>
              <w:rFonts w:ascii="Arial" w:hAnsi="Arial" w:cs="Arial"/>
              <w:lang w:val="en-GB"/>
            </w:rPr>
            <w:t>Stakeholder Analysis</w:t>
          </w:r>
          <w:r w:rsidR="00EA75CF">
            <w:rPr>
              <w:rFonts w:ascii="Arial" w:hAnsi="Arial" w:cs="Arial"/>
              <w:lang w:val="en-GB"/>
            </w:rPr>
            <w:t>……………………………………………..………Page 10-11</w:t>
          </w:r>
        </w:p>
        <w:p w14:paraId="44C1CE98" w14:textId="710F22E4" w:rsidR="001A4CB5" w:rsidRPr="001A4CB5" w:rsidRDefault="001A4CB5" w:rsidP="001A4CB5">
          <w:pPr>
            <w:numPr>
              <w:ilvl w:val="0"/>
              <w:numId w:val="12"/>
            </w:numPr>
            <w:rPr>
              <w:rFonts w:ascii="Arial" w:hAnsi="Arial" w:cs="Arial"/>
              <w:lang w:val="en-GB"/>
            </w:rPr>
          </w:pPr>
          <w:r w:rsidRPr="001A4CB5">
            <w:rPr>
              <w:rFonts w:ascii="Arial" w:hAnsi="Arial" w:cs="Arial"/>
              <w:lang w:val="en-GB"/>
            </w:rPr>
            <w:t>Implementation and Monitoring</w:t>
          </w:r>
          <w:r w:rsidR="00EA75CF">
            <w:rPr>
              <w:rFonts w:ascii="Arial" w:hAnsi="Arial" w:cs="Arial"/>
              <w:lang w:val="en-GB"/>
            </w:rPr>
            <w:t xml:space="preserve"> ……………………………………….…..Page 12</w:t>
          </w:r>
        </w:p>
        <w:p w14:paraId="5A1F6779" w14:textId="3A7C6213" w:rsidR="001A4CB5" w:rsidRPr="001A4CB5" w:rsidRDefault="001A4CB5" w:rsidP="00EA75CF">
          <w:pPr>
            <w:tabs>
              <w:tab w:val="left" w:pos="7066"/>
            </w:tabs>
            <w:ind w:left="360"/>
            <w:rPr>
              <w:rFonts w:ascii="Arial" w:hAnsi="Arial" w:cs="Arial"/>
              <w:lang w:val="en-GB"/>
            </w:rPr>
          </w:pPr>
          <w:r w:rsidRPr="001A4CB5">
            <w:rPr>
              <w:rFonts w:ascii="Arial" w:hAnsi="Arial" w:cs="Arial"/>
              <w:lang w:val="en-GB"/>
            </w:rPr>
            <w:t> </w:t>
          </w:r>
          <w:r w:rsidRPr="001A4CB5">
            <w:rPr>
              <w:rFonts w:ascii="Arial" w:hAnsi="Arial" w:cs="Arial"/>
              <w:lang w:val="en-GB"/>
            </w:rPr>
            <w:t>7.1 Key Performance Indicators</w:t>
          </w:r>
          <w:r w:rsidR="00EA75CF">
            <w:rPr>
              <w:rFonts w:ascii="Arial" w:hAnsi="Arial" w:cs="Arial"/>
              <w:lang w:val="en-GB"/>
            </w:rPr>
            <w:t xml:space="preserve"> ………………………………………….… Page 13</w:t>
          </w:r>
        </w:p>
        <w:p w14:paraId="01D16706" w14:textId="52EBCA0D" w:rsidR="001A4CB5" w:rsidRPr="001A4CB5" w:rsidRDefault="001A4CB5" w:rsidP="00EA75CF">
          <w:pPr>
            <w:tabs>
              <w:tab w:val="left" w:pos="7066"/>
            </w:tabs>
            <w:ind w:left="360"/>
            <w:rPr>
              <w:rFonts w:ascii="Arial" w:hAnsi="Arial" w:cs="Arial"/>
              <w:lang w:val="en-GB"/>
            </w:rPr>
          </w:pPr>
          <w:r w:rsidRPr="001A4CB5">
            <w:rPr>
              <w:rFonts w:ascii="Arial" w:hAnsi="Arial" w:cs="Arial"/>
              <w:lang w:val="en-GB"/>
            </w:rPr>
            <w:t> </w:t>
          </w:r>
          <w:r w:rsidRPr="001A4CB5">
            <w:rPr>
              <w:rFonts w:ascii="Arial" w:hAnsi="Arial" w:cs="Arial"/>
              <w:lang w:val="en-GB"/>
            </w:rPr>
            <w:t>7.2 Implementation Timeline</w:t>
          </w:r>
          <w:r w:rsidR="00EA75CF">
            <w:rPr>
              <w:rFonts w:ascii="Arial" w:hAnsi="Arial" w:cs="Arial"/>
              <w:lang w:val="en-GB"/>
            </w:rPr>
            <w:t xml:space="preserve"> </w:t>
          </w:r>
          <w:r w:rsidR="00EA75CF">
            <w:rPr>
              <w:rFonts w:ascii="Arial" w:hAnsi="Arial" w:cs="Arial"/>
              <w:lang w:val="en-GB"/>
            </w:rPr>
            <w:t>…………………</w:t>
          </w:r>
          <w:r w:rsidR="00EA75CF">
            <w:rPr>
              <w:rFonts w:ascii="Arial" w:hAnsi="Arial" w:cs="Arial"/>
              <w:lang w:val="en-GB"/>
            </w:rPr>
            <w:t>…………………….</w:t>
          </w:r>
          <w:r w:rsidR="00EA75CF">
            <w:rPr>
              <w:rFonts w:ascii="Arial" w:hAnsi="Arial" w:cs="Arial"/>
              <w:lang w:val="en-GB"/>
            </w:rPr>
            <w:t>……… Page 1</w:t>
          </w:r>
          <w:r w:rsidR="00EA75CF">
            <w:rPr>
              <w:rFonts w:ascii="Arial" w:hAnsi="Arial" w:cs="Arial"/>
              <w:lang w:val="en-GB"/>
            </w:rPr>
            <w:t>3</w:t>
          </w:r>
        </w:p>
        <w:p w14:paraId="596A1164" w14:textId="7DD0E7D0" w:rsidR="001A4CB5" w:rsidRPr="001A4CB5" w:rsidRDefault="001A4CB5" w:rsidP="00EA75CF">
          <w:pPr>
            <w:tabs>
              <w:tab w:val="left" w:pos="7066"/>
            </w:tabs>
            <w:ind w:left="360"/>
            <w:rPr>
              <w:rFonts w:ascii="Arial" w:hAnsi="Arial" w:cs="Arial"/>
              <w:lang w:val="en-GB"/>
            </w:rPr>
          </w:pPr>
          <w:r w:rsidRPr="001A4CB5">
            <w:rPr>
              <w:rFonts w:ascii="Arial" w:hAnsi="Arial" w:cs="Arial"/>
              <w:lang w:val="en-GB"/>
            </w:rPr>
            <w:t>Conclusion</w:t>
          </w:r>
          <w:r w:rsidR="00EA75CF">
            <w:rPr>
              <w:rFonts w:ascii="Arial" w:hAnsi="Arial" w:cs="Arial"/>
              <w:lang w:val="en-GB"/>
            </w:rPr>
            <w:t xml:space="preserve"> </w:t>
          </w:r>
          <w:r w:rsidR="00EA75CF">
            <w:rPr>
              <w:rFonts w:ascii="Arial" w:hAnsi="Arial" w:cs="Arial"/>
              <w:lang w:val="en-GB"/>
            </w:rPr>
            <w:t>…………………………</w:t>
          </w:r>
          <w:r w:rsidR="00EA75CF">
            <w:rPr>
              <w:rFonts w:ascii="Arial" w:hAnsi="Arial" w:cs="Arial"/>
              <w:lang w:val="en-GB"/>
            </w:rPr>
            <w:t>……………………………………………</w:t>
          </w:r>
          <w:r w:rsidR="00EA75CF">
            <w:rPr>
              <w:rFonts w:ascii="Arial" w:hAnsi="Arial" w:cs="Arial"/>
              <w:lang w:val="en-GB"/>
            </w:rPr>
            <w:t xml:space="preserve"> Page 1</w:t>
          </w:r>
          <w:r w:rsidR="00EA75CF">
            <w:rPr>
              <w:rFonts w:ascii="Arial" w:hAnsi="Arial" w:cs="Arial"/>
              <w:lang w:val="en-GB"/>
            </w:rPr>
            <w:t>4</w:t>
          </w:r>
        </w:p>
        <w:p w14:paraId="552A1CB8" w14:textId="79435EE8" w:rsidR="001A4CB5" w:rsidRPr="001A4CB5" w:rsidRDefault="001A4CB5" w:rsidP="00EA75CF">
          <w:pPr>
            <w:tabs>
              <w:tab w:val="left" w:pos="7066"/>
            </w:tabs>
            <w:ind w:left="360"/>
            <w:rPr>
              <w:rFonts w:ascii="Arial" w:hAnsi="Arial" w:cs="Arial"/>
              <w:lang w:val="en-GB"/>
            </w:rPr>
          </w:pPr>
          <w:r w:rsidRPr="001A4CB5">
            <w:rPr>
              <w:rFonts w:ascii="Arial" w:hAnsi="Arial" w:cs="Arial"/>
              <w:lang w:val="en-GB"/>
            </w:rPr>
            <w:t>References List</w:t>
          </w:r>
          <w:r w:rsidR="00EA75CF">
            <w:rPr>
              <w:rFonts w:ascii="Arial" w:hAnsi="Arial" w:cs="Arial"/>
              <w:lang w:val="en-GB"/>
            </w:rPr>
            <w:t xml:space="preserve"> </w:t>
          </w:r>
          <w:r w:rsidR="00EA75CF">
            <w:rPr>
              <w:rFonts w:ascii="Arial" w:hAnsi="Arial" w:cs="Arial"/>
              <w:lang w:val="en-GB"/>
            </w:rPr>
            <w:t>……………………</w:t>
          </w:r>
          <w:r w:rsidR="00EA75CF">
            <w:rPr>
              <w:rFonts w:ascii="Arial" w:hAnsi="Arial" w:cs="Arial"/>
              <w:lang w:val="en-GB"/>
            </w:rPr>
            <w:t>……………………………………...</w:t>
          </w:r>
          <w:r w:rsidR="00EA75CF">
            <w:rPr>
              <w:rFonts w:ascii="Arial" w:hAnsi="Arial" w:cs="Arial"/>
              <w:lang w:val="en-GB"/>
            </w:rPr>
            <w:t>…… Page 1</w:t>
          </w:r>
          <w:r w:rsidR="00EA75CF">
            <w:rPr>
              <w:rFonts w:ascii="Arial" w:hAnsi="Arial" w:cs="Arial"/>
              <w:lang w:val="en-GB"/>
            </w:rPr>
            <w:t>5-17</w:t>
          </w:r>
        </w:p>
        <w:p w14:paraId="092A20A6" w14:textId="77777777" w:rsidR="001A4CB5" w:rsidRPr="006D387F" w:rsidRDefault="001A4CB5" w:rsidP="001A4CB5">
          <w:pPr>
            <w:rPr>
              <w:rFonts w:ascii="Arial" w:hAnsi="Arial" w:cs="Arial"/>
              <w:color w:val="00B050"/>
            </w:rPr>
          </w:pPr>
        </w:p>
        <w:p w14:paraId="69E48319" w14:textId="77777777" w:rsidR="001A4CB5" w:rsidRPr="006D387F" w:rsidRDefault="001A4CB5" w:rsidP="001A4CB5">
          <w:pPr>
            <w:rPr>
              <w:rFonts w:ascii="Arial" w:hAnsi="Arial" w:cs="Arial"/>
              <w:color w:val="00B050"/>
            </w:rPr>
          </w:pPr>
        </w:p>
        <w:p w14:paraId="58E6DD09" w14:textId="77777777" w:rsidR="001A4CB5" w:rsidRPr="006D387F" w:rsidRDefault="001A4CB5" w:rsidP="001A4CB5">
          <w:pPr>
            <w:rPr>
              <w:rFonts w:ascii="Arial" w:hAnsi="Arial" w:cs="Arial"/>
              <w:color w:val="00B050"/>
            </w:rPr>
          </w:pPr>
        </w:p>
        <w:p w14:paraId="2D3AC435" w14:textId="67E35C02" w:rsidR="001A4CB5" w:rsidRPr="006D387F" w:rsidRDefault="001A4CB5" w:rsidP="001A4CB5">
          <w:pPr>
            <w:rPr>
              <w:rFonts w:ascii="Arial" w:hAnsi="Arial" w:cs="Arial"/>
              <w:color w:val="00B050"/>
            </w:rPr>
          </w:pPr>
        </w:p>
        <w:p w14:paraId="25AFBA66" w14:textId="77777777" w:rsidR="001A4CB5" w:rsidRPr="006D387F" w:rsidRDefault="001A4CB5" w:rsidP="001A4CB5">
          <w:pPr>
            <w:rPr>
              <w:rFonts w:ascii="Arial" w:hAnsi="Arial" w:cs="Arial"/>
              <w:color w:val="00B050"/>
            </w:rPr>
          </w:pPr>
        </w:p>
        <w:p w14:paraId="3720F082" w14:textId="77777777" w:rsidR="001A4CB5" w:rsidRPr="006D387F" w:rsidRDefault="001A4CB5" w:rsidP="001A4CB5">
          <w:pPr>
            <w:rPr>
              <w:rFonts w:ascii="Arial" w:hAnsi="Arial" w:cs="Arial"/>
              <w:color w:val="00B050"/>
            </w:rPr>
          </w:pPr>
        </w:p>
        <w:p w14:paraId="6A0BCAC8" w14:textId="77777777" w:rsidR="001A4CB5" w:rsidRPr="006D387F" w:rsidRDefault="001A4CB5" w:rsidP="001A4CB5">
          <w:pPr>
            <w:rPr>
              <w:rFonts w:ascii="Arial" w:hAnsi="Arial" w:cs="Arial"/>
              <w:color w:val="00B050"/>
            </w:rPr>
          </w:pPr>
        </w:p>
        <w:p w14:paraId="03577123" w14:textId="77777777" w:rsidR="001A4CB5" w:rsidRPr="006D387F" w:rsidRDefault="001A4CB5" w:rsidP="001A4CB5">
          <w:pPr>
            <w:rPr>
              <w:rFonts w:ascii="Arial" w:hAnsi="Arial" w:cs="Arial"/>
              <w:color w:val="00B050"/>
            </w:rPr>
          </w:pPr>
        </w:p>
        <w:p w14:paraId="2AB9B344" w14:textId="77777777" w:rsidR="00C04758" w:rsidRPr="006D387F" w:rsidRDefault="00C04758" w:rsidP="001A4CB5">
          <w:pPr>
            <w:rPr>
              <w:rFonts w:ascii="Arial" w:hAnsi="Arial" w:cs="Arial"/>
              <w:color w:val="00B050"/>
            </w:rPr>
          </w:pPr>
        </w:p>
        <w:p w14:paraId="0E614526" w14:textId="77777777" w:rsidR="00C04758" w:rsidRPr="006D387F" w:rsidRDefault="00C04758" w:rsidP="001A4CB5">
          <w:pPr>
            <w:rPr>
              <w:rFonts w:ascii="Arial" w:hAnsi="Arial" w:cs="Arial"/>
              <w:color w:val="00B050"/>
            </w:rPr>
          </w:pPr>
        </w:p>
        <w:p w14:paraId="204B9DE4" w14:textId="77777777" w:rsidR="00C04758" w:rsidRPr="006D387F" w:rsidRDefault="00EA75CF" w:rsidP="001A4CB5">
          <w:pPr>
            <w:rPr>
              <w:rFonts w:ascii="Arial" w:hAnsi="Arial" w:cs="Arial"/>
              <w:color w:val="00B050"/>
            </w:rPr>
          </w:pPr>
        </w:p>
      </w:sdtContent>
    </w:sdt>
    <w:p w14:paraId="728D388B" w14:textId="77777777" w:rsidR="006D387F" w:rsidRDefault="006D387F" w:rsidP="001A4CB5">
      <w:pPr>
        <w:rPr>
          <w:rFonts w:ascii="Arial" w:hAnsi="Arial" w:cs="Arial"/>
          <w:color w:val="00B050"/>
        </w:rPr>
      </w:pPr>
    </w:p>
    <w:p w14:paraId="762E4BD7" w14:textId="77777777" w:rsidR="006D387F" w:rsidRDefault="006D387F" w:rsidP="001A4CB5">
      <w:pPr>
        <w:rPr>
          <w:rFonts w:ascii="Arial" w:hAnsi="Arial" w:cs="Arial"/>
          <w:color w:val="00B050"/>
        </w:rPr>
      </w:pPr>
    </w:p>
    <w:p w14:paraId="1CEFBB8C" w14:textId="2EBF2655" w:rsidR="006006FA" w:rsidRPr="006D387F" w:rsidRDefault="008C6D1A" w:rsidP="001A4CB5">
      <w:pPr>
        <w:rPr>
          <w:rFonts w:ascii="Arial" w:hAnsi="Arial" w:cs="Arial"/>
          <w:color w:val="00B050"/>
        </w:rPr>
      </w:pPr>
      <w:r w:rsidRPr="006D387F">
        <w:rPr>
          <w:rFonts w:ascii="Arial" w:hAnsi="Arial" w:cs="Arial"/>
          <w:color w:val="00B050"/>
        </w:rPr>
        <w:lastRenderedPageBreak/>
        <w:t>1. Executive Summary (Approximately 250 words)</w:t>
      </w:r>
    </w:p>
    <w:p w14:paraId="439A4494" w14:textId="39F38719" w:rsidR="00A80331" w:rsidRPr="006D387F" w:rsidRDefault="00A80331" w:rsidP="00A80331">
      <w:pPr>
        <w:rPr>
          <w:rFonts w:ascii="Arial" w:hAnsi="Arial" w:cs="Arial"/>
          <w:lang w:val="en-GB"/>
        </w:rPr>
      </w:pPr>
      <w:r w:rsidRPr="006D387F">
        <w:rPr>
          <w:rFonts w:ascii="Arial" w:hAnsi="Arial" w:cs="Arial"/>
          <w:lang w:val="en-GB"/>
        </w:rPr>
        <w:t>After graduation, I was appointed as a strategic planning advisor at Innocent Drinks, the UK-based leader in natural and healthy beverages, tasked with proposing sustainable growth strategies. This report evaluates the company’s current strategic position and recommends a growth strategy that aligns with its mission to provide natural, healthy products and its vision to leave a positive social and environmental impact (Innocent Drinks, 2023).</w:t>
      </w:r>
    </w:p>
    <w:p w14:paraId="75575A99" w14:textId="77777777" w:rsidR="001F40A0" w:rsidRPr="006D387F" w:rsidRDefault="00A80331" w:rsidP="00A80331">
      <w:pPr>
        <w:rPr>
          <w:rFonts w:ascii="Arial" w:hAnsi="Arial" w:cs="Arial"/>
          <w:lang w:val="en-GB"/>
        </w:rPr>
      </w:pPr>
      <w:r w:rsidRPr="006D387F">
        <w:rPr>
          <w:rFonts w:ascii="Arial" w:hAnsi="Arial" w:cs="Arial"/>
          <w:lang w:val="en-GB"/>
        </w:rPr>
        <w:t xml:space="preserve">External analysis using PESTEL and competitive evaluation through Porter’s Five Forces highlight significant opportunities, including expansion into high-growth international markets, rising demand for organic and sustainable products, and leveraging sustainability as a competitive advantage (Burns-Callander, 2015; Schmick, 2015). </w:t>
      </w:r>
    </w:p>
    <w:p w14:paraId="6997E970" w14:textId="30BA3874" w:rsidR="001F40A0" w:rsidRPr="006D387F" w:rsidRDefault="001F40A0" w:rsidP="00A80331">
      <w:pPr>
        <w:rPr>
          <w:rFonts w:ascii="Arial" w:hAnsi="Arial" w:cs="Arial"/>
          <w:lang w:val="en-GB"/>
        </w:rPr>
      </w:pPr>
      <w:r w:rsidRPr="006D387F">
        <w:rPr>
          <w:rFonts w:ascii="Arial" w:hAnsi="Arial" w:cs="Arial"/>
        </w:rPr>
        <w:t>Strategic management research suggests that sustainability leadership can strengthen brand equity and long-term competitive advantage within consumer goods markets, particularly where consumers increasingly prioritize ethical and environmental values (Porter and Kramer, 2011).</w:t>
      </w:r>
    </w:p>
    <w:p w14:paraId="5F8E2BB8" w14:textId="70332675" w:rsidR="00A80331" w:rsidRPr="006D387F" w:rsidRDefault="00A80331" w:rsidP="00A80331">
      <w:pPr>
        <w:rPr>
          <w:rFonts w:ascii="Arial" w:hAnsi="Arial" w:cs="Arial"/>
          <w:lang w:val="en-GB"/>
        </w:rPr>
      </w:pPr>
      <w:r w:rsidRPr="006D387F">
        <w:rPr>
          <w:rFonts w:ascii="Arial" w:hAnsi="Arial" w:cs="Arial"/>
          <w:lang w:val="en-GB"/>
        </w:rPr>
        <w:t>At the same time, challenges include increasing competition from other brands and DIY smoothies, regulatory pressures on sugar content, and high production costs (Innocent, 2016; Roderick, 2016).</w:t>
      </w:r>
    </w:p>
    <w:p w14:paraId="0C08F58F" w14:textId="77777777" w:rsidR="00A80331" w:rsidRPr="006D387F" w:rsidRDefault="00A80331" w:rsidP="00A80331">
      <w:pPr>
        <w:rPr>
          <w:rFonts w:ascii="Arial" w:hAnsi="Arial" w:cs="Arial"/>
          <w:lang w:val="en-GB"/>
        </w:rPr>
      </w:pPr>
      <w:r w:rsidRPr="006D387F">
        <w:rPr>
          <w:rFonts w:ascii="Arial" w:hAnsi="Arial" w:cs="Arial"/>
          <w:lang w:val="en-GB"/>
        </w:rPr>
        <w:t>Internal analysis using SWOT identifies key strengths such as brand reputation, ethical credibility, continuous product innovation, and efficient distribution networks, while weaknesses include high production costs and limited presence in some international markets.</w:t>
      </w:r>
    </w:p>
    <w:p w14:paraId="349DDE49" w14:textId="37FB6D74" w:rsidR="001F40A0" w:rsidRPr="006D387F" w:rsidRDefault="00D6514A" w:rsidP="00A80331">
      <w:pPr>
        <w:rPr>
          <w:rFonts w:ascii="Arial" w:hAnsi="Arial" w:cs="Arial"/>
          <w:lang w:val="en-GB"/>
        </w:rPr>
      </w:pPr>
      <w:r w:rsidRPr="006D387F">
        <w:rPr>
          <w:rFonts w:ascii="Arial" w:hAnsi="Arial" w:cs="Arial"/>
        </w:rPr>
        <w:t>Based on these insights, a sustainability-driven product development strategy focused on wellness beverages and circular packaging initiatives is recommended to strengthen Innocent’s differentiation while addressing evolving consumer expectations.</w:t>
      </w:r>
    </w:p>
    <w:p w14:paraId="61330E33" w14:textId="1C1033BF" w:rsidR="00A80331" w:rsidRPr="006D387F" w:rsidRDefault="00A80331" w:rsidP="00A80331">
      <w:pPr>
        <w:rPr>
          <w:rFonts w:ascii="Arial" w:hAnsi="Arial" w:cs="Arial"/>
          <w:lang w:val="en-GB"/>
        </w:rPr>
      </w:pPr>
      <w:r w:rsidRPr="006D387F">
        <w:rPr>
          <w:rFonts w:ascii="Arial" w:hAnsi="Arial" w:cs="Arial"/>
          <w:lang w:val="en-GB"/>
        </w:rPr>
        <w:t>The strategy includes gradual implementation, monitoring of key performance indicators (KPIs), and stakeholder engagement to ensure successful execution. This approach balances strategic ambition with operational practicality, protects the brand, supports the environment, and creates long-term value for shareholders, employees, and customers.</w:t>
      </w:r>
    </w:p>
    <w:p w14:paraId="33FAB8B0" w14:textId="11972C34" w:rsidR="006006FA" w:rsidRPr="006D387F" w:rsidRDefault="006006FA">
      <w:pPr>
        <w:rPr>
          <w:rFonts w:ascii="Arial" w:hAnsi="Arial" w:cs="Arial"/>
        </w:rPr>
      </w:pPr>
    </w:p>
    <w:p w14:paraId="4B1A5101" w14:textId="77777777" w:rsidR="00F63723" w:rsidRPr="006D387F" w:rsidRDefault="00F63723">
      <w:pPr>
        <w:pStyle w:val="Heading2"/>
        <w:rPr>
          <w:rFonts w:ascii="Arial" w:hAnsi="Arial" w:cs="Arial"/>
          <w:color w:val="00B050"/>
          <w:sz w:val="22"/>
          <w:szCs w:val="22"/>
        </w:rPr>
      </w:pPr>
    </w:p>
    <w:p w14:paraId="0EA79FDE" w14:textId="77777777" w:rsidR="006D387F" w:rsidRDefault="006D387F">
      <w:pPr>
        <w:pStyle w:val="Heading2"/>
        <w:rPr>
          <w:rFonts w:ascii="Arial" w:hAnsi="Arial" w:cs="Arial"/>
          <w:color w:val="00B050"/>
          <w:sz w:val="22"/>
          <w:szCs w:val="22"/>
        </w:rPr>
      </w:pPr>
    </w:p>
    <w:p w14:paraId="19236391" w14:textId="77777777" w:rsidR="006D387F" w:rsidRPr="006D387F" w:rsidRDefault="006D387F" w:rsidP="006D387F"/>
    <w:p w14:paraId="3D292E86" w14:textId="77777777" w:rsidR="006D387F" w:rsidRDefault="006D387F">
      <w:pPr>
        <w:pStyle w:val="Heading2"/>
        <w:rPr>
          <w:rFonts w:ascii="Arial" w:hAnsi="Arial" w:cs="Arial"/>
          <w:color w:val="00B050"/>
          <w:sz w:val="22"/>
          <w:szCs w:val="22"/>
        </w:rPr>
      </w:pPr>
    </w:p>
    <w:p w14:paraId="348C05B7" w14:textId="022F8945" w:rsidR="006006FA" w:rsidRDefault="008C6D1A">
      <w:pPr>
        <w:pStyle w:val="Heading2"/>
        <w:rPr>
          <w:rFonts w:ascii="Arial" w:hAnsi="Arial" w:cs="Arial"/>
          <w:color w:val="00B050"/>
          <w:sz w:val="22"/>
          <w:szCs w:val="22"/>
        </w:rPr>
      </w:pPr>
      <w:r w:rsidRPr="006D387F">
        <w:rPr>
          <w:rFonts w:ascii="Arial" w:hAnsi="Arial" w:cs="Arial"/>
          <w:color w:val="00B050"/>
          <w:sz w:val="22"/>
          <w:szCs w:val="22"/>
        </w:rPr>
        <w:t>2. Introduction to Innocent Drinks</w:t>
      </w:r>
    </w:p>
    <w:p w14:paraId="67F16BC7" w14:textId="77777777" w:rsidR="00563972" w:rsidRDefault="00563972" w:rsidP="00563972"/>
    <w:p w14:paraId="0CDC4F2C" w14:textId="2D4C6CA9" w:rsidR="00563972" w:rsidRPr="00563972" w:rsidRDefault="00563972" w:rsidP="00563972">
      <w:pPr>
        <w:rPr>
          <w:lang w:val="en-GB"/>
        </w:rPr>
      </w:pPr>
      <w:r w:rsidRPr="00563972">
        <w:rPr>
          <w:lang w:val="en-GB"/>
        </w:rPr>
        <w:t>The global health and wellness beverage market has transformed as consumers increasingly demand products that are nutritious, ethical and environmentally responsible. Strategic management literature emphasises that firms in fast-moving consumer goods markets must adapt to evolving consumer values to maintain competitive advantage (Johnson, Scholes and Whittington, 2017). In this context, Innocent Drinks has emerged as a distinctive brand by embedding social and environmental values within its core strategy rather than treating them as marketing tools (Innocent Drinks, 2023).</w:t>
      </w:r>
    </w:p>
    <w:p w14:paraId="7AD611A4" w14:textId="77777777" w:rsidR="00563972" w:rsidRPr="00563972" w:rsidRDefault="00563972" w:rsidP="00563972">
      <w:pPr>
        <w:rPr>
          <w:lang w:val="en-GB"/>
        </w:rPr>
      </w:pPr>
      <w:r w:rsidRPr="00563972">
        <w:rPr>
          <w:lang w:val="en-GB"/>
        </w:rPr>
        <w:t>Founded in the United Kingdom in 1999, Innocent Drinks has become one of Europe’s leading health-focused beverage brands, specialising in smoothies, juices and plant-based drinks. Its mission, “to make natural, delicious food and drink that helps people live well and die old,” reflects growing consumer interest in preventative health (Innocent Drinks, 2023). B Corporation certification further reinforces its commitment to balancing profit with social and environmental responsibility (B Lab, 2025). However, ethical sourcing and sustainable supply chains increase operational costs, creating strategic tensions as Innocent pursues growth while maintaining brand authenticity (Porter and Kramer, 2011).</w:t>
      </w:r>
    </w:p>
    <w:p w14:paraId="3D4816D6" w14:textId="77777777" w:rsidR="00563972" w:rsidRPr="00563972" w:rsidRDefault="00563972" w:rsidP="00563972"/>
    <w:p w14:paraId="00BFDB07" w14:textId="77777777" w:rsidR="00D6514A" w:rsidRPr="006D387F" w:rsidRDefault="00D6514A" w:rsidP="00D6514A">
      <w:pPr>
        <w:rPr>
          <w:rFonts w:ascii="Arial" w:hAnsi="Arial" w:cs="Arial"/>
          <w:lang w:val="en-GB"/>
        </w:rPr>
      </w:pPr>
    </w:p>
    <w:p w14:paraId="4D1ED4B9" w14:textId="649EF73A" w:rsidR="006006FA" w:rsidRPr="006D387F" w:rsidRDefault="008C6D1A" w:rsidP="00A80331">
      <w:pPr>
        <w:pStyle w:val="Heading2"/>
        <w:rPr>
          <w:rFonts w:ascii="Arial" w:hAnsi="Arial" w:cs="Arial"/>
          <w:color w:val="00B050"/>
          <w:sz w:val="22"/>
          <w:szCs w:val="22"/>
        </w:rPr>
      </w:pPr>
      <w:r w:rsidRPr="006D387F">
        <w:rPr>
          <w:rFonts w:ascii="Arial" w:hAnsi="Arial" w:cs="Arial"/>
          <w:color w:val="00B050"/>
          <w:sz w:val="22"/>
          <w:szCs w:val="22"/>
        </w:rPr>
        <w:lastRenderedPageBreak/>
        <w:t>3. Evaluation of Current Market Situation</w:t>
      </w:r>
    </w:p>
    <w:p w14:paraId="7812F438" w14:textId="4440150C"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The UK fruit juice, juice drinks and smoothie’s category has experienced significant structural changes in recent years, driven by evolving consumer health preferences, economic pressures and increasing competitive intensity. The broader UK non-alcoholic beverages market was valued at approximately USD 45.89 billion in 2024 and is expected to continue expanding as consumers increasingly seek healthier beverage alternatives (TechSci Research, 2024). Within this wider category, smoothies remain a smaller but strategically important segment. The UK smoothies market generated approximately USD 756.6 million in revenue in 2023, with future growth expected to be driven by health-conscious consumption patterns and convenient on-the-go lifestyles (Grand View Research, 2024; Deep Market Insights, 2024).</w:t>
      </w:r>
    </w:p>
    <w:p w14:paraId="2022B393" w14:textId="137C8307"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A PESTEL analysis highlights several macro-environmental factors shaping Innocent Drinks’ strategic environment. Politically, regulatory pressure around public health and environmental responsibility has increased significantly. The UK government’s Soft Drinks Industry Levy has encouraged manufacturers to reduce sugar content and reformulate beverages in response to concerns about obesity and public health (Department of Health and Social Care, 2025). This regulatory context creates both constraints and opportunities for Innocent: while compliance requires reformulation and monitoring, it simultaneously strengthens demand for lower-sugar beverages that align with the company’s health-focused brand positioning.</w:t>
      </w:r>
    </w:p>
    <w:p w14:paraId="6E4FC1E0" w14:textId="23B1D0FC"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Economic factors also play a critical role in shaping consumer behaviour within the beverage market. Persistent food and beverage inflation during 2023 and 2024 has reduced household purchasing power, increasing price sensitivity across fast-moving consumer goods (UK Government Food Statistics, 2025). As a result, consumers have increasingly shifted toward cheaper alternatives, including private-label beverages sold by major supermarket chains. Mintel (2025) reports that a significant proportion of UK shoppers changed purchasing habits in response to rising prices between 2022 and 2025. For premium smoothie brands such as Innocent, this trend increases pressure to clearly justify higher price points through perceived health benefits, product quality and sustainability credentials.</w:t>
      </w:r>
    </w:p>
    <w:p w14:paraId="25AC8CBD" w14:textId="27A8E6C3"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Social trends have been particularly influential in shaping demand within the beverage sector. Consumers increasingly favour products that support health, wellbeing and ethical consumption. Research suggests that perceived nutritional value and environmental responsibility significantly influence consumer purchase intentions within the beverage industry (Kowalska, Guzek and Ołpińska-Parzyńska, 2024). This shift is reflected in the growth of the functional beverage segment, which is projected to reach approximately £2.4 billion in the UK by 2024 (TheOnTrade, 2025). These developments indicate growing demand for beverages that provide everyday wellness benefits rather than simply refreshment, creating opportunities for brands capable of delivering credible health-oriented innovation.</w:t>
      </w:r>
    </w:p>
    <w:p w14:paraId="7E1A4EB5" w14:textId="5D2ACC85"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lastRenderedPageBreak/>
        <w:t>Technological and environmental factors further shape the strategic context for Innocent Drinks. Increasing regulatory and consumer expectations regarding sustainability have accelerated innovation in recyclable packaging, carbon-neutral production processes and supply chain transparency. Innocent’s investment in its all-electric “Blender” production facility in the Netherlands demonstrates an attempt to reduce operational emissions while improving long-term manufacturing efficiency. However, beverage producers remain dependent on agricultural supply chains, which are increasingly exposed to climate-related risks such as extreme weather events and crop volatility. As sustainability expectations continue to rise, companies must therefore integrate environmental considerations throughout their supply chains rather than treating them solely as marketing initiatives.</w:t>
      </w:r>
    </w:p>
    <w:p w14:paraId="524A75F5" w14:textId="77777777"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In addition to these macro-environmental factors, the competitive structure of the beverage industry can be further analysed using Porter’s Five Forces framework (Porter, 2008). Rivalry among existing competitors is particularly intense within the juice and smoothie sector. Established beverage brands compete directly with private-label supermarket alternatives and emerging health-focused beverage companies. Price promotions and product innovation are commonly used to maintain market share, which places pressure on profit margins.</w:t>
      </w:r>
    </w:p>
    <w:p w14:paraId="6EAE1073" w14:textId="47B2CD3A"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The bargaining power of retailers is also substantial. Large supermarket chains such as Tesco and Sainsbury’s dominate distribution channels and exercise significant influence over product placement, pricing and promotional strategies (Mintel, 2025). This concentration of retail power limits manufacturers’ ability to control shelf visibility and pricing strategies, making strong brand differentiation essential for maintaining competitive positioning.</w:t>
      </w:r>
    </w:p>
    <w:p w14:paraId="79007EEB" w14:textId="57A1A119"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The threat of substitutes is also relatively high. Consumers increasingly substitute smoothies with alternative beverages such as protein drinks, plant-based milks and functional hydration products. In addition, some consumers choose to prepare smoothies at home using fresh fruit, further intensifying competitive pressure within the category.</w:t>
      </w:r>
    </w:p>
    <w:p w14:paraId="019EE028" w14:textId="77777777"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The threat of new entrants is moderate. While brand development and distribution networks create entry barriers, the growing popularity of health beverages has encouraged smaller start-ups and niche wellness brands to enter the market. Supplier power remains moderate, although beverage manufacturers remain vulnerable to fluctuations in fruit prices and agricultural supply conditions.</w:t>
      </w:r>
    </w:p>
    <w:p w14:paraId="68E8C252" w14:textId="15406AD1"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Collectively, these environmental and competitive dynamics highlight a clear strategic implication: future growth within the beverage industry will depend less on price competition and more on credible innovation linked to health, nutrition and sustainability.</w:t>
      </w:r>
    </w:p>
    <w:p w14:paraId="2AEDD772" w14:textId="18D594B9" w:rsidR="00FF4D96" w:rsidRPr="006D387F" w:rsidRDefault="00FF4D96" w:rsidP="00FF4D96">
      <w:pPr>
        <w:pStyle w:val="Heading2"/>
        <w:rPr>
          <w:rFonts w:ascii="Arial" w:eastAsiaTheme="minorEastAsia" w:hAnsi="Arial" w:cs="Arial"/>
          <w:b w:val="0"/>
          <w:bCs w:val="0"/>
          <w:color w:val="auto"/>
          <w:sz w:val="22"/>
          <w:szCs w:val="22"/>
          <w:lang w:val="en-GB"/>
        </w:rPr>
      </w:pPr>
      <w:r w:rsidRPr="006D387F">
        <w:rPr>
          <w:rFonts w:ascii="Arial" w:eastAsiaTheme="minorEastAsia" w:hAnsi="Arial" w:cs="Arial"/>
          <w:b w:val="0"/>
          <w:bCs w:val="0"/>
          <w:color w:val="auto"/>
          <w:sz w:val="22"/>
          <w:szCs w:val="22"/>
          <w:lang w:val="en-GB"/>
        </w:rPr>
        <w:t>For Innocent Drinks, this analysis suggests that sustainable competitive advantage is most likely to arise from product innovation within wellness-oriented beverage segments rather than relying solely on market penetration within existing smoothie categories.</w:t>
      </w:r>
    </w:p>
    <w:p w14:paraId="6ECDDEE4" w14:textId="50470CA7" w:rsidR="00FF4D96" w:rsidRPr="006D387F" w:rsidRDefault="008C6D1A" w:rsidP="00FF4D96">
      <w:pPr>
        <w:pStyle w:val="Heading2"/>
        <w:rPr>
          <w:rFonts w:ascii="Arial" w:hAnsi="Arial" w:cs="Arial"/>
          <w:color w:val="00B050"/>
          <w:sz w:val="22"/>
          <w:szCs w:val="22"/>
        </w:rPr>
      </w:pPr>
      <w:r w:rsidRPr="006D387F">
        <w:rPr>
          <w:rFonts w:ascii="Arial" w:hAnsi="Arial" w:cs="Arial"/>
          <w:color w:val="00B050"/>
          <w:sz w:val="22"/>
          <w:szCs w:val="22"/>
        </w:rPr>
        <w:lastRenderedPageBreak/>
        <w:t>4. Strategic Growth Options and Proposed Strategy</w:t>
      </w:r>
    </w:p>
    <w:p w14:paraId="4CCEDA40" w14:textId="77777777" w:rsidR="00FF4D96" w:rsidRPr="006D387F" w:rsidRDefault="00FF4D96" w:rsidP="00FF4D96">
      <w:pPr>
        <w:rPr>
          <w:rFonts w:ascii="Arial" w:hAnsi="Arial" w:cs="Arial"/>
        </w:rPr>
      </w:pPr>
    </w:p>
    <w:p w14:paraId="3FA44F09" w14:textId="4E11EC77" w:rsidR="00CB3197" w:rsidRPr="00CB3197" w:rsidRDefault="00CB3197" w:rsidP="00CB3197">
      <w:pPr>
        <w:rPr>
          <w:rFonts w:ascii="Arial" w:hAnsi="Arial" w:cs="Arial"/>
          <w:lang w:val="en-GB"/>
        </w:rPr>
      </w:pPr>
      <w:r w:rsidRPr="00CB3197">
        <w:rPr>
          <w:rFonts w:ascii="Arial" w:hAnsi="Arial" w:cs="Arial"/>
          <w:lang w:val="en-GB"/>
        </w:rPr>
        <w:t>Innocent Drinks’ growth challenge is not simply selling more smoothies; it is expanding while preserving its mission</w:t>
      </w:r>
      <w:r w:rsidRPr="00CB3197">
        <w:rPr>
          <w:rFonts w:ascii="Arial" w:hAnsi="Arial" w:cs="Arial"/>
          <w:lang w:val="en-GB"/>
        </w:rPr>
        <w:noBreakHyphen/>
        <w:t>led authenticity in a market shaped by stricter sugar regulation, rising costs and intensifying competition (Department of Health and Social Care, 2025). To assess strategic options, Ansoff’s Growth Matrix provides four potential directions</w:t>
      </w:r>
      <w:r w:rsidRPr="006D387F">
        <w:rPr>
          <w:rFonts w:ascii="Arial" w:hAnsi="Arial" w:cs="Arial"/>
          <w:lang w:val="en-GB"/>
        </w:rPr>
        <w:t xml:space="preserve">: </w:t>
      </w:r>
      <w:r w:rsidRPr="00CB3197">
        <w:rPr>
          <w:rFonts w:ascii="Arial" w:hAnsi="Arial" w:cs="Arial"/>
          <w:lang w:val="en-GB"/>
        </w:rPr>
        <w:t>market penetration, market development, product development and diversification (Ansoff, 1957). Each carries differing levels of risk and alignment with Innocent’s capabilities and external conditions.</w:t>
      </w:r>
    </w:p>
    <w:p w14:paraId="1D78D062" w14:textId="77777777" w:rsidR="00CB3197" w:rsidRPr="00CB3197" w:rsidRDefault="00CB3197" w:rsidP="00CB3197">
      <w:pPr>
        <w:rPr>
          <w:rFonts w:ascii="Arial" w:hAnsi="Arial" w:cs="Arial"/>
          <w:b/>
          <w:bCs/>
          <w:lang w:val="en-GB"/>
        </w:rPr>
      </w:pPr>
      <w:r w:rsidRPr="00CB3197">
        <w:rPr>
          <w:rFonts w:ascii="Arial" w:hAnsi="Arial" w:cs="Arial"/>
          <w:b/>
          <w:bCs/>
          <w:lang w:val="en-GB"/>
        </w:rPr>
        <w:t>Market Penetration Strategy</w:t>
      </w:r>
    </w:p>
    <w:p w14:paraId="3EDEF759" w14:textId="77777777" w:rsidR="00CB3197" w:rsidRPr="00CB3197" w:rsidRDefault="00CB3197" w:rsidP="00CB3197">
      <w:pPr>
        <w:rPr>
          <w:rFonts w:ascii="Arial" w:hAnsi="Arial" w:cs="Arial"/>
          <w:lang w:val="en-GB"/>
        </w:rPr>
      </w:pPr>
      <w:r w:rsidRPr="00CB3197">
        <w:rPr>
          <w:rFonts w:ascii="Arial" w:hAnsi="Arial" w:cs="Arial"/>
          <w:lang w:val="en-GB"/>
        </w:rPr>
        <w:t>A market penetration strategy would involve increasing share within existing categories through enhanced distribution, promotions and stronger brand engagement. Although relatively low risk, its effectiveness is limited by structural constraints. Major UK retailers control shelf space and pricing power, restricting manufacturers’ ability to grow through distribution-led tactics (Mintel, 2025). Post cost-of-living crisis, consumers have become more price</w:t>
      </w:r>
      <w:r w:rsidRPr="00CB3197">
        <w:rPr>
          <w:rFonts w:ascii="Arial" w:hAnsi="Arial" w:cs="Arial"/>
          <w:lang w:val="en-GB"/>
        </w:rPr>
        <w:noBreakHyphen/>
        <w:t>sensitive and more willing to trade down to private</w:t>
      </w:r>
      <w:r w:rsidRPr="00CB3197">
        <w:rPr>
          <w:rFonts w:ascii="Arial" w:hAnsi="Arial" w:cs="Arial"/>
          <w:lang w:val="en-GB"/>
        </w:rPr>
        <w:noBreakHyphen/>
        <w:t>label alternatives. For a premium, ethically positioned brand, heavy reliance on promotions would risk eroding margins and undermining commitments to quality and responsible sourcing. As such, penetration offers limited long-term competitive advantage.</w:t>
      </w:r>
    </w:p>
    <w:p w14:paraId="0AC3F092" w14:textId="77777777" w:rsidR="00CB3197" w:rsidRPr="00CB3197" w:rsidRDefault="00CB3197" w:rsidP="00CB3197">
      <w:pPr>
        <w:rPr>
          <w:rFonts w:ascii="Arial" w:hAnsi="Arial" w:cs="Arial"/>
          <w:b/>
          <w:bCs/>
          <w:lang w:val="en-GB"/>
        </w:rPr>
      </w:pPr>
      <w:r w:rsidRPr="00CB3197">
        <w:rPr>
          <w:rFonts w:ascii="Arial" w:hAnsi="Arial" w:cs="Arial"/>
          <w:b/>
          <w:bCs/>
          <w:lang w:val="en-GB"/>
        </w:rPr>
        <w:t>Market Development Strategy</w:t>
      </w:r>
    </w:p>
    <w:p w14:paraId="19F0BF59" w14:textId="54E0CF94" w:rsidR="00CB3197" w:rsidRPr="00CB3197" w:rsidRDefault="00CB3197" w:rsidP="00CB3197">
      <w:pPr>
        <w:rPr>
          <w:rFonts w:ascii="Arial" w:hAnsi="Arial" w:cs="Arial"/>
          <w:lang w:val="en-GB"/>
        </w:rPr>
      </w:pPr>
      <w:r w:rsidRPr="00CB3197">
        <w:rPr>
          <w:rFonts w:ascii="Arial" w:hAnsi="Arial" w:cs="Arial"/>
          <w:lang w:val="en-GB"/>
        </w:rPr>
        <w:t>Market development</w:t>
      </w:r>
      <w:r w:rsidRPr="006D387F">
        <w:rPr>
          <w:rFonts w:ascii="Arial" w:hAnsi="Arial" w:cs="Arial"/>
          <w:lang w:val="en-GB"/>
        </w:rPr>
        <w:t xml:space="preserve">, </w:t>
      </w:r>
      <w:r w:rsidRPr="00CB3197">
        <w:rPr>
          <w:rFonts w:ascii="Arial" w:hAnsi="Arial" w:cs="Arial"/>
          <w:lang w:val="en-GB"/>
        </w:rPr>
        <w:t>introducing current products into new geographic markets or channels</w:t>
      </w:r>
      <w:r w:rsidRPr="006D387F">
        <w:rPr>
          <w:rFonts w:ascii="Arial" w:hAnsi="Arial" w:cs="Arial"/>
          <w:lang w:val="en-GB"/>
        </w:rPr>
        <w:t xml:space="preserve">, </w:t>
      </w:r>
      <w:r w:rsidRPr="00CB3197">
        <w:rPr>
          <w:rFonts w:ascii="Arial" w:hAnsi="Arial" w:cs="Arial"/>
          <w:lang w:val="en-GB"/>
        </w:rPr>
        <w:t>offers moderate growth potential. Innocent’s European expansion demonstrates that rising health consciousness creates favourable conditions for continued international growth (Euromonitor, 2024). Purpose-driven brands such as Oatly show how sustainability narratives can support cross-market expansion through partnerships and broadened distribution (Oatly, 2024). However, geographic expansion alone does little to address the rapid emergence of specialised wellness segments that increasingly shape beverage demand (Grand View Research, 2024). While market development could deliver incremental revenue, it offers limited differentiation in crowded health-beverage markets and does not fully address evolving consumer expectations.</w:t>
      </w:r>
    </w:p>
    <w:p w14:paraId="43E9768C" w14:textId="77777777" w:rsidR="00CB3197" w:rsidRPr="00CB3197" w:rsidRDefault="00CB3197" w:rsidP="00CB3197">
      <w:pPr>
        <w:rPr>
          <w:rFonts w:ascii="Arial" w:hAnsi="Arial" w:cs="Arial"/>
          <w:b/>
          <w:bCs/>
          <w:lang w:val="en-GB"/>
        </w:rPr>
      </w:pPr>
      <w:r w:rsidRPr="00CB3197">
        <w:rPr>
          <w:rFonts w:ascii="Arial" w:hAnsi="Arial" w:cs="Arial"/>
          <w:b/>
          <w:bCs/>
          <w:lang w:val="en-GB"/>
        </w:rPr>
        <w:t>Diversification Strategy</w:t>
      </w:r>
    </w:p>
    <w:p w14:paraId="6E75C20E" w14:textId="77777777" w:rsidR="00CB3197" w:rsidRPr="00CB3197" w:rsidRDefault="00CB3197" w:rsidP="00CB3197">
      <w:pPr>
        <w:rPr>
          <w:rFonts w:ascii="Arial" w:hAnsi="Arial" w:cs="Arial"/>
          <w:lang w:val="en-GB"/>
        </w:rPr>
      </w:pPr>
      <w:r w:rsidRPr="00CB3197">
        <w:rPr>
          <w:rFonts w:ascii="Arial" w:hAnsi="Arial" w:cs="Arial"/>
          <w:lang w:val="en-GB"/>
        </w:rPr>
        <w:t xml:space="preserve">Diversification involves entering entirely new categories outside Innocent’s current scope. Although potentially high reward, it carries the highest risk because it requires new capabilities, supply chains and consumer knowledge (Johnson, Scholes and Whittington, 2017). For a purpose-led brand strongly associated with natural, healthy beverages, unrelated diversification risks confusing consumers and diluting brand authenticity. Research highlights that mission-driven brands depend heavily on coherence; entering distant categories can weaken trust and reduce credibility (Porter </w:t>
      </w:r>
      <w:r w:rsidRPr="00CB3197">
        <w:rPr>
          <w:rFonts w:ascii="Arial" w:hAnsi="Arial" w:cs="Arial"/>
          <w:lang w:val="en-GB"/>
        </w:rPr>
        <w:lastRenderedPageBreak/>
        <w:t>and Kramer, 2011). Therefore, diversification would likely compromise rather than enhance Innocent’s strategic position.</w:t>
      </w:r>
    </w:p>
    <w:p w14:paraId="36A29430" w14:textId="77777777" w:rsidR="00CB3197" w:rsidRPr="00CB3197" w:rsidRDefault="00CB3197" w:rsidP="00CB3197">
      <w:pPr>
        <w:rPr>
          <w:rFonts w:ascii="Arial" w:hAnsi="Arial" w:cs="Arial"/>
          <w:b/>
          <w:bCs/>
          <w:lang w:val="en-GB"/>
        </w:rPr>
      </w:pPr>
      <w:r w:rsidRPr="00CB3197">
        <w:rPr>
          <w:rFonts w:ascii="Arial" w:hAnsi="Arial" w:cs="Arial"/>
          <w:b/>
          <w:bCs/>
          <w:lang w:val="en-GB"/>
        </w:rPr>
        <w:t>Product Development Strategy (Recommended)</w:t>
      </w:r>
    </w:p>
    <w:p w14:paraId="161BCE15" w14:textId="696F75FB" w:rsidR="00CB3197" w:rsidRPr="00CB3197" w:rsidRDefault="00CB3197" w:rsidP="00CB3197">
      <w:pPr>
        <w:rPr>
          <w:rFonts w:ascii="Arial" w:hAnsi="Arial" w:cs="Arial"/>
          <w:lang w:val="en-GB"/>
        </w:rPr>
      </w:pPr>
      <w:r w:rsidRPr="00CB3197">
        <w:rPr>
          <w:rFonts w:ascii="Arial" w:hAnsi="Arial" w:cs="Arial"/>
          <w:lang w:val="en-GB"/>
        </w:rPr>
        <w:t>Product development</w:t>
      </w:r>
      <w:r w:rsidRPr="006D387F">
        <w:rPr>
          <w:rFonts w:ascii="Arial" w:hAnsi="Arial" w:cs="Arial"/>
          <w:lang w:val="en-GB"/>
        </w:rPr>
        <w:t xml:space="preserve">, </w:t>
      </w:r>
      <w:r w:rsidRPr="00CB3197">
        <w:rPr>
          <w:rFonts w:ascii="Arial" w:hAnsi="Arial" w:cs="Arial"/>
          <w:lang w:val="en-GB"/>
        </w:rPr>
        <w:t>introducing new products within existing markets</w:t>
      </w:r>
      <w:r w:rsidRPr="006D387F">
        <w:rPr>
          <w:rFonts w:ascii="Arial" w:hAnsi="Arial" w:cs="Arial"/>
          <w:lang w:val="en-GB"/>
        </w:rPr>
        <w:t xml:space="preserve">, </w:t>
      </w:r>
      <w:r w:rsidRPr="00CB3197">
        <w:rPr>
          <w:rFonts w:ascii="Arial" w:hAnsi="Arial" w:cs="Arial"/>
          <w:lang w:val="en-GB"/>
        </w:rPr>
        <w:t>offers the strongest strategic fit. It allows Innocent to leverage brand strength, distribution networks and innovation capabilities while responding to intensifying demand for health-oriented beverages (Ansoff, 1957). Critically, this approach supports “credible everyday wellness” innovation that aligns with Innocent’s natural positioning, rather than adopting pharmaceutical-style functional claims that may appear inauthentic.</w:t>
      </w:r>
    </w:p>
    <w:p w14:paraId="43BDAA89" w14:textId="77777777" w:rsidR="00CB3197" w:rsidRPr="00CB3197" w:rsidRDefault="00CB3197" w:rsidP="00CB3197">
      <w:pPr>
        <w:rPr>
          <w:rFonts w:ascii="Arial" w:hAnsi="Arial" w:cs="Arial"/>
          <w:lang w:val="en-GB"/>
        </w:rPr>
      </w:pPr>
      <w:r w:rsidRPr="00CB3197">
        <w:rPr>
          <w:rFonts w:ascii="Arial" w:hAnsi="Arial" w:cs="Arial"/>
          <w:lang w:val="en-GB"/>
        </w:rPr>
        <w:t>Three adjacent growth areas illustrate how product development could be executed. First, children’s wellness drinks represent a logical extension. Products like Innocent’s “Kids Juicy Water” already show that no</w:t>
      </w:r>
      <w:r w:rsidRPr="00CB3197">
        <w:rPr>
          <w:rFonts w:ascii="Arial" w:hAnsi="Arial" w:cs="Arial"/>
          <w:lang w:val="en-GB"/>
        </w:rPr>
        <w:noBreakHyphen/>
        <w:t>added</w:t>
      </w:r>
      <w:r w:rsidRPr="00CB3197">
        <w:rPr>
          <w:rFonts w:ascii="Arial" w:hAnsi="Arial" w:cs="Arial"/>
          <w:lang w:val="en-GB"/>
        </w:rPr>
        <w:noBreakHyphen/>
        <w:t>sugar, lunchbox-friendly beverages appeal to parents and retailers (Coca-Cola Europacific Partners, 2025). Second, hydration-focused beverages are expanding rapidly as consumers increasingly associate hydration with daily wellbeing rather than sports performance. Brands such as Unilever’s Liquid I.V. demonstrate the scalability of this segment through innovation and strategic retail partnerships (Unilever, 2024). Third, developing lower</w:t>
      </w:r>
      <w:r w:rsidRPr="00CB3197">
        <w:rPr>
          <w:rFonts w:ascii="Arial" w:hAnsi="Arial" w:cs="Arial"/>
          <w:lang w:val="en-GB"/>
        </w:rPr>
        <w:noBreakHyphen/>
        <w:t>sugar or fibre</w:t>
      </w:r>
      <w:r w:rsidRPr="00CB3197">
        <w:rPr>
          <w:rFonts w:ascii="Arial" w:hAnsi="Arial" w:cs="Arial"/>
          <w:lang w:val="en-GB"/>
        </w:rPr>
        <w:noBreakHyphen/>
        <w:t>enriched drinks would directly address sugar</w:t>
      </w:r>
      <w:r w:rsidRPr="00CB3197">
        <w:rPr>
          <w:rFonts w:ascii="Arial" w:hAnsi="Arial" w:cs="Arial"/>
          <w:lang w:val="en-GB"/>
        </w:rPr>
        <w:noBreakHyphen/>
        <w:t>reduction concerns and support healthy consumption patterns in line with UK health regulations (ONS, 2025).</w:t>
      </w:r>
    </w:p>
    <w:p w14:paraId="5E44185E" w14:textId="02FDEAAE" w:rsidR="00CB3197" w:rsidRPr="00CB3197" w:rsidRDefault="00CB3197" w:rsidP="00CB3197">
      <w:pPr>
        <w:rPr>
          <w:rFonts w:ascii="Arial" w:hAnsi="Arial" w:cs="Arial"/>
          <w:lang w:val="en-GB"/>
        </w:rPr>
      </w:pPr>
      <w:r w:rsidRPr="00CB3197">
        <w:rPr>
          <w:rFonts w:ascii="Arial" w:hAnsi="Arial" w:cs="Arial"/>
          <w:lang w:val="en-GB"/>
        </w:rPr>
        <w:t>Strengthening this strategy further requires embedding circular economy principles</w:t>
      </w:r>
      <w:r w:rsidRPr="006D387F">
        <w:rPr>
          <w:rFonts w:ascii="Arial" w:hAnsi="Arial" w:cs="Arial"/>
          <w:lang w:val="en-GB"/>
        </w:rPr>
        <w:t xml:space="preserve">, </w:t>
      </w:r>
      <w:r w:rsidRPr="00CB3197">
        <w:rPr>
          <w:rFonts w:ascii="Arial" w:hAnsi="Arial" w:cs="Arial"/>
          <w:lang w:val="en-GB"/>
        </w:rPr>
        <w:t>such as recyclable packaging, higher recycled plastic content and regenerative sourcing</w:t>
      </w:r>
      <w:r w:rsidRPr="006D387F">
        <w:rPr>
          <w:rFonts w:ascii="Arial" w:hAnsi="Arial" w:cs="Arial"/>
          <w:lang w:val="en-GB"/>
        </w:rPr>
        <w:t xml:space="preserve">, </w:t>
      </w:r>
      <w:r w:rsidRPr="00CB3197">
        <w:rPr>
          <w:rFonts w:ascii="Arial" w:hAnsi="Arial" w:cs="Arial"/>
          <w:lang w:val="en-GB"/>
        </w:rPr>
        <w:t>which can turn sustainability from a CSR initiative into a source of competitive differentiation (Ellen MacArthur Foundation, 2023).</w:t>
      </w:r>
    </w:p>
    <w:p w14:paraId="7567BCBD" w14:textId="77777777" w:rsidR="00CB3197" w:rsidRPr="00CB3197" w:rsidRDefault="00CB3197" w:rsidP="00CB3197">
      <w:pPr>
        <w:rPr>
          <w:rFonts w:ascii="Arial" w:hAnsi="Arial" w:cs="Arial"/>
          <w:b/>
          <w:bCs/>
          <w:lang w:val="en-GB"/>
        </w:rPr>
      </w:pPr>
      <w:r w:rsidRPr="00CB3197">
        <w:rPr>
          <w:rFonts w:ascii="Arial" w:hAnsi="Arial" w:cs="Arial"/>
          <w:b/>
          <w:bCs/>
          <w:lang w:val="en-GB"/>
        </w:rPr>
        <w:t>Alignment with Porter’s Generic Strategies</w:t>
      </w:r>
    </w:p>
    <w:p w14:paraId="27C0A2C3" w14:textId="3844DD3D" w:rsidR="00CB3197" w:rsidRPr="00CB3197" w:rsidRDefault="00CB3197" w:rsidP="00CB3197">
      <w:pPr>
        <w:rPr>
          <w:rFonts w:ascii="Arial" w:hAnsi="Arial" w:cs="Arial"/>
          <w:lang w:val="en-GB"/>
        </w:rPr>
      </w:pPr>
      <w:r w:rsidRPr="00CB3197">
        <w:rPr>
          <w:rFonts w:ascii="Arial" w:hAnsi="Arial" w:cs="Arial"/>
          <w:lang w:val="en-GB"/>
        </w:rPr>
        <w:t>The recommended approach aligns with Porter’s Generic Strategies, which emphasise cost leadership, differentiation and focus as sources of competitive advantage (Porter, 1980). Cost leadership is unrealistic for a brand committed to premium ingredients and ethical sourcing. Differentiation</w:t>
      </w:r>
      <w:r w:rsidRPr="006D387F">
        <w:rPr>
          <w:rFonts w:ascii="Arial" w:hAnsi="Arial" w:cs="Arial"/>
          <w:lang w:val="en-GB"/>
        </w:rPr>
        <w:t xml:space="preserve">, </w:t>
      </w:r>
      <w:r w:rsidRPr="00CB3197">
        <w:rPr>
          <w:rFonts w:ascii="Arial" w:hAnsi="Arial" w:cs="Arial"/>
          <w:lang w:val="en-GB"/>
        </w:rPr>
        <w:t>built on quality, transparent sourcing and credible sustainability</w:t>
      </w:r>
      <w:r w:rsidRPr="006D387F">
        <w:rPr>
          <w:rFonts w:ascii="Arial" w:hAnsi="Arial" w:cs="Arial"/>
          <w:lang w:val="en-GB"/>
        </w:rPr>
        <w:t xml:space="preserve">, </w:t>
      </w:r>
      <w:r w:rsidRPr="00CB3197">
        <w:rPr>
          <w:rFonts w:ascii="Arial" w:hAnsi="Arial" w:cs="Arial"/>
          <w:lang w:val="en-GB"/>
        </w:rPr>
        <w:t>remains Innocent’s strongest strategic position. By focusing on wellness-led product development while enhancing its circularity credentials, Innocent can reinforce this differentiation and remain true to its mission of helping people “live well” while delivering positive environmental impact (Innocent Drinks, 2023).</w:t>
      </w:r>
    </w:p>
    <w:p w14:paraId="491B7E5D" w14:textId="77777777" w:rsidR="00D6514A" w:rsidRPr="006D387F" w:rsidRDefault="00D6514A" w:rsidP="00D6514A">
      <w:pPr>
        <w:rPr>
          <w:rFonts w:ascii="Arial" w:eastAsiaTheme="majorEastAsia" w:hAnsi="Arial" w:cs="Arial"/>
          <w:lang w:val="en-GB"/>
        </w:rPr>
      </w:pPr>
    </w:p>
    <w:p w14:paraId="308860FE" w14:textId="085F468A" w:rsidR="008C6D1A" w:rsidRPr="006D387F" w:rsidRDefault="008C6D1A" w:rsidP="004A59C4">
      <w:pPr>
        <w:pStyle w:val="Heading2"/>
        <w:rPr>
          <w:rFonts w:ascii="Arial" w:hAnsi="Arial" w:cs="Arial"/>
          <w:color w:val="00B050"/>
          <w:sz w:val="22"/>
          <w:szCs w:val="22"/>
        </w:rPr>
      </w:pPr>
      <w:r w:rsidRPr="006D387F">
        <w:rPr>
          <w:rFonts w:ascii="Arial" w:hAnsi="Arial" w:cs="Arial"/>
          <w:color w:val="00B050"/>
          <w:sz w:val="22"/>
          <w:szCs w:val="22"/>
        </w:rPr>
        <w:t>5. Strategy Evaluation</w:t>
      </w:r>
    </w:p>
    <w:p w14:paraId="49290FA9" w14:textId="77777777" w:rsidR="001A4CB5" w:rsidRPr="006D387F" w:rsidRDefault="001A4CB5" w:rsidP="001A4CB5">
      <w:pPr>
        <w:rPr>
          <w:rFonts w:ascii="Arial" w:hAnsi="Arial" w:cs="Arial"/>
          <w:lang w:val="en-GB"/>
        </w:rPr>
      </w:pPr>
    </w:p>
    <w:p w14:paraId="75427169" w14:textId="296CACAC" w:rsidR="001A4CB5" w:rsidRPr="001A4CB5" w:rsidRDefault="001A4CB5" w:rsidP="001A4CB5">
      <w:pPr>
        <w:rPr>
          <w:rFonts w:ascii="Arial" w:hAnsi="Arial" w:cs="Arial"/>
          <w:lang w:val="en-GB"/>
        </w:rPr>
      </w:pPr>
      <w:r w:rsidRPr="001A4CB5">
        <w:rPr>
          <w:rFonts w:ascii="Arial" w:hAnsi="Arial" w:cs="Arial"/>
          <w:lang w:val="en-GB"/>
        </w:rPr>
        <w:t xml:space="preserve">The proposed strategy extends product development into targeted “natural wellness” categories, including children’s healthier beverages, everyday hydration formats and lower-sugar, fibre-forward recipes supported by circular economy integration. This </w:t>
      </w:r>
      <w:r w:rsidRPr="001A4CB5">
        <w:rPr>
          <w:rFonts w:ascii="Arial" w:hAnsi="Arial" w:cs="Arial"/>
          <w:lang w:val="en-GB"/>
        </w:rPr>
        <w:lastRenderedPageBreak/>
        <w:t>strategy can be evaluated using the Suitability, Feasibility and Acceptability (SFA) framework (Johnson, Scholes and Whittington, 2017), which assesses whether a strategy aligns with external pressures, can be operationally delivered and is likely to gain stakeholder support without undermining financial performance.</w:t>
      </w:r>
    </w:p>
    <w:p w14:paraId="1105BF16" w14:textId="77777777" w:rsidR="001A4CB5" w:rsidRPr="001A4CB5" w:rsidRDefault="001A4CB5" w:rsidP="001A4CB5">
      <w:pPr>
        <w:rPr>
          <w:rFonts w:ascii="Arial" w:hAnsi="Arial" w:cs="Arial"/>
          <w:lang w:val="en-GB"/>
        </w:rPr>
      </w:pPr>
      <w:r w:rsidRPr="001A4CB5">
        <w:rPr>
          <w:rFonts w:ascii="Arial" w:hAnsi="Arial" w:cs="Arial"/>
          <w:lang w:val="en-GB"/>
        </w:rPr>
        <w:t>From a suitability perspective, the strategy aligns with evolving consumer and regulatory dynamics within the beverage sector. Research shows that consumers’ purchase intentions for functional beverages are strongly influenced by perceived health benefits and nutritional value (Kowalska, Guzek and Ołpińska-Parzyńska, 2024), supporting the development of clearly defined wellness segments rather than generic product extensions. Sustainability considerations are also becoming increasingly important in shaping consumer behaviour, reinforcing the strategic rationale for embedding circular economy principles within packaging and product innovation (Rodríguez-Sánchez and Sellers-Rubio, 2021). However, suitability is conditional. The wellness beverage market is increasingly competitive, and overly broad health positioning could weaken brand credibility. In addition, tightening UK sugar regulations place greater scrutiny on product reformulation (Department of Health and Social Care, 2025). As a result, Innocent must ensure that lower-sugar claims remain evidence-based and compliant with health regulations.</w:t>
      </w:r>
    </w:p>
    <w:p w14:paraId="24805EE0" w14:textId="77777777" w:rsidR="001A4CB5" w:rsidRPr="001A4CB5" w:rsidRDefault="001A4CB5" w:rsidP="001A4CB5">
      <w:pPr>
        <w:rPr>
          <w:rFonts w:ascii="Arial" w:hAnsi="Arial" w:cs="Arial"/>
          <w:lang w:val="en-GB"/>
        </w:rPr>
      </w:pPr>
      <w:r w:rsidRPr="001A4CB5">
        <w:rPr>
          <w:rFonts w:ascii="Arial" w:hAnsi="Arial" w:cs="Arial"/>
          <w:lang w:val="en-GB"/>
        </w:rPr>
        <w:t>In terms of feasibility, adjacent product development is more realistic than diversification into unrelated product categories. Innocent can leverage its existing manufacturing capabilities, retail partnerships and brand equity to introduce new wellness-focused beverages. However, expanding into hydration formats, children’s beverages and lower-sugar variants increases Stock Keeping Unit (SKU) complexity, creating challenges in forecasting, inventory management and supply chain coordination. In chilled FMCG markets, SKU proliferation can increase working capital exposure and the risk of unsold inventory. Additionally, the transition to more sustainable packaging may introduce short-term cost increases and operational adjustments (Abatan et al., 2024). Nevertheless, research suggests sustainability-driven strategies generate long-term value when implemented systematically rather than symbolically (Gazzola et al., 2024). Feasibility therefore depends on phased implementation and prioritising high-volume SKUs for circular packaging pilots.</w:t>
      </w:r>
    </w:p>
    <w:p w14:paraId="6BC46D79" w14:textId="77777777" w:rsidR="001A4CB5" w:rsidRPr="001A4CB5" w:rsidRDefault="001A4CB5" w:rsidP="001A4CB5">
      <w:pPr>
        <w:rPr>
          <w:rFonts w:ascii="Arial" w:hAnsi="Arial" w:cs="Arial"/>
          <w:lang w:val="en-GB"/>
        </w:rPr>
      </w:pPr>
      <w:r w:rsidRPr="001A4CB5">
        <w:rPr>
          <w:rFonts w:ascii="Arial" w:hAnsi="Arial" w:cs="Arial"/>
          <w:lang w:val="en-GB"/>
        </w:rPr>
        <w:t>A further feasibility challenge is cannibalisation, where new wellness products may divert demand from existing Innocent products rather than generating additional sales. To mitigate this risk, new offerings must target distinct consumption occasions, such as lunchbox beverages or on-the-go hydration (Johnson, Scholes and Whittington, 2017).</w:t>
      </w:r>
    </w:p>
    <w:p w14:paraId="01375781" w14:textId="6A476408" w:rsidR="001A4CB5" w:rsidRPr="006D387F" w:rsidRDefault="001A4CB5" w:rsidP="003D5EE3">
      <w:pPr>
        <w:rPr>
          <w:rFonts w:ascii="Arial" w:hAnsi="Arial" w:cs="Arial"/>
          <w:lang w:val="en-GB"/>
        </w:rPr>
      </w:pPr>
      <w:r w:rsidRPr="001A4CB5">
        <w:rPr>
          <w:rFonts w:ascii="Arial" w:hAnsi="Arial" w:cs="Arial"/>
          <w:lang w:val="en-GB"/>
        </w:rPr>
        <w:t>Regarding acceptability, the strategy aligns with Innocent’s B Corp identity and sustainability commitments. Consumers increasingly reward environmentally responsible brands (Rodríguez-Sánchez and Sellers-Rubio, 2021). However, wellness innovation may be perceived as premiumisation in price-sensitive retail markets. Maintaining accessibility through tiered pricing and clearly communicated value will therefore be essential</w:t>
      </w:r>
      <w:r w:rsidR="006D387F">
        <w:rPr>
          <w:rFonts w:ascii="Arial" w:hAnsi="Arial" w:cs="Arial"/>
          <w:lang w:val="en-GB"/>
        </w:rPr>
        <w:t>.</w:t>
      </w:r>
    </w:p>
    <w:p w14:paraId="37A387CE" w14:textId="5BE527DE" w:rsidR="00970FB6" w:rsidRPr="006D387F" w:rsidRDefault="00970FB6" w:rsidP="003D5EE3">
      <w:pPr>
        <w:rPr>
          <w:rFonts w:ascii="Arial" w:hAnsi="Arial" w:cs="Arial"/>
          <w:b/>
          <w:bCs/>
          <w:color w:val="00B050"/>
        </w:rPr>
      </w:pPr>
      <w:r w:rsidRPr="006D387F">
        <w:rPr>
          <w:rFonts w:ascii="Arial" w:hAnsi="Arial" w:cs="Arial"/>
          <w:b/>
          <w:bCs/>
          <w:color w:val="00B050"/>
        </w:rPr>
        <w:lastRenderedPageBreak/>
        <w:t>5.1 Table: SFA Evaluation of the “Natural Wellness Platform” Strategy</w:t>
      </w:r>
    </w:p>
    <w:p w14:paraId="65C301AB" w14:textId="5DB28690" w:rsidR="003D5EE3" w:rsidRPr="006D387F" w:rsidRDefault="003D5EE3" w:rsidP="003D5EE3">
      <w:pPr>
        <w:rPr>
          <w:rFonts w:ascii="Arial" w:hAnsi="Arial" w:cs="Arial"/>
        </w:rPr>
      </w:pPr>
      <w:r w:rsidRPr="006D387F">
        <w:rPr>
          <w:rFonts w:ascii="Arial" w:hAnsi="Arial" w:cs="Arial"/>
          <w:noProof/>
        </w:rPr>
        <w:drawing>
          <wp:inline distT="0" distB="0" distL="0" distR="0" wp14:anchorId="24E138ED" wp14:editId="4C044C05">
            <wp:extent cx="5797550" cy="6982559"/>
            <wp:effectExtent l="0" t="0" r="0" b="8890"/>
            <wp:docPr id="66383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30346" name=""/>
                    <pic:cNvPicPr/>
                  </pic:nvPicPr>
                  <pic:blipFill>
                    <a:blip r:embed="rId10"/>
                    <a:stretch>
                      <a:fillRect/>
                    </a:stretch>
                  </pic:blipFill>
                  <pic:spPr>
                    <a:xfrm>
                      <a:off x="0" y="0"/>
                      <a:ext cx="5808488" cy="6995733"/>
                    </a:xfrm>
                    <a:prstGeom prst="rect">
                      <a:avLst/>
                    </a:prstGeom>
                  </pic:spPr>
                </pic:pic>
              </a:graphicData>
            </a:graphic>
          </wp:inline>
        </w:drawing>
      </w:r>
    </w:p>
    <w:p w14:paraId="035E0393" w14:textId="77777777" w:rsidR="003D5EE3" w:rsidRPr="006D387F" w:rsidRDefault="003D5EE3" w:rsidP="003D5EE3">
      <w:pPr>
        <w:rPr>
          <w:rFonts w:ascii="Arial" w:hAnsi="Arial" w:cs="Arial"/>
        </w:rPr>
      </w:pPr>
    </w:p>
    <w:p w14:paraId="5CA2793A" w14:textId="77777777" w:rsidR="00563972" w:rsidRDefault="00563972">
      <w:pPr>
        <w:pStyle w:val="Heading2"/>
        <w:rPr>
          <w:rFonts w:ascii="Arial" w:hAnsi="Arial" w:cs="Arial"/>
          <w:color w:val="00B050"/>
          <w:sz w:val="22"/>
          <w:szCs w:val="22"/>
        </w:rPr>
      </w:pPr>
    </w:p>
    <w:p w14:paraId="0C2D9EE4" w14:textId="0C9F76EF" w:rsidR="006006FA" w:rsidRPr="006D387F" w:rsidRDefault="008C6D1A">
      <w:pPr>
        <w:pStyle w:val="Heading2"/>
        <w:rPr>
          <w:rFonts w:ascii="Arial" w:hAnsi="Arial" w:cs="Arial"/>
          <w:color w:val="00B050"/>
          <w:sz w:val="22"/>
          <w:szCs w:val="22"/>
        </w:rPr>
      </w:pPr>
      <w:r w:rsidRPr="006D387F">
        <w:rPr>
          <w:rFonts w:ascii="Arial" w:hAnsi="Arial" w:cs="Arial"/>
          <w:color w:val="00B050"/>
          <w:sz w:val="22"/>
          <w:szCs w:val="22"/>
        </w:rPr>
        <w:t xml:space="preserve">6. Stakeholder Analysis </w:t>
      </w:r>
    </w:p>
    <w:p w14:paraId="63D0CD66" w14:textId="77777777" w:rsidR="006913F0" w:rsidRPr="006D387F" w:rsidRDefault="006913F0" w:rsidP="006913F0">
      <w:pPr>
        <w:rPr>
          <w:rFonts w:ascii="Arial" w:hAnsi="Arial" w:cs="Arial"/>
        </w:rPr>
      </w:pPr>
    </w:p>
    <w:p w14:paraId="1E96BFA8" w14:textId="77777777" w:rsidR="006D387F" w:rsidRDefault="006D387F" w:rsidP="006D387F">
      <w:pPr>
        <w:rPr>
          <w:rFonts w:ascii="Arial" w:eastAsiaTheme="majorEastAsia" w:hAnsi="Arial" w:cs="Arial"/>
          <w:lang w:val="en-GB"/>
        </w:rPr>
      </w:pPr>
      <w:r w:rsidRPr="006D387F">
        <w:rPr>
          <w:rFonts w:ascii="Arial" w:eastAsiaTheme="majorEastAsia" w:hAnsi="Arial" w:cs="Arial"/>
          <w:lang w:val="en-GB"/>
        </w:rPr>
        <w:t>The implementation of Innocent Drinks’ proposed “Natural Wellness Platform” strategy, focused on children’s healthier beverages, everyday hydration products and lower-sugar formulations supported by circular economy practices, has important implications for several stakeholder groups. According to Stakeholder Theory, organisations must create value for all groups affected by corporate activities rather than prioritising shareholders alone (Freeman, 1984). Understanding stakeholder expectations is therefore essential to ensuring both the legitimacy and successful delivery of the strategy. Mendelow’s Power–Interest Matrix provides a useful framework for evaluating stakeholder influence based on their relative levels of power and interest (Johnson, Scholes and Whittington, 2017).</w:t>
      </w:r>
    </w:p>
    <w:p w14:paraId="4D83E620" w14:textId="77777777" w:rsidR="006D387F" w:rsidRDefault="006D387F" w:rsidP="006D387F">
      <w:pPr>
        <w:rPr>
          <w:rFonts w:ascii="Arial" w:eastAsiaTheme="majorEastAsia" w:hAnsi="Arial" w:cs="Arial"/>
          <w:lang w:val="en-GB"/>
        </w:rPr>
      </w:pPr>
      <w:r w:rsidRPr="006D387F">
        <w:rPr>
          <w:rFonts w:ascii="Arial" w:eastAsiaTheme="majorEastAsia" w:hAnsi="Arial" w:cs="Arial"/>
          <w:lang w:val="en-GB"/>
        </w:rPr>
        <w:t>Customers represent stakeholders with high interest but moderate power, as their purchasing behaviour ultimately determines the success of Innocent’s wellness product expansion. In health-oriented beverage markets, purchase decisions are strongly influenced by perceived nutritional value and ethical production practices (Kowalska, Guzek and Ołpińska-Parzyńska, 2024). Transparent labelling, credible health messaging and clear sustainability communication are therefore critical for maintaining consumer trust and long-term brand loyalty (Euromonitor, 2024).</w:t>
      </w:r>
    </w:p>
    <w:p w14:paraId="4EE76708" w14:textId="77777777" w:rsidR="00EA75CF" w:rsidRDefault="006D387F" w:rsidP="00EA75CF">
      <w:pPr>
        <w:rPr>
          <w:rFonts w:ascii="Arial" w:eastAsiaTheme="majorEastAsia" w:hAnsi="Arial" w:cs="Arial"/>
          <w:lang w:val="en-GB"/>
        </w:rPr>
      </w:pPr>
      <w:r w:rsidRPr="006D387F">
        <w:rPr>
          <w:rFonts w:ascii="Arial" w:eastAsiaTheme="majorEastAsia" w:hAnsi="Arial" w:cs="Arial"/>
          <w:lang w:val="en-GB"/>
        </w:rPr>
        <w:t>Retail partners represent one of the most powerful stakeholder groups, controlling product listings, shelf positioning and promotional visibility. Major supermarket chains such as Tesco and Sainsbury’s exert substantial influence over beverage manufacturers and prioritise sales performance and category growth (Mintel, 2025). Innocent must therefore demonstrate that wellness innovation generates incremental category value rather than cannibalising existing smoothie sales.</w:t>
      </w:r>
    </w:p>
    <w:p w14:paraId="6828034D" w14:textId="77777777" w:rsidR="00EA75CF" w:rsidRDefault="006D387F" w:rsidP="00EA75CF">
      <w:pPr>
        <w:rPr>
          <w:rFonts w:ascii="Arial" w:hAnsi="Arial" w:cs="Arial"/>
          <w:lang w:val="en-GB"/>
        </w:rPr>
      </w:pPr>
      <w:r w:rsidRPr="006D387F">
        <w:rPr>
          <w:rFonts w:ascii="Arial" w:hAnsi="Arial" w:cs="Arial"/>
          <w:lang w:val="en-GB"/>
        </w:rPr>
        <w:t>Employees and research and development teams possess high power and high interest, as their expertise determines whether new products can be successfully developed and scaled. Engagement should focus on capability development, sustainability training and cross-functional innovation processes (Ellen MacArthur Foundation, 2023).</w:t>
      </w:r>
    </w:p>
    <w:p w14:paraId="33303303" w14:textId="2C6CE207" w:rsidR="006D387F" w:rsidRPr="00EA75CF" w:rsidRDefault="006D387F" w:rsidP="00EA75CF">
      <w:pPr>
        <w:rPr>
          <w:rFonts w:ascii="Arial" w:hAnsi="Arial" w:cs="Arial"/>
        </w:rPr>
      </w:pPr>
      <w:r w:rsidRPr="006D387F">
        <w:rPr>
          <w:rFonts w:ascii="Arial" w:hAnsi="Arial" w:cs="Arial"/>
          <w:lang w:val="en-GB"/>
        </w:rPr>
        <w:t>Suppliers and investors also hold significant influence. Responsible sourcing and circular packaging require strong supplier partnerships, sustainability audits and certification (European Commission, 2024), while investors expect financial performance alongside credible environmental and social outcomes (Porter and Kramer, 2011; B Lab, 2025).</w:t>
      </w:r>
    </w:p>
    <w:p w14:paraId="20159DBC" w14:textId="7850E912" w:rsidR="00EA75CF" w:rsidRPr="00EA75CF" w:rsidRDefault="00EA75CF" w:rsidP="00EA75CF">
      <w:pPr>
        <w:rPr>
          <w:lang w:val="en-GB"/>
        </w:rPr>
      </w:pPr>
      <w:r w:rsidRPr="006D387F">
        <w:rPr>
          <w:rFonts w:ascii="Arial" w:hAnsi="Arial" w:cs="Arial"/>
          <w:noProof/>
        </w:rPr>
        <w:lastRenderedPageBreak/>
        <w:drawing>
          <wp:inline distT="0" distB="0" distL="0" distR="0" wp14:anchorId="530A4515" wp14:editId="4C09260C">
            <wp:extent cx="5169166" cy="3981655"/>
            <wp:effectExtent l="0" t="0" r="0" b="0"/>
            <wp:docPr id="137134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42630" name=""/>
                    <pic:cNvPicPr/>
                  </pic:nvPicPr>
                  <pic:blipFill>
                    <a:blip r:embed="rId11"/>
                    <a:stretch>
                      <a:fillRect/>
                    </a:stretch>
                  </pic:blipFill>
                  <pic:spPr>
                    <a:xfrm>
                      <a:off x="0" y="0"/>
                      <a:ext cx="5169166" cy="3981655"/>
                    </a:xfrm>
                    <a:prstGeom prst="rect">
                      <a:avLst/>
                    </a:prstGeom>
                  </pic:spPr>
                </pic:pic>
              </a:graphicData>
            </a:graphic>
          </wp:inline>
        </w:drawing>
      </w:r>
    </w:p>
    <w:p w14:paraId="5B21CC36" w14:textId="77777777" w:rsidR="006D387F" w:rsidRPr="006D387F" w:rsidRDefault="006D387F" w:rsidP="006D387F">
      <w:pPr>
        <w:pStyle w:val="Heading2"/>
        <w:rPr>
          <w:rFonts w:ascii="Arial" w:hAnsi="Arial" w:cs="Arial"/>
          <w:b w:val="0"/>
          <w:bCs w:val="0"/>
          <w:color w:val="auto"/>
          <w:sz w:val="22"/>
          <w:szCs w:val="22"/>
          <w:lang w:val="en-GB"/>
        </w:rPr>
      </w:pPr>
      <w:r w:rsidRPr="006D387F">
        <w:rPr>
          <w:rFonts w:ascii="Arial" w:hAnsi="Arial" w:cs="Arial"/>
          <w:b w:val="0"/>
          <w:bCs w:val="0"/>
          <w:color w:val="auto"/>
          <w:sz w:val="22"/>
          <w:szCs w:val="22"/>
          <w:lang w:val="en-GB"/>
        </w:rPr>
        <w:t>Applying Mendelow’s Matrix prioritises close management of retailers and employees, satisfaction-focused engagement with investors and suppliers, and clear communication with consumers. However, tensions may arise between retailer pricing pressures and the costs of sustainable sourcing. Innocent must manage these trade-offs through collaborative retailer relationships, phased sustainability investments and clear demonstration of long-term value creation.</w:t>
      </w:r>
    </w:p>
    <w:p w14:paraId="38D9A184" w14:textId="77777777" w:rsidR="00EA75CF" w:rsidRDefault="00EA75CF" w:rsidP="00F4418E">
      <w:pPr>
        <w:pStyle w:val="Heading2"/>
        <w:rPr>
          <w:rFonts w:ascii="Arial" w:hAnsi="Arial" w:cs="Arial"/>
          <w:color w:val="00B050"/>
          <w:sz w:val="22"/>
          <w:szCs w:val="22"/>
        </w:rPr>
      </w:pPr>
    </w:p>
    <w:p w14:paraId="16686385" w14:textId="77777777" w:rsidR="00EA75CF" w:rsidRDefault="00EA75CF" w:rsidP="00EA75CF"/>
    <w:p w14:paraId="1EBC5A2B" w14:textId="77777777" w:rsidR="00EA75CF" w:rsidRDefault="00EA75CF" w:rsidP="00EA75CF"/>
    <w:p w14:paraId="1F72E4C6" w14:textId="77777777" w:rsidR="00EA75CF" w:rsidRPr="00EA75CF" w:rsidRDefault="00EA75CF" w:rsidP="00EA75CF"/>
    <w:p w14:paraId="6510FC94" w14:textId="77777777" w:rsidR="00EA75CF" w:rsidRDefault="00EA75CF" w:rsidP="00F4418E">
      <w:pPr>
        <w:pStyle w:val="Heading2"/>
        <w:rPr>
          <w:rFonts w:ascii="Arial" w:hAnsi="Arial" w:cs="Arial"/>
          <w:color w:val="00B050"/>
          <w:sz w:val="22"/>
          <w:szCs w:val="22"/>
        </w:rPr>
      </w:pPr>
    </w:p>
    <w:p w14:paraId="255D558F" w14:textId="77777777" w:rsidR="00EA75CF" w:rsidRDefault="00EA75CF" w:rsidP="00EA75CF"/>
    <w:p w14:paraId="30E4DC19" w14:textId="77777777" w:rsidR="00EA75CF" w:rsidRDefault="00EA75CF" w:rsidP="00EA75CF"/>
    <w:p w14:paraId="631DF7D6" w14:textId="77777777" w:rsidR="00EA75CF" w:rsidRDefault="00EA75CF" w:rsidP="00EA75CF"/>
    <w:p w14:paraId="65BEB42C" w14:textId="77777777" w:rsidR="00EA75CF" w:rsidRPr="00EA75CF" w:rsidRDefault="00EA75CF" w:rsidP="00EA75CF"/>
    <w:p w14:paraId="10C0A80B" w14:textId="190B643B" w:rsidR="006006FA" w:rsidRPr="006D387F" w:rsidRDefault="008C6D1A" w:rsidP="00F4418E">
      <w:pPr>
        <w:pStyle w:val="Heading2"/>
        <w:rPr>
          <w:rFonts w:ascii="Arial" w:hAnsi="Arial" w:cs="Arial"/>
          <w:color w:val="00B050"/>
          <w:sz w:val="22"/>
          <w:szCs w:val="22"/>
        </w:rPr>
      </w:pPr>
      <w:r w:rsidRPr="006D387F">
        <w:rPr>
          <w:rFonts w:ascii="Arial" w:hAnsi="Arial" w:cs="Arial"/>
          <w:color w:val="00B050"/>
          <w:sz w:val="22"/>
          <w:szCs w:val="22"/>
        </w:rPr>
        <w:lastRenderedPageBreak/>
        <w:t>7. Implementation and Monitoring</w:t>
      </w:r>
    </w:p>
    <w:p w14:paraId="39258315" w14:textId="77777777" w:rsidR="00FA39D6" w:rsidRPr="006D387F" w:rsidRDefault="00FA39D6" w:rsidP="00083D2B">
      <w:pPr>
        <w:rPr>
          <w:rFonts w:ascii="Arial" w:hAnsi="Arial" w:cs="Arial"/>
          <w:lang w:val="en-GB"/>
        </w:rPr>
      </w:pPr>
    </w:p>
    <w:p w14:paraId="66395A94" w14:textId="77777777" w:rsidR="00FA39D6" w:rsidRPr="00FA39D6" w:rsidRDefault="00FA39D6" w:rsidP="00FA39D6">
      <w:pPr>
        <w:rPr>
          <w:rFonts w:ascii="Arial" w:hAnsi="Arial" w:cs="Arial"/>
          <w:lang w:val="en-GB"/>
        </w:rPr>
      </w:pPr>
      <w:r w:rsidRPr="00FA39D6">
        <w:rPr>
          <w:rFonts w:ascii="Arial" w:hAnsi="Arial" w:cs="Arial"/>
          <w:lang w:val="en-GB"/>
        </w:rPr>
        <w:t>Building on the stakeholder analysis, the successful delivery of Innocent Drinks’ “Natural Wellness Platform” strategy requires a structured implementation plan that balances product innovation, stakeholder engagement and operational feasibility. Effective strategy implementation depends on aligning organisational resources and capabilities with strategic objectives while ensuring progress can be measured and monitored (Johnson, Scholes and Whittington, 2017). To achieve this, the implementation approach is guided by SMART objectives, ensuring targets are specific, measurable, achievable, relevant and time-bound.</w:t>
      </w:r>
    </w:p>
    <w:p w14:paraId="4154CE49" w14:textId="77777777" w:rsidR="00FA39D6" w:rsidRPr="00FA39D6" w:rsidRDefault="00FA39D6" w:rsidP="00FA39D6">
      <w:pPr>
        <w:rPr>
          <w:rFonts w:ascii="Arial" w:hAnsi="Arial" w:cs="Arial"/>
          <w:lang w:val="en-GB"/>
        </w:rPr>
      </w:pPr>
      <w:r w:rsidRPr="00FA39D6">
        <w:rPr>
          <w:rFonts w:ascii="Arial" w:hAnsi="Arial" w:cs="Arial"/>
          <w:lang w:val="en-GB"/>
        </w:rPr>
        <w:t>The first objective is to launch three new wellness-oriented product lines within 18 months, targeting children’s nutrition, everyday hydration and lower-sugar beverage alternatives. This objective is measurable through product development milestones and retail launch targets. Implementation will require consumer insight research, product formulation, regulatory compliance checks and pilot testing with key retail partners. Early collaboration with retailers is particularly important to ensure that new products generate incremental category growth rather than cannibalising existing smoothie sales, thereby strengthening retailer support (Mintel, 2025).</w:t>
      </w:r>
    </w:p>
    <w:p w14:paraId="6D7A9D49" w14:textId="77777777" w:rsidR="00FA39D6" w:rsidRPr="00FA39D6" w:rsidRDefault="00FA39D6" w:rsidP="00FA39D6">
      <w:pPr>
        <w:rPr>
          <w:rFonts w:ascii="Arial" w:hAnsi="Arial" w:cs="Arial"/>
          <w:lang w:val="en-GB"/>
        </w:rPr>
      </w:pPr>
      <w:r w:rsidRPr="00FA39D6">
        <w:rPr>
          <w:rFonts w:ascii="Arial" w:hAnsi="Arial" w:cs="Arial"/>
          <w:lang w:val="en-GB"/>
        </w:rPr>
        <w:t>The second objective is to increase the proportion of recyclable or circular packaging used in new product launches to 90% within two years. This aligns with Innocent’s sustainability commitments and reflects increasing regulatory and consumer expectations regarding environmentally responsible packaging. Key actions include collaboration with packaging suppliers, redesigning packaging materials and conducting lifecycle assessments to evaluate environmental impact. Integrating circular economy practices into product development can enhance long-term sustainability performance while strengthening corporate credibility (Ellen MacArthur Foundation, 2023).</w:t>
      </w:r>
    </w:p>
    <w:p w14:paraId="13F0E066" w14:textId="77777777" w:rsidR="00FA39D6" w:rsidRPr="00FA39D6" w:rsidRDefault="00FA39D6" w:rsidP="00FA39D6">
      <w:pPr>
        <w:rPr>
          <w:rFonts w:ascii="Arial" w:hAnsi="Arial" w:cs="Arial"/>
          <w:lang w:val="en-GB"/>
        </w:rPr>
      </w:pPr>
      <w:r w:rsidRPr="00FA39D6">
        <w:rPr>
          <w:rFonts w:ascii="Arial" w:hAnsi="Arial" w:cs="Arial"/>
          <w:lang w:val="en-GB"/>
        </w:rPr>
        <w:t>The third objective is to generate 10–15% of total company sales from wellness-focused products within three years, demonstrating that the strategy contributes to incremental revenue growth rather than redistributing demand across existing smoothie products.</w:t>
      </w:r>
    </w:p>
    <w:p w14:paraId="1ADD6BAB" w14:textId="77777777" w:rsidR="00FA39D6" w:rsidRPr="00FA39D6" w:rsidRDefault="00FA39D6" w:rsidP="00FA39D6">
      <w:pPr>
        <w:rPr>
          <w:rFonts w:ascii="Arial" w:hAnsi="Arial" w:cs="Arial"/>
          <w:lang w:val="en-GB"/>
        </w:rPr>
      </w:pPr>
      <w:r w:rsidRPr="00FA39D6">
        <w:rPr>
          <w:rFonts w:ascii="Arial" w:hAnsi="Arial" w:cs="Arial"/>
          <w:lang w:val="en-GB"/>
        </w:rPr>
        <w:t>Performance will be monitored through a set of Key Performance Indicators (KPIs) measuring product launch milestones, sales performance and sustainability progress. Quarterly strategic performance reviews and annual sustainability reporting will allow management to evaluate outcomes, address implementation challenges and refine the strategy where necessary.</w:t>
      </w:r>
    </w:p>
    <w:p w14:paraId="697C8A35" w14:textId="77777777" w:rsidR="006D387F" w:rsidRDefault="006D387F" w:rsidP="00083D2B">
      <w:pPr>
        <w:rPr>
          <w:rFonts w:ascii="Arial" w:hAnsi="Arial" w:cs="Arial"/>
          <w:b/>
          <w:bCs/>
          <w:color w:val="00B050"/>
        </w:rPr>
      </w:pPr>
    </w:p>
    <w:p w14:paraId="5E94D129" w14:textId="77777777" w:rsidR="00EA75CF" w:rsidRDefault="00EA75CF" w:rsidP="00083D2B">
      <w:pPr>
        <w:rPr>
          <w:rFonts w:ascii="Arial" w:hAnsi="Arial" w:cs="Arial"/>
          <w:b/>
          <w:bCs/>
          <w:color w:val="00B050"/>
        </w:rPr>
      </w:pPr>
    </w:p>
    <w:p w14:paraId="534CF871" w14:textId="77777777" w:rsidR="00EA75CF" w:rsidRDefault="00EA75CF" w:rsidP="00083D2B">
      <w:pPr>
        <w:rPr>
          <w:rFonts w:ascii="Arial" w:hAnsi="Arial" w:cs="Arial"/>
          <w:b/>
          <w:bCs/>
          <w:color w:val="00B050"/>
        </w:rPr>
      </w:pPr>
    </w:p>
    <w:p w14:paraId="2487AD5F" w14:textId="77777777" w:rsidR="00EA75CF" w:rsidRDefault="00EA75CF" w:rsidP="00083D2B">
      <w:pPr>
        <w:rPr>
          <w:rFonts w:ascii="Arial" w:hAnsi="Arial" w:cs="Arial"/>
          <w:b/>
          <w:bCs/>
          <w:color w:val="00B050"/>
        </w:rPr>
      </w:pPr>
    </w:p>
    <w:p w14:paraId="5D5714E0" w14:textId="4AE3E9A8" w:rsidR="00083D2B" w:rsidRPr="006D387F" w:rsidRDefault="00A80331" w:rsidP="00083D2B">
      <w:pPr>
        <w:rPr>
          <w:rFonts w:ascii="Arial" w:hAnsi="Arial" w:cs="Arial"/>
          <w:b/>
          <w:bCs/>
          <w:color w:val="00B050"/>
        </w:rPr>
      </w:pPr>
      <w:r w:rsidRPr="006D387F">
        <w:rPr>
          <w:rFonts w:ascii="Arial" w:hAnsi="Arial" w:cs="Arial"/>
          <w:b/>
          <w:bCs/>
          <w:color w:val="00B050"/>
        </w:rPr>
        <w:lastRenderedPageBreak/>
        <w:t>7.1 Key Performance Indicators:</w:t>
      </w:r>
    </w:p>
    <w:p w14:paraId="5DB7657F" w14:textId="6A2111D4" w:rsidR="00083D2B" w:rsidRPr="006D387F" w:rsidRDefault="00964F15" w:rsidP="00083D2B">
      <w:pPr>
        <w:rPr>
          <w:rFonts w:ascii="Arial" w:hAnsi="Arial" w:cs="Arial"/>
        </w:rPr>
      </w:pPr>
      <w:r w:rsidRPr="006D387F">
        <w:rPr>
          <w:rFonts w:ascii="Arial" w:hAnsi="Arial" w:cs="Arial"/>
          <w:noProof/>
        </w:rPr>
        <w:drawing>
          <wp:inline distT="0" distB="0" distL="0" distR="0" wp14:anchorId="11B5E7BB" wp14:editId="4D5DCEC2">
            <wp:extent cx="5486400" cy="4047490"/>
            <wp:effectExtent l="0" t="0" r="0" b="0"/>
            <wp:docPr id="115783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36157" name=""/>
                    <pic:cNvPicPr/>
                  </pic:nvPicPr>
                  <pic:blipFill>
                    <a:blip r:embed="rId12"/>
                    <a:stretch>
                      <a:fillRect/>
                    </a:stretch>
                  </pic:blipFill>
                  <pic:spPr>
                    <a:xfrm>
                      <a:off x="0" y="0"/>
                      <a:ext cx="5486400" cy="4047490"/>
                    </a:xfrm>
                    <a:prstGeom prst="rect">
                      <a:avLst/>
                    </a:prstGeom>
                  </pic:spPr>
                </pic:pic>
              </a:graphicData>
            </a:graphic>
          </wp:inline>
        </w:drawing>
      </w:r>
    </w:p>
    <w:p w14:paraId="2F162247" w14:textId="7F1B65B0" w:rsidR="00A80331" w:rsidRPr="006D387F" w:rsidRDefault="00A80331" w:rsidP="00083D2B">
      <w:pPr>
        <w:rPr>
          <w:rFonts w:ascii="Arial" w:hAnsi="Arial" w:cs="Arial"/>
          <w:b/>
          <w:bCs/>
          <w:color w:val="00B050"/>
        </w:rPr>
      </w:pPr>
      <w:r w:rsidRPr="006D387F">
        <w:rPr>
          <w:rFonts w:ascii="Arial" w:hAnsi="Arial" w:cs="Arial"/>
          <w:b/>
          <w:bCs/>
          <w:color w:val="00B050"/>
        </w:rPr>
        <w:t>7.2 Implementation Timeline</w:t>
      </w:r>
    </w:p>
    <w:p w14:paraId="5764F790" w14:textId="6D610F07" w:rsidR="00083D2B" w:rsidRPr="006D387F" w:rsidRDefault="00964F15" w:rsidP="00083D2B">
      <w:pPr>
        <w:rPr>
          <w:rFonts w:ascii="Arial" w:hAnsi="Arial" w:cs="Arial"/>
        </w:rPr>
      </w:pPr>
      <w:r w:rsidRPr="006D387F">
        <w:rPr>
          <w:rFonts w:ascii="Arial" w:hAnsi="Arial" w:cs="Arial"/>
          <w:noProof/>
        </w:rPr>
        <w:drawing>
          <wp:inline distT="0" distB="0" distL="0" distR="0" wp14:anchorId="3F8A74CE" wp14:editId="34BDEEF6">
            <wp:extent cx="5486400" cy="2961005"/>
            <wp:effectExtent l="0" t="0" r="0" b="0"/>
            <wp:docPr id="674447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47829" name=""/>
                    <pic:cNvPicPr/>
                  </pic:nvPicPr>
                  <pic:blipFill>
                    <a:blip r:embed="rId13"/>
                    <a:stretch>
                      <a:fillRect/>
                    </a:stretch>
                  </pic:blipFill>
                  <pic:spPr>
                    <a:xfrm>
                      <a:off x="0" y="0"/>
                      <a:ext cx="5486400" cy="2961005"/>
                    </a:xfrm>
                    <a:prstGeom prst="rect">
                      <a:avLst/>
                    </a:prstGeom>
                  </pic:spPr>
                </pic:pic>
              </a:graphicData>
            </a:graphic>
          </wp:inline>
        </w:drawing>
      </w:r>
    </w:p>
    <w:p w14:paraId="4E105706" w14:textId="2AD4F97A" w:rsidR="006006FA" w:rsidRPr="006D387F" w:rsidRDefault="008C6D1A">
      <w:pPr>
        <w:pStyle w:val="Heading2"/>
        <w:rPr>
          <w:rFonts w:ascii="Arial" w:hAnsi="Arial" w:cs="Arial"/>
          <w:color w:val="00B050"/>
          <w:sz w:val="22"/>
          <w:szCs w:val="22"/>
        </w:rPr>
      </w:pPr>
      <w:r w:rsidRPr="006D387F">
        <w:rPr>
          <w:rFonts w:ascii="Arial" w:hAnsi="Arial" w:cs="Arial"/>
          <w:color w:val="00B050"/>
          <w:sz w:val="22"/>
          <w:szCs w:val="22"/>
        </w:rPr>
        <w:lastRenderedPageBreak/>
        <w:t>8. Conclusion</w:t>
      </w:r>
    </w:p>
    <w:p w14:paraId="35345B91" w14:textId="77777777" w:rsidR="0009030A" w:rsidRPr="006D387F" w:rsidRDefault="0009030A" w:rsidP="0009030A">
      <w:pPr>
        <w:rPr>
          <w:rFonts w:ascii="Arial" w:hAnsi="Arial" w:cs="Arial"/>
          <w:lang w:val="en-GB"/>
        </w:rPr>
      </w:pPr>
    </w:p>
    <w:p w14:paraId="05E9FFB6" w14:textId="53C65A64" w:rsidR="0009030A" w:rsidRPr="006D387F" w:rsidRDefault="0009030A" w:rsidP="0009030A">
      <w:pPr>
        <w:rPr>
          <w:rFonts w:ascii="Arial" w:hAnsi="Arial" w:cs="Arial"/>
          <w:lang w:val="en-GB"/>
        </w:rPr>
      </w:pPr>
      <w:r w:rsidRPr="006D387F">
        <w:rPr>
          <w:rFonts w:ascii="Arial" w:hAnsi="Arial" w:cs="Arial"/>
          <w:lang w:val="en-GB"/>
        </w:rPr>
        <w:t>The strategic evaluation highlights that Innocent Drinks’ key strengths lie in brand credibility, innovation capability, and commitment to ethical and sustainable practices (Innocent Drinks, 2023; Johnson et al., 2017). Our analysis confirms that while market penetration and development offer incremental growth, product development within existing markets, focusing on children’s wellness beverages, everyday hydration, and lower-sugar formulations provides the most coherent and mission-aligned growth pathway (Ansoff, 1957; Porter, 1980). By integrating circular economy principles, enhancing sustainable supply chains, and leveraging differentiated product value, this strategy ensures measurable competitive advantage (Ellen MacArthur Foundation, 2023; Porter &amp; Kramer, 2011). As strategic planning lead, this approach reinforces brand authenticity, meets evolving consumer needs, and positions Innocent for long-term sustainable growth across core wellness segments.</w:t>
      </w:r>
    </w:p>
    <w:p w14:paraId="63E7503A" w14:textId="583BB70B" w:rsidR="006006FA" w:rsidRPr="006D387F" w:rsidRDefault="008C6D1A">
      <w:pPr>
        <w:rPr>
          <w:rFonts w:ascii="Arial" w:hAnsi="Arial" w:cs="Arial"/>
        </w:rPr>
      </w:pPr>
      <w:r w:rsidRPr="006D387F">
        <w:rPr>
          <w:rFonts w:ascii="Arial" w:hAnsi="Arial" w:cs="Arial"/>
        </w:rPr>
        <w:br/>
      </w:r>
    </w:p>
    <w:p w14:paraId="5C97EDE3" w14:textId="77777777" w:rsidR="0009030A" w:rsidRPr="006D387F" w:rsidRDefault="0009030A">
      <w:pPr>
        <w:rPr>
          <w:rFonts w:ascii="Arial" w:hAnsi="Arial" w:cs="Arial"/>
          <w:b/>
          <w:bCs/>
          <w:color w:val="00B050"/>
        </w:rPr>
      </w:pPr>
    </w:p>
    <w:p w14:paraId="345BE108" w14:textId="77777777" w:rsidR="00563972" w:rsidRDefault="00563972">
      <w:pPr>
        <w:rPr>
          <w:rFonts w:ascii="Arial" w:hAnsi="Arial" w:cs="Arial"/>
          <w:b/>
          <w:bCs/>
          <w:color w:val="00B050"/>
        </w:rPr>
      </w:pPr>
    </w:p>
    <w:p w14:paraId="621F67C6" w14:textId="77777777" w:rsidR="00EA75CF" w:rsidRDefault="00EA75CF">
      <w:pPr>
        <w:rPr>
          <w:rFonts w:ascii="Arial" w:hAnsi="Arial" w:cs="Arial"/>
          <w:b/>
          <w:bCs/>
          <w:color w:val="00B050"/>
        </w:rPr>
      </w:pPr>
    </w:p>
    <w:p w14:paraId="612F2C22" w14:textId="77777777" w:rsidR="00EA75CF" w:rsidRDefault="00EA75CF">
      <w:pPr>
        <w:rPr>
          <w:rFonts w:ascii="Arial" w:hAnsi="Arial" w:cs="Arial"/>
          <w:b/>
          <w:bCs/>
          <w:color w:val="00B050"/>
        </w:rPr>
      </w:pPr>
    </w:p>
    <w:p w14:paraId="1532041D" w14:textId="77777777" w:rsidR="00EA75CF" w:rsidRDefault="00EA75CF">
      <w:pPr>
        <w:rPr>
          <w:rFonts w:ascii="Arial" w:hAnsi="Arial" w:cs="Arial"/>
          <w:b/>
          <w:bCs/>
          <w:color w:val="00B050"/>
        </w:rPr>
      </w:pPr>
    </w:p>
    <w:p w14:paraId="092AF7A1" w14:textId="77777777" w:rsidR="00EA75CF" w:rsidRDefault="00EA75CF">
      <w:pPr>
        <w:rPr>
          <w:rFonts w:ascii="Arial" w:hAnsi="Arial" w:cs="Arial"/>
          <w:b/>
          <w:bCs/>
          <w:color w:val="00B050"/>
        </w:rPr>
      </w:pPr>
    </w:p>
    <w:p w14:paraId="25D86A6D" w14:textId="77777777" w:rsidR="00EA75CF" w:rsidRDefault="00EA75CF">
      <w:pPr>
        <w:rPr>
          <w:rFonts w:ascii="Arial" w:hAnsi="Arial" w:cs="Arial"/>
          <w:b/>
          <w:bCs/>
          <w:color w:val="00B050"/>
        </w:rPr>
      </w:pPr>
    </w:p>
    <w:p w14:paraId="5A8BE221" w14:textId="77777777" w:rsidR="00EA75CF" w:rsidRDefault="00EA75CF">
      <w:pPr>
        <w:rPr>
          <w:rFonts w:ascii="Arial" w:hAnsi="Arial" w:cs="Arial"/>
          <w:b/>
          <w:bCs/>
          <w:color w:val="00B050"/>
        </w:rPr>
      </w:pPr>
    </w:p>
    <w:p w14:paraId="11C138B0" w14:textId="77777777" w:rsidR="00EA75CF" w:rsidRDefault="00EA75CF">
      <w:pPr>
        <w:rPr>
          <w:rFonts w:ascii="Arial" w:hAnsi="Arial" w:cs="Arial"/>
          <w:b/>
          <w:bCs/>
          <w:color w:val="00B050"/>
        </w:rPr>
      </w:pPr>
    </w:p>
    <w:p w14:paraId="2735B043" w14:textId="77777777" w:rsidR="00EA75CF" w:rsidRDefault="00EA75CF">
      <w:pPr>
        <w:rPr>
          <w:rFonts w:ascii="Arial" w:hAnsi="Arial" w:cs="Arial"/>
          <w:b/>
          <w:bCs/>
          <w:color w:val="00B050"/>
        </w:rPr>
      </w:pPr>
    </w:p>
    <w:p w14:paraId="143CBB6C" w14:textId="77777777" w:rsidR="00EA75CF" w:rsidRDefault="00EA75CF">
      <w:pPr>
        <w:rPr>
          <w:rFonts w:ascii="Arial" w:hAnsi="Arial" w:cs="Arial"/>
          <w:b/>
          <w:bCs/>
          <w:color w:val="00B050"/>
        </w:rPr>
      </w:pPr>
    </w:p>
    <w:p w14:paraId="7C0FCEE0" w14:textId="77777777" w:rsidR="00EA75CF" w:rsidRDefault="00EA75CF">
      <w:pPr>
        <w:rPr>
          <w:rFonts w:ascii="Arial" w:hAnsi="Arial" w:cs="Arial"/>
          <w:b/>
          <w:bCs/>
          <w:color w:val="00B050"/>
        </w:rPr>
      </w:pPr>
    </w:p>
    <w:p w14:paraId="266F146A" w14:textId="77777777" w:rsidR="00EA75CF" w:rsidRDefault="00EA75CF">
      <w:pPr>
        <w:rPr>
          <w:rFonts w:ascii="Arial" w:hAnsi="Arial" w:cs="Arial"/>
          <w:b/>
          <w:bCs/>
          <w:color w:val="00B050"/>
        </w:rPr>
      </w:pPr>
    </w:p>
    <w:p w14:paraId="5347C9AF" w14:textId="77777777" w:rsidR="00EA75CF" w:rsidRDefault="00EA75CF">
      <w:pPr>
        <w:rPr>
          <w:rFonts w:ascii="Arial" w:hAnsi="Arial" w:cs="Arial"/>
          <w:b/>
          <w:bCs/>
          <w:color w:val="00B050"/>
        </w:rPr>
      </w:pPr>
    </w:p>
    <w:p w14:paraId="2118B2B4" w14:textId="77777777" w:rsidR="00EA75CF" w:rsidRDefault="00EA75CF">
      <w:pPr>
        <w:rPr>
          <w:rFonts w:ascii="Arial" w:hAnsi="Arial" w:cs="Arial"/>
          <w:b/>
          <w:bCs/>
          <w:color w:val="00B050"/>
        </w:rPr>
      </w:pPr>
    </w:p>
    <w:p w14:paraId="66AD3D9D" w14:textId="77777777" w:rsidR="00EA75CF" w:rsidRDefault="00EA75CF">
      <w:pPr>
        <w:rPr>
          <w:rFonts w:ascii="Arial" w:hAnsi="Arial" w:cs="Arial"/>
          <w:b/>
          <w:bCs/>
          <w:color w:val="00B050"/>
        </w:rPr>
      </w:pPr>
    </w:p>
    <w:p w14:paraId="730A97D2" w14:textId="4B8C7690" w:rsidR="00C34718" w:rsidRPr="006D387F" w:rsidRDefault="00557F90">
      <w:pPr>
        <w:rPr>
          <w:rFonts w:ascii="Arial" w:hAnsi="Arial" w:cs="Arial"/>
          <w:b/>
          <w:bCs/>
          <w:color w:val="00B050"/>
        </w:rPr>
      </w:pPr>
      <w:r w:rsidRPr="006D387F">
        <w:rPr>
          <w:rFonts w:ascii="Arial" w:hAnsi="Arial" w:cs="Arial"/>
          <w:b/>
          <w:bCs/>
          <w:color w:val="00B050"/>
        </w:rPr>
        <w:lastRenderedPageBreak/>
        <w:t>9. References list</w:t>
      </w:r>
    </w:p>
    <w:p w14:paraId="7F7C911E"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Abatan, O., Adediran, O. and Fatoki, O. (2024) ‘Sustainable packaging innovations and their impact on operational practices in the FMCG industry’, </w:t>
      </w:r>
      <w:r w:rsidRPr="00F63723">
        <w:rPr>
          <w:rFonts w:ascii="Arial" w:hAnsi="Arial" w:cs="Arial"/>
          <w:i/>
          <w:iCs/>
          <w:color w:val="000000" w:themeColor="text1"/>
          <w:lang w:val="en-GB"/>
        </w:rPr>
        <w:t>Journal of Cleaner Production</w:t>
      </w:r>
      <w:r w:rsidRPr="00F63723">
        <w:rPr>
          <w:rFonts w:ascii="Arial" w:hAnsi="Arial" w:cs="Arial"/>
          <w:color w:val="000000" w:themeColor="text1"/>
          <w:lang w:val="en-GB"/>
        </w:rPr>
        <w:t>.</w:t>
      </w:r>
    </w:p>
    <w:p w14:paraId="68D81FE3"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Accio (2026) </w:t>
      </w:r>
      <w:r w:rsidRPr="00F63723">
        <w:rPr>
          <w:rFonts w:ascii="Arial" w:hAnsi="Arial" w:cs="Arial"/>
          <w:i/>
          <w:iCs/>
          <w:color w:val="000000" w:themeColor="text1"/>
          <w:lang w:val="en-GB"/>
        </w:rPr>
        <w:t>2025 smoothie industry trends: health, sustainability and market growth</w:t>
      </w:r>
      <w:r w:rsidRPr="00F63723">
        <w:rPr>
          <w:rFonts w:ascii="Arial" w:hAnsi="Arial" w:cs="Arial"/>
          <w:color w:val="000000" w:themeColor="text1"/>
          <w:lang w:val="en-GB"/>
        </w:rPr>
        <w:t xml:space="preserve">. Available at: </w:t>
      </w:r>
      <w:hyperlink r:id="rId14" w:tgtFrame="_new" w:history="1">
        <w:r w:rsidRPr="00F63723">
          <w:rPr>
            <w:rStyle w:val="Hyperlink"/>
            <w:rFonts w:ascii="Arial" w:hAnsi="Arial" w:cs="Arial"/>
            <w:lang w:val="en-GB"/>
          </w:rPr>
          <w:t>https://www.accio.com</w:t>
        </w:r>
      </w:hyperlink>
      <w:r w:rsidRPr="00F63723">
        <w:rPr>
          <w:rFonts w:ascii="Arial" w:hAnsi="Arial" w:cs="Arial"/>
          <w:color w:val="000000" w:themeColor="text1"/>
          <w:lang w:val="en-GB"/>
        </w:rPr>
        <w:t xml:space="preserve"> (Accessed: 13 March 2026).</w:t>
      </w:r>
    </w:p>
    <w:p w14:paraId="464C2832"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Ansoff, H.I. (1957) ‘Strategies for diversification’, </w:t>
      </w:r>
      <w:r w:rsidRPr="00F63723">
        <w:rPr>
          <w:rFonts w:ascii="Arial" w:hAnsi="Arial" w:cs="Arial"/>
          <w:i/>
          <w:iCs/>
          <w:color w:val="000000" w:themeColor="text1"/>
          <w:lang w:val="en-GB"/>
        </w:rPr>
        <w:t>Harvard Business Review</w:t>
      </w:r>
      <w:r w:rsidRPr="00F63723">
        <w:rPr>
          <w:rFonts w:ascii="Arial" w:hAnsi="Arial" w:cs="Arial"/>
          <w:color w:val="000000" w:themeColor="text1"/>
          <w:lang w:val="en-GB"/>
        </w:rPr>
        <w:t>, 35(5), pp. 113–124.</w:t>
      </w:r>
    </w:p>
    <w:p w14:paraId="72AEF31B"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B Lab (2025) </w:t>
      </w:r>
      <w:r w:rsidRPr="00F63723">
        <w:rPr>
          <w:rFonts w:ascii="Arial" w:hAnsi="Arial" w:cs="Arial"/>
          <w:i/>
          <w:iCs/>
          <w:color w:val="000000" w:themeColor="text1"/>
          <w:lang w:val="en-GB"/>
        </w:rPr>
        <w:t>Certified B Corporation profile: Innocent Drinks</w:t>
      </w:r>
      <w:r w:rsidRPr="00F63723">
        <w:rPr>
          <w:rFonts w:ascii="Arial" w:hAnsi="Arial" w:cs="Arial"/>
          <w:color w:val="000000" w:themeColor="text1"/>
          <w:lang w:val="en-GB"/>
        </w:rPr>
        <w:t xml:space="preserve">. Available at: </w:t>
      </w:r>
      <w:hyperlink r:id="rId15" w:tgtFrame="_new" w:history="1">
        <w:r w:rsidRPr="00F63723">
          <w:rPr>
            <w:rStyle w:val="Hyperlink"/>
            <w:rFonts w:ascii="Arial" w:hAnsi="Arial" w:cs="Arial"/>
            <w:lang w:val="en-GB"/>
          </w:rPr>
          <w:t>https://www.bcorporation.net/en-us/find-a-b-corp/company/innocent-drinks</w:t>
        </w:r>
      </w:hyperlink>
      <w:r w:rsidRPr="00F63723">
        <w:rPr>
          <w:rFonts w:ascii="Arial" w:hAnsi="Arial" w:cs="Arial"/>
          <w:color w:val="000000" w:themeColor="text1"/>
          <w:lang w:val="en-GB"/>
        </w:rPr>
        <w:t xml:space="preserve"> (Accessed: 13 March 2026).</w:t>
      </w:r>
    </w:p>
    <w:p w14:paraId="3CB1570F"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B Lab (2025) </w:t>
      </w:r>
      <w:r w:rsidRPr="00F63723">
        <w:rPr>
          <w:rFonts w:ascii="Arial" w:hAnsi="Arial" w:cs="Arial"/>
          <w:i/>
          <w:iCs/>
          <w:color w:val="000000" w:themeColor="text1"/>
          <w:lang w:val="en-GB"/>
        </w:rPr>
        <w:t>Certified B Corporation standards</w:t>
      </w:r>
      <w:r w:rsidRPr="00F63723">
        <w:rPr>
          <w:rFonts w:ascii="Arial" w:hAnsi="Arial" w:cs="Arial"/>
          <w:color w:val="000000" w:themeColor="text1"/>
          <w:lang w:val="en-GB"/>
        </w:rPr>
        <w:t xml:space="preserve">. Available at: </w:t>
      </w:r>
      <w:hyperlink r:id="rId16" w:tgtFrame="_new" w:history="1">
        <w:r w:rsidRPr="00F63723">
          <w:rPr>
            <w:rStyle w:val="Hyperlink"/>
            <w:rFonts w:ascii="Arial" w:hAnsi="Arial" w:cs="Arial"/>
            <w:lang w:val="en-GB"/>
          </w:rPr>
          <w:t>https://www.bcorporation.net</w:t>
        </w:r>
      </w:hyperlink>
      <w:r w:rsidRPr="00F63723">
        <w:rPr>
          <w:rFonts w:ascii="Arial" w:hAnsi="Arial" w:cs="Arial"/>
          <w:color w:val="000000" w:themeColor="text1"/>
          <w:lang w:val="en-GB"/>
        </w:rPr>
        <w:t xml:space="preserve"> (Accessed: 13 March 2026).</w:t>
      </w:r>
    </w:p>
    <w:p w14:paraId="7A65A4DA"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Coca-Cola Europacific Partners (2025) </w:t>
      </w:r>
      <w:r w:rsidRPr="00F63723">
        <w:rPr>
          <w:rFonts w:ascii="Arial" w:hAnsi="Arial" w:cs="Arial"/>
          <w:i/>
          <w:iCs/>
          <w:color w:val="000000" w:themeColor="text1"/>
          <w:lang w:val="en-GB"/>
        </w:rPr>
        <w:t>Innocent launches kids’ juicy water range helping kids reach their 5 a day</w:t>
      </w:r>
      <w:r w:rsidRPr="00F63723">
        <w:rPr>
          <w:rFonts w:ascii="Arial" w:hAnsi="Arial" w:cs="Arial"/>
          <w:color w:val="000000" w:themeColor="text1"/>
          <w:lang w:val="en-GB"/>
        </w:rPr>
        <w:t xml:space="preserve">. Available at: </w:t>
      </w:r>
      <w:hyperlink r:id="rId17" w:tgtFrame="_new" w:history="1">
        <w:r w:rsidRPr="00F63723">
          <w:rPr>
            <w:rStyle w:val="Hyperlink"/>
            <w:rFonts w:ascii="Arial" w:hAnsi="Arial" w:cs="Arial"/>
            <w:lang w:val="en-GB"/>
          </w:rPr>
          <w:t>https://www.cocacolaep.com/gb/news-and-stories/innocent-launches-kids-juicy-water-range-helping-kids-reach-their-5-a-day/</w:t>
        </w:r>
      </w:hyperlink>
      <w:r w:rsidRPr="00F63723">
        <w:rPr>
          <w:rFonts w:ascii="Arial" w:hAnsi="Arial" w:cs="Arial"/>
          <w:color w:val="000000" w:themeColor="text1"/>
          <w:lang w:val="en-GB"/>
        </w:rPr>
        <w:t xml:space="preserve"> (Accessed: 13 March 2026).</w:t>
      </w:r>
    </w:p>
    <w:p w14:paraId="28722733"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Deep Market Insights (2024) </w:t>
      </w:r>
      <w:r w:rsidRPr="00F63723">
        <w:rPr>
          <w:rFonts w:ascii="Arial" w:hAnsi="Arial" w:cs="Arial"/>
          <w:i/>
          <w:iCs/>
          <w:color w:val="000000" w:themeColor="text1"/>
          <w:lang w:val="en-GB"/>
        </w:rPr>
        <w:t>United Kingdom smoothies market size, share and trends</w:t>
      </w:r>
      <w:r w:rsidRPr="00F63723">
        <w:rPr>
          <w:rFonts w:ascii="Arial" w:hAnsi="Arial" w:cs="Arial"/>
          <w:color w:val="000000" w:themeColor="text1"/>
          <w:lang w:val="en-GB"/>
        </w:rPr>
        <w:t>. Available at: https://www.deepmarketinsights.com (Accessed: 13 March 2026).</w:t>
      </w:r>
    </w:p>
    <w:p w14:paraId="3E568780"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Department of Health and Social Care (2025) </w:t>
      </w:r>
      <w:r w:rsidRPr="00F63723">
        <w:rPr>
          <w:rFonts w:ascii="Arial" w:hAnsi="Arial" w:cs="Arial"/>
          <w:i/>
          <w:iCs/>
          <w:color w:val="000000" w:themeColor="text1"/>
          <w:lang w:val="en-GB"/>
        </w:rPr>
        <w:t>Strengthening the Soft Drinks Industry Levy: summary of responses</w:t>
      </w:r>
      <w:r w:rsidRPr="00F63723">
        <w:rPr>
          <w:rFonts w:ascii="Arial" w:hAnsi="Arial" w:cs="Arial"/>
          <w:color w:val="000000" w:themeColor="text1"/>
          <w:lang w:val="en-GB"/>
        </w:rPr>
        <w:t xml:space="preserve">. Available at: </w:t>
      </w:r>
      <w:hyperlink r:id="rId18" w:tgtFrame="_new" w:history="1">
        <w:r w:rsidRPr="00F63723">
          <w:rPr>
            <w:rStyle w:val="Hyperlink"/>
            <w:rFonts w:ascii="Arial" w:hAnsi="Arial" w:cs="Arial"/>
            <w:lang w:val="en-GB"/>
          </w:rPr>
          <w:t>https://www.gov.uk/government/consultations/strengthening-the-soft-drinks-industry-levy/outcome/strengthening-the-soft-drinks-industry-levy-summary-of-responses</w:t>
        </w:r>
      </w:hyperlink>
      <w:r w:rsidRPr="00F63723">
        <w:rPr>
          <w:rFonts w:ascii="Arial" w:hAnsi="Arial" w:cs="Arial"/>
          <w:color w:val="000000" w:themeColor="text1"/>
          <w:lang w:val="en-GB"/>
        </w:rPr>
        <w:t xml:space="preserve"> (Accessed: 13 March 2026).</w:t>
      </w:r>
    </w:p>
    <w:p w14:paraId="18990747"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Ellen MacArthur Foundation (2023) </w:t>
      </w:r>
      <w:r w:rsidRPr="00F63723">
        <w:rPr>
          <w:rFonts w:ascii="Arial" w:hAnsi="Arial" w:cs="Arial"/>
          <w:i/>
          <w:iCs/>
          <w:color w:val="000000" w:themeColor="text1"/>
          <w:lang w:val="en-GB"/>
        </w:rPr>
        <w:t>Circular economy introduction: overview</w:t>
      </w:r>
      <w:r w:rsidRPr="00F63723">
        <w:rPr>
          <w:rFonts w:ascii="Arial" w:hAnsi="Arial" w:cs="Arial"/>
          <w:color w:val="000000" w:themeColor="text1"/>
          <w:lang w:val="en-GB"/>
        </w:rPr>
        <w:t xml:space="preserve">. Available at: </w:t>
      </w:r>
      <w:hyperlink r:id="rId19" w:tgtFrame="_new" w:history="1">
        <w:r w:rsidRPr="00F63723">
          <w:rPr>
            <w:rStyle w:val="Hyperlink"/>
            <w:rFonts w:ascii="Arial" w:hAnsi="Arial" w:cs="Arial"/>
            <w:lang w:val="en-GB"/>
          </w:rPr>
          <w:t>https://ellenmacarthurfoundation.org/topics/circular-economy-introduction/overview</w:t>
        </w:r>
      </w:hyperlink>
      <w:r w:rsidRPr="00F63723">
        <w:rPr>
          <w:rFonts w:ascii="Arial" w:hAnsi="Arial" w:cs="Arial"/>
          <w:color w:val="000000" w:themeColor="text1"/>
          <w:lang w:val="en-GB"/>
        </w:rPr>
        <w:t xml:space="preserve"> (Accessed: 13 March 2026).</w:t>
      </w:r>
    </w:p>
    <w:p w14:paraId="41B8F719"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European Commission (2024) </w:t>
      </w:r>
      <w:r w:rsidRPr="00F63723">
        <w:rPr>
          <w:rFonts w:ascii="Arial" w:hAnsi="Arial" w:cs="Arial"/>
          <w:i/>
          <w:iCs/>
          <w:color w:val="000000" w:themeColor="text1"/>
          <w:lang w:val="en-GB"/>
        </w:rPr>
        <w:t>Circular economy action plan and sustainable supply chains</w:t>
      </w:r>
      <w:r w:rsidRPr="00F63723">
        <w:rPr>
          <w:rFonts w:ascii="Arial" w:hAnsi="Arial" w:cs="Arial"/>
          <w:color w:val="000000" w:themeColor="text1"/>
          <w:lang w:val="en-GB"/>
        </w:rPr>
        <w:t xml:space="preserve">. Available at: </w:t>
      </w:r>
      <w:hyperlink r:id="rId20" w:tgtFrame="_new" w:history="1">
        <w:r w:rsidRPr="00F63723">
          <w:rPr>
            <w:rStyle w:val="Hyperlink"/>
            <w:rFonts w:ascii="Arial" w:hAnsi="Arial" w:cs="Arial"/>
            <w:lang w:val="en-GB"/>
          </w:rPr>
          <w:t>https://ec.europa.eu</w:t>
        </w:r>
      </w:hyperlink>
      <w:r w:rsidRPr="00F63723">
        <w:rPr>
          <w:rFonts w:ascii="Arial" w:hAnsi="Arial" w:cs="Arial"/>
          <w:color w:val="000000" w:themeColor="text1"/>
          <w:lang w:val="en-GB"/>
        </w:rPr>
        <w:t xml:space="preserve"> (Accessed: 13 March 2026).</w:t>
      </w:r>
    </w:p>
    <w:p w14:paraId="6FEC5EC8"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Euromonitor International (2024) </w:t>
      </w:r>
      <w:r w:rsidRPr="00F63723">
        <w:rPr>
          <w:rFonts w:ascii="Arial" w:hAnsi="Arial" w:cs="Arial"/>
          <w:i/>
          <w:iCs/>
          <w:color w:val="000000" w:themeColor="text1"/>
          <w:lang w:val="en-GB"/>
        </w:rPr>
        <w:t>Non-alcoholic beverages in the UK</w:t>
      </w:r>
      <w:r w:rsidRPr="00F63723">
        <w:rPr>
          <w:rFonts w:ascii="Arial" w:hAnsi="Arial" w:cs="Arial"/>
          <w:color w:val="000000" w:themeColor="text1"/>
          <w:lang w:val="en-GB"/>
        </w:rPr>
        <w:t xml:space="preserve">. Available at: </w:t>
      </w:r>
      <w:hyperlink r:id="rId21" w:tgtFrame="_new" w:history="1">
        <w:r w:rsidRPr="00F63723">
          <w:rPr>
            <w:rStyle w:val="Hyperlink"/>
            <w:rFonts w:ascii="Arial" w:hAnsi="Arial" w:cs="Arial"/>
            <w:lang w:val="en-GB"/>
          </w:rPr>
          <w:t>https://www.euromonitor.com/non-alcoholic-beverages-in-the-uk/report</w:t>
        </w:r>
      </w:hyperlink>
      <w:r w:rsidRPr="00F63723">
        <w:rPr>
          <w:rFonts w:ascii="Arial" w:hAnsi="Arial" w:cs="Arial"/>
          <w:color w:val="000000" w:themeColor="text1"/>
          <w:lang w:val="en-GB"/>
        </w:rPr>
        <w:t xml:space="preserve"> (Accessed: 13 March 2026).</w:t>
      </w:r>
    </w:p>
    <w:p w14:paraId="59FD23A7"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Freeman, R.E. (1984) </w:t>
      </w:r>
      <w:r w:rsidRPr="00F63723">
        <w:rPr>
          <w:rFonts w:ascii="Arial" w:hAnsi="Arial" w:cs="Arial"/>
          <w:i/>
          <w:iCs/>
          <w:color w:val="000000" w:themeColor="text1"/>
          <w:lang w:val="en-GB"/>
        </w:rPr>
        <w:t>Strategic management: a stakeholder approach</w:t>
      </w:r>
      <w:r w:rsidRPr="00F63723">
        <w:rPr>
          <w:rFonts w:ascii="Arial" w:hAnsi="Arial" w:cs="Arial"/>
          <w:color w:val="000000" w:themeColor="text1"/>
          <w:lang w:val="en-GB"/>
        </w:rPr>
        <w:t>. Boston: Pitman.</w:t>
      </w:r>
    </w:p>
    <w:p w14:paraId="5F4DA764"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Gazzola, P., Pavione, E., Pezzetti, R. and Grechi, D. (2024) ‘Sustainable strategies and value creation in the food and beverage sector’, </w:t>
      </w:r>
      <w:r w:rsidRPr="00F63723">
        <w:rPr>
          <w:rFonts w:ascii="Arial" w:hAnsi="Arial" w:cs="Arial"/>
          <w:i/>
          <w:iCs/>
          <w:color w:val="000000" w:themeColor="text1"/>
          <w:lang w:val="en-GB"/>
        </w:rPr>
        <w:t>Sustainability</w:t>
      </w:r>
      <w:r w:rsidRPr="00F63723">
        <w:rPr>
          <w:rFonts w:ascii="Arial" w:hAnsi="Arial" w:cs="Arial"/>
          <w:color w:val="000000" w:themeColor="text1"/>
          <w:lang w:val="en-GB"/>
        </w:rPr>
        <w:t>, 16(22), 9798.</w:t>
      </w:r>
    </w:p>
    <w:p w14:paraId="411B8C7B"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lastRenderedPageBreak/>
        <w:t xml:space="preserve">Grand View Research (2024) </w:t>
      </w:r>
      <w:r w:rsidRPr="00F63723">
        <w:rPr>
          <w:rFonts w:ascii="Arial" w:hAnsi="Arial" w:cs="Arial"/>
          <w:i/>
          <w:iCs/>
          <w:color w:val="000000" w:themeColor="text1"/>
          <w:lang w:val="en-GB"/>
        </w:rPr>
        <w:t>UK smoothies market outlook 2023–2030</w:t>
      </w:r>
      <w:r w:rsidRPr="00F63723">
        <w:rPr>
          <w:rFonts w:ascii="Arial" w:hAnsi="Arial" w:cs="Arial"/>
          <w:color w:val="000000" w:themeColor="text1"/>
          <w:lang w:val="en-GB"/>
        </w:rPr>
        <w:t xml:space="preserve">. Available at: </w:t>
      </w:r>
      <w:hyperlink r:id="rId22" w:tgtFrame="_new" w:history="1">
        <w:r w:rsidRPr="00F63723">
          <w:rPr>
            <w:rStyle w:val="Hyperlink"/>
            <w:rFonts w:ascii="Arial" w:hAnsi="Arial" w:cs="Arial"/>
            <w:lang w:val="en-GB"/>
          </w:rPr>
          <w:t>https://www.grandviewresearch.com/industry-analysis/uk-smoothies-market</w:t>
        </w:r>
      </w:hyperlink>
      <w:r w:rsidRPr="00F63723">
        <w:rPr>
          <w:rFonts w:ascii="Arial" w:hAnsi="Arial" w:cs="Arial"/>
          <w:color w:val="000000" w:themeColor="text1"/>
          <w:lang w:val="en-GB"/>
        </w:rPr>
        <w:t xml:space="preserve"> (Accessed: 13 March 2026).</w:t>
      </w:r>
    </w:p>
    <w:p w14:paraId="58E92CC3"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Hallak, R. (2022) ‘Consumer demand for healthy beverages: willingness to pay a premium’, </w:t>
      </w:r>
      <w:r w:rsidRPr="00F63723">
        <w:rPr>
          <w:rFonts w:ascii="Arial" w:hAnsi="Arial" w:cs="Arial"/>
          <w:i/>
          <w:iCs/>
          <w:color w:val="000000" w:themeColor="text1"/>
          <w:lang w:val="en-GB"/>
        </w:rPr>
        <w:t>Journal of Consumer Behaviour</w:t>
      </w:r>
      <w:r w:rsidRPr="00F63723">
        <w:rPr>
          <w:rFonts w:ascii="Arial" w:hAnsi="Arial" w:cs="Arial"/>
          <w:color w:val="000000" w:themeColor="text1"/>
          <w:lang w:val="en-GB"/>
        </w:rPr>
        <w:t>.</w:t>
      </w:r>
    </w:p>
    <w:p w14:paraId="04672C21"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Innocent Drinks (2023) </w:t>
      </w:r>
      <w:r w:rsidRPr="00F63723">
        <w:rPr>
          <w:rFonts w:ascii="Arial" w:hAnsi="Arial" w:cs="Arial"/>
          <w:i/>
          <w:iCs/>
          <w:color w:val="000000" w:themeColor="text1"/>
          <w:lang w:val="en-GB"/>
        </w:rPr>
        <w:t>A bit about us</w:t>
      </w:r>
      <w:r w:rsidRPr="00F63723">
        <w:rPr>
          <w:rFonts w:ascii="Arial" w:hAnsi="Arial" w:cs="Arial"/>
          <w:color w:val="000000" w:themeColor="text1"/>
          <w:lang w:val="en-GB"/>
        </w:rPr>
        <w:t xml:space="preserve">. Available at: </w:t>
      </w:r>
      <w:hyperlink r:id="rId23" w:tgtFrame="_new" w:history="1">
        <w:r w:rsidRPr="00F63723">
          <w:rPr>
            <w:rStyle w:val="Hyperlink"/>
            <w:rFonts w:ascii="Arial" w:hAnsi="Arial" w:cs="Arial"/>
            <w:lang w:val="en-GB"/>
          </w:rPr>
          <w:t>https://www.innocentdrinks.co.uk/a-bit-about-us</w:t>
        </w:r>
      </w:hyperlink>
      <w:r w:rsidRPr="00F63723">
        <w:rPr>
          <w:rFonts w:ascii="Arial" w:hAnsi="Arial" w:cs="Arial"/>
          <w:color w:val="000000" w:themeColor="text1"/>
          <w:lang w:val="en-GB"/>
        </w:rPr>
        <w:t xml:space="preserve"> (Accessed: 13 March 2026).</w:t>
      </w:r>
    </w:p>
    <w:p w14:paraId="0514A810"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Institute of Sustainability Studies (2025) </w:t>
      </w:r>
      <w:r w:rsidRPr="00F63723">
        <w:rPr>
          <w:rFonts w:ascii="Arial" w:hAnsi="Arial" w:cs="Arial"/>
          <w:i/>
          <w:iCs/>
          <w:color w:val="000000" w:themeColor="text1"/>
          <w:lang w:val="en-GB"/>
        </w:rPr>
        <w:t>Innocent Drinks strategic sustainability outlook</w:t>
      </w:r>
      <w:r w:rsidRPr="00F63723">
        <w:rPr>
          <w:rFonts w:ascii="Arial" w:hAnsi="Arial" w:cs="Arial"/>
          <w:color w:val="000000" w:themeColor="text1"/>
          <w:lang w:val="en-GB"/>
        </w:rPr>
        <w:t>. Available at: https://www.sustainabilitystudies.org (Accessed: 13 March 2026).</w:t>
      </w:r>
    </w:p>
    <w:p w14:paraId="04801887"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Johnson, G., Scholes, K. and Whittington, R. (2017) </w:t>
      </w:r>
      <w:r w:rsidRPr="00F63723">
        <w:rPr>
          <w:rFonts w:ascii="Arial" w:hAnsi="Arial" w:cs="Arial"/>
          <w:i/>
          <w:iCs/>
          <w:color w:val="000000" w:themeColor="text1"/>
          <w:lang w:val="en-GB"/>
        </w:rPr>
        <w:t>Exploring strategy</w:t>
      </w:r>
      <w:r w:rsidRPr="00F63723">
        <w:rPr>
          <w:rFonts w:ascii="Arial" w:hAnsi="Arial" w:cs="Arial"/>
          <w:color w:val="000000" w:themeColor="text1"/>
          <w:lang w:val="en-GB"/>
        </w:rPr>
        <w:t>. 11th edn. Harlow: Pearson.</w:t>
      </w:r>
    </w:p>
    <w:p w14:paraId="413994B0"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Kowalska, A., Guzek, D. and Ołpińska-Parzyńska, K. (2024) ‘Health values and determinants of functional beverage purchase intentions’, </w:t>
      </w:r>
      <w:r w:rsidRPr="00F63723">
        <w:rPr>
          <w:rFonts w:ascii="Arial" w:hAnsi="Arial" w:cs="Arial"/>
          <w:i/>
          <w:iCs/>
          <w:color w:val="000000" w:themeColor="text1"/>
          <w:lang w:val="en-GB"/>
        </w:rPr>
        <w:t>Decision</w:t>
      </w:r>
      <w:r w:rsidRPr="00F63723">
        <w:rPr>
          <w:rFonts w:ascii="Arial" w:hAnsi="Arial" w:cs="Arial"/>
          <w:color w:val="000000" w:themeColor="text1"/>
          <w:lang w:val="en-GB"/>
        </w:rPr>
        <w:t>.</w:t>
      </w:r>
    </w:p>
    <w:p w14:paraId="5909ECC4"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Mintel (2025) </w:t>
      </w:r>
      <w:r w:rsidRPr="00F63723">
        <w:rPr>
          <w:rFonts w:ascii="Arial" w:hAnsi="Arial" w:cs="Arial"/>
          <w:i/>
          <w:iCs/>
          <w:color w:val="000000" w:themeColor="text1"/>
          <w:lang w:val="en-GB"/>
        </w:rPr>
        <w:t>UK fruit juice, juice drinks and smoothies market report</w:t>
      </w:r>
      <w:r w:rsidRPr="00F63723">
        <w:rPr>
          <w:rFonts w:ascii="Arial" w:hAnsi="Arial" w:cs="Arial"/>
          <w:color w:val="000000" w:themeColor="text1"/>
          <w:lang w:val="en-GB"/>
        </w:rPr>
        <w:t xml:space="preserve">. Available at: </w:t>
      </w:r>
      <w:hyperlink r:id="rId24" w:tgtFrame="_new" w:history="1">
        <w:r w:rsidRPr="00F63723">
          <w:rPr>
            <w:rStyle w:val="Hyperlink"/>
            <w:rFonts w:ascii="Arial" w:hAnsi="Arial" w:cs="Arial"/>
            <w:lang w:val="en-GB"/>
          </w:rPr>
          <w:t>https://www.mintel.com</w:t>
        </w:r>
      </w:hyperlink>
      <w:r w:rsidRPr="00F63723">
        <w:rPr>
          <w:rFonts w:ascii="Arial" w:hAnsi="Arial" w:cs="Arial"/>
          <w:color w:val="000000" w:themeColor="text1"/>
          <w:lang w:val="en-GB"/>
        </w:rPr>
        <w:t xml:space="preserve"> (Accessed: 13 March 2026).</w:t>
      </w:r>
    </w:p>
    <w:p w14:paraId="6CCD0A52"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Nestlé Health Science (n.d.) </w:t>
      </w:r>
      <w:r w:rsidRPr="00F63723">
        <w:rPr>
          <w:rFonts w:ascii="Arial" w:hAnsi="Arial" w:cs="Arial"/>
          <w:i/>
          <w:iCs/>
          <w:color w:val="000000" w:themeColor="text1"/>
          <w:lang w:val="en-GB"/>
        </w:rPr>
        <w:t>Boost Glucose Control</w:t>
      </w:r>
      <w:r w:rsidRPr="00F63723">
        <w:rPr>
          <w:rFonts w:ascii="Arial" w:hAnsi="Arial" w:cs="Arial"/>
          <w:color w:val="000000" w:themeColor="text1"/>
          <w:lang w:val="en-GB"/>
        </w:rPr>
        <w:t xml:space="preserve">. Available at: </w:t>
      </w:r>
      <w:hyperlink r:id="rId25" w:tgtFrame="_new" w:history="1">
        <w:r w:rsidRPr="00F63723">
          <w:rPr>
            <w:rStyle w:val="Hyperlink"/>
            <w:rFonts w:ascii="Arial" w:hAnsi="Arial" w:cs="Arial"/>
            <w:lang w:val="en-GB"/>
          </w:rPr>
          <w:t>https://www.nestlehealthscience.com/brands/boost-glucose-control</w:t>
        </w:r>
      </w:hyperlink>
      <w:r w:rsidRPr="00F63723">
        <w:rPr>
          <w:rFonts w:ascii="Arial" w:hAnsi="Arial" w:cs="Arial"/>
          <w:color w:val="000000" w:themeColor="text1"/>
          <w:lang w:val="en-GB"/>
        </w:rPr>
        <w:t xml:space="preserve"> (Accessed: 13 March 2026).</w:t>
      </w:r>
    </w:p>
    <w:p w14:paraId="1111D3F1"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ONS (2025) </w:t>
      </w:r>
      <w:r w:rsidRPr="00F63723">
        <w:rPr>
          <w:rFonts w:ascii="Arial" w:hAnsi="Arial" w:cs="Arial"/>
          <w:i/>
          <w:iCs/>
          <w:color w:val="000000" w:themeColor="text1"/>
          <w:lang w:val="en-GB"/>
        </w:rPr>
        <w:t>Consumer price inflation, UK: latest release</w:t>
      </w:r>
      <w:r w:rsidRPr="00F63723">
        <w:rPr>
          <w:rFonts w:ascii="Arial" w:hAnsi="Arial" w:cs="Arial"/>
          <w:color w:val="000000" w:themeColor="text1"/>
          <w:lang w:val="en-GB"/>
        </w:rPr>
        <w:t xml:space="preserve">. Office for National Statistics. Available at: </w:t>
      </w:r>
      <w:hyperlink r:id="rId26" w:tgtFrame="_new" w:history="1">
        <w:r w:rsidRPr="00F63723">
          <w:rPr>
            <w:rStyle w:val="Hyperlink"/>
            <w:rFonts w:ascii="Arial" w:hAnsi="Arial" w:cs="Arial"/>
            <w:lang w:val="en-GB"/>
          </w:rPr>
          <w:t>https://www.ons.gov.uk/economy/inflationandpriceindices/articles/consumerpriceinflation/latest</w:t>
        </w:r>
      </w:hyperlink>
      <w:r w:rsidRPr="00F63723">
        <w:rPr>
          <w:rFonts w:ascii="Arial" w:hAnsi="Arial" w:cs="Arial"/>
          <w:color w:val="000000" w:themeColor="text1"/>
          <w:lang w:val="en-GB"/>
        </w:rPr>
        <w:t xml:space="preserve"> (Accessed: 13 March 2026).</w:t>
      </w:r>
    </w:p>
    <w:p w14:paraId="73FC8A9B"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Oatly (2024) </w:t>
      </w:r>
      <w:r w:rsidRPr="00F63723">
        <w:rPr>
          <w:rFonts w:ascii="Arial" w:hAnsi="Arial" w:cs="Arial"/>
          <w:i/>
          <w:iCs/>
          <w:color w:val="000000" w:themeColor="text1"/>
          <w:lang w:val="en-GB"/>
        </w:rPr>
        <w:t>Oatly expands global distribution and sustainability commitments</w:t>
      </w:r>
      <w:r w:rsidRPr="00F63723">
        <w:rPr>
          <w:rFonts w:ascii="Arial" w:hAnsi="Arial" w:cs="Arial"/>
          <w:color w:val="000000" w:themeColor="text1"/>
          <w:lang w:val="en-GB"/>
        </w:rPr>
        <w:t xml:space="preserve">. Available at: </w:t>
      </w:r>
      <w:hyperlink r:id="rId27" w:tgtFrame="_new" w:history="1">
        <w:r w:rsidRPr="00F63723">
          <w:rPr>
            <w:rStyle w:val="Hyperlink"/>
            <w:rFonts w:ascii="Arial" w:hAnsi="Arial" w:cs="Arial"/>
            <w:lang w:val="en-GB"/>
          </w:rPr>
          <w:t>https://investors.oatly.com/news-releases/news-release-details/oatly-and-amazon-expand-relationship-meet-growing-demand-plant</w:t>
        </w:r>
      </w:hyperlink>
      <w:r w:rsidRPr="00F63723">
        <w:rPr>
          <w:rFonts w:ascii="Arial" w:hAnsi="Arial" w:cs="Arial"/>
          <w:color w:val="000000" w:themeColor="text1"/>
          <w:lang w:val="en-GB"/>
        </w:rPr>
        <w:t xml:space="preserve"> (Accessed: 13 March 2026).</w:t>
      </w:r>
    </w:p>
    <w:p w14:paraId="3A5E5625"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PepsiCo (2025) </w:t>
      </w:r>
      <w:r w:rsidRPr="00F63723">
        <w:rPr>
          <w:rFonts w:ascii="Arial" w:hAnsi="Arial" w:cs="Arial"/>
          <w:i/>
          <w:iCs/>
          <w:color w:val="000000" w:themeColor="text1"/>
          <w:lang w:val="en-GB"/>
        </w:rPr>
        <w:t>PepsiCo sustainability strategy and circular packaging initiatives</w:t>
      </w:r>
      <w:r w:rsidRPr="00F63723">
        <w:rPr>
          <w:rFonts w:ascii="Arial" w:hAnsi="Arial" w:cs="Arial"/>
          <w:color w:val="000000" w:themeColor="text1"/>
          <w:lang w:val="en-GB"/>
        </w:rPr>
        <w:t xml:space="preserve">. Available at: </w:t>
      </w:r>
      <w:hyperlink r:id="rId28" w:tgtFrame="_new" w:history="1">
        <w:r w:rsidRPr="00F63723">
          <w:rPr>
            <w:rStyle w:val="Hyperlink"/>
            <w:rFonts w:ascii="Arial" w:hAnsi="Arial" w:cs="Arial"/>
            <w:lang w:val="en-GB"/>
          </w:rPr>
          <w:t>https://www.pepsico.com/sustainability</w:t>
        </w:r>
      </w:hyperlink>
      <w:r w:rsidRPr="00F63723">
        <w:rPr>
          <w:rFonts w:ascii="Arial" w:hAnsi="Arial" w:cs="Arial"/>
          <w:color w:val="000000" w:themeColor="text1"/>
          <w:lang w:val="en-GB"/>
        </w:rPr>
        <w:t xml:space="preserve"> (Accessed: 13 March 2026).</w:t>
      </w:r>
    </w:p>
    <w:p w14:paraId="501B8A67"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Porter, M.E. (1980) </w:t>
      </w:r>
      <w:r w:rsidRPr="00F63723">
        <w:rPr>
          <w:rFonts w:ascii="Arial" w:hAnsi="Arial" w:cs="Arial"/>
          <w:i/>
          <w:iCs/>
          <w:color w:val="000000" w:themeColor="text1"/>
          <w:lang w:val="en-GB"/>
        </w:rPr>
        <w:t>Competitive strategy: techniques for analysing industries and competitors</w:t>
      </w:r>
      <w:r w:rsidRPr="00F63723">
        <w:rPr>
          <w:rFonts w:ascii="Arial" w:hAnsi="Arial" w:cs="Arial"/>
          <w:color w:val="000000" w:themeColor="text1"/>
          <w:lang w:val="en-GB"/>
        </w:rPr>
        <w:t>. New York: Free Press.</w:t>
      </w:r>
    </w:p>
    <w:p w14:paraId="4B997DC4"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Porter, M.E. and Kramer, M.R. (2011) ‘Creating shared value’, </w:t>
      </w:r>
      <w:r w:rsidRPr="00F63723">
        <w:rPr>
          <w:rFonts w:ascii="Arial" w:hAnsi="Arial" w:cs="Arial"/>
          <w:i/>
          <w:iCs/>
          <w:color w:val="000000" w:themeColor="text1"/>
          <w:lang w:val="en-GB"/>
        </w:rPr>
        <w:t>Harvard Business Review</w:t>
      </w:r>
      <w:r w:rsidRPr="00F63723">
        <w:rPr>
          <w:rFonts w:ascii="Arial" w:hAnsi="Arial" w:cs="Arial"/>
          <w:color w:val="000000" w:themeColor="text1"/>
          <w:lang w:val="en-GB"/>
        </w:rPr>
        <w:t>, 89(1–2), pp. 62–77.</w:t>
      </w:r>
    </w:p>
    <w:p w14:paraId="5A7A94B4"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Rodríguez-Sánchez, C. and Sellers-Rubio, R. (2021) ‘Sustainability in the beverage industry: a research agenda from the demand side’, </w:t>
      </w:r>
      <w:r w:rsidRPr="00F63723">
        <w:rPr>
          <w:rFonts w:ascii="Arial" w:hAnsi="Arial" w:cs="Arial"/>
          <w:i/>
          <w:iCs/>
          <w:color w:val="000000" w:themeColor="text1"/>
          <w:lang w:val="en-GB"/>
        </w:rPr>
        <w:t>Sustainability</w:t>
      </w:r>
      <w:r w:rsidRPr="00F63723">
        <w:rPr>
          <w:rFonts w:ascii="Arial" w:hAnsi="Arial" w:cs="Arial"/>
          <w:color w:val="000000" w:themeColor="text1"/>
          <w:lang w:val="en-GB"/>
        </w:rPr>
        <w:t>, 13(1), 186.</w:t>
      </w:r>
    </w:p>
    <w:p w14:paraId="2BA7A8B1"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Simpsons Beverages (2024) </w:t>
      </w:r>
      <w:r w:rsidRPr="00F63723">
        <w:rPr>
          <w:rFonts w:ascii="Arial" w:hAnsi="Arial" w:cs="Arial"/>
          <w:i/>
          <w:iCs/>
          <w:color w:val="000000" w:themeColor="text1"/>
          <w:lang w:val="en-GB"/>
        </w:rPr>
        <w:t>Juice drink trends 2024</w:t>
      </w:r>
      <w:r w:rsidRPr="00F63723">
        <w:rPr>
          <w:rFonts w:ascii="Arial" w:hAnsi="Arial" w:cs="Arial"/>
          <w:color w:val="000000" w:themeColor="text1"/>
          <w:lang w:val="en-GB"/>
        </w:rPr>
        <w:t>. Available at: https://www.simpsonsbeverages.com (Accessed: 13 March 2026).</w:t>
      </w:r>
    </w:p>
    <w:p w14:paraId="59FF45F9"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lastRenderedPageBreak/>
        <w:t xml:space="preserve">TheOnTrade (2025) </w:t>
      </w:r>
      <w:r w:rsidRPr="00F63723">
        <w:rPr>
          <w:rFonts w:ascii="Arial" w:hAnsi="Arial" w:cs="Arial"/>
          <w:i/>
          <w:iCs/>
          <w:color w:val="000000" w:themeColor="text1"/>
          <w:lang w:val="en-GB"/>
        </w:rPr>
        <w:t>The rise of functional beverages in the UK market</w:t>
      </w:r>
      <w:r w:rsidRPr="00F63723">
        <w:rPr>
          <w:rFonts w:ascii="Arial" w:hAnsi="Arial" w:cs="Arial"/>
          <w:color w:val="000000" w:themeColor="text1"/>
          <w:lang w:val="en-GB"/>
        </w:rPr>
        <w:t>. Available at: https://www.theontrade.com (Accessed: 13 March 2026).</w:t>
      </w:r>
    </w:p>
    <w:p w14:paraId="312C39B9"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UK Government (2025) </w:t>
      </w:r>
      <w:r w:rsidRPr="00F63723">
        <w:rPr>
          <w:rFonts w:ascii="Arial" w:hAnsi="Arial" w:cs="Arial"/>
          <w:i/>
          <w:iCs/>
          <w:color w:val="000000" w:themeColor="text1"/>
          <w:lang w:val="en-GB"/>
        </w:rPr>
        <w:t>Food statistics pocketbook: food price inflation</w:t>
      </w:r>
      <w:r w:rsidRPr="00F63723">
        <w:rPr>
          <w:rFonts w:ascii="Arial" w:hAnsi="Arial" w:cs="Arial"/>
          <w:color w:val="000000" w:themeColor="text1"/>
          <w:lang w:val="en-GB"/>
        </w:rPr>
        <w:t xml:space="preserve">. Available at: </w:t>
      </w:r>
      <w:hyperlink r:id="rId29" w:tgtFrame="_new" w:history="1">
        <w:r w:rsidRPr="00F63723">
          <w:rPr>
            <w:rStyle w:val="Hyperlink"/>
            <w:rFonts w:ascii="Arial" w:hAnsi="Arial" w:cs="Arial"/>
            <w:lang w:val="en-GB"/>
          </w:rPr>
          <w:t>https://www.gov.uk</w:t>
        </w:r>
      </w:hyperlink>
      <w:r w:rsidRPr="00F63723">
        <w:rPr>
          <w:rFonts w:ascii="Arial" w:hAnsi="Arial" w:cs="Arial"/>
          <w:color w:val="000000" w:themeColor="text1"/>
          <w:lang w:val="en-GB"/>
        </w:rPr>
        <w:t xml:space="preserve"> (Accessed: 13 March 2026).</w:t>
      </w:r>
    </w:p>
    <w:p w14:paraId="08AF4700" w14:textId="77777777" w:rsidR="00F63723" w:rsidRPr="00F63723" w:rsidRDefault="00F63723" w:rsidP="00F63723">
      <w:pPr>
        <w:rPr>
          <w:rFonts w:ascii="Arial" w:hAnsi="Arial" w:cs="Arial"/>
          <w:color w:val="000000" w:themeColor="text1"/>
          <w:lang w:val="en-GB"/>
        </w:rPr>
      </w:pPr>
      <w:r w:rsidRPr="00F63723">
        <w:rPr>
          <w:rFonts w:ascii="Arial" w:hAnsi="Arial" w:cs="Arial"/>
          <w:color w:val="000000" w:themeColor="text1"/>
          <w:lang w:val="en-GB"/>
        </w:rPr>
        <w:t xml:space="preserve">Unilever (2024) </w:t>
      </w:r>
      <w:r w:rsidRPr="00F63723">
        <w:rPr>
          <w:rFonts w:ascii="Arial" w:hAnsi="Arial" w:cs="Arial"/>
          <w:i/>
          <w:iCs/>
          <w:color w:val="000000" w:themeColor="text1"/>
          <w:lang w:val="en-GB"/>
        </w:rPr>
        <w:t>Liquid I.V. powers growth with partnerships, innovation and global expansion</w:t>
      </w:r>
      <w:r w:rsidRPr="00F63723">
        <w:rPr>
          <w:rFonts w:ascii="Arial" w:hAnsi="Arial" w:cs="Arial"/>
          <w:color w:val="000000" w:themeColor="text1"/>
          <w:lang w:val="en-GB"/>
        </w:rPr>
        <w:t xml:space="preserve">. Available at: </w:t>
      </w:r>
      <w:hyperlink r:id="rId30" w:tgtFrame="_new" w:history="1">
        <w:r w:rsidRPr="00F63723">
          <w:rPr>
            <w:rStyle w:val="Hyperlink"/>
            <w:rFonts w:ascii="Arial" w:hAnsi="Arial" w:cs="Arial"/>
            <w:lang w:val="en-GB"/>
          </w:rPr>
          <w:t>https://www.unilever.com/news/news-search/2024/liquid-iv-powers-growth-with-partnerships-innovation-and-global-expansion/</w:t>
        </w:r>
      </w:hyperlink>
      <w:r w:rsidRPr="00F63723">
        <w:rPr>
          <w:rFonts w:ascii="Arial" w:hAnsi="Arial" w:cs="Arial"/>
          <w:color w:val="000000" w:themeColor="text1"/>
          <w:lang w:val="en-GB"/>
        </w:rPr>
        <w:t xml:space="preserve"> (Accessed: 13 March 2026).</w:t>
      </w:r>
    </w:p>
    <w:p w14:paraId="1E9BA157" w14:textId="77777777" w:rsidR="00496929" w:rsidRPr="006D387F" w:rsidRDefault="00496929" w:rsidP="006B008C">
      <w:pPr>
        <w:rPr>
          <w:rFonts w:ascii="Arial" w:hAnsi="Arial" w:cs="Arial"/>
          <w:color w:val="000000" w:themeColor="text1"/>
          <w:lang w:val="en-GB"/>
        </w:rPr>
      </w:pPr>
    </w:p>
    <w:p w14:paraId="7951B404" w14:textId="77777777" w:rsidR="006B008C" w:rsidRPr="006D387F" w:rsidRDefault="006B008C" w:rsidP="004A59C4">
      <w:pPr>
        <w:rPr>
          <w:rFonts w:ascii="Arial" w:hAnsi="Arial" w:cs="Arial"/>
          <w:color w:val="000000" w:themeColor="text1"/>
          <w:lang w:val="en-GB"/>
        </w:rPr>
      </w:pPr>
    </w:p>
    <w:p w14:paraId="4D7D2E1F" w14:textId="77777777" w:rsidR="008C6D1A" w:rsidRPr="00DD0426" w:rsidRDefault="008C6D1A" w:rsidP="00C34718">
      <w:pPr>
        <w:rPr>
          <w:rFonts w:asciiTheme="majorHAnsi" w:hAnsiTheme="majorHAnsi" w:cstheme="majorHAnsi"/>
          <w:color w:val="000000" w:themeColor="text1"/>
          <w:sz w:val="26"/>
          <w:szCs w:val="26"/>
        </w:rPr>
      </w:pPr>
    </w:p>
    <w:sectPr w:rsidR="008C6D1A" w:rsidRPr="00DD0426" w:rsidSect="00F63723">
      <w:headerReference w:type="default" r:id="rId3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B57A1" w14:textId="77777777" w:rsidR="003D5EE3" w:rsidRDefault="003D5EE3" w:rsidP="003D5EE3">
      <w:pPr>
        <w:spacing w:after="0" w:line="240" w:lineRule="auto"/>
      </w:pPr>
      <w:r>
        <w:separator/>
      </w:r>
    </w:p>
  </w:endnote>
  <w:endnote w:type="continuationSeparator" w:id="0">
    <w:p w14:paraId="6AD058E9" w14:textId="77777777" w:rsidR="003D5EE3" w:rsidRDefault="003D5EE3" w:rsidP="003D5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6F777" w14:textId="77777777" w:rsidR="003D5EE3" w:rsidRDefault="003D5EE3" w:rsidP="003D5EE3">
      <w:pPr>
        <w:spacing w:after="0" w:line="240" w:lineRule="auto"/>
      </w:pPr>
      <w:r>
        <w:separator/>
      </w:r>
    </w:p>
  </w:footnote>
  <w:footnote w:type="continuationSeparator" w:id="0">
    <w:p w14:paraId="585E103D" w14:textId="77777777" w:rsidR="003D5EE3" w:rsidRDefault="003D5EE3" w:rsidP="003D5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724347"/>
      <w:docPartObj>
        <w:docPartGallery w:val="Page Numbers (Top of Page)"/>
        <w:docPartUnique/>
      </w:docPartObj>
    </w:sdtPr>
    <w:sdtEndPr>
      <w:rPr>
        <w:noProof/>
      </w:rPr>
    </w:sdtEndPr>
    <w:sdtContent>
      <w:p w14:paraId="09AF867E" w14:textId="2AFD999D" w:rsidR="00EA75CF" w:rsidRDefault="00EA75CF">
        <w:pPr>
          <w:pStyle w:val="Header"/>
        </w:pPr>
        <w:r>
          <w:fldChar w:fldCharType="begin"/>
        </w:r>
        <w:r>
          <w:instrText xml:space="preserve"> PAGE   \* MERGEFORMAT </w:instrText>
        </w:r>
        <w:r>
          <w:fldChar w:fldCharType="separate"/>
        </w:r>
        <w:r>
          <w:rPr>
            <w:noProof/>
          </w:rPr>
          <w:t>2</w:t>
        </w:r>
        <w:r>
          <w:rPr>
            <w:noProof/>
          </w:rPr>
          <w:fldChar w:fldCharType="end"/>
        </w:r>
      </w:p>
    </w:sdtContent>
  </w:sdt>
  <w:p w14:paraId="043D8A0D" w14:textId="77777777" w:rsidR="00EA75CF" w:rsidRDefault="00EA75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CB5AFF"/>
    <w:multiLevelType w:val="multilevel"/>
    <w:tmpl w:val="540E36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9733FD"/>
    <w:multiLevelType w:val="multilevel"/>
    <w:tmpl w:val="49885E3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AE31F2"/>
    <w:multiLevelType w:val="hybridMultilevel"/>
    <w:tmpl w:val="7F1E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3B0A52"/>
    <w:multiLevelType w:val="multilevel"/>
    <w:tmpl w:val="5EC87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5669116">
    <w:abstractNumId w:val="8"/>
  </w:num>
  <w:num w:numId="2" w16cid:durableId="1007246369">
    <w:abstractNumId w:val="6"/>
  </w:num>
  <w:num w:numId="3" w16cid:durableId="364645919">
    <w:abstractNumId w:val="5"/>
  </w:num>
  <w:num w:numId="4" w16cid:durableId="1878856518">
    <w:abstractNumId w:val="4"/>
  </w:num>
  <w:num w:numId="5" w16cid:durableId="1585531781">
    <w:abstractNumId w:val="7"/>
  </w:num>
  <w:num w:numId="6" w16cid:durableId="937375198">
    <w:abstractNumId w:val="3"/>
  </w:num>
  <w:num w:numId="7" w16cid:durableId="1701467949">
    <w:abstractNumId w:val="2"/>
  </w:num>
  <w:num w:numId="8" w16cid:durableId="591083330">
    <w:abstractNumId w:val="1"/>
  </w:num>
  <w:num w:numId="9" w16cid:durableId="662464984">
    <w:abstractNumId w:val="0"/>
  </w:num>
  <w:num w:numId="10" w16cid:durableId="91323047">
    <w:abstractNumId w:val="11"/>
  </w:num>
  <w:num w:numId="11" w16cid:durableId="66534253">
    <w:abstractNumId w:val="12"/>
  </w:num>
  <w:num w:numId="12" w16cid:durableId="874931787">
    <w:abstractNumId w:val="9"/>
  </w:num>
  <w:num w:numId="13" w16cid:durableId="20018852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789"/>
    <w:rsid w:val="000150AD"/>
    <w:rsid w:val="00034616"/>
    <w:rsid w:val="00044F5C"/>
    <w:rsid w:val="0006063C"/>
    <w:rsid w:val="00083D2B"/>
    <w:rsid w:val="0009030A"/>
    <w:rsid w:val="00111A0F"/>
    <w:rsid w:val="0015074B"/>
    <w:rsid w:val="001A4CB5"/>
    <w:rsid w:val="001F40A0"/>
    <w:rsid w:val="0027005C"/>
    <w:rsid w:val="0029639D"/>
    <w:rsid w:val="00326F90"/>
    <w:rsid w:val="003273B3"/>
    <w:rsid w:val="00331603"/>
    <w:rsid w:val="003973FB"/>
    <w:rsid w:val="003C3B7C"/>
    <w:rsid w:val="003D5EE3"/>
    <w:rsid w:val="00496929"/>
    <w:rsid w:val="004A59C4"/>
    <w:rsid w:val="00557F90"/>
    <w:rsid w:val="00563972"/>
    <w:rsid w:val="005E490C"/>
    <w:rsid w:val="006006FA"/>
    <w:rsid w:val="006913F0"/>
    <w:rsid w:val="006B008C"/>
    <w:rsid w:val="006D387F"/>
    <w:rsid w:val="00732255"/>
    <w:rsid w:val="0073771B"/>
    <w:rsid w:val="008C6D1A"/>
    <w:rsid w:val="0090618A"/>
    <w:rsid w:val="00964F15"/>
    <w:rsid w:val="00970FB6"/>
    <w:rsid w:val="00A63B3E"/>
    <w:rsid w:val="00A80331"/>
    <w:rsid w:val="00AA1D8D"/>
    <w:rsid w:val="00AC7E59"/>
    <w:rsid w:val="00AD59EF"/>
    <w:rsid w:val="00B47730"/>
    <w:rsid w:val="00C04758"/>
    <w:rsid w:val="00C34718"/>
    <w:rsid w:val="00CB0664"/>
    <w:rsid w:val="00CB3197"/>
    <w:rsid w:val="00D6514A"/>
    <w:rsid w:val="00DA358D"/>
    <w:rsid w:val="00DD0426"/>
    <w:rsid w:val="00E836A8"/>
    <w:rsid w:val="00EA75CF"/>
    <w:rsid w:val="00F4418E"/>
    <w:rsid w:val="00F63723"/>
    <w:rsid w:val="00FA39D6"/>
    <w:rsid w:val="00FC693F"/>
    <w:rsid w:val="00FF4D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7B7BA4"/>
  <w14:defaultImageDpi w14:val="300"/>
  <w15:docId w15:val="{3B545889-1CBD-4896-BF13-DEB085B6F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C3B7C"/>
    <w:rPr>
      <w:color w:val="0000FF" w:themeColor="hyperlink"/>
      <w:u w:val="single"/>
    </w:rPr>
  </w:style>
  <w:style w:type="character" w:styleId="UnresolvedMention">
    <w:name w:val="Unresolved Mention"/>
    <w:basedOn w:val="DefaultParagraphFont"/>
    <w:uiPriority w:val="99"/>
    <w:semiHidden/>
    <w:unhideWhenUsed/>
    <w:rsid w:val="003C3B7C"/>
    <w:rPr>
      <w:color w:val="605E5C"/>
      <w:shd w:val="clear" w:color="auto" w:fill="E1DFDD"/>
    </w:rPr>
  </w:style>
  <w:style w:type="table" w:styleId="PlainTable1">
    <w:name w:val="Plain Table 1"/>
    <w:basedOn w:val="TableNormal"/>
    <w:uiPriority w:val="99"/>
    <w:rsid w:val="003D5E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3">
    <w:name w:val="Grid Table 5 Dark Accent 3"/>
    <w:basedOn w:val="TableNormal"/>
    <w:uiPriority w:val="50"/>
    <w:rsid w:val="00083D2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NormalWeb">
    <w:name w:val="Normal (Web)"/>
    <w:basedOn w:val="Normal"/>
    <w:uiPriority w:val="99"/>
    <w:semiHidden/>
    <w:unhideWhenUsed/>
    <w:rsid w:val="00A8033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rsid w:val="00F63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government/consultations/strengthening-the-soft-drinks-industry-levy/outcome/strengthening-the-soft-drinks-industry-levy-summary-of-responses" TargetMode="External"/><Relationship Id="rId26" Type="http://schemas.openxmlformats.org/officeDocument/2006/relationships/hyperlink" Target="https://www.ons.gov.uk/economy/inflationandpriceindices/articles/consumerpriceinflation/latest" TargetMode="External"/><Relationship Id="rId3" Type="http://schemas.openxmlformats.org/officeDocument/2006/relationships/numbering" Target="numbering.xml"/><Relationship Id="rId21" Type="http://schemas.openxmlformats.org/officeDocument/2006/relationships/hyperlink" Target="https://www.euromonitor.com/non-alcoholic-beverages-in-the-uk/repor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ocacolaep.com/gb/news-and-stories/innocent-launches-kids-juicy-water-range-helping-kids-reach-their-5-a-day/" TargetMode="External"/><Relationship Id="rId25" Type="http://schemas.openxmlformats.org/officeDocument/2006/relationships/hyperlink" Target="https://www.nestlehealthscience.com/brands/boost-glucose-contro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corporation.net" TargetMode="External"/><Relationship Id="rId20" Type="http://schemas.openxmlformats.org/officeDocument/2006/relationships/hyperlink" Target="https://ec.europa.eu" TargetMode="External"/><Relationship Id="rId29"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intel.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corporation.net/en-us/find-a-b-corp/company/innocent-drinks" TargetMode="External"/><Relationship Id="rId23" Type="http://schemas.openxmlformats.org/officeDocument/2006/relationships/hyperlink" Target="https://www.innocentdrinks.co.uk/a-bit-about-us" TargetMode="External"/><Relationship Id="rId28" Type="http://schemas.openxmlformats.org/officeDocument/2006/relationships/hyperlink" Target="https://www.pepsico.com/sustainability" TargetMode="External"/><Relationship Id="rId10" Type="http://schemas.openxmlformats.org/officeDocument/2006/relationships/image" Target="media/image2.png"/><Relationship Id="rId19" Type="http://schemas.openxmlformats.org/officeDocument/2006/relationships/hyperlink" Target="https://ellenmacarthurfoundation.org/topics/circular-economy-introduction/overview"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cio.com" TargetMode="External"/><Relationship Id="rId22" Type="http://schemas.openxmlformats.org/officeDocument/2006/relationships/hyperlink" Target="https://www.grandviewresearch.com/industry-analysis/uk-smoothies-market" TargetMode="External"/><Relationship Id="rId27" Type="http://schemas.openxmlformats.org/officeDocument/2006/relationships/hyperlink" Target="https://investors.oatly.com/news-releases/news-release-details/oatly-and-amazon-expand-relationship-meet-growing-demand-plant" TargetMode="External"/><Relationship Id="rId30" Type="http://schemas.openxmlformats.org/officeDocument/2006/relationships/hyperlink" Target="https://www.unilever.com/news/news-search/2024/liquid-iv-powers-growth-with-partnerships-innovation-and-global-expansion/"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analyses Innocent Drinks’ market environment and recommends a wellness-focused product development strategy supported by circular economy practices to drive sustainable growth.</Abstract>
  <CompanyAddress/>
  <CompanyPhone/>
  <CompanyFax/>
  <CompanyEmail>Lecturer: Yohan Mendis</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18</Pages>
  <Words>4904</Words>
  <Characters>27955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Strategic Management for Business</vt:lpstr>
    </vt:vector>
  </TitlesOfParts>
  <Manager/>
  <Company/>
  <LinksUpToDate>false</LinksUpToDate>
  <CharactersWithSpaces>32794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dc:title>
  <dc:subject>BA (Hons) Leadership and Management Skills for the Workplace</dc:subject>
  <dc:creator>Najia Chaddoudi (2320940)</dc:creator>
  <cp:keywords/>
  <dc:description>generated by python-docx</dc:description>
  <cp:lastModifiedBy>Majdouli, Maryam</cp:lastModifiedBy>
  <cp:revision>12</cp:revision>
  <dcterms:created xsi:type="dcterms:W3CDTF">2026-02-23T00:08:00Z</dcterms:created>
  <dcterms:modified xsi:type="dcterms:W3CDTF">2026-03-14T01:00:00Z</dcterms:modified>
  <cp:category/>
</cp:coreProperties>
</file>