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972F58" w14:textId="77777777" w:rsidR="00DF61A6" w:rsidRDefault="00DF61A6" w:rsidP="00DF61A6">
      <w:r>
        <w:rPr>
          <w:noProof/>
        </w:rPr>
        <w:drawing>
          <wp:inline distT="0" distB="0" distL="0" distR="0" wp14:anchorId="4E1CE797" wp14:editId="45ED68D7">
            <wp:extent cx="2143125" cy="2143125"/>
            <wp:effectExtent l="0" t="0" r="9525"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stretch>
                      <a:fillRect/>
                    </a:stretch>
                  </pic:blipFill>
                  <pic:spPr>
                    <a:xfrm>
                      <a:off x="0" y="0"/>
                      <a:ext cx="2143125" cy="2143125"/>
                    </a:xfrm>
                    <a:prstGeom prst="rect">
                      <a:avLst/>
                    </a:prstGeom>
                  </pic:spPr>
                </pic:pic>
              </a:graphicData>
            </a:graphic>
          </wp:inline>
        </w:drawing>
      </w:r>
    </w:p>
    <w:p w14:paraId="2D003157" w14:textId="77777777" w:rsidR="00DF61A6" w:rsidRDefault="00DF61A6" w:rsidP="00DF61A6"/>
    <w:p w14:paraId="7B719F82" w14:textId="2401B124" w:rsidR="00DF61A6" w:rsidRPr="006D1909" w:rsidRDefault="00DF61A6" w:rsidP="00DF61A6">
      <w:pPr>
        <w:jc w:val="center"/>
        <w:rPr>
          <w:rFonts w:ascii="Arial" w:hAnsi="Arial" w:cs="Arial"/>
          <w:b/>
          <w:bCs/>
          <w:sz w:val="28"/>
          <w:szCs w:val="28"/>
          <w:u w:val="single"/>
        </w:rPr>
      </w:pPr>
      <w:r>
        <w:rPr>
          <w:rFonts w:ascii="Arial" w:hAnsi="Arial" w:cs="Arial"/>
          <w:b/>
          <w:bCs/>
          <w:sz w:val="28"/>
          <w:szCs w:val="28"/>
          <w:u w:val="single"/>
        </w:rPr>
        <w:t>Management Accounting Report</w:t>
      </w:r>
    </w:p>
    <w:p w14:paraId="51013450" w14:textId="77777777" w:rsidR="00DF61A6" w:rsidRDefault="00DF61A6" w:rsidP="00DF61A6"/>
    <w:p w14:paraId="3640C518" w14:textId="77777777" w:rsidR="00DF61A6" w:rsidRDefault="00DF61A6" w:rsidP="00DF61A6">
      <w:pPr>
        <w:jc w:val="center"/>
      </w:pPr>
    </w:p>
    <w:p w14:paraId="6DD5F000" w14:textId="77777777" w:rsidR="00DF61A6" w:rsidRPr="003B4447" w:rsidRDefault="00DF61A6" w:rsidP="00DF61A6">
      <w:pPr>
        <w:jc w:val="center"/>
        <w:rPr>
          <w:rFonts w:ascii="Arial" w:hAnsi="Arial" w:cs="Arial"/>
          <w:sz w:val="24"/>
          <w:szCs w:val="24"/>
        </w:rPr>
      </w:pPr>
      <w:r w:rsidRPr="003B4447">
        <w:rPr>
          <w:rFonts w:ascii="Arial" w:hAnsi="Arial" w:cs="Arial"/>
          <w:sz w:val="24"/>
          <w:szCs w:val="24"/>
        </w:rPr>
        <w:t>Prepared for</w:t>
      </w:r>
    </w:p>
    <w:p w14:paraId="43651860" w14:textId="77777777" w:rsidR="00DF61A6" w:rsidRPr="003B4447" w:rsidRDefault="00DF61A6" w:rsidP="00DF61A6">
      <w:pPr>
        <w:jc w:val="center"/>
        <w:rPr>
          <w:rFonts w:ascii="Arial" w:hAnsi="Arial" w:cs="Arial"/>
          <w:sz w:val="24"/>
          <w:szCs w:val="24"/>
        </w:rPr>
      </w:pPr>
    </w:p>
    <w:p w14:paraId="1864F5C4" w14:textId="77777777" w:rsidR="00DF61A6" w:rsidRPr="003B4447" w:rsidRDefault="00DF61A6" w:rsidP="00DF61A6">
      <w:pPr>
        <w:jc w:val="center"/>
        <w:rPr>
          <w:rFonts w:ascii="Arial" w:hAnsi="Arial" w:cs="Arial"/>
          <w:sz w:val="24"/>
          <w:szCs w:val="24"/>
        </w:rPr>
      </w:pPr>
      <w:proofErr w:type="spellStart"/>
      <w:r>
        <w:rPr>
          <w:rFonts w:ascii="Arial" w:hAnsi="Arial" w:cs="Arial"/>
          <w:sz w:val="24"/>
          <w:szCs w:val="24"/>
        </w:rPr>
        <w:t>Dr.</w:t>
      </w:r>
      <w:proofErr w:type="spellEnd"/>
      <w:r>
        <w:rPr>
          <w:rFonts w:ascii="Arial" w:hAnsi="Arial" w:cs="Arial"/>
          <w:sz w:val="24"/>
          <w:szCs w:val="24"/>
        </w:rPr>
        <w:t xml:space="preserve"> </w:t>
      </w:r>
      <w:proofErr w:type="spellStart"/>
      <w:r>
        <w:rPr>
          <w:rFonts w:ascii="Arial" w:hAnsi="Arial" w:cs="Arial"/>
          <w:sz w:val="24"/>
          <w:szCs w:val="24"/>
        </w:rPr>
        <w:t>Rexon</w:t>
      </w:r>
      <w:proofErr w:type="spellEnd"/>
      <w:r>
        <w:rPr>
          <w:rFonts w:ascii="Arial" w:hAnsi="Arial" w:cs="Arial"/>
          <w:sz w:val="24"/>
          <w:szCs w:val="24"/>
        </w:rPr>
        <w:t xml:space="preserve"> </w:t>
      </w:r>
      <w:proofErr w:type="spellStart"/>
      <w:r>
        <w:rPr>
          <w:rFonts w:ascii="Arial" w:hAnsi="Arial" w:cs="Arial"/>
          <w:sz w:val="24"/>
          <w:szCs w:val="24"/>
        </w:rPr>
        <w:t>Nting</w:t>
      </w:r>
      <w:proofErr w:type="spellEnd"/>
    </w:p>
    <w:p w14:paraId="74352057" w14:textId="77777777" w:rsidR="00DF61A6" w:rsidRPr="003B4447" w:rsidRDefault="00DF61A6" w:rsidP="00DF61A6">
      <w:pPr>
        <w:jc w:val="center"/>
        <w:rPr>
          <w:rFonts w:ascii="Arial" w:hAnsi="Arial" w:cs="Arial"/>
          <w:sz w:val="24"/>
          <w:szCs w:val="24"/>
        </w:rPr>
      </w:pPr>
      <w:r>
        <w:rPr>
          <w:rFonts w:ascii="Arial" w:hAnsi="Arial" w:cs="Arial"/>
          <w:sz w:val="24"/>
          <w:szCs w:val="24"/>
        </w:rPr>
        <w:t>University of Wales Trinity Saint David</w:t>
      </w:r>
    </w:p>
    <w:p w14:paraId="35269607" w14:textId="77777777" w:rsidR="00DF61A6" w:rsidRPr="003B4447" w:rsidRDefault="00DF61A6" w:rsidP="00DF61A6">
      <w:pPr>
        <w:jc w:val="center"/>
        <w:rPr>
          <w:rFonts w:ascii="Arial" w:hAnsi="Arial" w:cs="Arial"/>
          <w:sz w:val="24"/>
          <w:szCs w:val="24"/>
        </w:rPr>
      </w:pPr>
    </w:p>
    <w:p w14:paraId="24565E17" w14:textId="77777777" w:rsidR="00DF61A6" w:rsidRPr="003B4447" w:rsidRDefault="00DF61A6" w:rsidP="00DF61A6">
      <w:pPr>
        <w:jc w:val="center"/>
        <w:rPr>
          <w:rFonts w:ascii="Arial" w:hAnsi="Arial" w:cs="Arial"/>
          <w:sz w:val="24"/>
          <w:szCs w:val="24"/>
        </w:rPr>
      </w:pPr>
      <w:r w:rsidRPr="003B4447">
        <w:rPr>
          <w:rFonts w:ascii="Arial" w:hAnsi="Arial" w:cs="Arial"/>
          <w:sz w:val="24"/>
          <w:szCs w:val="24"/>
        </w:rPr>
        <w:t>Prepared by</w:t>
      </w:r>
    </w:p>
    <w:p w14:paraId="20646024" w14:textId="77777777" w:rsidR="00DF61A6" w:rsidRPr="003B4447" w:rsidRDefault="00DF61A6" w:rsidP="00DF61A6">
      <w:pPr>
        <w:jc w:val="center"/>
        <w:rPr>
          <w:rFonts w:ascii="Arial" w:hAnsi="Arial" w:cs="Arial"/>
          <w:sz w:val="24"/>
          <w:szCs w:val="24"/>
        </w:rPr>
      </w:pPr>
    </w:p>
    <w:p w14:paraId="45C8F901" w14:textId="77777777" w:rsidR="00DF61A6" w:rsidRPr="003B4447" w:rsidRDefault="00DF61A6" w:rsidP="00DF61A6">
      <w:pPr>
        <w:jc w:val="center"/>
        <w:rPr>
          <w:rFonts w:ascii="Arial" w:hAnsi="Arial" w:cs="Arial"/>
          <w:sz w:val="24"/>
          <w:szCs w:val="24"/>
        </w:rPr>
      </w:pPr>
      <w:r>
        <w:rPr>
          <w:rFonts w:ascii="Arial" w:hAnsi="Arial" w:cs="Arial"/>
          <w:sz w:val="24"/>
          <w:szCs w:val="24"/>
        </w:rPr>
        <w:t>Petya Nedeva</w:t>
      </w:r>
    </w:p>
    <w:p w14:paraId="4A05707B" w14:textId="77777777" w:rsidR="00DF61A6" w:rsidRPr="003B4447" w:rsidRDefault="00DF61A6" w:rsidP="00DF61A6">
      <w:pPr>
        <w:jc w:val="center"/>
        <w:rPr>
          <w:rFonts w:ascii="Arial" w:hAnsi="Arial" w:cs="Arial"/>
          <w:sz w:val="24"/>
          <w:szCs w:val="24"/>
        </w:rPr>
      </w:pPr>
      <w:r>
        <w:rPr>
          <w:rFonts w:ascii="Arial" w:hAnsi="Arial" w:cs="Arial"/>
          <w:sz w:val="24"/>
          <w:szCs w:val="24"/>
        </w:rPr>
        <w:t>1816235</w:t>
      </w:r>
    </w:p>
    <w:p w14:paraId="4DB905B6" w14:textId="77777777" w:rsidR="00DF61A6" w:rsidRDefault="00DF61A6" w:rsidP="00DF61A6"/>
    <w:p w14:paraId="1189A9BA" w14:textId="5738CD40" w:rsidR="008343F3" w:rsidRDefault="00413B0A"/>
    <w:p w14:paraId="3926E8F7" w14:textId="24C427F8" w:rsidR="00DF61A6" w:rsidRDefault="00DF61A6"/>
    <w:p w14:paraId="143E1F93" w14:textId="2E4E1302" w:rsidR="00DF61A6" w:rsidRDefault="00DF61A6"/>
    <w:p w14:paraId="043C0DF2" w14:textId="0EEFA4B4" w:rsidR="00DF61A6" w:rsidRDefault="00DF61A6"/>
    <w:p w14:paraId="1A8E522D" w14:textId="60F35872" w:rsidR="00DF61A6" w:rsidRDefault="00DF61A6"/>
    <w:p w14:paraId="7294EDEB" w14:textId="56784EC6" w:rsidR="00DF61A6" w:rsidRDefault="00DF61A6"/>
    <w:p w14:paraId="6072EC40" w14:textId="33DE49CA" w:rsidR="00DF61A6" w:rsidRDefault="00DF61A6"/>
    <w:p w14:paraId="71C18B7E" w14:textId="29115B0F" w:rsidR="00DF61A6" w:rsidRDefault="00DF61A6"/>
    <w:p w14:paraId="19DF12B6" w14:textId="1DDD95CE" w:rsidR="00DF61A6" w:rsidRDefault="00DF61A6"/>
    <w:p w14:paraId="58C8B077" w14:textId="26269AA7" w:rsidR="00DF61A6" w:rsidRDefault="00DF61A6"/>
    <w:p w14:paraId="5FCC0BD4" w14:textId="5D0D7B7C" w:rsidR="00DF61A6" w:rsidRPr="00DF61A6" w:rsidRDefault="00DF61A6" w:rsidP="00DF61A6">
      <w:pPr>
        <w:jc w:val="center"/>
        <w:rPr>
          <w:rFonts w:ascii="Arial" w:hAnsi="Arial" w:cs="Arial"/>
          <w:sz w:val="24"/>
          <w:szCs w:val="24"/>
        </w:rPr>
      </w:pPr>
      <w:r w:rsidRPr="00DF61A6">
        <w:rPr>
          <w:rFonts w:ascii="Arial" w:hAnsi="Arial" w:cs="Arial"/>
          <w:sz w:val="24"/>
          <w:szCs w:val="24"/>
        </w:rPr>
        <w:t xml:space="preserve">Part </w:t>
      </w:r>
      <w:r w:rsidR="00983DA8">
        <w:rPr>
          <w:rFonts w:ascii="Arial" w:hAnsi="Arial" w:cs="Arial"/>
          <w:sz w:val="24"/>
          <w:szCs w:val="24"/>
        </w:rPr>
        <w:t>A</w:t>
      </w:r>
    </w:p>
    <w:p w14:paraId="31EEA56C" w14:textId="77777777" w:rsidR="00DF61A6" w:rsidRPr="00DF61A6" w:rsidRDefault="00DF61A6" w:rsidP="00DF61A6">
      <w:pPr>
        <w:rPr>
          <w:rFonts w:ascii="Arial" w:hAnsi="Arial" w:cs="Arial"/>
          <w:b/>
          <w:bCs/>
          <w:sz w:val="24"/>
          <w:szCs w:val="24"/>
        </w:rPr>
      </w:pPr>
      <w:r w:rsidRPr="00DF61A6">
        <w:rPr>
          <w:rFonts w:ascii="Arial" w:hAnsi="Arial" w:cs="Arial"/>
          <w:b/>
          <w:bCs/>
          <w:sz w:val="24"/>
          <w:szCs w:val="24"/>
        </w:rPr>
        <w:t>The sales price variance and sales volume contribution variance</w:t>
      </w:r>
    </w:p>
    <w:p w14:paraId="2B4CFF2C" w14:textId="77777777" w:rsidR="00DF61A6" w:rsidRPr="00DF61A6" w:rsidRDefault="00DF61A6" w:rsidP="00DF61A6">
      <w:pPr>
        <w:rPr>
          <w:rFonts w:ascii="Arial" w:hAnsi="Arial" w:cs="Arial"/>
          <w:sz w:val="24"/>
          <w:szCs w:val="24"/>
        </w:rPr>
      </w:pPr>
      <w:r w:rsidRPr="00DF61A6">
        <w:rPr>
          <w:rFonts w:ascii="Arial" w:hAnsi="Arial" w:cs="Arial"/>
          <w:sz w:val="24"/>
          <w:szCs w:val="24"/>
        </w:rPr>
        <w:t>The formula for calculating the sales price variance is as follows</w:t>
      </w:r>
    </w:p>
    <w:p w14:paraId="43E5F3C8" w14:textId="060DFB70" w:rsidR="00DF61A6" w:rsidRDefault="00DF61A6" w:rsidP="00DF61A6">
      <w:pPr>
        <w:rPr>
          <w:rFonts w:ascii="Arial" w:hAnsi="Arial" w:cs="Arial"/>
          <w:sz w:val="24"/>
          <w:szCs w:val="24"/>
        </w:rPr>
      </w:pPr>
      <w:r w:rsidRPr="00DF61A6">
        <w:rPr>
          <w:rFonts w:ascii="Arial" w:hAnsi="Arial" w:cs="Arial"/>
          <w:sz w:val="24"/>
          <w:szCs w:val="24"/>
        </w:rPr>
        <w:t>Sales price variance = (actual price – standard price) units sold</w:t>
      </w:r>
    </w:p>
    <w:tbl>
      <w:tblPr>
        <w:tblStyle w:val="TableGrid"/>
        <w:tblW w:w="0" w:type="auto"/>
        <w:tblLook w:val="04A0" w:firstRow="1" w:lastRow="0" w:firstColumn="1" w:lastColumn="0" w:noHBand="0" w:noVBand="1"/>
      </w:tblPr>
      <w:tblGrid>
        <w:gridCol w:w="1476"/>
        <w:gridCol w:w="1312"/>
        <w:gridCol w:w="1407"/>
        <w:gridCol w:w="1444"/>
        <w:gridCol w:w="1346"/>
        <w:gridCol w:w="2031"/>
      </w:tblGrid>
      <w:tr w:rsidR="00871866" w14:paraId="3CFDD4CF" w14:textId="77777777" w:rsidTr="00871866">
        <w:tc>
          <w:tcPr>
            <w:tcW w:w="1502" w:type="dxa"/>
          </w:tcPr>
          <w:p w14:paraId="2A5ECB27" w14:textId="689FD778" w:rsidR="00871866" w:rsidRDefault="00C20F6D" w:rsidP="00DF61A6">
            <w:pPr>
              <w:rPr>
                <w:rFonts w:ascii="Arial" w:hAnsi="Arial" w:cs="Arial"/>
                <w:sz w:val="24"/>
                <w:szCs w:val="24"/>
              </w:rPr>
            </w:pPr>
            <w:r>
              <w:rPr>
                <w:rFonts w:ascii="Arial" w:hAnsi="Arial" w:cs="Arial"/>
                <w:sz w:val="24"/>
                <w:szCs w:val="24"/>
              </w:rPr>
              <w:t>D</w:t>
            </w:r>
            <w:r w:rsidR="00D23682">
              <w:rPr>
                <w:rFonts w:ascii="Arial" w:hAnsi="Arial" w:cs="Arial"/>
                <w:sz w:val="24"/>
                <w:szCs w:val="24"/>
              </w:rPr>
              <w:t xml:space="preserve">escription </w:t>
            </w:r>
          </w:p>
        </w:tc>
        <w:tc>
          <w:tcPr>
            <w:tcW w:w="1502" w:type="dxa"/>
          </w:tcPr>
          <w:p w14:paraId="11A46AA4" w14:textId="232E2D82" w:rsidR="00871866" w:rsidRDefault="00D23682" w:rsidP="00DF61A6">
            <w:pPr>
              <w:rPr>
                <w:rFonts w:ascii="Arial" w:hAnsi="Arial" w:cs="Arial"/>
                <w:sz w:val="24"/>
                <w:szCs w:val="24"/>
              </w:rPr>
            </w:pPr>
            <w:r>
              <w:rPr>
                <w:rFonts w:ascii="Arial" w:hAnsi="Arial" w:cs="Arial"/>
                <w:sz w:val="24"/>
                <w:szCs w:val="24"/>
              </w:rPr>
              <w:t>Actual price</w:t>
            </w:r>
          </w:p>
        </w:tc>
        <w:tc>
          <w:tcPr>
            <w:tcW w:w="1503" w:type="dxa"/>
          </w:tcPr>
          <w:p w14:paraId="6B9BD664" w14:textId="5E13EDB8" w:rsidR="00871866" w:rsidRDefault="00D23682" w:rsidP="00DF61A6">
            <w:pPr>
              <w:rPr>
                <w:rFonts w:ascii="Arial" w:hAnsi="Arial" w:cs="Arial"/>
                <w:sz w:val="24"/>
                <w:szCs w:val="24"/>
              </w:rPr>
            </w:pPr>
            <w:r>
              <w:rPr>
                <w:rFonts w:ascii="Arial" w:hAnsi="Arial" w:cs="Arial"/>
                <w:sz w:val="24"/>
                <w:szCs w:val="24"/>
              </w:rPr>
              <w:t>Standard price</w:t>
            </w:r>
          </w:p>
        </w:tc>
        <w:tc>
          <w:tcPr>
            <w:tcW w:w="1503" w:type="dxa"/>
          </w:tcPr>
          <w:p w14:paraId="547C98BD" w14:textId="69C4715A" w:rsidR="00871866" w:rsidRDefault="00C20F6D" w:rsidP="00DF61A6">
            <w:pPr>
              <w:rPr>
                <w:rFonts w:ascii="Arial" w:hAnsi="Arial" w:cs="Arial"/>
                <w:sz w:val="24"/>
                <w:szCs w:val="24"/>
              </w:rPr>
            </w:pPr>
            <w:r>
              <w:rPr>
                <w:rFonts w:ascii="Arial" w:hAnsi="Arial" w:cs="Arial"/>
                <w:sz w:val="24"/>
                <w:szCs w:val="24"/>
              </w:rPr>
              <w:t>Difference</w:t>
            </w:r>
          </w:p>
        </w:tc>
        <w:tc>
          <w:tcPr>
            <w:tcW w:w="1503" w:type="dxa"/>
          </w:tcPr>
          <w:p w14:paraId="4AFC5F67" w14:textId="041CECCB" w:rsidR="00871866" w:rsidRDefault="00C20F6D" w:rsidP="00DF61A6">
            <w:pPr>
              <w:rPr>
                <w:rFonts w:ascii="Arial" w:hAnsi="Arial" w:cs="Arial"/>
                <w:sz w:val="24"/>
                <w:szCs w:val="24"/>
              </w:rPr>
            </w:pPr>
            <w:r>
              <w:rPr>
                <w:rFonts w:ascii="Arial" w:hAnsi="Arial" w:cs="Arial"/>
                <w:sz w:val="24"/>
                <w:szCs w:val="24"/>
              </w:rPr>
              <w:t xml:space="preserve">Actual volume </w:t>
            </w:r>
          </w:p>
        </w:tc>
        <w:tc>
          <w:tcPr>
            <w:tcW w:w="1503" w:type="dxa"/>
          </w:tcPr>
          <w:p w14:paraId="4EE4DCF7" w14:textId="27BB0C95" w:rsidR="00871866" w:rsidRDefault="00C20F6D" w:rsidP="00DF61A6">
            <w:pPr>
              <w:rPr>
                <w:rFonts w:ascii="Arial" w:hAnsi="Arial" w:cs="Arial"/>
                <w:sz w:val="24"/>
                <w:szCs w:val="24"/>
              </w:rPr>
            </w:pPr>
            <w:r>
              <w:rPr>
                <w:rFonts w:ascii="Arial" w:hAnsi="Arial" w:cs="Arial"/>
                <w:sz w:val="24"/>
                <w:szCs w:val="24"/>
              </w:rPr>
              <w:t>Sales price variance</w:t>
            </w:r>
          </w:p>
        </w:tc>
      </w:tr>
      <w:tr w:rsidR="00871866" w14:paraId="5C123E6B" w14:textId="77777777" w:rsidTr="00871866">
        <w:tc>
          <w:tcPr>
            <w:tcW w:w="1502" w:type="dxa"/>
          </w:tcPr>
          <w:p w14:paraId="70D9E44F" w14:textId="77777777" w:rsidR="00871866" w:rsidRDefault="00871866" w:rsidP="00DF61A6">
            <w:pPr>
              <w:rPr>
                <w:rFonts w:ascii="Arial" w:hAnsi="Arial" w:cs="Arial"/>
                <w:sz w:val="24"/>
                <w:szCs w:val="24"/>
              </w:rPr>
            </w:pPr>
          </w:p>
        </w:tc>
        <w:tc>
          <w:tcPr>
            <w:tcW w:w="1502" w:type="dxa"/>
          </w:tcPr>
          <w:p w14:paraId="7218A61A" w14:textId="53ABABBF" w:rsidR="00871866" w:rsidRDefault="00BA5049" w:rsidP="00BA5049">
            <w:pPr>
              <w:jc w:val="center"/>
              <w:rPr>
                <w:rFonts w:ascii="Arial" w:hAnsi="Arial" w:cs="Arial"/>
                <w:sz w:val="24"/>
                <w:szCs w:val="24"/>
              </w:rPr>
            </w:pPr>
            <w:r>
              <w:rPr>
                <w:rFonts w:ascii="Arial" w:hAnsi="Arial" w:cs="Arial"/>
                <w:sz w:val="24"/>
                <w:szCs w:val="24"/>
              </w:rPr>
              <w:t>£</w:t>
            </w:r>
          </w:p>
        </w:tc>
        <w:tc>
          <w:tcPr>
            <w:tcW w:w="1503" w:type="dxa"/>
          </w:tcPr>
          <w:p w14:paraId="36A939F1" w14:textId="7BE88FAE" w:rsidR="00871866" w:rsidRDefault="00BA5049" w:rsidP="00BA5049">
            <w:pPr>
              <w:jc w:val="center"/>
              <w:rPr>
                <w:rFonts w:ascii="Arial" w:hAnsi="Arial" w:cs="Arial"/>
                <w:sz w:val="24"/>
                <w:szCs w:val="24"/>
              </w:rPr>
            </w:pPr>
            <w:r>
              <w:rPr>
                <w:rFonts w:ascii="Arial" w:hAnsi="Arial" w:cs="Arial"/>
                <w:sz w:val="24"/>
                <w:szCs w:val="24"/>
              </w:rPr>
              <w:t>£</w:t>
            </w:r>
          </w:p>
        </w:tc>
        <w:tc>
          <w:tcPr>
            <w:tcW w:w="1503" w:type="dxa"/>
          </w:tcPr>
          <w:p w14:paraId="1520AE31" w14:textId="23DD097D" w:rsidR="00871866" w:rsidRDefault="00BA5049" w:rsidP="00BA5049">
            <w:pPr>
              <w:jc w:val="center"/>
              <w:rPr>
                <w:rFonts w:ascii="Arial" w:hAnsi="Arial" w:cs="Arial"/>
                <w:sz w:val="24"/>
                <w:szCs w:val="24"/>
              </w:rPr>
            </w:pPr>
            <w:r>
              <w:rPr>
                <w:rFonts w:ascii="Arial" w:hAnsi="Arial" w:cs="Arial"/>
                <w:sz w:val="24"/>
                <w:szCs w:val="24"/>
              </w:rPr>
              <w:t>£</w:t>
            </w:r>
          </w:p>
        </w:tc>
        <w:tc>
          <w:tcPr>
            <w:tcW w:w="1503" w:type="dxa"/>
          </w:tcPr>
          <w:p w14:paraId="21C746E6" w14:textId="77777777" w:rsidR="00871866" w:rsidRDefault="00871866" w:rsidP="00DF61A6">
            <w:pPr>
              <w:rPr>
                <w:rFonts w:ascii="Arial" w:hAnsi="Arial" w:cs="Arial"/>
                <w:sz w:val="24"/>
                <w:szCs w:val="24"/>
              </w:rPr>
            </w:pPr>
          </w:p>
        </w:tc>
        <w:tc>
          <w:tcPr>
            <w:tcW w:w="1503" w:type="dxa"/>
          </w:tcPr>
          <w:p w14:paraId="74F7A8C3" w14:textId="77777777" w:rsidR="00871866" w:rsidRDefault="00871866" w:rsidP="00DF61A6">
            <w:pPr>
              <w:rPr>
                <w:rFonts w:ascii="Arial" w:hAnsi="Arial" w:cs="Arial"/>
                <w:sz w:val="24"/>
                <w:szCs w:val="24"/>
              </w:rPr>
            </w:pPr>
          </w:p>
        </w:tc>
      </w:tr>
      <w:tr w:rsidR="00871866" w14:paraId="0EDD4401" w14:textId="77777777" w:rsidTr="00871866">
        <w:tc>
          <w:tcPr>
            <w:tcW w:w="1502" w:type="dxa"/>
          </w:tcPr>
          <w:p w14:paraId="42F17932" w14:textId="0DDF34A2" w:rsidR="00871866" w:rsidRDefault="00BA5049" w:rsidP="00DF61A6">
            <w:pPr>
              <w:rPr>
                <w:rFonts w:ascii="Arial" w:hAnsi="Arial" w:cs="Arial"/>
                <w:sz w:val="24"/>
                <w:szCs w:val="24"/>
              </w:rPr>
            </w:pPr>
            <w:r>
              <w:rPr>
                <w:rFonts w:ascii="Arial" w:hAnsi="Arial" w:cs="Arial"/>
                <w:sz w:val="24"/>
                <w:szCs w:val="24"/>
              </w:rPr>
              <w:t>Chemical X</w:t>
            </w:r>
          </w:p>
        </w:tc>
        <w:tc>
          <w:tcPr>
            <w:tcW w:w="1502" w:type="dxa"/>
          </w:tcPr>
          <w:p w14:paraId="44C34356" w14:textId="353F4734" w:rsidR="00871866" w:rsidRDefault="001B604D" w:rsidP="00DF61A6">
            <w:pPr>
              <w:rPr>
                <w:rFonts w:ascii="Arial" w:hAnsi="Arial" w:cs="Arial"/>
                <w:sz w:val="24"/>
                <w:szCs w:val="24"/>
              </w:rPr>
            </w:pPr>
            <w:r>
              <w:rPr>
                <w:rFonts w:ascii="Arial" w:hAnsi="Arial" w:cs="Arial"/>
                <w:sz w:val="24"/>
                <w:szCs w:val="24"/>
              </w:rPr>
              <w:t>45</w:t>
            </w:r>
          </w:p>
        </w:tc>
        <w:tc>
          <w:tcPr>
            <w:tcW w:w="1503" w:type="dxa"/>
          </w:tcPr>
          <w:p w14:paraId="11FB21B9" w14:textId="7F346075" w:rsidR="00871866" w:rsidRDefault="001B604D" w:rsidP="00DF61A6">
            <w:pPr>
              <w:rPr>
                <w:rFonts w:ascii="Arial" w:hAnsi="Arial" w:cs="Arial"/>
                <w:sz w:val="24"/>
                <w:szCs w:val="24"/>
              </w:rPr>
            </w:pPr>
            <w:r>
              <w:rPr>
                <w:rFonts w:ascii="Arial" w:hAnsi="Arial" w:cs="Arial"/>
                <w:sz w:val="24"/>
                <w:szCs w:val="24"/>
              </w:rPr>
              <w:t>35</w:t>
            </w:r>
          </w:p>
        </w:tc>
        <w:tc>
          <w:tcPr>
            <w:tcW w:w="1503" w:type="dxa"/>
          </w:tcPr>
          <w:p w14:paraId="6A4963C3" w14:textId="29408FFD" w:rsidR="00871866" w:rsidRDefault="001B604D" w:rsidP="00DF61A6">
            <w:pPr>
              <w:rPr>
                <w:rFonts w:ascii="Arial" w:hAnsi="Arial" w:cs="Arial"/>
                <w:sz w:val="24"/>
                <w:szCs w:val="24"/>
              </w:rPr>
            </w:pPr>
            <w:r>
              <w:rPr>
                <w:rFonts w:ascii="Arial" w:hAnsi="Arial" w:cs="Arial"/>
                <w:sz w:val="24"/>
                <w:szCs w:val="24"/>
              </w:rPr>
              <w:t>10</w:t>
            </w:r>
          </w:p>
        </w:tc>
        <w:tc>
          <w:tcPr>
            <w:tcW w:w="1503" w:type="dxa"/>
          </w:tcPr>
          <w:p w14:paraId="1C851A77" w14:textId="543D0767" w:rsidR="00871866" w:rsidRDefault="001B604D" w:rsidP="00DF61A6">
            <w:pPr>
              <w:rPr>
                <w:rFonts w:ascii="Arial" w:hAnsi="Arial" w:cs="Arial"/>
                <w:sz w:val="24"/>
                <w:szCs w:val="24"/>
              </w:rPr>
            </w:pPr>
            <w:r>
              <w:rPr>
                <w:rFonts w:ascii="Arial" w:hAnsi="Arial" w:cs="Arial"/>
                <w:sz w:val="24"/>
                <w:szCs w:val="24"/>
              </w:rPr>
              <w:t>850</w:t>
            </w:r>
          </w:p>
        </w:tc>
        <w:tc>
          <w:tcPr>
            <w:tcW w:w="1503" w:type="dxa"/>
          </w:tcPr>
          <w:p w14:paraId="39550CEA" w14:textId="03AC920C" w:rsidR="00871866" w:rsidRDefault="001B604D" w:rsidP="00DF61A6">
            <w:pPr>
              <w:rPr>
                <w:rFonts w:ascii="Arial" w:hAnsi="Arial" w:cs="Arial"/>
                <w:sz w:val="24"/>
                <w:szCs w:val="24"/>
              </w:rPr>
            </w:pPr>
            <w:r>
              <w:rPr>
                <w:rFonts w:ascii="Arial" w:hAnsi="Arial" w:cs="Arial"/>
                <w:sz w:val="24"/>
                <w:szCs w:val="24"/>
              </w:rPr>
              <w:t>8500</w:t>
            </w:r>
            <w:r w:rsidR="00413B0A">
              <w:rPr>
                <w:rFonts w:ascii="Arial" w:hAnsi="Arial" w:cs="Arial"/>
                <w:sz w:val="24"/>
                <w:szCs w:val="24"/>
              </w:rPr>
              <w:t>(favourable)</w:t>
            </w:r>
          </w:p>
        </w:tc>
      </w:tr>
      <w:tr w:rsidR="00871866" w14:paraId="64204920" w14:textId="77777777" w:rsidTr="00871866">
        <w:tc>
          <w:tcPr>
            <w:tcW w:w="1502" w:type="dxa"/>
          </w:tcPr>
          <w:p w14:paraId="5986896B" w14:textId="55A99CDE" w:rsidR="00871866" w:rsidRDefault="00BA5049" w:rsidP="00DF61A6">
            <w:pPr>
              <w:rPr>
                <w:rFonts w:ascii="Arial" w:hAnsi="Arial" w:cs="Arial"/>
                <w:sz w:val="24"/>
                <w:szCs w:val="24"/>
              </w:rPr>
            </w:pPr>
            <w:r>
              <w:rPr>
                <w:rFonts w:ascii="Arial" w:hAnsi="Arial" w:cs="Arial"/>
                <w:sz w:val="24"/>
                <w:szCs w:val="24"/>
              </w:rPr>
              <w:t>Chemical Y</w:t>
            </w:r>
          </w:p>
        </w:tc>
        <w:tc>
          <w:tcPr>
            <w:tcW w:w="1502" w:type="dxa"/>
          </w:tcPr>
          <w:p w14:paraId="1952AA69" w14:textId="73BB6D98" w:rsidR="00871866" w:rsidRDefault="001B604D" w:rsidP="00DF61A6">
            <w:pPr>
              <w:rPr>
                <w:rFonts w:ascii="Arial" w:hAnsi="Arial" w:cs="Arial"/>
                <w:sz w:val="24"/>
                <w:szCs w:val="24"/>
              </w:rPr>
            </w:pPr>
            <w:r>
              <w:rPr>
                <w:rFonts w:ascii="Arial" w:hAnsi="Arial" w:cs="Arial"/>
                <w:sz w:val="24"/>
                <w:szCs w:val="24"/>
              </w:rPr>
              <w:t>37</w:t>
            </w:r>
          </w:p>
        </w:tc>
        <w:tc>
          <w:tcPr>
            <w:tcW w:w="1503" w:type="dxa"/>
          </w:tcPr>
          <w:p w14:paraId="13603E23" w14:textId="57E5F9F1" w:rsidR="00871866" w:rsidRDefault="001B604D" w:rsidP="00DF61A6">
            <w:pPr>
              <w:rPr>
                <w:rFonts w:ascii="Arial" w:hAnsi="Arial" w:cs="Arial"/>
                <w:sz w:val="24"/>
                <w:szCs w:val="24"/>
              </w:rPr>
            </w:pPr>
            <w:r>
              <w:rPr>
                <w:rFonts w:ascii="Arial" w:hAnsi="Arial" w:cs="Arial"/>
                <w:sz w:val="24"/>
                <w:szCs w:val="24"/>
              </w:rPr>
              <w:t>30</w:t>
            </w:r>
          </w:p>
        </w:tc>
        <w:tc>
          <w:tcPr>
            <w:tcW w:w="1503" w:type="dxa"/>
          </w:tcPr>
          <w:p w14:paraId="6E3C7CD5" w14:textId="196AA6E1" w:rsidR="00871866" w:rsidRDefault="00DC7610" w:rsidP="00DF61A6">
            <w:pPr>
              <w:rPr>
                <w:rFonts w:ascii="Arial" w:hAnsi="Arial" w:cs="Arial"/>
                <w:sz w:val="24"/>
                <w:szCs w:val="24"/>
              </w:rPr>
            </w:pPr>
            <w:r>
              <w:rPr>
                <w:rFonts w:ascii="Arial" w:hAnsi="Arial" w:cs="Arial"/>
                <w:sz w:val="24"/>
                <w:szCs w:val="24"/>
              </w:rPr>
              <w:t>7</w:t>
            </w:r>
          </w:p>
        </w:tc>
        <w:tc>
          <w:tcPr>
            <w:tcW w:w="1503" w:type="dxa"/>
          </w:tcPr>
          <w:p w14:paraId="218DF975" w14:textId="33CB0AB8" w:rsidR="00871866" w:rsidRDefault="00DC7610" w:rsidP="00DF61A6">
            <w:pPr>
              <w:rPr>
                <w:rFonts w:ascii="Arial" w:hAnsi="Arial" w:cs="Arial"/>
                <w:sz w:val="24"/>
                <w:szCs w:val="24"/>
              </w:rPr>
            </w:pPr>
            <w:r>
              <w:rPr>
                <w:rFonts w:ascii="Arial" w:hAnsi="Arial" w:cs="Arial"/>
                <w:sz w:val="24"/>
                <w:szCs w:val="24"/>
              </w:rPr>
              <w:t>750</w:t>
            </w:r>
          </w:p>
        </w:tc>
        <w:tc>
          <w:tcPr>
            <w:tcW w:w="1503" w:type="dxa"/>
          </w:tcPr>
          <w:p w14:paraId="5EA7BD91" w14:textId="1401E942" w:rsidR="00871866" w:rsidRDefault="00DC7610" w:rsidP="00DF61A6">
            <w:pPr>
              <w:rPr>
                <w:rFonts w:ascii="Arial" w:hAnsi="Arial" w:cs="Arial"/>
                <w:sz w:val="24"/>
                <w:szCs w:val="24"/>
              </w:rPr>
            </w:pPr>
            <w:r>
              <w:rPr>
                <w:rFonts w:ascii="Arial" w:hAnsi="Arial" w:cs="Arial"/>
                <w:sz w:val="24"/>
                <w:szCs w:val="24"/>
              </w:rPr>
              <w:t>5250</w:t>
            </w:r>
            <w:r w:rsidR="00413B0A">
              <w:rPr>
                <w:rFonts w:ascii="Arial" w:hAnsi="Arial" w:cs="Arial"/>
                <w:sz w:val="24"/>
                <w:szCs w:val="24"/>
              </w:rPr>
              <w:t>(favourable)</w:t>
            </w:r>
          </w:p>
        </w:tc>
      </w:tr>
      <w:tr w:rsidR="00871866" w14:paraId="5F5AF884" w14:textId="77777777" w:rsidTr="00871866">
        <w:tc>
          <w:tcPr>
            <w:tcW w:w="1502" w:type="dxa"/>
          </w:tcPr>
          <w:p w14:paraId="45A24E94" w14:textId="77777777" w:rsidR="00871866" w:rsidRDefault="00871866" w:rsidP="00DF61A6">
            <w:pPr>
              <w:rPr>
                <w:rFonts w:ascii="Arial" w:hAnsi="Arial" w:cs="Arial"/>
                <w:sz w:val="24"/>
                <w:szCs w:val="24"/>
              </w:rPr>
            </w:pPr>
          </w:p>
        </w:tc>
        <w:tc>
          <w:tcPr>
            <w:tcW w:w="1502" w:type="dxa"/>
          </w:tcPr>
          <w:p w14:paraId="7EAD6A90" w14:textId="77777777" w:rsidR="00871866" w:rsidRDefault="00871866" w:rsidP="00DF61A6">
            <w:pPr>
              <w:rPr>
                <w:rFonts w:ascii="Arial" w:hAnsi="Arial" w:cs="Arial"/>
                <w:sz w:val="24"/>
                <w:szCs w:val="24"/>
              </w:rPr>
            </w:pPr>
          </w:p>
        </w:tc>
        <w:tc>
          <w:tcPr>
            <w:tcW w:w="1503" w:type="dxa"/>
          </w:tcPr>
          <w:p w14:paraId="5DDE1E9B" w14:textId="77777777" w:rsidR="00871866" w:rsidRDefault="00871866" w:rsidP="00DF61A6">
            <w:pPr>
              <w:rPr>
                <w:rFonts w:ascii="Arial" w:hAnsi="Arial" w:cs="Arial"/>
                <w:sz w:val="24"/>
                <w:szCs w:val="24"/>
              </w:rPr>
            </w:pPr>
          </w:p>
        </w:tc>
        <w:tc>
          <w:tcPr>
            <w:tcW w:w="1503" w:type="dxa"/>
          </w:tcPr>
          <w:p w14:paraId="2D4909BC" w14:textId="77777777" w:rsidR="00871866" w:rsidRDefault="00871866" w:rsidP="00DF61A6">
            <w:pPr>
              <w:rPr>
                <w:rFonts w:ascii="Arial" w:hAnsi="Arial" w:cs="Arial"/>
                <w:sz w:val="24"/>
                <w:szCs w:val="24"/>
              </w:rPr>
            </w:pPr>
          </w:p>
        </w:tc>
        <w:tc>
          <w:tcPr>
            <w:tcW w:w="1503" w:type="dxa"/>
          </w:tcPr>
          <w:p w14:paraId="66073A93" w14:textId="77777777" w:rsidR="00871866" w:rsidRDefault="00871866" w:rsidP="00DF61A6">
            <w:pPr>
              <w:rPr>
                <w:rFonts w:ascii="Arial" w:hAnsi="Arial" w:cs="Arial"/>
                <w:sz w:val="24"/>
                <w:szCs w:val="24"/>
              </w:rPr>
            </w:pPr>
          </w:p>
        </w:tc>
        <w:tc>
          <w:tcPr>
            <w:tcW w:w="1503" w:type="dxa"/>
          </w:tcPr>
          <w:p w14:paraId="3E5F0BF8" w14:textId="77777777" w:rsidR="00871866" w:rsidRDefault="00871866" w:rsidP="00DF61A6">
            <w:pPr>
              <w:rPr>
                <w:rFonts w:ascii="Arial" w:hAnsi="Arial" w:cs="Arial"/>
                <w:sz w:val="24"/>
                <w:szCs w:val="24"/>
              </w:rPr>
            </w:pPr>
          </w:p>
        </w:tc>
      </w:tr>
    </w:tbl>
    <w:p w14:paraId="61739EB9" w14:textId="360705C1" w:rsidR="00A75B86" w:rsidRPr="00DF61A6" w:rsidRDefault="00A75B86" w:rsidP="00DF61A6">
      <w:pPr>
        <w:rPr>
          <w:rFonts w:ascii="Arial" w:hAnsi="Arial" w:cs="Arial"/>
          <w:sz w:val="24"/>
          <w:szCs w:val="24"/>
        </w:rPr>
      </w:pPr>
    </w:p>
    <w:p w14:paraId="67C60D5B" w14:textId="77777777" w:rsidR="00DF61A6" w:rsidRPr="00DF61A6" w:rsidRDefault="00DF61A6" w:rsidP="00DF61A6">
      <w:pPr>
        <w:rPr>
          <w:rFonts w:ascii="Arial" w:hAnsi="Arial" w:cs="Arial"/>
          <w:sz w:val="24"/>
          <w:szCs w:val="24"/>
        </w:rPr>
      </w:pPr>
      <w:r w:rsidRPr="00DF61A6">
        <w:rPr>
          <w:rFonts w:ascii="Arial" w:hAnsi="Arial" w:cs="Arial"/>
          <w:sz w:val="24"/>
          <w:szCs w:val="24"/>
        </w:rPr>
        <w:t>Sales price variance (x) = (45 – 35) * 850 = 8,500 (favourable)</w:t>
      </w:r>
    </w:p>
    <w:p w14:paraId="33FB43C3" w14:textId="77777777" w:rsidR="00DF61A6" w:rsidRPr="00DF61A6" w:rsidRDefault="00DF61A6" w:rsidP="00DF61A6">
      <w:pPr>
        <w:rPr>
          <w:rFonts w:ascii="Arial" w:hAnsi="Arial" w:cs="Arial"/>
          <w:sz w:val="24"/>
          <w:szCs w:val="24"/>
        </w:rPr>
      </w:pPr>
      <w:r w:rsidRPr="00DF61A6">
        <w:rPr>
          <w:rFonts w:ascii="Arial" w:hAnsi="Arial" w:cs="Arial"/>
          <w:sz w:val="24"/>
          <w:szCs w:val="24"/>
        </w:rPr>
        <w:t>Sales price variance (y) = (37 – 30) * 750 = 5,250 (favourable)</w:t>
      </w:r>
    </w:p>
    <w:p w14:paraId="4963524D" w14:textId="77777777" w:rsidR="00DF61A6" w:rsidRPr="00DF61A6" w:rsidRDefault="00DF61A6" w:rsidP="00DF61A6">
      <w:pPr>
        <w:rPr>
          <w:rFonts w:ascii="Arial" w:hAnsi="Arial" w:cs="Arial"/>
          <w:sz w:val="24"/>
          <w:szCs w:val="24"/>
        </w:rPr>
      </w:pPr>
      <w:r w:rsidRPr="00DF61A6">
        <w:rPr>
          <w:rFonts w:ascii="Arial" w:hAnsi="Arial" w:cs="Arial"/>
          <w:sz w:val="24"/>
          <w:szCs w:val="24"/>
        </w:rPr>
        <w:t>The sales price variance is favourable for product x and y. A favourable variance implies that the actual price was higher than the budgeted price (</w:t>
      </w:r>
      <w:proofErr w:type="spellStart"/>
      <w:r w:rsidRPr="00DF61A6">
        <w:rPr>
          <w:rFonts w:ascii="Arial" w:eastAsia="Times New Roman" w:hAnsi="Arial" w:cs="Arial"/>
          <w:color w:val="000000"/>
          <w:sz w:val="24"/>
          <w:szCs w:val="24"/>
        </w:rPr>
        <w:t>Atrill</w:t>
      </w:r>
      <w:proofErr w:type="spellEnd"/>
      <w:r w:rsidRPr="00DF61A6">
        <w:rPr>
          <w:rFonts w:ascii="Arial" w:eastAsia="Times New Roman" w:hAnsi="Arial" w:cs="Arial"/>
          <w:color w:val="000000"/>
          <w:sz w:val="24"/>
          <w:szCs w:val="24"/>
        </w:rPr>
        <w:t xml:space="preserve"> and McLaney, 2009)</w:t>
      </w:r>
      <w:r w:rsidRPr="00DF61A6">
        <w:rPr>
          <w:rFonts w:ascii="Arial" w:hAnsi="Arial" w:cs="Arial"/>
          <w:sz w:val="24"/>
          <w:szCs w:val="24"/>
        </w:rPr>
        <w:t xml:space="preserve">. The budgeted price is established by the management to make a reasonable profit. The deviations caused by the pandemic have moves the prices of the products towards a favourable direction. </w:t>
      </w:r>
    </w:p>
    <w:p w14:paraId="0259323D" w14:textId="5F0F8F4C" w:rsidR="00DF61A6" w:rsidRDefault="00DF61A6" w:rsidP="00DF61A6">
      <w:pPr>
        <w:rPr>
          <w:rFonts w:ascii="Arial" w:eastAsia="Times New Roman" w:hAnsi="Arial" w:cs="Arial"/>
          <w:color w:val="000000"/>
          <w:sz w:val="24"/>
          <w:szCs w:val="24"/>
        </w:rPr>
      </w:pPr>
      <w:r w:rsidRPr="00DF61A6">
        <w:rPr>
          <w:rFonts w:ascii="Arial" w:hAnsi="Arial" w:cs="Arial"/>
          <w:sz w:val="24"/>
          <w:szCs w:val="24"/>
        </w:rPr>
        <w:t>Sales volume contribution margin = (Standard price per unit – standard variable cost per unit) * Budgeted units (</w:t>
      </w:r>
      <w:r w:rsidRPr="00DF61A6">
        <w:rPr>
          <w:rFonts w:ascii="Arial" w:eastAsia="Times New Roman" w:hAnsi="Arial" w:cs="Arial"/>
          <w:color w:val="000000"/>
          <w:sz w:val="24"/>
          <w:szCs w:val="24"/>
        </w:rPr>
        <w:t>Williamson, 2008, p.24)</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DC642D" w14:paraId="07A770C8" w14:textId="77777777" w:rsidTr="00DC642D">
        <w:tc>
          <w:tcPr>
            <w:tcW w:w="1502" w:type="dxa"/>
          </w:tcPr>
          <w:p w14:paraId="31042FA3" w14:textId="5AB162B2" w:rsidR="00DC642D" w:rsidRDefault="00DC642D" w:rsidP="00DF61A6">
            <w:pPr>
              <w:rPr>
                <w:rFonts w:ascii="Arial" w:hAnsi="Arial" w:cs="Arial"/>
                <w:sz w:val="24"/>
                <w:szCs w:val="24"/>
              </w:rPr>
            </w:pPr>
            <w:r>
              <w:rPr>
                <w:rFonts w:ascii="Arial" w:hAnsi="Arial" w:cs="Arial"/>
                <w:sz w:val="24"/>
                <w:szCs w:val="24"/>
              </w:rPr>
              <w:t>Description</w:t>
            </w:r>
          </w:p>
        </w:tc>
        <w:tc>
          <w:tcPr>
            <w:tcW w:w="1502" w:type="dxa"/>
          </w:tcPr>
          <w:p w14:paraId="08A44D65" w14:textId="52A6C251" w:rsidR="00DC642D" w:rsidRDefault="00D53AFA" w:rsidP="00DF61A6">
            <w:pPr>
              <w:rPr>
                <w:rFonts w:ascii="Arial" w:hAnsi="Arial" w:cs="Arial"/>
                <w:sz w:val="24"/>
                <w:szCs w:val="24"/>
              </w:rPr>
            </w:pPr>
            <w:r>
              <w:rPr>
                <w:rFonts w:ascii="Arial" w:hAnsi="Arial" w:cs="Arial"/>
                <w:sz w:val="24"/>
                <w:szCs w:val="24"/>
              </w:rPr>
              <w:t>Actual sales volume</w:t>
            </w:r>
          </w:p>
        </w:tc>
        <w:tc>
          <w:tcPr>
            <w:tcW w:w="1503" w:type="dxa"/>
          </w:tcPr>
          <w:p w14:paraId="2239D29E" w14:textId="78FF1871" w:rsidR="00DC642D" w:rsidRDefault="00D53AFA" w:rsidP="00DF61A6">
            <w:pPr>
              <w:rPr>
                <w:rFonts w:ascii="Arial" w:hAnsi="Arial" w:cs="Arial"/>
                <w:sz w:val="24"/>
                <w:szCs w:val="24"/>
              </w:rPr>
            </w:pPr>
            <w:r>
              <w:rPr>
                <w:rFonts w:ascii="Arial" w:hAnsi="Arial" w:cs="Arial"/>
                <w:sz w:val="24"/>
                <w:szCs w:val="24"/>
              </w:rPr>
              <w:t>Budgeted sales volume</w:t>
            </w:r>
          </w:p>
        </w:tc>
        <w:tc>
          <w:tcPr>
            <w:tcW w:w="1503" w:type="dxa"/>
          </w:tcPr>
          <w:p w14:paraId="1F51B059" w14:textId="4AC69179" w:rsidR="00DC642D" w:rsidRDefault="00204809" w:rsidP="00DF61A6">
            <w:pPr>
              <w:rPr>
                <w:rFonts w:ascii="Arial" w:hAnsi="Arial" w:cs="Arial"/>
                <w:sz w:val="24"/>
                <w:szCs w:val="24"/>
              </w:rPr>
            </w:pPr>
            <w:r>
              <w:rPr>
                <w:rFonts w:ascii="Arial" w:hAnsi="Arial" w:cs="Arial"/>
                <w:sz w:val="24"/>
                <w:szCs w:val="24"/>
              </w:rPr>
              <w:t>Difference</w:t>
            </w:r>
          </w:p>
        </w:tc>
        <w:tc>
          <w:tcPr>
            <w:tcW w:w="1503" w:type="dxa"/>
          </w:tcPr>
          <w:p w14:paraId="1BE6FB9C" w14:textId="1E92F286" w:rsidR="00DC642D" w:rsidRDefault="00204809" w:rsidP="00DF61A6">
            <w:pPr>
              <w:rPr>
                <w:rFonts w:ascii="Arial" w:hAnsi="Arial" w:cs="Arial"/>
                <w:sz w:val="24"/>
                <w:szCs w:val="24"/>
              </w:rPr>
            </w:pPr>
            <w:r>
              <w:rPr>
                <w:rFonts w:ascii="Arial" w:hAnsi="Arial" w:cs="Arial"/>
                <w:sz w:val="24"/>
                <w:szCs w:val="24"/>
              </w:rPr>
              <w:t>Standard Margin</w:t>
            </w:r>
          </w:p>
        </w:tc>
        <w:tc>
          <w:tcPr>
            <w:tcW w:w="1503" w:type="dxa"/>
          </w:tcPr>
          <w:p w14:paraId="074F48C5" w14:textId="7A45A3B6" w:rsidR="00DC642D" w:rsidRDefault="007D324B" w:rsidP="00DF61A6">
            <w:pPr>
              <w:rPr>
                <w:rFonts w:ascii="Arial" w:hAnsi="Arial" w:cs="Arial"/>
                <w:sz w:val="24"/>
                <w:szCs w:val="24"/>
              </w:rPr>
            </w:pPr>
            <w:r>
              <w:rPr>
                <w:rFonts w:ascii="Arial" w:hAnsi="Arial" w:cs="Arial"/>
                <w:sz w:val="24"/>
                <w:szCs w:val="24"/>
              </w:rPr>
              <w:t>Sales volume variance</w:t>
            </w:r>
          </w:p>
        </w:tc>
      </w:tr>
      <w:tr w:rsidR="00DC642D" w14:paraId="71D86C75" w14:textId="77777777" w:rsidTr="00DC642D">
        <w:tc>
          <w:tcPr>
            <w:tcW w:w="1502" w:type="dxa"/>
          </w:tcPr>
          <w:p w14:paraId="3D9E5983" w14:textId="77777777" w:rsidR="00DC642D" w:rsidRDefault="00DC642D" w:rsidP="00DF61A6">
            <w:pPr>
              <w:rPr>
                <w:rFonts w:ascii="Arial" w:hAnsi="Arial" w:cs="Arial"/>
                <w:sz w:val="24"/>
                <w:szCs w:val="24"/>
              </w:rPr>
            </w:pPr>
          </w:p>
        </w:tc>
        <w:tc>
          <w:tcPr>
            <w:tcW w:w="1502" w:type="dxa"/>
          </w:tcPr>
          <w:p w14:paraId="7EDCBA8C" w14:textId="5CA67633" w:rsidR="00DC642D" w:rsidRDefault="007D324B" w:rsidP="007D324B">
            <w:pPr>
              <w:jc w:val="center"/>
              <w:rPr>
                <w:rFonts w:ascii="Arial" w:hAnsi="Arial" w:cs="Arial"/>
                <w:sz w:val="24"/>
                <w:szCs w:val="24"/>
              </w:rPr>
            </w:pPr>
            <w:r>
              <w:rPr>
                <w:rFonts w:ascii="Arial" w:hAnsi="Arial" w:cs="Arial"/>
                <w:sz w:val="24"/>
                <w:szCs w:val="24"/>
              </w:rPr>
              <w:t>£</w:t>
            </w:r>
          </w:p>
        </w:tc>
        <w:tc>
          <w:tcPr>
            <w:tcW w:w="1503" w:type="dxa"/>
          </w:tcPr>
          <w:p w14:paraId="74ED8365" w14:textId="791170BE" w:rsidR="00DC642D" w:rsidRDefault="007D324B" w:rsidP="007D324B">
            <w:pPr>
              <w:jc w:val="center"/>
              <w:rPr>
                <w:rFonts w:ascii="Arial" w:hAnsi="Arial" w:cs="Arial"/>
                <w:sz w:val="24"/>
                <w:szCs w:val="24"/>
              </w:rPr>
            </w:pPr>
            <w:r>
              <w:rPr>
                <w:rFonts w:ascii="Arial" w:hAnsi="Arial" w:cs="Arial"/>
                <w:sz w:val="24"/>
                <w:szCs w:val="24"/>
              </w:rPr>
              <w:t>£</w:t>
            </w:r>
          </w:p>
        </w:tc>
        <w:tc>
          <w:tcPr>
            <w:tcW w:w="1503" w:type="dxa"/>
          </w:tcPr>
          <w:p w14:paraId="56D6A151" w14:textId="2D1F30A5" w:rsidR="00DC642D" w:rsidRDefault="007D324B" w:rsidP="007D324B">
            <w:pPr>
              <w:jc w:val="center"/>
              <w:rPr>
                <w:rFonts w:ascii="Arial" w:hAnsi="Arial" w:cs="Arial"/>
                <w:sz w:val="24"/>
                <w:szCs w:val="24"/>
              </w:rPr>
            </w:pPr>
            <w:r>
              <w:rPr>
                <w:rFonts w:ascii="Arial" w:hAnsi="Arial" w:cs="Arial"/>
                <w:sz w:val="24"/>
                <w:szCs w:val="24"/>
              </w:rPr>
              <w:t>£</w:t>
            </w:r>
          </w:p>
        </w:tc>
        <w:tc>
          <w:tcPr>
            <w:tcW w:w="1503" w:type="dxa"/>
          </w:tcPr>
          <w:p w14:paraId="02F7825C" w14:textId="77777777" w:rsidR="00DC642D" w:rsidRDefault="00DC642D" w:rsidP="00DF61A6">
            <w:pPr>
              <w:rPr>
                <w:rFonts w:ascii="Arial" w:hAnsi="Arial" w:cs="Arial"/>
                <w:sz w:val="24"/>
                <w:szCs w:val="24"/>
              </w:rPr>
            </w:pPr>
          </w:p>
        </w:tc>
        <w:tc>
          <w:tcPr>
            <w:tcW w:w="1503" w:type="dxa"/>
          </w:tcPr>
          <w:p w14:paraId="6C50C668" w14:textId="77777777" w:rsidR="00DC642D" w:rsidRDefault="00DC642D" w:rsidP="00DF61A6">
            <w:pPr>
              <w:rPr>
                <w:rFonts w:ascii="Arial" w:hAnsi="Arial" w:cs="Arial"/>
                <w:sz w:val="24"/>
                <w:szCs w:val="24"/>
              </w:rPr>
            </w:pPr>
          </w:p>
        </w:tc>
      </w:tr>
      <w:tr w:rsidR="00DC642D" w14:paraId="2FEED5D9" w14:textId="77777777" w:rsidTr="00DC642D">
        <w:tc>
          <w:tcPr>
            <w:tcW w:w="1502" w:type="dxa"/>
          </w:tcPr>
          <w:p w14:paraId="16C5ABD5" w14:textId="1149272B" w:rsidR="00DC642D" w:rsidRDefault="007D324B" w:rsidP="00DF61A6">
            <w:pPr>
              <w:rPr>
                <w:rFonts w:ascii="Arial" w:hAnsi="Arial" w:cs="Arial"/>
                <w:sz w:val="24"/>
                <w:szCs w:val="24"/>
              </w:rPr>
            </w:pPr>
            <w:r>
              <w:rPr>
                <w:rFonts w:ascii="Arial" w:hAnsi="Arial" w:cs="Arial"/>
                <w:sz w:val="24"/>
                <w:szCs w:val="24"/>
              </w:rPr>
              <w:t>Chemical X</w:t>
            </w:r>
          </w:p>
        </w:tc>
        <w:tc>
          <w:tcPr>
            <w:tcW w:w="1502" w:type="dxa"/>
          </w:tcPr>
          <w:p w14:paraId="385DD070" w14:textId="73ECB75B" w:rsidR="00DC642D" w:rsidRDefault="007D324B" w:rsidP="00DF61A6">
            <w:pPr>
              <w:rPr>
                <w:rFonts w:ascii="Arial" w:hAnsi="Arial" w:cs="Arial"/>
                <w:sz w:val="24"/>
                <w:szCs w:val="24"/>
              </w:rPr>
            </w:pPr>
            <w:r>
              <w:rPr>
                <w:rFonts w:ascii="Arial" w:hAnsi="Arial" w:cs="Arial"/>
                <w:sz w:val="24"/>
                <w:szCs w:val="24"/>
              </w:rPr>
              <w:t>35</w:t>
            </w:r>
          </w:p>
        </w:tc>
        <w:tc>
          <w:tcPr>
            <w:tcW w:w="1503" w:type="dxa"/>
          </w:tcPr>
          <w:p w14:paraId="02122C29" w14:textId="374BF4EA" w:rsidR="00DC642D" w:rsidRDefault="007D324B" w:rsidP="00DF61A6">
            <w:pPr>
              <w:rPr>
                <w:rFonts w:ascii="Arial" w:hAnsi="Arial" w:cs="Arial"/>
                <w:sz w:val="24"/>
                <w:szCs w:val="24"/>
              </w:rPr>
            </w:pPr>
            <w:r>
              <w:rPr>
                <w:rFonts w:ascii="Arial" w:hAnsi="Arial" w:cs="Arial"/>
                <w:sz w:val="24"/>
                <w:szCs w:val="24"/>
              </w:rPr>
              <w:t>25</w:t>
            </w:r>
          </w:p>
        </w:tc>
        <w:tc>
          <w:tcPr>
            <w:tcW w:w="1503" w:type="dxa"/>
          </w:tcPr>
          <w:p w14:paraId="0E34E1B6" w14:textId="1008D51D" w:rsidR="00DC642D" w:rsidRDefault="00A7560E" w:rsidP="00DF61A6">
            <w:pPr>
              <w:rPr>
                <w:rFonts w:ascii="Arial" w:hAnsi="Arial" w:cs="Arial"/>
                <w:sz w:val="24"/>
                <w:szCs w:val="24"/>
              </w:rPr>
            </w:pPr>
            <w:r>
              <w:rPr>
                <w:rFonts w:ascii="Arial" w:hAnsi="Arial" w:cs="Arial"/>
                <w:sz w:val="24"/>
                <w:szCs w:val="24"/>
              </w:rPr>
              <w:t>10</w:t>
            </w:r>
          </w:p>
        </w:tc>
        <w:tc>
          <w:tcPr>
            <w:tcW w:w="1503" w:type="dxa"/>
          </w:tcPr>
          <w:p w14:paraId="1DC3BB2B" w14:textId="6AE1714F" w:rsidR="00DC642D" w:rsidRDefault="00A7560E" w:rsidP="00DF61A6">
            <w:pPr>
              <w:rPr>
                <w:rFonts w:ascii="Arial" w:hAnsi="Arial" w:cs="Arial"/>
                <w:sz w:val="24"/>
                <w:szCs w:val="24"/>
              </w:rPr>
            </w:pPr>
            <w:r>
              <w:rPr>
                <w:rFonts w:ascii="Arial" w:hAnsi="Arial" w:cs="Arial"/>
                <w:sz w:val="24"/>
                <w:szCs w:val="24"/>
              </w:rPr>
              <w:t>595</w:t>
            </w:r>
          </w:p>
        </w:tc>
        <w:tc>
          <w:tcPr>
            <w:tcW w:w="1503" w:type="dxa"/>
          </w:tcPr>
          <w:p w14:paraId="78F02600" w14:textId="02BB0B6E" w:rsidR="00DC642D" w:rsidRDefault="00A7560E" w:rsidP="00DF61A6">
            <w:pPr>
              <w:rPr>
                <w:rFonts w:ascii="Arial" w:hAnsi="Arial" w:cs="Arial"/>
                <w:sz w:val="24"/>
                <w:szCs w:val="24"/>
              </w:rPr>
            </w:pPr>
            <w:r>
              <w:rPr>
                <w:rFonts w:ascii="Arial" w:hAnsi="Arial" w:cs="Arial"/>
                <w:sz w:val="24"/>
                <w:szCs w:val="24"/>
              </w:rPr>
              <w:t>5950</w:t>
            </w:r>
          </w:p>
        </w:tc>
      </w:tr>
      <w:tr w:rsidR="00DC642D" w14:paraId="28099DC4" w14:textId="77777777" w:rsidTr="00DC642D">
        <w:tc>
          <w:tcPr>
            <w:tcW w:w="1502" w:type="dxa"/>
          </w:tcPr>
          <w:p w14:paraId="788EA571" w14:textId="2911EB3B" w:rsidR="00DC642D" w:rsidRDefault="007D324B" w:rsidP="00DF61A6">
            <w:pPr>
              <w:rPr>
                <w:rFonts w:ascii="Arial" w:hAnsi="Arial" w:cs="Arial"/>
                <w:sz w:val="24"/>
                <w:szCs w:val="24"/>
              </w:rPr>
            </w:pPr>
            <w:r>
              <w:rPr>
                <w:rFonts w:ascii="Arial" w:hAnsi="Arial" w:cs="Arial"/>
                <w:sz w:val="24"/>
                <w:szCs w:val="24"/>
              </w:rPr>
              <w:t>Chemical Y</w:t>
            </w:r>
          </w:p>
        </w:tc>
        <w:tc>
          <w:tcPr>
            <w:tcW w:w="1502" w:type="dxa"/>
          </w:tcPr>
          <w:p w14:paraId="136DE86C" w14:textId="3CA91979" w:rsidR="00DC642D" w:rsidRDefault="00A7560E" w:rsidP="00DF61A6">
            <w:pPr>
              <w:rPr>
                <w:rFonts w:ascii="Arial" w:hAnsi="Arial" w:cs="Arial"/>
                <w:sz w:val="24"/>
                <w:szCs w:val="24"/>
              </w:rPr>
            </w:pPr>
            <w:r>
              <w:rPr>
                <w:rFonts w:ascii="Arial" w:hAnsi="Arial" w:cs="Arial"/>
                <w:sz w:val="24"/>
                <w:szCs w:val="24"/>
              </w:rPr>
              <w:t>30</w:t>
            </w:r>
          </w:p>
        </w:tc>
        <w:tc>
          <w:tcPr>
            <w:tcW w:w="1503" w:type="dxa"/>
          </w:tcPr>
          <w:p w14:paraId="7A7A412F" w14:textId="2B758FFA" w:rsidR="00DC642D" w:rsidRDefault="00A7560E" w:rsidP="00DF61A6">
            <w:pPr>
              <w:rPr>
                <w:rFonts w:ascii="Arial" w:hAnsi="Arial" w:cs="Arial"/>
                <w:sz w:val="24"/>
                <w:szCs w:val="24"/>
              </w:rPr>
            </w:pPr>
            <w:r>
              <w:rPr>
                <w:rFonts w:ascii="Arial" w:hAnsi="Arial" w:cs="Arial"/>
                <w:sz w:val="24"/>
                <w:szCs w:val="24"/>
              </w:rPr>
              <w:t>20</w:t>
            </w:r>
          </w:p>
        </w:tc>
        <w:tc>
          <w:tcPr>
            <w:tcW w:w="1503" w:type="dxa"/>
          </w:tcPr>
          <w:p w14:paraId="3F23B2FE" w14:textId="0BC3A363" w:rsidR="00DC642D" w:rsidRDefault="00A7560E" w:rsidP="00DF61A6">
            <w:pPr>
              <w:rPr>
                <w:rFonts w:ascii="Arial" w:hAnsi="Arial" w:cs="Arial"/>
                <w:sz w:val="24"/>
                <w:szCs w:val="24"/>
              </w:rPr>
            </w:pPr>
            <w:r>
              <w:rPr>
                <w:rFonts w:ascii="Arial" w:hAnsi="Arial" w:cs="Arial"/>
                <w:sz w:val="24"/>
                <w:szCs w:val="24"/>
              </w:rPr>
              <w:t>10</w:t>
            </w:r>
          </w:p>
        </w:tc>
        <w:tc>
          <w:tcPr>
            <w:tcW w:w="1503" w:type="dxa"/>
          </w:tcPr>
          <w:p w14:paraId="57968B1F" w14:textId="3855CA7F" w:rsidR="00DC642D" w:rsidRDefault="00A7560E" w:rsidP="00DF61A6">
            <w:pPr>
              <w:rPr>
                <w:rFonts w:ascii="Arial" w:hAnsi="Arial" w:cs="Arial"/>
                <w:sz w:val="24"/>
                <w:szCs w:val="24"/>
              </w:rPr>
            </w:pPr>
            <w:r>
              <w:rPr>
                <w:rFonts w:ascii="Arial" w:hAnsi="Arial" w:cs="Arial"/>
                <w:sz w:val="24"/>
                <w:szCs w:val="24"/>
              </w:rPr>
              <w:t>595</w:t>
            </w:r>
          </w:p>
        </w:tc>
        <w:tc>
          <w:tcPr>
            <w:tcW w:w="1503" w:type="dxa"/>
          </w:tcPr>
          <w:p w14:paraId="4563FDBA" w14:textId="7A7D072B" w:rsidR="00DC642D" w:rsidRDefault="00A7560E" w:rsidP="00DF61A6">
            <w:pPr>
              <w:rPr>
                <w:rFonts w:ascii="Arial" w:hAnsi="Arial" w:cs="Arial"/>
                <w:sz w:val="24"/>
                <w:szCs w:val="24"/>
              </w:rPr>
            </w:pPr>
            <w:r>
              <w:rPr>
                <w:rFonts w:ascii="Arial" w:hAnsi="Arial" w:cs="Arial"/>
                <w:sz w:val="24"/>
                <w:szCs w:val="24"/>
              </w:rPr>
              <w:t>5950</w:t>
            </w:r>
          </w:p>
        </w:tc>
      </w:tr>
      <w:tr w:rsidR="00DC642D" w14:paraId="738D05C9" w14:textId="77777777" w:rsidTr="00DC642D">
        <w:tc>
          <w:tcPr>
            <w:tcW w:w="1502" w:type="dxa"/>
          </w:tcPr>
          <w:p w14:paraId="13F62FD6" w14:textId="77777777" w:rsidR="00DC642D" w:rsidRDefault="00DC642D" w:rsidP="00DF61A6">
            <w:pPr>
              <w:rPr>
                <w:rFonts w:ascii="Arial" w:hAnsi="Arial" w:cs="Arial"/>
                <w:sz w:val="24"/>
                <w:szCs w:val="24"/>
              </w:rPr>
            </w:pPr>
          </w:p>
        </w:tc>
        <w:tc>
          <w:tcPr>
            <w:tcW w:w="1502" w:type="dxa"/>
          </w:tcPr>
          <w:p w14:paraId="6695F118" w14:textId="77777777" w:rsidR="00DC642D" w:rsidRDefault="00DC642D" w:rsidP="00DF61A6">
            <w:pPr>
              <w:rPr>
                <w:rFonts w:ascii="Arial" w:hAnsi="Arial" w:cs="Arial"/>
                <w:sz w:val="24"/>
                <w:szCs w:val="24"/>
              </w:rPr>
            </w:pPr>
          </w:p>
        </w:tc>
        <w:tc>
          <w:tcPr>
            <w:tcW w:w="1503" w:type="dxa"/>
          </w:tcPr>
          <w:p w14:paraId="214F0315" w14:textId="77777777" w:rsidR="00DC642D" w:rsidRDefault="00DC642D" w:rsidP="00DF61A6">
            <w:pPr>
              <w:rPr>
                <w:rFonts w:ascii="Arial" w:hAnsi="Arial" w:cs="Arial"/>
                <w:sz w:val="24"/>
                <w:szCs w:val="24"/>
              </w:rPr>
            </w:pPr>
          </w:p>
        </w:tc>
        <w:tc>
          <w:tcPr>
            <w:tcW w:w="1503" w:type="dxa"/>
          </w:tcPr>
          <w:p w14:paraId="6F35FC8A" w14:textId="77777777" w:rsidR="00DC642D" w:rsidRDefault="00DC642D" w:rsidP="00DF61A6">
            <w:pPr>
              <w:rPr>
                <w:rFonts w:ascii="Arial" w:hAnsi="Arial" w:cs="Arial"/>
                <w:sz w:val="24"/>
                <w:szCs w:val="24"/>
              </w:rPr>
            </w:pPr>
          </w:p>
        </w:tc>
        <w:tc>
          <w:tcPr>
            <w:tcW w:w="1503" w:type="dxa"/>
          </w:tcPr>
          <w:p w14:paraId="05263804" w14:textId="77777777" w:rsidR="00DC642D" w:rsidRDefault="00DC642D" w:rsidP="00DF61A6">
            <w:pPr>
              <w:rPr>
                <w:rFonts w:ascii="Arial" w:hAnsi="Arial" w:cs="Arial"/>
                <w:sz w:val="24"/>
                <w:szCs w:val="24"/>
              </w:rPr>
            </w:pPr>
          </w:p>
        </w:tc>
        <w:tc>
          <w:tcPr>
            <w:tcW w:w="1503" w:type="dxa"/>
          </w:tcPr>
          <w:p w14:paraId="263FAAED" w14:textId="77777777" w:rsidR="00DC642D" w:rsidRDefault="00DC642D" w:rsidP="00DF61A6">
            <w:pPr>
              <w:rPr>
                <w:rFonts w:ascii="Arial" w:hAnsi="Arial" w:cs="Arial"/>
                <w:sz w:val="24"/>
                <w:szCs w:val="24"/>
              </w:rPr>
            </w:pPr>
          </w:p>
        </w:tc>
      </w:tr>
    </w:tbl>
    <w:p w14:paraId="72F9517D" w14:textId="77777777" w:rsidR="00DC642D" w:rsidRPr="00DF61A6" w:rsidRDefault="00DC642D" w:rsidP="00DF61A6">
      <w:pPr>
        <w:rPr>
          <w:rFonts w:ascii="Arial" w:hAnsi="Arial" w:cs="Arial"/>
          <w:sz w:val="24"/>
          <w:szCs w:val="24"/>
        </w:rPr>
      </w:pPr>
    </w:p>
    <w:p w14:paraId="32E8EE9B" w14:textId="77777777" w:rsidR="00DF61A6" w:rsidRPr="00DF61A6" w:rsidRDefault="00DF61A6" w:rsidP="00DF61A6">
      <w:pPr>
        <w:rPr>
          <w:rFonts w:ascii="Arial" w:hAnsi="Arial" w:cs="Arial"/>
          <w:sz w:val="24"/>
          <w:szCs w:val="24"/>
        </w:rPr>
      </w:pPr>
      <w:r w:rsidRPr="00DF61A6">
        <w:rPr>
          <w:rFonts w:ascii="Arial" w:hAnsi="Arial" w:cs="Arial"/>
          <w:sz w:val="24"/>
          <w:szCs w:val="24"/>
        </w:rPr>
        <w:t>Sales volume contribution margin (x) = (35 – 25) * 595 = 5,950</w:t>
      </w:r>
    </w:p>
    <w:p w14:paraId="2D167CBD" w14:textId="77777777" w:rsidR="00DF61A6" w:rsidRPr="00DF61A6" w:rsidRDefault="00DF61A6" w:rsidP="00DF61A6">
      <w:pPr>
        <w:rPr>
          <w:rFonts w:ascii="Arial" w:hAnsi="Arial" w:cs="Arial"/>
          <w:sz w:val="24"/>
          <w:szCs w:val="24"/>
        </w:rPr>
      </w:pPr>
      <w:r w:rsidRPr="00DF61A6">
        <w:rPr>
          <w:rFonts w:ascii="Arial" w:hAnsi="Arial" w:cs="Arial"/>
          <w:sz w:val="24"/>
          <w:szCs w:val="24"/>
        </w:rPr>
        <w:t>Sales volume contribution margin (y) = (30 – 20) * 595 = 5,950</w:t>
      </w:r>
    </w:p>
    <w:p w14:paraId="52BC33A1" w14:textId="77777777" w:rsidR="00DF61A6" w:rsidRPr="00DF61A6" w:rsidRDefault="00DF61A6" w:rsidP="00DF61A6">
      <w:pPr>
        <w:rPr>
          <w:rFonts w:ascii="Arial" w:hAnsi="Arial" w:cs="Arial"/>
          <w:sz w:val="24"/>
          <w:szCs w:val="24"/>
        </w:rPr>
      </w:pPr>
      <w:r w:rsidRPr="00DF61A6">
        <w:rPr>
          <w:rFonts w:ascii="Arial" w:hAnsi="Arial" w:cs="Arial"/>
          <w:sz w:val="24"/>
          <w:szCs w:val="24"/>
        </w:rPr>
        <w:t>Sales volume contribution is a measure of the change in the profit and contribution resulting from a deviation between the budgeted and actual costs (</w:t>
      </w:r>
      <w:proofErr w:type="spellStart"/>
      <w:r w:rsidRPr="00DF61A6">
        <w:rPr>
          <w:rFonts w:ascii="Arial" w:eastAsia="Times New Roman" w:hAnsi="Arial" w:cs="Arial"/>
          <w:color w:val="000000"/>
          <w:sz w:val="24"/>
          <w:szCs w:val="24"/>
        </w:rPr>
        <w:t>Weetman</w:t>
      </w:r>
      <w:proofErr w:type="spellEnd"/>
      <w:r w:rsidRPr="00DF61A6">
        <w:rPr>
          <w:rFonts w:ascii="Arial" w:eastAsia="Times New Roman" w:hAnsi="Arial" w:cs="Arial"/>
          <w:color w:val="000000"/>
          <w:sz w:val="24"/>
          <w:szCs w:val="24"/>
        </w:rPr>
        <w:t>, 2011)</w:t>
      </w:r>
      <w:r w:rsidRPr="00DF61A6">
        <w:rPr>
          <w:rFonts w:ascii="Arial" w:hAnsi="Arial" w:cs="Arial"/>
          <w:sz w:val="24"/>
          <w:szCs w:val="24"/>
        </w:rPr>
        <w:t>. Sales volume contribution margin is a unique measure of variance because it quantifies the overall change in the contribution or profit. The analysis indicates that the two products had equal contribution margins.</w:t>
      </w:r>
    </w:p>
    <w:p w14:paraId="19158095" w14:textId="2988E5AC" w:rsidR="00DF61A6" w:rsidRDefault="00DF61A6" w:rsidP="00DF61A6">
      <w:pPr>
        <w:rPr>
          <w:rFonts w:ascii="Arial" w:hAnsi="Arial" w:cs="Arial"/>
          <w:b/>
          <w:bCs/>
          <w:sz w:val="24"/>
          <w:szCs w:val="24"/>
        </w:rPr>
      </w:pPr>
    </w:p>
    <w:p w14:paraId="03DFC471" w14:textId="77777777" w:rsidR="00A7560E" w:rsidRPr="00DF61A6" w:rsidRDefault="00A7560E" w:rsidP="00DF61A6">
      <w:pPr>
        <w:rPr>
          <w:rFonts w:ascii="Arial" w:hAnsi="Arial" w:cs="Arial"/>
          <w:b/>
          <w:bCs/>
          <w:sz w:val="24"/>
          <w:szCs w:val="24"/>
        </w:rPr>
      </w:pPr>
    </w:p>
    <w:p w14:paraId="68F2867B" w14:textId="77777777" w:rsidR="00DF61A6" w:rsidRPr="00DF61A6" w:rsidRDefault="00DF61A6" w:rsidP="00DF61A6">
      <w:pPr>
        <w:rPr>
          <w:rFonts w:ascii="Arial" w:hAnsi="Arial" w:cs="Arial"/>
          <w:b/>
          <w:bCs/>
          <w:sz w:val="24"/>
          <w:szCs w:val="24"/>
        </w:rPr>
      </w:pPr>
      <w:r w:rsidRPr="00DF61A6">
        <w:rPr>
          <w:rFonts w:ascii="Arial" w:hAnsi="Arial" w:cs="Arial"/>
          <w:b/>
          <w:bCs/>
          <w:sz w:val="24"/>
          <w:szCs w:val="24"/>
        </w:rPr>
        <w:lastRenderedPageBreak/>
        <w:t>The material price planning variance and material price operational variance</w:t>
      </w:r>
    </w:p>
    <w:p w14:paraId="3B1DF8EC" w14:textId="77777777" w:rsidR="00DF61A6" w:rsidRPr="00DF61A6" w:rsidRDefault="00DF61A6" w:rsidP="00DF61A6">
      <w:pPr>
        <w:rPr>
          <w:rFonts w:ascii="Arial" w:hAnsi="Arial" w:cs="Arial"/>
          <w:sz w:val="24"/>
          <w:szCs w:val="24"/>
        </w:rPr>
      </w:pPr>
      <w:r w:rsidRPr="00DF61A6">
        <w:rPr>
          <w:rFonts w:ascii="Arial" w:hAnsi="Arial" w:cs="Arial"/>
          <w:sz w:val="24"/>
          <w:szCs w:val="24"/>
        </w:rPr>
        <w:t xml:space="preserve">The purpose of material price planning and operational variance is to estimate the competence of managers in estimating future prices. </w:t>
      </w:r>
    </w:p>
    <w:p w14:paraId="07E34038" w14:textId="77777777" w:rsidR="00DF61A6" w:rsidRPr="00DF61A6" w:rsidRDefault="00DF61A6" w:rsidP="00DF61A6">
      <w:pPr>
        <w:rPr>
          <w:rFonts w:ascii="Arial" w:hAnsi="Arial" w:cs="Arial"/>
          <w:sz w:val="24"/>
          <w:szCs w:val="24"/>
        </w:rPr>
      </w:pPr>
      <w:r w:rsidRPr="00DF61A6">
        <w:rPr>
          <w:rFonts w:ascii="Arial" w:hAnsi="Arial" w:cs="Arial"/>
          <w:sz w:val="24"/>
          <w:szCs w:val="24"/>
        </w:rPr>
        <w:t>Material price planning variance = (standard price – budgeted price) * units produced</w:t>
      </w:r>
    </w:p>
    <w:p w14:paraId="34234696" w14:textId="77777777" w:rsidR="00DF61A6" w:rsidRPr="00DF61A6" w:rsidRDefault="00DF61A6" w:rsidP="00DF61A6">
      <w:pPr>
        <w:rPr>
          <w:rFonts w:ascii="Arial" w:hAnsi="Arial" w:cs="Arial"/>
          <w:sz w:val="24"/>
          <w:szCs w:val="24"/>
        </w:rPr>
      </w:pPr>
      <w:r w:rsidRPr="00DF61A6">
        <w:rPr>
          <w:rFonts w:ascii="Arial" w:hAnsi="Arial" w:cs="Arial"/>
          <w:sz w:val="24"/>
          <w:szCs w:val="24"/>
        </w:rPr>
        <w:t>Material price planning variance (x and y) = (4.5 - 2.5) * 13,750 = 27,500 Unfavourable</w:t>
      </w:r>
    </w:p>
    <w:p w14:paraId="4857C2B5" w14:textId="77777777" w:rsidR="00DF61A6" w:rsidRPr="00DF61A6" w:rsidRDefault="00DF61A6" w:rsidP="00DF61A6">
      <w:pPr>
        <w:rPr>
          <w:rFonts w:ascii="Arial" w:hAnsi="Arial" w:cs="Arial"/>
          <w:sz w:val="24"/>
          <w:szCs w:val="24"/>
        </w:rPr>
      </w:pPr>
      <w:r w:rsidRPr="00DF61A6">
        <w:rPr>
          <w:rFonts w:ascii="Arial" w:hAnsi="Arial" w:cs="Arial"/>
          <w:sz w:val="24"/>
          <w:szCs w:val="24"/>
        </w:rPr>
        <w:t>Material price planning variance is a tool sued to determine the efficiency of management in forecasting future prices of materials (</w:t>
      </w:r>
      <w:proofErr w:type="spellStart"/>
      <w:r w:rsidRPr="00DF61A6">
        <w:rPr>
          <w:rFonts w:ascii="Arial" w:eastAsia="Times New Roman" w:hAnsi="Arial" w:cs="Arial"/>
          <w:color w:val="000000"/>
          <w:sz w:val="24"/>
          <w:szCs w:val="24"/>
        </w:rPr>
        <w:t>Parmigiani</w:t>
      </w:r>
      <w:proofErr w:type="spellEnd"/>
      <w:r w:rsidRPr="00DF61A6">
        <w:rPr>
          <w:rFonts w:ascii="Arial" w:eastAsia="Times New Roman" w:hAnsi="Arial" w:cs="Arial"/>
          <w:color w:val="000000"/>
          <w:sz w:val="24"/>
          <w:szCs w:val="24"/>
        </w:rPr>
        <w:t>, 2007, p.296)</w:t>
      </w:r>
      <w:r w:rsidRPr="00DF61A6">
        <w:rPr>
          <w:rFonts w:ascii="Arial" w:hAnsi="Arial" w:cs="Arial"/>
          <w:sz w:val="24"/>
          <w:szCs w:val="24"/>
        </w:rPr>
        <w:t>. The above analysis is unfavourable because the budgeted price was much lower than the standard price (revised budgeted price). It indicates that the management forecasts were significantly different from the actual expectations. It is due to the uncertainties associated with the pandemic.</w:t>
      </w:r>
    </w:p>
    <w:p w14:paraId="69D567E7" w14:textId="77777777" w:rsidR="00DF61A6" w:rsidRPr="00DF61A6" w:rsidRDefault="00DF61A6" w:rsidP="00DF61A6">
      <w:pPr>
        <w:rPr>
          <w:rFonts w:ascii="Arial" w:hAnsi="Arial" w:cs="Arial"/>
          <w:sz w:val="24"/>
          <w:szCs w:val="24"/>
        </w:rPr>
      </w:pPr>
      <w:r w:rsidRPr="00DF61A6">
        <w:rPr>
          <w:rFonts w:ascii="Arial" w:hAnsi="Arial" w:cs="Arial"/>
          <w:b/>
          <w:bCs/>
          <w:sz w:val="24"/>
          <w:szCs w:val="24"/>
        </w:rPr>
        <w:t xml:space="preserve">material price operational variance </w:t>
      </w:r>
      <w:r w:rsidRPr="00DF61A6">
        <w:rPr>
          <w:rFonts w:ascii="Arial" w:hAnsi="Arial" w:cs="Arial"/>
          <w:sz w:val="24"/>
          <w:szCs w:val="24"/>
        </w:rPr>
        <w:t>= (standard price – actual price) * units produced</w:t>
      </w:r>
    </w:p>
    <w:p w14:paraId="3AFFF411" w14:textId="77777777" w:rsidR="00DF61A6" w:rsidRPr="00DF61A6" w:rsidRDefault="00DF61A6" w:rsidP="00DF61A6">
      <w:pPr>
        <w:rPr>
          <w:rFonts w:ascii="Arial" w:hAnsi="Arial" w:cs="Arial"/>
          <w:sz w:val="24"/>
          <w:szCs w:val="24"/>
        </w:rPr>
      </w:pPr>
      <w:r w:rsidRPr="00DF61A6">
        <w:rPr>
          <w:rFonts w:ascii="Arial" w:hAnsi="Arial" w:cs="Arial"/>
          <w:sz w:val="24"/>
          <w:szCs w:val="24"/>
        </w:rPr>
        <w:t>Materials price operational variance = (4.5 – 3.5) * 13,750 = 13,750 favourable.</w:t>
      </w:r>
    </w:p>
    <w:p w14:paraId="08430047" w14:textId="77777777" w:rsidR="00DF61A6" w:rsidRPr="00DF61A6" w:rsidRDefault="00DF61A6" w:rsidP="00DF61A6">
      <w:pPr>
        <w:rPr>
          <w:rFonts w:ascii="Arial" w:hAnsi="Arial" w:cs="Arial"/>
          <w:sz w:val="24"/>
          <w:szCs w:val="24"/>
        </w:rPr>
      </w:pPr>
      <w:r w:rsidRPr="00DF61A6">
        <w:rPr>
          <w:rFonts w:ascii="Arial" w:hAnsi="Arial" w:cs="Arial"/>
          <w:sz w:val="24"/>
          <w:szCs w:val="24"/>
        </w:rPr>
        <w:t xml:space="preserve">The actual price is lower than the revised standard price. This change is an indicator of the possible negotiation by the management to reduce costs. As a result, the material price operational variance moves towards a favourable direction. </w:t>
      </w:r>
    </w:p>
    <w:p w14:paraId="0D6E5DF1" w14:textId="77777777" w:rsidR="00DF61A6" w:rsidRPr="00DF61A6" w:rsidRDefault="00DF61A6" w:rsidP="00DF61A6">
      <w:pPr>
        <w:rPr>
          <w:rFonts w:ascii="Arial" w:hAnsi="Arial" w:cs="Arial"/>
          <w:b/>
          <w:bCs/>
          <w:sz w:val="24"/>
          <w:szCs w:val="24"/>
        </w:rPr>
      </w:pPr>
      <w:r w:rsidRPr="00DF61A6">
        <w:rPr>
          <w:rFonts w:ascii="Arial" w:hAnsi="Arial" w:cs="Arial"/>
          <w:b/>
          <w:bCs/>
          <w:sz w:val="24"/>
          <w:szCs w:val="24"/>
        </w:rPr>
        <w:t>Given the change in operations, critically analyse the merits and demerits of using variances in assessing managers performance</w:t>
      </w:r>
    </w:p>
    <w:p w14:paraId="5E16983A" w14:textId="77777777" w:rsidR="00DF61A6" w:rsidRPr="00DF61A6" w:rsidRDefault="00DF61A6" w:rsidP="00DF61A6">
      <w:pPr>
        <w:ind w:firstLine="720"/>
        <w:rPr>
          <w:rFonts w:ascii="Arial" w:hAnsi="Arial" w:cs="Arial"/>
          <w:sz w:val="24"/>
          <w:szCs w:val="24"/>
        </w:rPr>
      </w:pPr>
      <w:r w:rsidRPr="00DF61A6">
        <w:rPr>
          <w:rFonts w:ascii="Arial" w:hAnsi="Arial" w:cs="Arial"/>
          <w:sz w:val="24"/>
          <w:szCs w:val="24"/>
        </w:rPr>
        <w:t>Variance analysis is concerned with the analysis of the deviations in the actual and budgeted costs and revenues. The causes of differences are of importance to the company as it highlights the areas that require improvement. Using variance analysis to assess the performance of XLG management would be essential in determining their skill in estimating future prices. Variance analysis assists in establishing unrealistic budgets and determining how to revise for appropriateness. There are certain advantages and disadvantages associated with variance analysis that is going to be addressed in this section.</w:t>
      </w:r>
    </w:p>
    <w:p w14:paraId="23DAD352" w14:textId="77777777" w:rsidR="00DF61A6" w:rsidRPr="00DF61A6" w:rsidRDefault="00DF61A6" w:rsidP="00DF61A6">
      <w:pPr>
        <w:ind w:firstLine="720"/>
        <w:rPr>
          <w:rFonts w:ascii="Arial" w:hAnsi="Arial" w:cs="Arial"/>
          <w:sz w:val="24"/>
          <w:szCs w:val="24"/>
        </w:rPr>
      </w:pPr>
      <w:r w:rsidRPr="00DF61A6">
        <w:rPr>
          <w:rFonts w:ascii="Arial" w:hAnsi="Arial" w:cs="Arial"/>
          <w:sz w:val="24"/>
          <w:szCs w:val="24"/>
        </w:rPr>
        <w:t xml:space="preserve">Variance analysis assesses the competence of the management utilizing the competitive advantage of XLG. The business has established that its key ingredient </w:t>
      </w:r>
      <w:proofErr w:type="spellStart"/>
      <w:r w:rsidRPr="00DF61A6">
        <w:rPr>
          <w:rFonts w:ascii="Arial" w:hAnsi="Arial" w:cs="Arial"/>
          <w:sz w:val="24"/>
          <w:szCs w:val="24"/>
        </w:rPr>
        <w:t>famaQ</w:t>
      </w:r>
      <w:proofErr w:type="spellEnd"/>
      <w:r w:rsidRPr="00DF61A6">
        <w:rPr>
          <w:rFonts w:ascii="Arial" w:hAnsi="Arial" w:cs="Arial"/>
          <w:sz w:val="24"/>
          <w:szCs w:val="24"/>
        </w:rPr>
        <w:t xml:space="preserve"> provides a competitive advantage over industry competitors. A variance analysis establishes whether the management is proactive in achieving the business objectives. Considering the changes in the prices of the material, it was essential to establish the best way to acquire it from Brazil. The rising prices called for a renegotiation of prices to introduce to ensure value for the business. The analysis has established that the business acquired the </w:t>
      </w:r>
      <w:proofErr w:type="spellStart"/>
      <w:r w:rsidRPr="00DF61A6">
        <w:rPr>
          <w:rFonts w:ascii="Arial" w:hAnsi="Arial" w:cs="Arial"/>
          <w:sz w:val="24"/>
          <w:szCs w:val="24"/>
        </w:rPr>
        <w:t>famaQ</w:t>
      </w:r>
      <w:proofErr w:type="spellEnd"/>
      <w:r w:rsidRPr="00DF61A6">
        <w:rPr>
          <w:rFonts w:ascii="Arial" w:hAnsi="Arial" w:cs="Arial"/>
          <w:sz w:val="24"/>
          <w:szCs w:val="24"/>
        </w:rPr>
        <w:t xml:space="preserve"> at a lower price than the revised standard budget. Therefore, the management performed well in response to the rise in the price of the key material.</w:t>
      </w:r>
    </w:p>
    <w:p w14:paraId="1CE9B9FF" w14:textId="77777777" w:rsidR="00DF61A6" w:rsidRPr="00DF61A6" w:rsidRDefault="00DF61A6" w:rsidP="00DF61A6">
      <w:pPr>
        <w:ind w:firstLine="720"/>
        <w:rPr>
          <w:rFonts w:ascii="Arial" w:hAnsi="Arial" w:cs="Arial"/>
          <w:sz w:val="24"/>
          <w:szCs w:val="24"/>
        </w:rPr>
      </w:pPr>
      <w:r w:rsidRPr="00DF61A6">
        <w:rPr>
          <w:rFonts w:ascii="Arial" w:hAnsi="Arial" w:cs="Arial"/>
          <w:sz w:val="24"/>
          <w:szCs w:val="24"/>
        </w:rPr>
        <w:t>Secondly, a variance analysis establishes the changes required in the business strategy (</w:t>
      </w:r>
      <w:r w:rsidRPr="00DF61A6">
        <w:rPr>
          <w:rFonts w:ascii="Arial" w:eastAsia="Times New Roman" w:hAnsi="Arial" w:cs="Arial"/>
          <w:color w:val="000000"/>
          <w:sz w:val="24"/>
          <w:szCs w:val="24"/>
        </w:rPr>
        <w:t>Emsley, 2000)</w:t>
      </w:r>
      <w:r w:rsidRPr="00DF61A6">
        <w:rPr>
          <w:rFonts w:ascii="Arial" w:hAnsi="Arial" w:cs="Arial"/>
          <w:sz w:val="24"/>
          <w:szCs w:val="24"/>
        </w:rPr>
        <w:t xml:space="preserve">. It is the responsibility of the management to steer the business to success. This includes anticipating favourable and unfavourable </w:t>
      </w:r>
      <w:r w:rsidRPr="00DF61A6">
        <w:rPr>
          <w:rFonts w:ascii="Arial" w:hAnsi="Arial" w:cs="Arial"/>
          <w:sz w:val="24"/>
          <w:szCs w:val="24"/>
        </w:rPr>
        <w:lastRenderedPageBreak/>
        <w:t>conditions that may influence the performance of the organization. Increase in the price of materials, as well as the increase in demand for their products, are key factors to consider when evaluating the business strategy. This includes determining the most appropriate market to target. It also offers insights into the most profitable product combination to present to the market. Variance analysis offers a simple comparison of prices which is an essential part of determining the performance of an organization.</w:t>
      </w:r>
    </w:p>
    <w:p w14:paraId="4D9130DF" w14:textId="77777777" w:rsidR="00DF61A6" w:rsidRPr="00DF61A6" w:rsidRDefault="00DF61A6" w:rsidP="00DF61A6">
      <w:pPr>
        <w:ind w:firstLine="720"/>
        <w:rPr>
          <w:rFonts w:ascii="Arial" w:hAnsi="Arial" w:cs="Arial"/>
          <w:sz w:val="24"/>
          <w:szCs w:val="24"/>
        </w:rPr>
      </w:pPr>
      <w:r w:rsidRPr="00DF61A6">
        <w:rPr>
          <w:rFonts w:ascii="Arial" w:hAnsi="Arial" w:cs="Arial"/>
          <w:sz w:val="24"/>
          <w:szCs w:val="24"/>
        </w:rPr>
        <w:t xml:space="preserve">Variance analysis offers insights on the efficiency of management in managing an organization. The changes in prices and demand call for negotiating new prices for material and increasing the production capacity. After the rise in the price of </w:t>
      </w:r>
      <w:proofErr w:type="spellStart"/>
      <w:r w:rsidRPr="00DF61A6">
        <w:rPr>
          <w:rFonts w:ascii="Arial" w:hAnsi="Arial" w:cs="Arial"/>
          <w:sz w:val="24"/>
          <w:szCs w:val="24"/>
        </w:rPr>
        <w:t>famaQ</w:t>
      </w:r>
      <w:proofErr w:type="spellEnd"/>
      <w:r w:rsidRPr="00DF61A6">
        <w:rPr>
          <w:rFonts w:ascii="Arial" w:hAnsi="Arial" w:cs="Arial"/>
          <w:sz w:val="24"/>
          <w:szCs w:val="24"/>
        </w:rPr>
        <w:t>, it was the responsibility of the management to negotiate for lower prices. Moreover, the high demand for cleaning agents was an opportunity for the business to boost its sales. The failure to initiate cost reduction strategies during similar problems is an indicator of managerial problems. Poor sales in a market where the products are in high demand is another reg flag to managerial efficiency. Therefore, variance analysis helps identity issues in the management structure that can be solved to improve the efficiency of the organisation.</w:t>
      </w:r>
    </w:p>
    <w:p w14:paraId="560CAE8E" w14:textId="77777777" w:rsidR="00DF61A6" w:rsidRPr="00DF61A6" w:rsidRDefault="00DF61A6" w:rsidP="00DF61A6">
      <w:pPr>
        <w:ind w:firstLine="720"/>
        <w:rPr>
          <w:rFonts w:ascii="Arial" w:hAnsi="Arial" w:cs="Arial"/>
          <w:sz w:val="24"/>
          <w:szCs w:val="24"/>
        </w:rPr>
      </w:pPr>
      <w:r w:rsidRPr="00DF61A6">
        <w:rPr>
          <w:rFonts w:ascii="Arial" w:hAnsi="Arial" w:cs="Arial"/>
          <w:sz w:val="24"/>
          <w:szCs w:val="24"/>
        </w:rPr>
        <w:t xml:space="preserve">Variance analysis establishes the risk management strategies and effectiveness of the management. Risk analysis utilises information produced from variance analysis of the scope, </w:t>
      </w:r>
      <w:proofErr w:type="gramStart"/>
      <w:r w:rsidRPr="00DF61A6">
        <w:rPr>
          <w:rFonts w:ascii="Arial" w:hAnsi="Arial" w:cs="Arial"/>
          <w:sz w:val="24"/>
          <w:szCs w:val="24"/>
        </w:rPr>
        <w:t>costs</w:t>
      </w:r>
      <w:proofErr w:type="gramEnd"/>
      <w:r w:rsidRPr="00DF61A6">
        <w:rPr>
          <w:rFonts w:ascii="Arial" w:hAnsi="Arial" w:cs="Arial"/>
          <w:sz w:val="24"/>
          <w:szCs w:val="24"/>
        </w:rPr>
        <w:t xml:space="preserve"> and schedule. It helps the users of financial information in comparing the existing risks with projected ones. Variance analysis assists in identifying the areas of controllable and uncontrollable variances (</w:t>
      </w:r>
      <w:r w:rsidRPr="00DF61A6">
        <w:rPr>
          <w:rFonts w:ascii="Arial" w:eastAsia="Times New Roman" w:hAnsi="Arial" w:cs="Arial"/>
          <w:color w:val="000000"/>
          <w:sz w:val="24"/>
          <w:szCs w:val="24"/>
        </w:rPr>
        <w:t>Balakrishnan and Cheng, 2005., p.43)</w:t>
      </w:r>
      <w:r w:rsidRPr="00DF61A6">
        <w:rPr>
          <w:rFonts w:ascii="Arial" w:hAnsi="Arial" w:cs="Arial"/>
          <w:sz w:val="24"/>
          <w:szCs w:val="24"/>
        </w:rPr>
        <w:t>. After identifying the key areas, they are in a better position to implement strategies to mitigate the risks. Therefore, variance analysis is a strong basis for determining the risks facing business and offer insights on the best risk mitigation strategies.</w:t>
      </w:r>
    </w:p>
    <w:p w14:paraId="3F916BBB" w14:textId="77777777" w:rsidR="00DF61A6" w:rsidRPr="00DF61A6" w:rsidRDefault="00DF61A6" w:rsidP="00DF61A6">
      <w:pPr>
        <w:ind w:firstLine="720"/>
        <w:rPr>
          <w:rFonts w:ascii="Arial" w:hAnsi="Arial" w:cs="Arial"/>
          <w:sz w:val="24"/>
          <w:szCs w:val="24"/>
        </w:rPr>
      </w:pPr>
      <w:r w:rsidRPr="00DF61A6">
        <w:rPr>
          <w:rFonts w:ascii="Arial" w:hAnsi="Arial" w:cs="Arial"/>
          <w:sz w:val="24"/>
          <w:szCs w:val="24"/>
        </w:rPr>
        <w:t xml:space="preserve">The major disadvantages associated with variance analysis is that they take a long time to complete. The accounting staff </w:t>
      </w:r>
      <w:proofErr w:type="gramStart"/>
      <w:r w:rsidRPr="00DF61A6">
        <w:rPr>
          <w:rFonts w:ascii="Arial" w:hAnsi="Arial" w:cs="Arial"/>
          <w:sz w:val="24"/>
          <w:szCs w:val="24"/>
        </w:rPr>
        <w:t>have to</w:t>
      </w:r>
      <w:proofErr w:type="gramEnd"/>
      <w:r w:rsidRPr="00DF61A6">
        <w:rPr>
          <w:rFonts w:ascii="Arial" w:hAnsi="Arial" w:cs="Arial"/>
          <w:sz w:val="24"/>
          <w:szCs w:val="24"/>
        </w:rPr>
        <w:t xml:space="preserve"> gather data periodically, say monthly or weekly and submit the results to management. For instance, it would take some time to import the </w:t>
      </w:r>
      <w:proofErr w:type="spellStart"/>
      <w:r w:rsidRPr="00DF61A6">
        <w:rPr>
          <w:rFonts w:ascii="Arial" w:hAnsi="Arial" w:cs="Arial"/>
          <w:sz w:val="24"/>
          <w:szCs w:val="24"/>
        </w:rPr>
        <w:t>famaQ</w:t>
      </w:r>
      <w:proofErr w:type="spellEnd"/>
      <w:r w:rsidRPr="00DF61A6">
        <w:rPr>
          <w:rFonts w:ascii="Arial" w:hAnsi="Arial" w:cs="Arial"/>
          <w:sz w:val="24"/>
          <w:szCs w:val="24"/>
        </w:rPr>
        <w:t xml:space="preserve"> during the second quarter and compare the standard costs, revised standard costs and actual costs. In some instances, the management will require the information urgently hence forcing it to rely on red flags and subtle signs. In this case, the management may make the wrong inferences Therefore, the </w:t>
      </w:r>
      <w:proofErr w:type="gramStart"/>
      <w:r w:rsidRPr="00DF61A6">
        <w:rPr>
          <w:rFonts w:ascii="Arial" w:hAnsi="Arial" w:cs="Arial"/>
          <w:sz w:val="24"/>
          <w:szCs w:val="24"/>
        </w:rPr>
        <w:t>lengthy-time</w:t>
      </w:r>
      <w:proofErr w:type="gramEnd"/>
      <w:r w:rsidRPr="00DF61A6">
        <w:rPr>
          <w:rFonts w:ascii="Arial" w:hAnsi="Arial" w:cs="Arial"/>
          <w:sz w:val="24"/>
          <w:szCs w:val="24"/>
        </w:rPr>
        <w:t xml:space="preserve"> would imply a delay in the activities of the management while it was a systemic problem.</w:t>
      </w:r>
    </w:p>
    <w:p w14:paraId="48DEBF39" w14:textId="77777777" w:rsidR="00DF61A6" w:rsidRPr="00DF61A6" w:rsidRDefault="00DF61A6" w:rsidP="00DF61A6">
      <w:pPr>
        <w:ind w:firstLine="720"/>
        <w:rPr>
          <w:rFonts w:ascii="Arial" w:hAnsi="Arial" w:cs="Arial"/>
          <w:sz w:val="24"/>
          <w:szCs w:val="24"/>
        </w:rPr>
      </w:pPr>
      <w:r w:rsidRPr="00DF61A6">
        <w:rPr>
          <w:rFonts w:ascii="Arial" w:hAnsi="Arial" w:cs="Arial"/>
          <w:sz w:val="24"/>
          <w:szCs w:val="24"/>
        </w:rPr>
        <w:t>Variance analysis may not be effective in explaining the source of variance. This is because variance analysis relies on information available in the accounting records. In some instances, the accounting staff are required to review labour ratings, bills of ratings and overtime records to determine the source of the variances. The process becomes costly and time-consuming and the management can only derive value if the information provides actionable insights. Therefore, it increases the probability of gauging management performance based on the actions of the accounting staff. Moreover, the process may be challenging to derive value.</w:t>
      </w:r>
    </w:p>
    <w:p w14:paraId="245AC2D4" w14:textId="77777777" w:rsidR="00DF61A6" w:rsidRPr="00DF61A6" w:rsidRDefault="00DF61A6" w:rsidP="00DF61A6">
      <w:pPr>
        <w:ind w:firstLine="720"/>
        <w:rPr>
          <w:rFonts w:ascii="Arial" w:hAnsi="Arial" w:cs="Arial"/>
          <w:sz w:val="24"/>
          <w:szCs w:val="24"/>
        </w:rPr>
      </w:pPr>
      <w:r w:rsidRPr="00DF61A6">
        <w:rPr>
          <w:rFonts w:ascii="Arial" w:hAnsi="Arial" w:cs="Arial"/>
          <w:sz w:val="24"/>
          <w:szCs w:val="24"/>
        </w:rPr>
        <w:lastRenderedPageBreak/>
        <w:t>Finally, variance analysis is associated with negative behavioural issues among the employees. Variance analysis is mostly focused on short-term business activities. As a result, it encourages employees to focus on the short-term goals of the business. This approach encourages sub-optimal behaviour among employees such as incorporating budget slacks. Variance analysis derails employee performance which negatively affects the reputation of the amazement. The solution to the negative behaviour is to involve employees in the budgeting process to highlight that the process is not unfair.</w:t>
      </w:r>
    </w:p>
    <w:p w14:paraId="24728BDA" w14:textId="77777777" w:rsidR="00DF61A6" w:rsidRDefault="00DF61A6" w:rsidP="00DF61A6">
      <w:pPr>
        <w:jc w:val="center"/>
        <w:rPr>
          <w:rFonts w:ascii="Arial" w:hAnsi="Arial" w:cs="Arial"/>
          <w:sz w:val="24"/>
          <w:szCs w:val="24"/>
        </w:rPr>
      </w:pPr>
    </w:p>
    <w:p w14:paraId="1ED56B1A" w14:textId="77777777" w:rsidR="00DF61A6" w:rsidRDefault="00DF61A6" w:rsidP="00DF61A6">
      <w:pPr>
        <w:jc w:val="center"/>
        <w:rPr>
          <w:rFonts w:ascii="Arial" w:hAnsi="Arial" w:cs="Arial"/>
          <w:sz w:val="24"/>
          <w:szCs w:val="24"/>
        </w:rPr>
      </w:pPr>
    </w:p>
    <w:p w14:paraId="01D5E4B8" w14:textId="77777777" w:rsidR="00DF61A6" w:rsidRDefault="00DF61A6" w:rsidP="00DF61A6">
      <w:pPr>
        <w:jc w:val="center"/>
        <w:rPr>
          <w:rFonts w:ascii="Arial" w:hAnsi="Arial" w:cs="Arial"/>
          <w:sz w:val="24"/>
          <w:szCs w:val="24"/>
        </w:rPr>
      </w:pPr>
    </w:p>
    <w:p w14:paraId="6AE97BDF" w14:textId="77777777" w:rsidR="00DF61A6" w:rsidRDefault="00DF61A6" w:rsidP="00DF61A6">
      <w:pPr>
        <w:jc w:val="center"/>
        <w:rPr>
          <w:rFonts w:ascii="Arial" w:hAnsi="Arial" w:cs="Arial"/>
          <w:sz w:val="24"/>
          <w:szCs w:val="24"/>
        </w:rPr>
      </w:pPr>
    </w:p>
    <w:p w14:paraId="74D48736" w14:textId="77777777" w:rsidR="00DF61A6" w:rsidRDefault="00DF61A6" w:rsidP="00DF61A6">
      <w:pPr>
        <w:jc w:val="center"/>
        <w:rPr>
          <w:rFonts w:ascii="Arial" w:hAnsi="Arial" w:cs="Arial"/>
          <w:sz w:val="24"/>
          <w:szCs w:val="24"/>
        </w:rPr>
      </w:pPr>
    </w:p>
    <w:p w14:paraId="48F0FFAE" w14:textId="1A421962" w:rsidR="00DF61A6" w:rsidRPr="00DF61A6" w:rsidRDefault="00DF61A6" w:rsidP="00DF61A6">
      <w:pPr>
        <w:jc w:val="center"/>
        <w:rPr>
          <w:rFonts w:ascii="Arial" w:hAnsi="Arial" w:cs="Arial"/>
          <w:sz w:val="24"/>
          <w:szCs w:val="24"/>
        </w:rPr>
      </w:pPr>
      <w:r w:rsidRPr="00DF61A6">
        <w:rPr>
          <w:rFonts w:ascii="Arial" w:hAnsi="Arial" w:cs="Arial"/>
          <w:sz w:val="24"/>
          <w:szCs w:val="24"/>
        </w:rPr>
        <w:t>Part B</w:t>
      </w:r>
    </w:p>
    <w:p w14:paraId="608D86AF" w14:textId="77777777" w:rsidR="00DF61A6" w:rsidRPr="00DF61A6" w:rsidRDefault="00DF61A6" w:rsidP="00DF61A6">
      <w:pPr>
        <w:rPr>
          <w:rFonts w:ascii="Arial" w:hAnsi="Arial" w:cs="Arial"/>
          <w:sz w:val="24"/>
          <w:szCs w:val="24"/>
        </w:rPr>
      </w:pPr>
      <w:r w:rsidRPr="00DF61A6">
        <w:rPr>
          <w:rFonts w:ascii="Arial" w:hAnsi="Arial" w:cs="Arial"/>
          <w:sz w:val="24"/>
          <w:szCs w:val="24"/>
        </w:rPr>
        <w:tab/>
        <w:t xml:space="preserve">Make or buy decisions involve a comparison of the cost of making a product in-house or buying it from an external manufacturer. The make or buy decision for </w:t>
      </w:r>
      <w:proofErr w:type="spellStart"/>
      <w:r w:rsidRPr="00DF61A6">
        <w:rPr>
          <w:rFonts w:ascii="Arial" w:hAnsi="Arial" w:cs="Arial"/>
          <w:sz w:val="24"/>
          <w:szCs w:val="24"/>
        </w:rPr>
        <w:t>famaQ</w:t>
      </w:r>
      <w:proofErr w:type="spellEnd"/>
      <w:r w:rsidRPr="00DF61A6">
        <w:rPr>
          <w:rFonts w:ascii="Arial" w:hAnsi="Arial" w:cs="Arial"/>
          <w:sz w:val="24"/>
          <w:szCs w:val="24"/>
        </w:rPr>
        <w:t xml:space="preserve"> will be critical for XLG considering that the product is a source of competitive advantage for the company. Therefore, the objective of the decision is to maintain a competitive advantage by making a choice that will ensure the continued profitability of the firm. The following analysis explains the make-or-buy decision for the company.</w:t>
      </w:r>
    </w:p>
    <w:p w14:paraId="3074C490" w14:textId="77777777" w:rsidR="00DF61A6" w:rsidRPr="00DF61A6" w:rsidRDefault="00DF61A6" w:rsidP="00DF61A6">
      <w:pPr>
        <w:rPr>
          <w:rFonts w:ascii="Arial" w:hAnsi="Arial" w:cs="Arial"/>
          <w:sz w:val="24"/>
          <w:szCs w:val="24"/>
        </w:rPr>
      </w:pPr>
      <w:r w:rsidRPr="00DF61A6">
        <w:rPr>
          <w:rFonts w:ascii="Arial" w:hAnsi="Arial" w:cs="Arial"/>
          <w:sz w:val="24"/>
          <w:szCs w:val="24"/>
        </w:rPr>
        <w:tab/>
        <w:t xml:space="preserve">XLG has the option of either importing </w:t>
      </w:r>
      <w:proofErr w:type="spellStart"/>
      <w:r w:rsidRPr="00DF61A6">
        <w:rPr>
          <w:rFonts w:ascii="Arial" w:hAnsi="Arial" w:cs="Arial"/>
          <w:sz w:val="24"/>
          <w:szCs w:val="24"/>
        </w:rPr>
        <w:t>famaQ</w:t>
      </w:r>
      <w:proofErr w:type="spellEnd"/>
      <w:r w:rsidRPr="00DF61A6">
        <w:rPr>
          <w:rFonts w:ascii="Arial" w:hAnsi="Arial" w:cs="Arial"/>
          <w:sz w:val="24"/>
          <w:szCs w:val="24"/>
        </w:rPr>
        <w:t xml:space="preserve"> from Brazil for 3.7 pounds per unit or making it in the UK for 3 pounds per unit. Considering the increase in demand, the business is going to increase its revenues </w:t>
      </w:r>
      <w:proofErr w:type="gramStart"/>
      <w:r w:rsidRPr="00DF61A6">
        <w:rPr>
          <w:rFonts w:ascii="Arial" w:hAnsi="Arial" w:cs="Arial"/>
          <w:sz w:val="24"/>
          <w:szCs w:val="24"/>
        </w:rPr>
        <w:t>and also</w:t>
      </w:r>
      <w:proofErr w:type="gramEnd"/>
      <w:r w:rsidRPr="00DF61A6">
        <w:rPr>
          <w:rFonts w:ascii="Arial" w:hAnsi="Arial" w:cs="Arial"/>
          <w:sz w:val="24"/>
          <w:szCs w:val="24"/>
        </w:rPr>
        <w:t xml:space="preserve"> its margins. The decision to either buy or make should be based on the benefit that each of the decision brings to the organization. In this case, the business is going to enjoy the lower cost per unit of </w:t>
      </w:r>
      <w:proofErr w:type="spellStart"/>
      <w:r w:rsidRPr="00DF61A6">
        <w:rPr>
          <w:rFonts w:ascii="Arial" w:hAnsi="Arial" w:cs="Arial"/>
          <w:sz w:val="24"/>
          <w:szCs w:val="24"/>
        </w:rPr>
        <w:t>famaQ</w:t>
      </w:r>
      <w:proofErr w:type="spellEnd"/>
      <w:r w:rsidRPr="00DF61A6">
        <w:rPr>
          <w:rFonts w:ascii="Arial" w:hAnsi="Arial" w:cs="Arial"/>
          <w:sz w:val="24"/>
          <w:szCs w:val="24"/>
        </w:rPr>
        <w:t xml:space="preserve"> when making it product in the UK than outsourcing from Brazil. The following analysis illustrates a financial comparison of making the product in the UK and outsourcing it.</w:t>
      </w:r>
    </w:p>
    <w:p w14:paraId="0AA58BC0" w14:textId="77777777" w:rsidR="00DF61A6" w:rsidRPr="00DF61A6" w:rsidRDefault="00DF61A6" w:rsidP="00DF61A6">
      <w:pPr>
        <w:rPr>
          <w:rFonts w:ascii="Arial" w:hAnsi="Arial" w:cs="Arial"/>
          <w:sz w:val="24"/>
          <w:szCs w:val="24"/>
        </w:rPr>
      </w:pPr>
      <w:r w:rsidRPr="00DF61A6">
        <w:rPr>
          <w:rFonts w:ascii="Arial" w:hAnsi="Arial" w:cs="Arial"/>
          <w:sz w:val="24"/>
          <w:szCs w:val="24"/>
        </w:rPr>
        <w:object w:dxaOrig="6354" w:dyaOrig="1237" w14:anchorId="535967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8.15pt;height:61.1pt" o:ole="">
            <v:imagedata r:id="rId7" o:title=""/>
          </v:shape>
          <o:OLEObject Type="Embed" ProgID="Excel.Sheet.12" ShapeID="_x0000_i1025" DrawAspect="Content" ObjectID="_1658829488" r:id="rId8"/>
        </w:object>
      </w:r>
    </w:p>
    <w:p w14:paraId="0BEF0A83" w14:textId="77777777" w:rsidR="00DF61A6" w:rsidRPr="00DF61A6" w:rsidRDefault="00DF61A6" w:rsidP="00DF61A6">
      <w:pPr>
        <w:rPr>
          <w:rFonts w:ascii="Arial" w:hAnsi="Arial" w:cs="Arial"/>
          <w:sz w:val="24"/>
          <w:szCs w:val="24"/>
        </w:rPr>
      </w:pPr>
      <w:r w:rsidRPr="00DF61A6">
        <w:rPr>
          <w:rFonts w:ascii="Arial" w:hAnsi="Arial" w:cs="Arial"/>
          <w:sz w:val="24"/>
          <w:szCs w:val="24"/>
        </w:rPr>
        <w:t xml:space="preserve">The above table illustrates the cost of making </w:t>
      </w:r>
      <w:proofErr w:type="spellStart"/>
      <w:r w:rsidRPr="00DF61A6">
        <w:rPr>
          <w:rFonts w:ascii="Arial" w:hAnsi="Arial" w:cs="Arial"/>
          <w:sz w:val="24"/>
          <w:szCs w:val="24"/>
        </w:rPr>
        <w:t>famaQ</w:t>
      </w:r>
      <w:proofErr w:type="spellEnd"/>
      <w:r w:rsidRPr="00DF61A6">
        <w:rPr>
          <w:rFonts w:ascii="Arial" w:hAnsi="Arial" w:cs="Arial"/>
          <w:sz w:val="24"/>
          <w:szCs w:val="24"/>
        </w:rPr>
        <w:t xml:space="preserve"> in the UK. </w:t>
      </w:r>
    </w:p>
    <w:p w14:paraId="6C72FB2F" w14:textId="77777777" w:rsidR="00DF61A6" w:rsidRPr="00DF61A6" w:rsidRDefault="00DF61A6" w:rsidP="00DF61A6">
      <w:pPr>
        <w:rPr>
          <w:rFonts w:ascii="Arial" w:hAnsi="Arial" w:cs="Arial"/>
          <w:sz w:val="24"/>
          <w:szCs w:val="24"/>
        </w:rPr>
      </w:pPr>
      <w:r w:rsidRPr="00DF61A6">
        <w:rPr>
          <w:rFonts w:ascii="Arial" w:hAnsi="Arial" w:cs="Arial"/>
          <w:sz w:val="24"/>
          <w:szCs w:val="24"/>
        </w:rPr>
        <w:object w:dxaOrig="6354" w:dyaOrig="1237" w14:anchorId="27E6E42B">
          <v:shape id="_x0000_i1026" type="#_x0000_t75" style="width:318.15pt;height:61.1pt" o:ole="">
            <v:imagedata r:id="rId9" o:title=""/>
          </v:shape>
          <o:OLEObject Type="Embed" ProgID="Excel.Sheet.12" ShapeID="_x0000_i1026" DrawAspect="Content" ObjectID="_1658829489" r:id="rId10"/>
        </w:object>
      </w:r>
    </w:p>
    <w:p w14:paraId="121B31BD" w14:textId="77777777" w:rsidR="00DF61A6" w:rsidRPr="00DF61A6" w:rsidRDefault="00DF61A6" w:rsidP="00DF61A6">
      <w:pPr>
        <w:ind w:firstLine="720"/>
        <w:rPr>
          <w:rFonts w:ascii="Arial" w:hAnsi="Arial" w:cs="Arial"/>
          <w:sz w:val="24"/>
          <w:szCs w:val="24"/>
        </w:rPr>
      </w:pPr>
      <w:r w:rsidRPr="00DF61A6">
        <w:rPr>
          <w:rFonts w:ascii="Arial" w:hAnsi="Arial" w:cs="Arial"/>
          <w:sz w:val="24"/>
          <w:szCs w:val="24"/>
        </w:rPr>
        <w:lastRenderedPageBreak/>
        <w:t xml:space="preserve">As it can be illustrated in the tables above, the cost of making </w:t>
      </w:r>
      <w:proofErr w:type="spellStart"/>
      <w:r w:rsidRPr="00DF61A6">
        <w:rPr>
          <w:rFonts w:ascii="Arial" w:hAnsi="Arial" w:cs="Arial"/>
          <w:sz w:val="24"/>
          <w:szCs w:val="24"/>
        </w:rPr>
        <w:t>famaQ</w:t>
      </w:r>
      <w:proofErr w:type="spellEnd"/>
      <w:r w:rsidRPr="00DF61A6">
        <w:rPr>
          <w:rFonts w:ascii="Arial" w:hAnsi="Arial" w:cs="Arial"/>
          <w:sz w:val="24"/>
          <w:szCs w:val="24"/>
        </w:rPr>
        <w:t xml:space="preserve"> in the UK is significantly lower than the cost of buying from Brazil. From comparing the costs indicated in the tables above, the business will be saving as follows</w:t>
      </w:r>
    </w:p>
    <w:p w14:paraId="384FD649" w14:textId="77777777" w:rsidR="00DF61A6" w:rsidRPr="00DF61A6" w:rsidRDefault="00DF61A6" w:rsidP="00DF61A6">
      <w:pPr>
        <w:rPr>
          <w:rFonts w:ascii="Arial" w:eastAsia="Times New Roman" w:hAnsi="Arial" w:cs="Arial"/>
          <w:color w:val="000000"/>
          <w:sz w:val="24"/>
          <w:szCs w:val="24"/>
        </w:rPr>
      </w:pPr>
      <w:r w:rsidRPr="00DF61A6">
        <w:rPr>
          <w:rFonts w:ascii="Arial" w:hAnsi="Arial" w:cs="Arial"/>
          <w:sz w:val="24"/>
          <w:szCs w:val="24"/>
        </w:rPr>
        <w:t xml:space="preserve">8,584 – 6,960 = </w:t>
      </w:r>
      <w:r w:rsidRPr="00DF61A6">
        <w:rPr>
          <w:rFonts w:ascii="Arial" w:eastAsia="Times New Roman" w:hAnsi="Arial" w:cs="Arial"/>
          <w:color w:val="000000"/>
          <w:sz w:val="24"/>
          <w:szCs w:val="24"/>
        </w:rPr>
        <w:t xml:space="preserve">£ 1,624.00 </w:t>
      </w:r>
    </w:p>
    <w:p w14:paraId="69DC71F4" w14:textId="77777777" w:rsidR="00DF61A6" w:rsidRPr="00DF61A6" w:rsidRDefault="00DF61A6" w:rsidP="00DF61A6">
      <w:pPr>
        <w:rPr>
          <w:rFonts w:ascii="Arial" w:eastAsia="Times New Roman" w:hAnsi="Arial" w:cs="Arial"/>
          <w:color w:val="000000"/>
          <w:sz w:val="24"/>
          <w:szCs w:val="24"/>
        </w:rPr>
      </w:pPr>
      <w:r w:rsidRPr="00DF61A6">
        <w:rPr>
          <w:rFonts w:ascii="Arial" w:eastAsia="Times New Roman" w:hAnsi="Arial" w:cs="Arial"/>
          <w:color w:val="000000"/>
          <w:sz w:val="24"/>
          <w:szCs w:val="24"/>
        </w:rPr>
        <w:t xml:space="preserve">Besides incurring a lower cost in the production of </w:t>
      </w:r>
      <w:proofErr w:type="spellStart"/>
      <w:r w:rsidRPr="00DF61A6">
        <w:rPr>
          <w:rFonts w:ascii="Arial" w:eastAsia="Times New Roman" w:hAnsi="Arial" w:cs="Arial"/>
          <w:color w:val="000000"/>
          <w:sz w:val="24"/>
          <w:szCs w:val="24"/>
        </w:rPr>
        <w:t>famaQ</w:t>
      </w:r>
      <w:proofErr w:type="spellEnd"/>
      <w:r w:rsidRPr="00DF61A6">
        <w:rPr>
          <w:rFonts w:ascii="Arial" w:eastAsia="Times New Roman" w:hAnsi="Arial" w:cs="Arial"/>
          <w:color w:val="000000"/>
          <w:sz w:val="24"/>
          <w:szCs w:val="24"/>
        </w:rPr>
        <w:t xml:space="preserve">, the business will also enjoy shorter delivery periods. It takes 15 fewer days to complete a delivery when </w:t>
      </w:r>
      <w:proofErr w:type="spellStart"/>
      <w:r w:rsidRPr="00DF61A6">
        <w:rPr>
          <w:rFonts w:ascii="Arial" w:eastAsia="Times New Roman" w:hAnsi="Arial" w:cs="Arial"/>
          <w:color w:val="000000"/>
          <w:sz w:val="24"/>
          <w:szCs w:val="24"/>
        </w:rPr>
        <w:t>famaQ</w:t>
      </w:r>
      <w:proofErr w:type="spellEnd"/>
      <w:r w:rsidRPr="00DF61A6">
        <w:rPr>
          <w:rFonts w:ascii="Arial" w:eastAsia="Times New Roman" w:hAnsi="Arial" w:cs="Arial"/>
          <w:color w:val="000000"/>
          <w:sz w:val="24"/>
          <w:szCs w:val="24"/>
        </w:rPr>
        <w:t xml:space="preserve"> is produced in the UK. It is important to maintain a favourable lead time considering the increase in demand. The business should be </w:t>
      </w:r>
      <w:proofErr w:type="gramStart"/>
      <w:r w:rsidRPr="00DF61A6">
        <w:rPr>
          <w:rFonts w:ascii="Arial" w:eastAsia="Times New Roman" w:hAnsi="Arial" w:cs="Arial"/>
          <w:color w:val="000000"/>
          <w:sz w:val="24"/>
          <w:szCs w:val="24"/>
        </w:rPr>
        <w:t>in a position</w:t>
      </w:r>
      <w:proofErr w:type="gramEnd"/>
      <w:r w:rsidRPr="00DF61A6">
        <w:rPr>
          <w:rFonts w:ascii="Arial" w:eastAsia="Times New Roman" w:hAnsi="Arial" w:cs="Arial"/>
          <w:color w:val="000000"/>
          <w:sz w:val="24"/>
          <w:szCs w:val="24"/>
        </w:rPr>
        <w:t xml:space="preserve"> to maintain enough stock to meet the increasing demand for the company.</w:t>
      </w:r>
    </w:p>
    <w:p w14:paraId="490C89C3" w14:textId="77777777" w:rsidR="00DF61A6" w:rsidRPr="00DF61A6" w:rsidRDefault="00DF61A6" w:rsidP="00DF61A6">
      <w:pPr>
        <w:rPr>
          <w:rFonts w:ascii="Arial" w:eastAsia="Times New Roman" w:hAnsi="Arial" w:cs="Arial"/>
          <w:color w:val="000000"/>
          <w:sz w:val="24"/>
          <w:szCs w:val="24"/>
        </w:rPr>
      </w:pPr>
      <w:r w:rsidRPr="00DF61A6">
        <w:rPr>
          <w:rFonts w:ascii="Arial" w:eastAsia="Times New Roman" w:hAnsi="Arial" w:cs="Arial"/>
          <w:color w:val="000000"/>
          <w:sz w:val="24"/>
          <w:szCs w:val="24"/>
        </w:rPr>
        <w:tab/>
        <w:t xml:space="preserve">The make or buy decision involves quantitative and qualitative aspects. The quantitative aspect is concerned with cost-benefit analyses to identify the option that costs less money (Shank and Churchill, 1977, p.954). For instance, the above analysis has established that making </w:t>
      </w:r>
      <w:proofErr w:type="spellStart"/>
      <w:r w:rsidRPr="00DF61A6">
        <w:rPr>
          <w:rFonts w:ascii="Arial" w:eastAsia="Times New Roman" w:hAnsi="Arial" w:cs="Arial"/>
          <w:color w:val="000000"/>
          <w:sz w:val="24"/>
          <w:szCs w:val="24"/>
        </w:rPr>
        <w:t>famaQ</w:t>
      </w:r>
      <w:proofErr w:type="spellEnd"/>
      <w:r w:rsidRPr="00DF61A6">
        <w:rPr>
          <w:rFonts w:ascii="Arial" w:eastAsia="Times New Roman" w:hAnsi="Arial" w:cs="Arial"/>
          <w:color w:val="000000"/>
          <w:sz w:val="24"/>
          <w:szCs w:val="24"/>
        </w:rPr>
        <w:t xml:space="preserve"> in the UK will cost XLG less money than outsourcing from Brazil. There are qualitative factors to consider in a make-or-buy decision. The qualitative factors involve the long-term future of the business. It is the responsibility of the management to ensure that the chosen decision is sustainable. For instance, can the production of </w:t>
      </w:r>
      <w:proofErr w:type="spellStart"/>
      <w:r w:rsidRPr="00DF61A6">
        <w:rPr>
          <w:rFonts w:ascii="Arial" w:eastAsia="Times New Roman" w:hAnsi="Arial" w:cs="Arial"/>
          <w:color w:val="000000"/>
          <w:sz w:val="24"/>
          <w:szCs w:val="24"/>
        </w:rPr>
        <w:t>famaQ</w:t>
      </w:r>
      <w:proofErr w:type="spellEnd"/>
      <w:r w:rsidRPr="00DF61A6">
        <w:rPr>
          <w:rFonts w:ascii="Arial" w:eastAsia="Times New Roman" w:hAnsi="Arial" w:cs="Arial"/>
          <w:color w:val="000000"/>
          <w:sz w:val="24"/>
          <w:szCs w:val="24"/>
        </w:rPr>
        <w:t xml:space="preserve"> in the UK last even after normalcy resumes? The pandemic has presented a unique opportunity for the business to increase its sales. These are factors that the management should put into consideration.</w:t>
      </w:r>
    </w:p>
    <w:p w14:paraId="010DDBCE" w14:textId="77777777" w:rsidR="00DF61A6" w:rsidRPr="00DF61A6" w:rsidRDefault="00DF61A6" w:rsidP="00DF61A6">
      <w:pPr>
        <w:rPr>
          <w:rFonts w:ascii="Arial" w:eastAsia="Times New Roman" w:hAnsi="Arial" w:cs="Arial"/>
          <w:color w:val="000000"/>
          <w:sz w:val="24"/>
          <w:szCs w:val="24"/>
        </w:rPr>
      </w:pPr>
      <w:r w:rsidRPr="00DF61A6">
        <w:rPr>
          <w:rFonts w:ascii="Arial" w:eastAsia="Times New Roman" w:hAnsi="Arial" w:cs="Arial"/>
          <w:color w:val="000000"/>
          <w:sz w:val="24"/>
          <w:szCs w:val="24"/>
        </w:rPr>
        <w:tab/>
        <w:t xml:space="preserve">The analysis indicates that the business should choose to make </w:t>
      </w:r>
      <w:proofErr w:type="spellStart"/>
      <w:r w:rsidRPr="00DF61A6">
        <w:rPr>
          <w:rFonts w:ascii="Arial" w:eastAsia="Times New Roman" w:hAnsi="Arial" w:cs="Arial"/>
          <w:color w:val="000000"/>
          <w:sz w:val="24"/>
          <w:szCs w:val="24"/>
        </w:rPr>
        <w:t>famaQ</w:t>
      </w:r>
      <w:proofErr w:type="spellEnd"/>
      <w:r w:rsidRPr="00DF61A6">
        <w:rPr>
          <w:rFonts w:ascii="Arial" w:eastAsia="Times New Roman" w:hAnsi="Arial" w:cs="Arial"/>
          <w:color w:val="000000"/>
          <w:sz w:val="24"/>
          <w:szCs w:val="24"/>
        </w:rPr>
        <w:t xml:space="preserve"> in the UK. This option allows the business to maintain its competitive advantage. Controlling the production of </w:t>
      </w:r>
      <w:proofErr w:type="spellStart"/>
      <w:r w:rsidRPr="00DF61A6">
        <w:rPr>
          <w:rFonts w:ascii="Arial" w:eastAsia="Times New Roman" w:hAnsi="Arial" w:cs="Arial"/>
          <w:color w:val="000000"/>
          <w:sz w:val="24"/>
          <w:szCs w:val="24"/>
        </w:rPr>
        <w:t>famaQ</w:t>
      </w:r>
      <w:proofErr w:type="spellEnd"/>
      <w:r w:rsidRPr="00DF61A6">
        <w:rPr>
          <w:rFonts w:ascii="Arial" w:eastAsia="Times New Roman" w:hAnsi="Arial" w:cs="Arial"/>
          <w:color w:val="000000"/>
          <w:sz w:val="24"/>
          <w:szCs w:val="24"/>
        </w:rPr>
        <w:t xml:space="preserve"> ensures that maintains its grip on its market leadership. The company will take advantage of the short delivery times to ensure sufficient stock at all time. Considering that conditions existing during the pandemic have led to an increase in the demand for cleaning agents, the business should take advantage of this opportunity. Therefore, XLG should manufacture </w:t>
      </w:r>
      <w:proofErr w:type="spellStart"/>
      <w:r w:rsidRPr="00DF61A6">
        <w:rPr>
          <w:rFonts w:ascii="Arial" w:eastAsia="Times New Roman" w:hAnsi="Arial" w:cs="Arial"/>
          <w:color w:val="000000"/>
          <w:sz w:val="24"/>
          <w:szCs w:val="24"/>
        </w:rPr>
        <w:t>famaQ</w:t>
      </w:r>
      <w:proofErr w:type="spellEnd"/>
      <w:r w:rsidRPr="00DF61A6">
        <w:rPr>
          <w:rFonts w:ascii="Arial" w:eastAsia="Times New Roman" w:hAnsi="Arial" w:cs="Arial"/>
          <w:color w:val="000000"/>
          <w:sz w:val="24"/>
          <w:szCs w:val="24"/>
        </w:rPr>
        <w:t xml:space="preserve"> in the UK considering quantitative and qualitative advantages.</w:t>
      </w:r>
    </w:p>
    <w:p w14:paraId="0BB618C6" w14:textId="77777777" w:rsidR="00DF61A6" w:rsidRPr="00DF61A6" w:rsidRDefault="00DF61A6" w:rsidP="00DF61A6">
      <w:pPr>
        <w:rPr>
          <w:rFonts w:ascii="Arial" w:eastAsia="Times New Roman" w:hAnsi="Arial" w:cs="Arial"/>
          <w:color w:val="000000"/>
          <w:sz w:val="24"/>
          <w:szCs w:val="24"/>
        </w:rPr>
      </w:pPr>
      <w:r w:rsidRPr="00DF61A6">
        <w:rPr>
          <w:rFonts w:ascii="Arial" w:eastAsia="Times New Roman" w:hAnsi="Arial" w:cs="Arial"/>
          <w:color w:val="000000"/>
          <w:sz w:val="24"/>
          <w:szCs w:val="24"/>
        </w:rPr>
        <w:br w:type="page"/>
      </w:r>
    </w:p>
    <w:p w14:paraId="63E11A7A" w14:textId="77777777" w:rsidR="00DF61A6" w:rsidRPr="00DF61A6" w:rsidRDefault="00DF61A6" w:rsidP="00DF61A6">
      <w:pPr>
        <w:jc w:val="center"/>
        <w:rPr>
          <w:rFonts w:ascii="Arial" w:eastAsia="Times New Roman" w:hAnsi="Arial" w:cs="Arial"/>
          <w:color w:val="000000"/>
          <w:sz w:val="24"/>
          <w:szCs w:val="24"/>
        </w:rPr>
      </w:pPr>
      <w:r w:rsidRPr="00DF61A6">
        <w:rPr>
          <w:rFonts w:ascii="Arial" w:eastAsia="Times New Roman" w:hAnsi="Arial" w:cs="Arial"/>
          <w:color w:val="000000"/>
          <w:sz w:val="24"/>
          <w:szCs w:val="24"/>
        </w:rPr>
        <w:lastRenderedPageBreak/>
        <w:t>References</w:t>
      </w:r>
    </w:p>
    <w:p w14:paraId="4DC1A8A7" w14:textId="77777777" w:rsidR="00DF61A6" w:rsidRPr="00DF61A6" w:rsidRDefault="00DF61A6" w:rsidP="00DF61A6">
      <w:pPr>
        <w:ind w:left="720" w:hanging="720"/>
        <w:rPr>
          <w:rFonts w:ascii="Arial" w:eastAsia="Times New Roman" w:hAnsi="Arial" w:cs="Arial"/>
          <w:color w:val="000000"/>
          <w:sz w:val="24"/>
          <w:szCs w:val="24"/>
        </w:rPr>
      </w:pPr>
      <w:proofErr w:type="spellStart"/>
      <w:r w:rsidRPr="00DF61A6">
        <w:rPr>
          <w:rFonts w:ascii="Arial" w:eastAsia="Times New Roman" w:hAnsi="Arial" w:cs="Arial"/>
          <w:color w:val="000000"/>
          <w:sz w:val="24"/>
          <w:szCs w:val="24"/>
        </w:rPr>
        <w:t>Atrill</w:t>
      </w:r>
      <w:proofErr w:type="spellEnd"/>
      <w:r w:rsidRPr="00DF61A6">
        <w:rPr>
          <w:rFonts w:ascii="Arial" w:eastAsia="Times New Roman" w:hAnsi="Arial" w:cs="Arial"/>
          <w:color w:val="000000"/>
          <w:sz w:val="24"/>
          <w:szCs w:val="24"/>
        </w:rPr>
        <w:t>, P. and McLaney, E., 2009. Management accounting for decision makers. Pearson Education.</w:t>
      </w:r>
    </w:p>
    <w:p w14:paraId="196FE73C" w14:textId="77777777" w:rsidR="00DF61A6" w:rsidRPr="00DF61A6" w:rsidRDefault="00DF61A6" w:rsidP="00DF61A6">
      <w:pPr>
        <w:ind w:left="720" w:hanging="720"/>
        <w:rPr>
          <w:rFonts w:ascii="Arial" w:eastAsia="Times New Roman" w:hAnsi="Arial" w:cs="Arial"/>
          <w:color w:val="000000"/>
          <w:sz w:val="24"/>
          <w:szCs w:val="24"/>
        </w:rPr>
      </w:pPr>
      <w:r w:rsidRPr="00DF61A6">
        <w:rPr>
          <w:rFonts w:ascii="Arial" w:eastAsia="Times New Roman" w:hAnsi="Arial" w:cs="Arial"/>
          <w:color w:val="000000"/>
          <w:sz w:val="24"/>
          <w:szCs w:val="24"/>
        </w:rPr>
        <w:t>Balakrishnan, J. and Cheng, C.H., 2005. The theory of constraints and the make</w:t>
      </w:r>
      <w:r w:rsidRPr="00DF61A6">
        <w:rPr>
          <w:rFonts w:ascii="Cambria Math" w:eastAsia="Times New Roman" w:hAnsi="Cambria Math" w:cs="Cambria Math"/>
          <w:color w:val="000000"/>
          <w:sz w:val="24"/>
          <w:szCs w:val="24"/>
        </w:rPr>
        <w:t>‐</w:t>
      </w:r>
      <w:r w:rsidRPr="00DF61A6">
        <w:rPr>
          <w:rFonts w:ascii="Arial" w:eastAsia="Times New Roman" w:hAnsi="Arial" w:cs="Arial"/>
          <w:color w:val="000000"/>
          <w:sz w:val="24"/>
          <w:szCs w:val="24"/>
        </w:rPr>
        <w:t>or</w:t>
      </w:r>
      <w:r w:rsidRPr="00DF61A6">
        <w:rPr>
          <w:rFonts w:ascii="Cambria Math" w:eastAsia="Times New Roman" w:hAnsi="Cambria Math" w:cs="Cambria Math"/>
          <w:color w:val="000000"/>
          <w:sz w:val="24"/>
          <w:szCs w:val="24"/>
        </w:rPr>
        <w:t>‐</w:t>
      </w:r>
      <w:r w:rsidRPr="00DF61A6">
        <w:rPr>
          <w:rFonts w:ascii="Arial" w:eastAsia="Times New Roman" w:hAnsi="Arial" w:cs="Arial"/>
          <w:color w:val="000000"/>
          <w:sz w:val="24"/>
          <w:szCs w:val="24"/>
        </w:rPr>
        <w:t>buy decision: an update and review. </w:t>
      </w:r>
      <w:r w:rsidRPr="00DF61A6">
        <w:rPr>
          <w:rFonts w:ascii="Arial" w:eastAsia="Times New Roman" w:hAnsi="Arial" w:cs="Arial"/>
          <w:i/>
          <w:iCs/>
          <w:color w:val="000000"/>
          <w:sz w:val="24"/>
          <w:szCs w:val="24"/>
        </w:rPr>
        <w:t>Journal of Supply Chain Management</w:t>
      </w:r>
      <w:r w:rsidRPr="00DF61A6">
        <w:rPr>
          <w:rFonts w:ascii="Arial" w:eastAsia="Times New Roman" w:hAnsi="Arial" w:cs="Arial"/>
          <w:color w:val="000000"/>
          <w:sz w:val="24"/>
          <w:szCs w:val="24"/>
        </w:rPr>
        <w:t>, </w:t>
      </w:r>
      <w:r w:rsidRPr="00DF61A6">
        <w:rPr>
          <w:rFonts w:ascii="Arial" w:eastAsia="Times New Roman" w:hAnsi="Arial" w:cs="Arial"/>
          <w:i/>
          <w:iCs/>
          <w:color w:val="000000"/>
          <w:sz w:val="24"/>
          <w:szCs w:val="24"/>
        </w:rPr>
        <w:t>41</w:t>
      </w:r>
      <w:r w:rsidRPr="00DF61A6">
        <w:rPr>
          <w:rFonts w:ascii="Arial" w:eastAsia="Times New Roman" w:hAnsi="Arial" w:cs="Arial"/>
          <w:color w:val="000000"/>
          <w:sz w:val="24"/>
          <w:szCs w:val="24"/>
        </w:rPr>
        <w:t>(1), pp.40-47.</w:t>
      </w:r>
    </w:p>
    <w:p w14:paraId="7506B718" w14:textId="77777777" w:rsidR="00DF61A6" w:rsidRPr="00DF61A6" w:rsidRDefault="00DF61A6" w:rsidP="00DF61A6">
      <w:pPr>
        <w:ind w:left="720" w:hanging="720"/>
        <w:rPr>
          <w:rFonts w:ascii="Arial" w:eastAsia="Times New Roman" w:hAnsi="Arial" w:cs="Arial"/>
          <w:color w:val="000000"/>
          <w:sz w:val="24"/>
          <w:szCs w:val="24"/>
        </w:rPr>
      </w:pPr>
      <w:r w:rsidRPr="00DF61A6">
        <w:rPr>
          <w:rFonts w:ascii="Arial" w:eastAsia="Times New Roman" w:hAnsi="Arial" w:cs="Arial"/>
          <w:color w:val="000000"/>
          <w:sz w:val="24"/>
          <w:szCs w:val="24"/>
        </w:rPr>
        <w:t>Balakrishnan, R. and Sprinkle, G.B., 2002. Integrating profit variance analysis and capacity costing to provide better managerial information. </w:t>
      </w:r>
      <w:r w:rsidRPr="00DF61A6">
        <w:rPr>
          <w:rFonts w:ascii="Arial" w:eastAsia="Times New Roman" w:hAnsi="Arial" w:cs="Arial"/>
          <w:i/>
          <w:iCs/>
          <w:color w:val="000000"/>
          <w:sz w:val="24"/>
          <w:szCs w:val="24"/>
        </w:rPr>
        <w:t>Issues in Accounting Education</w:t>
      </w:r>
      <w:r w:rsidRPr="00DF61A6">
        <w:rPr>
          <w:rFonts w:ascii="Arial" w:eastAsia="Times New Roman" w:hAnsi="Arial" w:cs="Arial"/>
          <w:color w:val="000000"/>
          <w:sz w:val="24"/>
          <w:szCs w:val="24"/>
        </w:rPr>
        <w:t>, </w:t>
      </w:r>
      <w:r w:rsidRPr="00DF61A6">
        <w:rPr>
          <w:rFonts w:ascii="Arial" w:eastAsia="Times New Roman" w:hAnsi="Arial" w:cs="Arial"/>
          <w:i/>
          <w:iCs/>
          <w:color w:val="000000"/>
          <w:sz w:val="24"/>
          <w:szCs w:val="24"/>
        </w:rPr>
        <w:t>17</w:t>
      </w:r>
      <w:r w:rsidRPr="00DF61A6">
        <w:rPr>
          <w:rFonts w:ascii="Arial" w:eastAsia="Times New Roman" w:hAnsi="Arial" w:cs="Arial"/>
          <w:color w:val="000000"/>
          <w:sz w:val="24"/>
          <w:szCs w:val="24"/>
        </w:rPr>
        <w:t>(2), pp.149-161.</w:t>
      </w:r>
    </w:p>
    <w:p w14:paraId="1DAB0CCE" w14:textId="77777777" w:rsidR="00DF61A6" w:rsidRPr="00DF61A6" w:rsidRDefault="00DF61A6" w:rsidP="00DF61A6">
      <w:pPr>
        <w:ind w:left="720" w:hanging="720"/>
        <w:rPr>
          <w:rFonts w:ascii="Arial" w:eastAsia="Times New Roman" w:hAnsi="Arial" w:cs="Arial"/>
          <w:color w:val="000000"/>
          <w:sz w:val="24"/>
          <w:szCs w:val="24"/>
        </w:rPr>
      </w:pPr>
      <w:proofErr w:type="spellStart"/>
      <w:r w:rsidRPr="00DF61A6">
        <w:rPr>
          <w:rFonts w:ascii="Arial" w:eastAsia="Times New Roman" w:hAnsi="Arial" w:cs="Arial"/>
          <w:color w:val="000000"/>
          <w:sz w:val="24"/>
          <w:szCs w:val="24"/>
        </w:rPr>
        <w:t>Budde</w:t>
      </w:r>
      <w:proofErr w:type="spellEnd"/>
      <w:r w:rsidRPr="00DF61A6">
        <w:rPr>
          <w:rFonts w:ascii="Arial" w:eastAsia="Times New Roman" w:hAnsi="Arial" w:cs="Arial"/>
          <w:color w:val="000000"/>
          <w:sz w:val="24"/>
          <w:szCs w:val="24"/>
        </w:rPr>
        <w:t>, J., 2009. Variance analysis and linear contracts in agencies with distorted performance measures. </w:t>
      </w:r>
      <w:r w:rsidRPr="00DF61A6">
        <w:rPr>
          <w:rFonts w:ascii="Arial" w:eastAsia="Times New Roman" w:hAnsi="Arial" w:cs="Arial"/>
          <w:i/>
          <w:iCs/>
          <w:color w:val="000000"/>
          <w:sz w:val="24"/>
          <w:szCs w:val="24"/>
        </w:rPr>
        <w:t>Management Accounting Research</w:t>
      </w:r>
      <w:r w:rsidRPr="00DF61A6">
        <w:rPr>
          <w:rFonts w:ascii="Arial" w:eastAsia="Times New Roman" w:hAnsi="Arial" w:cs="Arial"/>
          <w:color w:val="000000"/>
          <w:sz w:val="24"/>
          <w:szCs w:val="24"/>
        </w:rPr>
        <w:t>, </w:t>
      </w:r>
      <w:r w:rsidRPr="00DF61A6">
        <w:rPr>
          <w:rFonts w:ascii="Arial" w:eastAsia="Times New Roman" w:hAnsi="Arial" w:cs="Arial"/>
          <w:i/>
          <w:iCs/>
          <w:color w:val="000000"/>
          <w:sz w:val="24"/>
          <w:szCs w:val="24"/>
        </w:rPr>
        <w:t>20</w:t>
      </w:r>
      <w:r w:rsidRPr="00DF61A6">
        <w:rPr>
          <w:rFonts w:ascii="Arial" w:eastAsia="Times New Roman" w:hAnsi="Arial" w:cs="Arial"/>
          <w:color w:val="000000"/>
          <w:sz w:val="24"/>
          <w:szCs w:val="24"/>
        </w:rPr>
        <w:t>(3), pp.166-176.</w:t>
      </w:r>
    </w:p>
    <w:p w14:paraId="461702B1" w14:textId="77777777" w:rsidR="00DF61A6" w:rsidRPr="00DF61A6" w:rsidRDefault="00DF61A6" w:rsidP="00DF61A6">
      <w:pPr>
        <w:ind w:left="720" w:hanging="720"/>
        <w:rPr>
          <w:rFonts w:ascii="Arial" w:eastAsia="Times New Roman" w:hAnsi="Arial" w:cs="Arial"/>
          <w:color w:val="000000"/>
          <w:sz w:val="24"/>
          <w:szCs w:val="24"/>
        </w:rPr>
      </w:pPr>
      <w:r w:rsidRPr="00DF61A6">
        <w:rPr>
          <w:rFonts w:ascii="Arial" w:eastAsia="Times New Roman" w:hAnsi="Arial" w:cs="Arial"/>
          <w:color w:val="000000"/>
          <w:sz w:val="24"/>
          <w:szCs w:val="24"/>
        </w:rPr>
        <w:t>Emsley, D., 2000. Variance analysis and performance: two empirical studies. </w:t>
      </w:r>
      <w:r w:rsidRPr="00DF61A6">
        <w:rPr>
          <w:rFonts w:ascii="Arial" w:eastAsia="Times New Roman" w:hAnsi="Arial" w:cs="Arial"/>
          <w:i/>
          <w:iCs/>
          <w:color w:val="000000"/>
          <w:sz w:val="24"/>
          <w:szCs w:val="24"/>
        </w:rPr>
        <w:t>Accounting, Organizations and Society</w:t>
      </w:r>
      <w:r w:rsidRPr="00DF61A6">
        <w:rPr>
          <w:rFonts w:ascii="Arial" w:eastAsia="Times New Roman" w:hAnsi="Arial" w:cs="Arial"/>
          <w:color w:val="000000"/>
          <w:sz w:val="24"/>
          <w:szCs w:val="24"/>
        </w:rPr>
        <w:t>, </w:t>
      </w:r>
      <w:r w:rsidRPr="00DF61A6">
        <w:rPr>
          <w:rFonts w:ascii="Arial" w:eastAsia="Times New Roman" w:hAnsi="Arial" w:cs="Arial"/>
          <w:i/>
          <w:iCs/>
          <w:color w:val="000000"/>
          <w:sz w:val="24"/>
          <w:szCs w:val="24"/>
        </w:rPr>
        <w:t>25</w:t>
      </w:r>
      <w:r w:rsidRPr="00DF61A6">
        <w:rPr>
          <w:rFonts w:ascii="Arial" w:eastAsia="Times New Roman" w:hAnsi="Arial" w:cs="Arial"/>
          <w:color w:val="000000"/>
          <w:sz w:val="24"/>
          <w:szCs w:val="24"/>
        </w:rPr>
        <w:t>(1), pp.1-12.</w:t>
      </w:r>
    </w:p>
    <w:p w14:paraId="7BCF218E" w14:textId="77777777" w:rsidR="00DF61A6" w:rsidRPr="00DF61A6" w:rsidRDefault="00DF61A6" w:rsidP="00DF61A6">
      <w:pPr>
        <w:ind w:left="720" w:hanging="720"/>
        <w:rPr>
          <w:rFonts w:ascii="Arial" w:eastAsia="Times New Roman" w:hAnsi="Arial" w:cs="Arial"/>
          <w:color w:val="000000"/>
          <w:sz w:val="24"/>
          <w:szCs w:val="24"/>
        </w:rPr>
      </w:pPr>
      <w:r w:rsidRPr="00DF61A6">
        <w:rPr>
          <w:rFonts w:ascii="Arial" w:eastAsia="Times New Roman" w:hAnsi="Arial" w:cs="Arial"/>
          <w:color w:val="000000"/>
          <w:sz w:val="24"/>
          <w:szCs w:val="24"/>
        </w:rPr>
        <w:t xml:space="preserve">Horngren, C.T., </w:t>
      </w:r>
      <w:proofErr w:type="spellStart"/>
      <w:r w:rsidRPr="00DF61A6">
        <w:rPr>
          <w:rFonts w:ascii="Arial" w:eastAsia="Times New Roman" w:hAnsi="Arial" w:cs="Arial"/>
          <w:color w:val="000000"/>
          <w:sz w:val="24"/>
          <w:szCs w:val="24"/>
        </w:rPr>
        <w:t>Bhimani</w:t>
      </w:r>
      <w:proofErr w:type="spellEnd"/>
      <w:r w:rsidRPr="00DF61A6">
        <w:rPr>
          <w:rFonts w:ascii="Arial" w:eastAsia="Times New Roman" w:hAnsi="Arial" w:cs="Arial"/>
          <w:color w:val="000000"/>
          <w:sz w:val="24"/>
          <w:szCs w:val="24"/>
        </w:rPr>
        <w:t xml:space="preserve">, A., </w:t>
      </w:r>
      <w:proofErr w:type="spellStart"/>
      <w:r w:rsidRPr="00DF61A6">
        <w:rPr>
          <w:rFonts w:ascii="Arial" w:eastAsia="Times New Roman" w:hAnsi="Arial" w:cs="Arial"/>
          <w:color w:val="000000"/>
          <w:sz w:val="24"/>
          <w:szCs w:val="24"/>
        </w:rPr>
        <w:t>Datar</w:t>
      </w:r>
      <w:proofErr w:type="spellEnd"/>
      <w:r w:rsidRPr="00DF61A6">
        <w:rPr>
          <w:rFonts w:ascii="Arial" w:eastAsia="Times New Roman" w:hAnsi="Arial" w:cs="Arial"/>
          <w:color w:val="000000"/>
          <w:sz w:val="24"/>
          <w:szCs w:val="24"/>
        </w:rPr>
        <w:t>, S.M., Foster, G. and Horngren, C.T., 2002. </w:t>
      </w:r>
      <w:r w:rsidRPr="00DF61A6">
        <w:rPr>
          <w:rFonts w:ascii="Arial" w:eastAsia="Times New Roman" w:hAnsi="Arial" w:cs="Arial"/>
          <w:i/>
          <w:iCs/>
          <w:color w:val="000000"/>
          <w:sz w:val="24"/>
          <w:szCs w:val="24"/>
        </w:rPr>
        <w:t>Management and cost accounting</w:t>
      </w:r>
      <w:r w:rsidRPr="00DF61A6">
        <w:rPr>
          <w:rFonts w:ascii="Arial" w:eastAsia="Times New Roman" w:hAnsi="Arial" w:cs="Arial"/>
          <w:color w:val="000000"/>
          <w:sz w:val="24"/>
          <w:szCs w:val="24"/>
        </w:rPr>
        <w:t>. Harlow: Financial Times/Prentice Hall.</w:t>
      </w:r>
    </w:p>
    <w:p w14:paraId="54473BF2" w14:textId="77777777" w:rsidR="00DF61A6" w:rsidRPr="00DF61A6" w:rsidRDefault="00DF61A6" w:rsidP="00DF61A6">
      <w:pPr>
        <w:ind w:left="720" w:hanging="720"/>
        <w:rPr>
          <w:rFonts w:ascii="Arial" w:eastAsia="Times New Roman" w:hAnsi="Arial" w:cs="Arial"/>
          <w:color w:val="000000"/>
          <w:sz w:val="24"/>
          <w:szCs w:val="24"/>
        </w:rPr>
      </w:pPr>
      <w:r w:rsidRPr="00DF61A6">
        <w:rPr>
          <w:rFonts w:ascii="Arial" w:eastAsia="Times New Roman" w:hAnsi="Arial" w:cs="Arial"/>
          <w:color w:val="000000"/>
          <w:sz w:val="24"/>
          <w:szCs w:val="24"/>
        </w:rPr>
        <w:t>Klein, P.G., 2005. The make-or-buy decision: lessons from empirical studies. In </w:t>
      </w:r>
      <w:r w:rsidRPr="00DF61A6">
        <w:rPr>
          <w:rFonts w:ascii="Arial" w:eastAsia="Times New Roman" w:hAnsi="Arial" w:cs="Arial"/>
          <w:i/>
          <w:iCs/>
          <w:color w:val="000000"/>
          <w:sz w:val="24"/>
          <w:szCs w:val="24"/>
        </w:rPr>
        <w:t>Handbook of new institutional economics</w:t>
      </w:r>
      <w:r w:rsidRPr="00DF61A6">
        <w:rPr>
          <w:rFonts w:ascii="Arial" w:eastAsia="Times New Roman" w:hAnsi="Arial" w:cs="Arial"/>
          <w:color w:val="000000"/>
          <w:sz w:val="24"/>
          <w:szCs w:val="24"/>
        </w:rPr>
        <w:t> (pp. 435-464). Springer, Boston, MA.</w:t>
      </w:r>
    </w:p>
    <w:p w14:paraId="4BD39A64" w14:textId="77777777" w:rsidR="00DF61A6" w:rsidRPr="00DF61A6" w:rsidRDefault="00DF61A6" w:rsidP="00DF61A6">
      <w:pPr>
        <w:ind w:left="720" w:hanging="720"/>
        <w:rPr>
          <w:rFonts w:ascii="Arial" w:eastAsia="Times New Roman" w:hAnsi="Arial" w:cs="Arial"/>
          <w:color w:val="000000"/>
          <w:sz w:val="24"/>
          <w:szCs w:val="24"/>
        </w:rPr>
      </w:pPr>
      <w:proofErr w:type="spellStart"/>
      <w:r w:rsidRPr="00DF61A6">
        <w:rPr>
          <w:rFonts w:ascii="Arial" w:eastAsia="Times New Roman" w:hAnsi="Arial" w:cs="Arial"/>
          <w:color w:val="000000"/>
          <w:sz w:val="24"/>
          <w:szCs w:val="24"/>
        </w:rPr>
        <w:t>Parmigiani</w:t>
      </w:r>
      <w:proofErr w:type="spellEnd"/>
      <w:r w:rsidRPr="00DF61A6">
        <w:rPr>
          <w:rFonts w:ascii="Arial" w:eastAsia="Times New Roman" w:hAnsi="Arial" w:cs="Arial"/>
          <w:color w:val="000000"/>
          <w:sz w:val="24"/>
          <w:szCs w:val="24"/>
        </w:rPr>
        <w:t>, A., 2007. Why do firms both make and buy? An investigation of concurrent sourcing. </w:t>
      </w:r>
      <w:r w:rsidRPr="00DF61A6">
        <w:rPr>
          <w:rFonts w:ascii="Arial" w:eastAsia="Times New Roman" w:hAnsi="Arial" w:cs="Arial"/>
          <w:i/>
          <w:iCs/>
          <w:color w:val="000000"/>
          <w:sz w:val="24"/>
          <w:szCs w:val="24"/>
        </w:rPr>
        <w:t>Strategic management journal</w:t>
      </w:r>
      <w:r w:rsidRPr="00DF61A6">
        <w:rPr>
          <w:rFonts w:ascii="Arial" w:eastAsia="Times New Roman" w:hAnsi="Arial" w:cs="Arial"/>
          <w:color w:val="000000"/>
          <w:sz w:val="24"/>
          <w:szCs w:val="24"/>
        </w:rPr>
        <w:t>, </w:t>
      </w:r>
      <w:r w:rsidRPr="00DF61A6">
        <w:rPr>
          <w:rFonts w:ascii="Arial" w:eastAsia="Times New Roman" w:hAnsi="Arial" w:cs="Arial"/>
          <w:i/>
          <w:iCs/>
          <w:color w:val="000000"/>
          <w:sz w:val="24"/>
          <w:szCs w:val="24"/>
        </w:rPr>
        <w:t>28</w:t>
      </w:r>
      <w:r w:rsidRPr="00DF61A6">
        <w:rPr>
          <w:rFonts w:ascii="Arial" w:eastAsia="Times New Roman" w:hAnsi="Arial" w:cs="Arial"/>
          <w:color w:val="000000"/>
          <w:sz w:val="24"/>
          <w:szCs w:val="24"/>
        </w:rPr>
        <w:t>(3), pp.285-311.</w:t>
      </w:r>
    </w:p>
    <w:p w14:paraId="0FD6C240" w14:textId="77777777" w:rsidR="00DF61A6" w:rsidRPr="00DF61A6" w:rsidRDefault="00DF61A6" w:rsidP="00DF61A6">
      <w:pPr>
        <w:ind w:left="720" w:hanging="720"/>
        <w:rPr>
          <w:rFonts w:ascii="Arial" w:eastAsia="Times New Roman" w:hAnsi="Arial" w:cs="Arial"/>
          <w:color w:val="000000"/>
          <w:sz w:val="24"/>
          <w:szCs w:val="24"/>
        </w:rPr>
      </w:pPr>
      <w:r w:rsidRPr="00DF61A6">
        <w:rPr>
          <w:rFonts w:ascii="Arial" w:eastAsia="Times New Roman" w:hAnsi="Arial" w:cs="Arial"/>
          <w:color w:val="000000"/>
          <w:sz w:val="24"/>
          <w:szCs w:val="24"/>
        </w:rPr>
        <w:t>Shank, J.K. and Churchill, N.C., 1977. Variance analysis: A management-oriented approach. </w:t>
      </w:r>
      <w:r w:rsidRPr="00DF61A6">
        <w:rPr>
          <w:rFonts w:ascii="Arial" w:eastAsia="Times New Roman" w:hAnsi="Arial" w:cs="Arial"/>
          <w:i/>
          <w:iCs/>
          <w:color w:val="000000"/>
          <w:sz w:val="24"/>
          <w:szCs w:val="24"/>
        </w:rPr>
        <w:t>Accounting Review</w:t>
      </w:r>
      <w:r w:rsidRPr="00DF61A6">
        <w:rPr>
          <w:rFonts w:ascii="Arial" w:eastAsia="Times New Roman" w:hAnsi="Arial" w:cs="Arial"/>
          <w:color w:val="000000"/>
          <w:sz w:val="24"/>
          <w:szCs w:val="24"/>
        </w:rPr>
        <w:t>, pp.950-957.</w:t>
      </w:r>
    </w:p>
    <w:p w14:paraId="3CE6D583" w14:textId="77777777" w:rsidR="00DF61A6" w:rsidRPr="00DF61A6" w:rsidRDefault="00DF61A6" w:rsidP="00DF61A6">
      <w:pPr>
        <w:ind w:left="720" w:hanging="720"/>
        <w:rPr>
          <w:rFonts w:ascii="Arial" w:eastAsia="Times New Roman" w:hAnsi="Arial" w:cs="Arial"/>
          <w:color w:val="000000"/>
          <w:sz w:val="24"/>
          <w:szCs w:val="24"/>
        </w:rPr>
      </w:pPr>
      <w:r w:rsidRPr="00DF61A6">
        <w:rPr>
          <w:rFonts w:ascii="Arial" w:eastAsia="Times New Roman" w:hAnsi="Arial" w:cs="Arial"/>
          <w:color w:val="000000"/>
          <w:sz w:val="24"/>
          <w:szCs w:val="24"/>
        </w:rPr>
        <w:t>Walker, G. and Weber, D., 1987. Supplier competition, uncertainty, and make-or-buy decisions. </w:t>
      </w:r>
      <w:r w:rsidRPr="00DF61A6">
        <w:rPr>
          <w:rFonts w:ascii="Arial" w:eastAsia="Times New Roman" w:hAnsi="Arial" w:cs="Arial"/>
          <w:i/>
          <w:iCs/>
          <w:color w:val="000000"/>
          <w:sz w:val="24"/>
          <w:szCs w:val="24"/>
        </w:rPr>
        <w:t>Academy of Management journal</w:t>
      </w:r>
      <w:r w:rsidRPr="00DF61A6">
        <w:rPr>
          <w:rFonts w:ascii="Arial" w:eastAsia="Times New Roman" w:hAnsi="Arial" w:cs="Arial"/>
          <w:color w:val="000000"/>
          <w:sz w:val="24"/>
          <w:szCs w:val="24"/>
        </w:rPr>
        <w:t>, </w:t>
      </w:r>
      <w:r w:rsidRPr="00DF61A6">
        <w:rPr>
          <w:rFonts w:ascii="Arial" w:eastAsia="Times New Roman" w:hAnsi="Arial" w:cs="Arial"/>
          <w:i/>
          <w:iCs/>
          <w:color w:val="000000"/>
          <w:sz w:val="24"/>
          <w:szCs w:val="24"/>
        </w:rPr>
        <w:t>30</w:t>
      </w:r>
      <w:r w:rsidRPr="00DF61A6">
        <w:rPr>
          <w:rFonts w:ascii="Arial" w:eastAsia="Times New Roman" w:hAnsi="Arial" w:cs="Arial"/>
          <w:color w:val="000000"/>
          <w:sz w:val="24"/>
          <w:szCs w:val="24"/>
        </w:rPr>
        <w:t>(3), pp.589-596.</w:t>
      </w:r>
    </w:p>
    <w:p w14:paraId="7E99C845" w14:textId="77777777" w:rsidR="00DF61A6" w:rsidRPr="00DF61A6" w:rsidRDefault="00DF61A6" w:rsidP="00DF61A6">
      <w:pPr>
        <w:ind w:left="720" w:hanging="720"/>
        <w:rPr>
          <w:rFonts w:ascii="Arial" w:eastAsia="Times New Roman" w:hAnsi="Arial" w:cs="Arial"/>
          <w:color w:val="000000"/>
          <w:sz w:val="24"/>
          <w:szCs w:val="24"/>
        </w:rPr>
      </w:pPr>
      <w:proofErr w:type="spellStart"/>
      <w:r w:rsidRPr="00DF61A6">
        <w:rPr>
          <w:rFonts w:ascii="Arial" w:eastAsia="Times New Roman" w:hAnsi="Arial" w:cs="Arial"/>
          <w:color w:val="000000"/>
          <w:sz w:val="24"/>
          <w:szCs w:val="24"/>
        </w:rPr>
        <w:t>Weetman</w:t>
      </w:r>
      <w:proofErr w:type="spellEnd"/>
      <w:r w:rsidRPr="00DF61A6">
        <w:rPr>
          <w:rFonts w:ascii="Arial" w:eastAsia="Times New Roman" w:hAnsi="Arial" w:cs="Arial"/>
          <w:color w:val="000000"/>
          <w:sz w:val="24"/>
          <w:szCs w:val="24"/>
        </w:rPr>
        <w:t>, P., 2011. Financial and management accounting: An introduction. 5th ed. Harlow: Financial Times Prentice Hall.</w:t>
      </w:r>
    </w:p>
    <w:p w14:paraId="6CA4FC6B" w14:textId="77777777" w:rsidR="00DF61A6" w:rsidRPr="00DF61A6" w:rsidRDefault="00DF61A6" w:rsidP="00DF61A6">
      <w:pPr>
        <w:ind w:left="720" w:hanging="720"/>
        <w:rPr>
          <w:rFonts w:ascii="Arial" w:eastAsia="Times New Roman" w:hAnsi="Arial" w:cs="Arial"/>
          <w:color w:val="000000"/>
          <w:sz w:val="24"/>
          <w:szCs w:val="24"/>
        </w:rPr>
      </w:pPr>
      <w:r w:rsidRPr="00DF61A6">
        <w:rPr>
          <w:rFonts w:ascii="Arial" w:eastAsia="Times New Roman" w:hAnsi="Arial" w:cs="Arial"/>
          <w:color w:val="000000"/>
          <w:sz w:val="24"/>
          <w:szCs w:val="24"/>
        </w:rPr>
        <w:t>Williamson, O.E., 2008. Outsourcing: Transaction cost economics and supply chain management. </w:t>
      </w:r>
      <w:r w:rsidRPr="00DF61A6">
        <w:rPr>
          <w:rFonts w:ascii="Arial" w:eastAsia="Times New Roman" w:hAnsi="Arial" w:cs="Arial"/>
          <w:i/>
          <w:iCs/>
          <w:color w:val="000000"/>
          <w:sz w:val="24"/>
          <w:szCs w:val="24"/>
        </w:rPr>
        <w:t>Journal of supply chain management</w:t>
      </w:r>
      <w:r w:rsidRPr="00DF61A6">
        <w:rPr>
          <w:rFonts w:ascii="Arial" w:eastAsia="Times New Roman" w:hAnsi="Arial" w:cs="Arial"/>
          <w:color w:val="000000"/>
          <w:sz w:val="24"/>
          <w:szCs w:val="24"/>
        </w:rPr>
        <w:t>, </w:t>
      </w:r>
      <w:r w:rsidRPr="00DF61A6">
        <w:rPr>
          <w:rFonts w:ascii="Arial" w:eastAsia="Times New Roman" w:hAnsi="Arial" w:cs="Arial"/>
          <w:i/>
          <w:iCs/>
          <w:color w:val="000000"/>
          <w:sz w:val="24"/>
          <w:szCs w:val="24"/>
        </w:rPr>
        <w:t>44</w:t>
      </w:r>
      <w:r w:rsidRPr="00DF61A6">
        <w:rPr>
          <w:rFonts w:ascii="Arial" w:eastAsia="Times New Roman" w:hAnsi="Arial" w:cs="Arial"/>
          <w:color w:val="000000"/>
          <w:sz w:val="24"/>
          <w:szCs w:val="24"/>
        </w:rPr>
        <w:t>(2), pp.5-16.</w:t>
      </w:r>
    </w:p>
    <w:p w14:paraId="7273EAFC" w14:textId="77777777" w:rsidR="00DF61A6" w:rsidRPr="00DF61A6" w:rsidRDefault="00DF61A6">
      <w:pPr>
        <w:rPr>
          <w:rFonts w:ascii="Arial" w:hAnsi="Arial" w:cs="Arial"/>
          <w:sz w:val="24"/>
          <w:szCs w:val="24"/>
        </w:rPr>
      </w:pPr>
    </w:p>
    <w:sectPr w:rsidR="00DF61A6" w:rsidRPr="00DF61A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41C7EA" w14:textId="77777777" w:rsidR="009C36F0" w:rsidRDefault="009C36F0" w:rsidP="00DF61A6">
      <w:pPr>
        <w:spacing w:after="0" w:line="240" w:lineRule="auto"/>
      </w:pPr>
      <w:r>
        <w:separator/>
      </w:r>
    </w:p>
  </w:endnote>
  <w:endnote w:type="continuationSeparator" w:id="0">
    <w:p w14:paraId="7E53E45D" w14:textId="77777777" w:rsidR="009C36F0" w:rsidRDefault="009C36F0" w:rsidP="00DF6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84889240"/>
      <w:docPartObj>
        <w:docPartGallery w:val="Page Numbers (Bottom of Page)"/>
        <w:docPartUnique/>
      </w:docPartObj>
    </w:sdtPr>
    <w:sdtEndPr>
      <w:rPr>
        <w:noProof/>
      </w:rPr>
    </w:sdtEndPr>
    <w:sdtContent>
      <w:p w14:paraId="0733F0F3" w14:textId="548EEA92" w:rsidR="00DF61A6" w:rsidRDefault="00DF61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69DAFE" w14:textId="77777777" w:rsidR="00DF61A6" w:rsidRDefault="00DF61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19DE29" w14:textId="77777777" w:rsidR="009C36F0" w:rsidRDefault="009C36F0" w:rsidP="00DF61A6">
      <w:pPr>
        <w:spacing w:after="0" w:line="240" w:lineRule="auto"/>
      </w:pPr>
      <w:r>
        <w:separator/>
      </w:r>
    </w:p>
  </w:footnote>
  <w:footnote w:type="continuationSeparator" w:id="0">
    <w:p w14:paraId="18579937" w14:textId="77777777" w:rsidR="009C36F0" w:rsidRDefault="009C36F0" w:rsidP="00DF61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1A6"/>
    <w:rsid w:val="001B604D"/>
    <w:rsid w:val="00204809"/>
    <w:rsid w:val="00413B0A"/>
    <w:rsid w:val="00664606"/>
    <w:rsid w:val="007D324B"/>
    <w:rsid w:val="00871866"/>
    <w:rsid w:val="0087584B"/>
    <w:rsid w:val="00983DA8"/>
    <w:rsid w:val="009C36F0"/>
    <w:rsid w:val="00A7560E"/>
    <w:rsid w:val="00A75B86"/>
    <w:rsid w:val="00BA5049"/>
    <w:rsid w:val="00C20F6D"/>
    <w:rsid w:val="00D23682"/>
    <w:rsid w:val="00D53AFA"/>
    <w:rsid w:val="00DC642D"/>
    <w:rsid w:val="00DC7610"/>
    <w:rsid w:val="00DF61A6"/>
    <w:rsid w:val="00F05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B8A20C3"/>
  <w15:chartTrackingRefBased/>
  <w15:docId w15:val="{1EBEAB97-AAD5-4604-9CAC-96E31BC80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1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6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1A6"/>
  </w:style>
  <w:style w:type="paragraph" w:styleId="Footer">
    <w:name w:val="footer"/>
    <w:basedOn w:val="Normal"/>
    <w:link w:val="FooterChar"/>
    <w:uiPriority w:val="99"/>
    <w:unhideWhenUsed/>
    <w:rsid w:val="00DF6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1A6"/>
  </w:style>
  <w:style w:type="table" w:styleId="TableGrid">
    <w:name w:val="Table Grid"/>
    <w:basedOn w:val="TableNormal"/>
    <w:uiPriority w:val="39"/>
    <w:rsid w:val="008718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package" Target="embeddings/Microsoft_Excel_Worksheet1.xlsx"/><Relationship Id="rId4" Type="http://schemas.openxmlformats.org/officeDocument/2006/relationships/footnotes" Target="footnote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7</Pages>
  <Words>2067</Words>
  <Characters>11782</Characters>
  <Application>Microsoft Office Word</Application>
  <DocSecurity>0</DocSecurity>
  <Lines>98</Lines>
  <Paragraphs>27</Paragraphs>
  <ScaleCrop>false</ScaleCrop>
  <Company/>
  <LinksUpToDate>false</LinksUpToDate>
  <CharactersWithSpaces>13822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Petya Nedeva</dc:creator>
  <cp:keywords/>
  <dc:description/>
  <cp:lastModifiedBy>Petya Nedeva</cp:lastModifiedBy>
  <cp:revision>16</cp:revision>
  <dcterms:created xsi:type="dcterms:W3CDTF">2020-07-21T08:10:00Z</dcterms:created>
  <dcterms:modified xsi:type="dcterms:W3CDTF">2020-08-13T12:12:00Z</dcterms:modified>
</cp:coreProperties>
</file>