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539DF" w14:textId="5DE3DBAC" w:rsidR="002B2D8E" w:rsidRPr="002B2D8E" w:rsidRDefault="002B2D8E" w:rsidP="002B2D8E">
      <w:pPr>
        <w:jc w:val="center"/>
        <w:rPr>
          <w:u w:val="single"/>
        </w:rPr>
      </w:pPr>
      <w:r w:rsidRPr="002B2D8E">
        <w:rPr>
          <w:u w:val="single"/>
        </w:rPr>
        <w:t>How did Britain react to the threat to her imperial dominance posed by other world powers in the latter part of the nineteenth century?</w:t>
      </w:r>
    </w:p>
    <w:p w14:paraId="3BE495FD" w14:textId="77777777" w:rsidR="00D05EFA" w:rsidRDefault="00D05EFA" w:rsidP="00DF1EB5"/>
    <w:p w14:paraId="4D2509DC" w14:textId="6F160C59" w:rsidR="00BA3500" w:rsidRDefault="00FA50BC" w:rsidP="00DF1EB5">
      <w:r>
        <w:t xml:space="preserve">Despite being at the height of </w:t>
      </w:r>
      <w:r w:rsidR="00533354">
        <w:t>its powers</w:t>
      </w:r>
      <w:r w:rsidR="00FA257F">
        <w:t>,</w:t>
      </w:r>
      <w:r w:rsidR="00533354">
        <w:t xml:space="preserve"> the latter part of the nineteenth century saw Britain forced to change its approach to</w:t>
      </w:r>
      <w:r w:rsidR="00255D1D">
        <w:t xml:space="preserve"> its</w:t>
      </w:r>
      <w:r w:rsidR="00533354">
        <w:t xml:space="preserve"> Empire. </w:t>
      </w:r>
      <w:r w:rsidR="00B4321E">
        <w:t>In 1870, the value of British imports and exports was greater than the combined efforts of France, Germany and Italy,</w:t>
      </w:r>
      <w:r w:rsidR="00D17C4E">
        <w:rPr>
          <w:rStyle w:val="FootnoteReference"/>
        </w:rPr>
        <w:footnoteReference w:id="1"/>
      </w:r>
      <w:r w:rsidR="00B4321E">
        <w:t xml:space="preserve"> but the Empire </w:t>
      </w:r>
      <w:r w:rsidR="00533354">
        <w:t xml:space="preserve">found its lead over the rest of the globe fading as the </w:t>
      </w:r>
      <w:r w:rsidR="00D17C4E">
        <w:t>n</w:t>
      </w:r>
      <w:r w:rsidR="00533354">
        <w:t xml:space="preserve">ineteenth century ended. This essay will analyse </w:t>
      </w:r>
      <w:r w:rsidR="00DF1EB5">
        <w:t xml:space="preserve">how the British Empire reacted to these challenges to her dominance, amidst the emergence of the ‘New Imperialism’.  </w:t>
      </w:r>
      <w:r w:rsidR="00FA257F">
        <w:t>To do this it is important to understand the context of the time as well as the changing perspectives at home, with an emphasis on both William Gladstone and Benjamin Disraeli given their prominence politically and their opposing viewpoints. It is also important to focus on the nature of the Empire’s rivalries with France, Russia and Germany and how these were dealt with</w:t>
      </w:r>
      <w:r w:rsidR="00EF7581">
        <w:t xml:space="preserve"> in</w:t>
      </w:r>
      <w:r w:rsidR="00FA257F">
        <w:t xml:space="preserve"> the decades approaching the twentieth century. </w:t>
      </w:r>
    </w:p>
    <w:p w14:paraId="6D0AF82A" w14:textId="7CC8588F" w:rsidR="000A00D3" w:rsidRDefault="0047276E">
      <w:r>
        <w:t xml:space="preserve">Disraeli and Gladstone were the two main protagonists of British politics at this time and </w:t>
      </w:r>
      <w:r w:rsidR="00B1519E">
        <w:t xml:space="preserve">took very different views of Empire. Disraeli’s relationship with Imperialism is much debated by historians, as to whether it was a genuine outlook or an opportunistic political decision. His speech at the Crystal Palace in June 1872 is often looked at symbolising the road to the ‘New Imperialism’. In it he claimed that his party had </w:t>
      </w:r>
      <w:r w:rsidR="00EF7581">
        <w:t>a</w:t>
      </w:r>
      <w:r w:rsidR="00B1519E">
        <w:t xml:space="preserve"> duty to maintain the Empire. In many of his speeches at this time he </w:t>
      </w:r>
      <w:r w:rsidR="00F113CA">
        <w:t>would emphasise the significance of the monarchy, a</w:t>
      </w:r>
      <w:r w:rsidR="00EF7581">
        <w:t>long with</w:t>
      </w:r>
      <w:r w:rsidR="00F113CA">
        <w:t xml:space="preserve"> the pride</w:t>
      </w:r>
      <w:r w:rsidR="00EF7581">
        <w:t xml:space="preserve"> and spirit</w:t>
      </w:r>
      <w:r w:rsidR="00F113CA">
        <w:t xml:space="preserve"> of the Empire. The criticism </w:t>
      </w:r>
      <w:r w:rsidR="00EF7581">
        <w:t>o</w:t>
      </w:r>
      <w:r w:rsidR="00F113CA">
        <w:t xml:space="preserve">f Disraeli is that this was purely a position for his own gain, without much thought beyond this. </w:t>
      </w:r>
      <w:r w:rsidR="0031169B">
        <w:t>He refused to condemn Turkish atrocities</w:t>
      </w:r>
      <w:r w:rsidR="00EF7581">
        <w:t xml:space="preserve"> in Bulgaria</w:t>
      </w:r>
      <w:r w:rsidR="0031169B">
        <w:t xml:space="preserve"> because of the</w:t>
      </w:r>
      <w:r w:rsidR="00EF7581">
        <w:t xml:space="preserve"> overriding</w:t>
      </w:r>
      <w:r w:rsidR="0031169B">
        <w:t xml:space="preserve"> need to protect Constantinople </w:t>
      </w:r>
      <w:r w:rsidR="00CC030C">
        <w:t>to</w:t>
      </w:r>
      <w:r w:rsidR="0031169B">
        <w:t xml:space="preserve"> keep Russia from extending its own control. Lord Salisbury said of Disraeli after the Berlin Congress that he ‘had the dimmest idea of what is going on, understands everything crossways and imagines a perpetual conspiracy’.</w:t>
      </w:r>
      <w:r w:rsidR="00D17C4E">
        <w:rPr>
          <w:rStyle w:val="FootnoteReference"/>
        </w:rPr>
        <w:footnoteReference w:id="2"/>
      </w:r>
      <w:r w:rsidR="0031169B">
        <w:t xml:space="preserve"> </w:t>
      </w:r>
      <w:r w:rsidR="00A17618">
        <w:t xml:space="preserve">Jenkins is </w:t>
      </w:r>
      <w:r w:rsidR="00490DA1">
        <w:t>also sceptical towards Disraeli’s Crystal Palace speech, noting if anything it was</w:t>
      </w:r>
      <w:r w:rsidR="00EF7581">
        <w:t xml:space="preserve"> more so</w:t>
      </w:r>
      <w:r w:rsidR="00490DA1">
        <w:t xml:space="preserve"> looking back and critical of Liberal policies before, rather than outlining a strong vision.</w:t>
      </w:r>
      <w:r w:rsidR="00A17618">
        <w:t xml:space="preserve"> </w:t>
      </w:r>
      <w:r w:rsidR="00BB6365">
        <w:t xml:space="preserve">Gladstone’s arguments were often moral and looked to downplay </w:t>
      </w:r>
      <w:r w:rsidR="000A5C97">
        <w:t>rivalries</w:t>
      </w:r>
      <w:r w:rsidR="000F22C1">
        <w:t>, telling parliament about his</w:t>
      </w:r>
      <w:r w:rsidR="00EF7581">
        <w:t xml:space="preserve"> beliefs of</w:t>
      </w:r>
      <w:r w:rsidR="000F22C1">
        <w:t xml:space="preserve"> </w:t>
      </w:r>
      <w:r w:rsidR="00DD70C6">
        <w:t>the correct</w:t>
      </w:r>
      <w:r w:rsidR="000F22C1">
        <w:t xml:space="preserve"> principles of foreign policy’,</w:t>
      </w:r>
      <w:r w:rsidR="00DD70C6">
        <w:t xml:space="preserve"> </w:t>
      </w:r>
      <w:r w:rsidR="000F22C1">
        <w:t xml:space="preserve">centred on wealth and contentment domestically, peace, order and the ability to look at a </w:t>
      </w:r>
      <w:r w:rsidR="00D80D7E">
        <w:t>rival’s</w:t>
      </w:r>
      <w:r w:rsidR="000F22C1">
        <w:t xml:space="preserve"> good deeds rather than the bad, using Russia as an example even at an especially difficult time. </w:t>
      </w:r>
    </w:p>
    <w:p w14:paraId="52AA1CCF" w14:textId="39BB9C7D" w:rsidR="00276C22" w:rsidRDefault="00D80D7E">
      <w:r w:rsidRPr="00D80D7E">
        <w:t xml:space="preserve">Disraeli’s policy on Imperialism was guided by the idea of national pride and jingoism, whereas Gladstone would often offer moral concerns. Disraeli enjoyed a far better relationship with Queen Victoria as they shared the shame views on Empire. Medlicott </w:t>
      </w:r>
      <w:r w:rsidR="00376F22">
        <w:t>believes</w:t>
      </w:r>
      <w:r w:rsidRPr="00D80D7E">
        <w:t xml:space="preserve"> that there was little difference in the opinions of the two main parties at this point, with Gladstone agreeing that Russia had the potential for aggression.</w:t>
      </w:r>
      <w:r w:rsidR="008833FF">
        <w:rPr>
          <w:rStyle w:val="FootnoteReference"/>
        </w:rPr>
        <w:footnoteReference w:id="3"/>
      </w:r>
      <w:r w:rsidRPr="00D80D7E">
        <w:t xml:space="preserve"> However, in a speech to Parliament in November 1879, it is notable that Gladstone looked to play down any profound hostilities between the two powers. He accuse</w:t>
      </w:r>
      <w:r w:rsidR="00F25D2B">
        <w:t>d</w:t>
      </w:r>
      <w:r w:rsidRPr="00D80D7E">
        <w:t xml:space="preserve"> the Tory government of aggravating Russia as well as letting down many eastern European countries, and playing down the fears of Russia in Asia, comparing them to ‘old women’s fears’.</w:t>
      </w:r>
      <w:r w:rsidR="00D17C4E">
        <w:rPr>
          <w:rStyle w:val="FootnoteReference"/>
        </w:rPr>
        <w:footnoteReference w:id="4"/>
      </w:r>
      <w:r w:rsidR="00D17C4E">
        <w:t xml:space="preserve"> </w:t>
      </w:r>
      <w:r w:rsidRPr="00D80D7E">
        <w:t>After returning from the Berlin Congress in 1878,</w:t>
      </w:r>
      <w:r w:rsidR="00376F22">
        <w:t xml:space="preserve"> an event deemed to be his ‘greatest hour’,</w:t>
      </w:r>
      <w:r w:rsidR="00D17C4E">
        <w:rPr>
          <w:rStyle w:val="FootnoteReference"/>
        </w:rPr>
        <w:footnoteReference w:id="5"/>
      </w:r>
      <w:r w:rsidRPr="00D80D7E">
        <w:t xml:space="preserve"> Disraeli himself addressed parliament stating that the government had managed to avoid war, forming a </w:t>
      </w:r>
      <w:r w:rsidRPr="00D80D7E">
        <w:lastRenderedPageBreak/>
        <w:t>defensive alliance with Turkey, to guard against any Russian advances. Russia was considered to have suffered a humiliation as the land it had acquired just months earlier was taken. Despite the sense of victory over the congress, Gladstone while campaigning in 1880 would decry the Anglo-Turkish convention that came out of the same situation and accused the government of making Britain the power in Europe that had most aggravated Russia.</w:t>
      </w:r>
      <w:r w:rsidR="00F25D2B">
        <w:t xml:space="preserve"> Ultimately what this shows it that </w:t>
      </w:r>
      <w:r w:rsidR="0096616D">
        <w:t>there was a debate nationally concerning Britain concerning Empire as both men would gain reward and suffer the consequences of their decisions relating</w:t>
      </w:r>
      <w:r w:rsidR="000A00D3">
        <w:t xml:space="preserve"> to Empire, and that it is difficult to separate these two figures and their rivalry when analysing Britain’s foreign policy.</w:t>
      </w:r>
    </w:p>
    <w:p w14:paraId="7CCDCBE3" w14:textId="49A5A8DF" w:rsidR="00A52AFF" w:rsidRDefault="00D80D7E">
      <w:r w:rsidRPr="00D80D7E">
        <w:t>The ‘</w:t>
      </w:r>
      <w:r w:rsidR="00376F22">
        <w:t>G</w:t>
      </w:r>
      <w:r w:rsidRPr="00D80D7E">
        <w:t xml:space="preserve">reat </w:t>
      </w:r>
      <w:r w:rsidR="00376F22">
        <w:t>G</w:t>
      </w:r>
      <w:r w:rsidRPr="00D80D7E">
        <w:t>ame’ saw Britain and Russia engaged in a tense rivalry that would continue deep into the nineteenth century, years after the Crimean War had ended. There was a mutual mistrust between the powers, with Russia apprehensive of Britain’s intentions in central Asia</w:t>
      </w:r>
      <w:r w:rsidR="00376F22">
        <w:t xml:space="preserve"> and</w:t>
      </w:r>
      <w:r w:rsidRPr="00D80D7E">
        <w:t xml:space="preserve"> Britain worried about Russia potentially having designs on India. This tension on Britain’s part was due to Russia’s size and power, coupled with its disregard for the liberalism Britain saw itself as being a figurehead for. McDonough sees the anti-Russian sentiment in his foreign policy as Disraeli being determined to protect India, such a key part of the Empire.</w:t>
      </w:r>
      <w:r w:rsidR="00D17C4E">
        <w:rPr>
          <w:rStyle w:val="FootnoteReference"/>
        </w:rPr>
        <w:footnoteReference w:id="6"/>
      </w:r>
      <w:r w:rsidRPr="00D80D7E">
        <w:t xml:space="preserve"> Gavin and Betley see Britain as taking until the start of the </w:t>
      </w:r>
      <w:r w:rsidR="00376F22">
        <w:t>T</w:t>
      </w:r>
      <w:r w:rsidRPr="00D80D7E">
        <w:t xml:space="preserve">wentieth </w:t>
      </w:r>
      <w:r w:rsidR="00376F22">
        <w:t>C</w:t>
      </w:r>
      <w:r w:rsidRPr="00D80D7E">
        <w:t>entury to realise this was not a genuine concern.</w:t>
      </w:r>
      <w:r w:rsidR="00D17C4E">
        <w:rPr>
          <w:rStyle w:val="FootnoteReference"/>
        </w:rPr>
        <w:footnoteReference w:id="7"/>
      </w:r>
      <w:r w:rsidRPr="00D80D7E">
        <w:t xml:space="preserve"> This would manifest itself in a strong support for the weakened Ottoman Empire</w:t>
      </w:r>
      <w:r w:rsidR="00212C03">
        <w:t xml:space="preserve"> as </w:t>
      </w:r>
      <w:r w:rsidRPr="00D80D7E">
        <w:t xml:space="preserve">despite </w:t>
      </w:r>
      <w:r w:rsidR="00212C03">
        <w:t>the</w:t>
      </w:r>
      <w:r w:rsidRPr="00D80D7E">
        <w:t xml:space="preserve"> Turkish massacre of Christians in Bulgaria he did not condemn them. Medlicott views the significance of keeping Turkey in control of Constantinople as intertwined with the prestige of the British government in both Britain and India.</w:t>
      </w:r>
      <w:r w:rsidR="00D17C4E">
        <w:rPr>
          <w:rStyle w:val="FootnoteReference"/>
        </w:rPr>
        <w:footnoteReference w:id="8"/>
      </w:r>
      <w:r w:rsidRPr="00D80D7E">
        <w:t xml:space="preserve"> There was a great anti-Russian sentiment in the public and with the press in Britain during this time</w:t>
      </w:r>
      <w:r w:rsidR="00212C03">
        <w:t xml:space="preserve"> and Disraeli would play to this.</w:t>
      </w:r>
      <w:r>
        <w:t xml:space="preserve"> </w:t>
      </w:r>
      <w:r w:rsidR="00105541">
        <w:t>German</w:t>
      </w:r>
      <w:r w:rsidR="0040157E">
        <w:t xml:space="preserve">y, despite being a growing rival commercially, had co-existed with Britain during the 1878 </w:t>
      </w:r>
      <w:r w:rsidR="00212C03">
        <w:t>C</w:t>
      </w:r>
      <w:r w:rsidR="0040157E">
        <w:t>ongress, and were the hosts for the West African Conference</w:t>
      </w:r>
      <w:r w:rsidR="0034330E">
        <w:t xml:space="preserve">. It would be towards the end of the century that real tensions would be showing between they and the British Empire. </w:t>
      </w:r>
      <w:r w:rsidR="009034AF">
        <w:t xml:space="preserve">Otto </w:t>
      </w:r>
      <w:r w:rsidR="00A65C4C">
        <w:t>vo</w:t>
      </w:r>
      <w:r w:rsidR="009034AF">
        <w:t>n Bismarck wanted Europe to be peaceful just as much as Britain who wanted a peaceful Europe to</w:t>
      </w:r>
      <w:r w:rsidR="00B65D60">
        <w:t xml:space="preserve"> keep order. </w:t>
      </w:r>
      <w:r w:rsidR="00490DA1">
        <w:t xml:space="preserve">However, the Franco-Prussian war and </w:t>
      </w:r>
      <w:r w:rsidR="002D1925">
        <w:t xml:space="preserve">Germany’s unification </w:t>
      </w:r>
      <w:r w:rsidR="00490DA1">
        <w:t>had altered the landscape in Europ</w:t>
      </w:r>
      <w:r w:rsidR="00BB6365">
        <w:t>e and this change would only intensify when</w:t>
      </w:r>
      <w:r w:rsidR="007E0B2F">
        <w:t xml:space="preserve"> the erratic</w:t>
      </w:r>
      <w:r w:rsidR="00BB6365">
        <w:t xml:space="preserve"> Kaiser Wilhelm II came to powe</w:t>
      </w:r>
      <w:r w:rsidR="007E0B2F">
        <w:t>r. McDonough sees Germany as being focused only on Europe when desiring to be the greatest of the powers on the continent using his quote, ‘My map of Africa is in Europe. Here lies Russia and here lies France, that is my map of Europe’.</w:t>
      </w:r>
      <w:r w:rsidR="00D17C4E">
        <w:rPr>
          <w:rStyle w:val="FootnoteReference"/>
        </w:rPr>
        <w:footnoteReference w:id="9"/>
      </w:r>
      <w:r w:rsidR="007E0B2F">
        <w:t xml:space="preserve"> </w:t>
      </w:r>
      <w:r w:rsidR="00A52AFF">
        <w:t xml:space="preserve"> </w:t>
      </w:r>
      <w:r w:rsidR="000A00D3">
        <w:t xml:space="preserve">Britain attempted to keep the Ottoman Empire stable and healthy to keep both Russia and Germany from expanding their Empires, but towards the end of the nineteenth century it was becoming ever clearer that the ‘sick man of Europe’ was not going to recover. </w:t>
      </w:r>
      <w:r w:rsidR="005A1551">
        <w:t xml:space="preserve">What this does show is the defensive attitude of the Empire in relation to these rivals, especially after Germany’s unification, and how important it was to Britain to strategically, and in public opinion, to defend their position. </w:t>
      </w:r>
    </w:p>
    <w:p w14:paraId="4A082692" w14:textId="08E2CAE9" w:rsidR="00D80D7E" w:rsidRDefault="00D80D7E">
      <w:r w:rsidRPr="00D80D7E">
        <w:t xml:space="preserve">The Empire’s relationship with France in the latter nineteenth century was one of tension that never ultimately led to war. In 1853 Disraeli told the House of Commons that there was no threat of war between the two countries, claiming that France being governed by its army was purely due to the ‘disquietude of the citizens’ and that Britain’s own rearmaments at that point were because of the technological changes of the time rather than a preparation for war. He was also sure to point out that the previous conflicts between the powers had ended with the ‘glory of England’, a hint of the </w:t>
      </w:r>
      <w:r w:rsidRPr="00D80D7E">
        <w:lastRenderedPageBreak/>
        <w:t>nationalism that was to become key to his imperialist agenda.</w:t>
      </w:r>
      <w:r w:rsidR="00D17C4E">
        <w:rPr>
          <w:rStyle w:val="FootnoteReference"/>
        </w:rPr>
        <w:footnoteReference w:id="10"/>
      </w:r>
      <w:r w:rsidRPr="00D80D7E">
        <w:t xml:space="preserve"> The Suez Canal was hugely significant to the British Empire, leading to the large investment in Egypt at that time. The Empire would cooperate with France when Egypt needed to assistance with its debt crisis, leading to the Anglo-French rescue plan. The breakdown of this after the British occupation of Egypt would lead to a mistrust between the countries that would last the remainder of the century, with the French believing that Britain had been looking for an excuse all along to bring an end to the ‘dual control’ they had been operating under in Egypt. A further disagreement over the fate o</w:t>
      </w:r>
      <w:r w:rsidR="00212C03">
        <w:t>f</w:t>
      </w:r>
      <w:r w:rsidRPr="00D80D7E">
        <w:t xml:space="preserve"> Sudan brought both countries onto the brink of conflict. The occupation of Egypt proved a contentious one for Gladstone given his previous views,</w:t>
      </w:r>
      <w:r w:rsidR="00212C03">
        <w:t xml:space="preserve"> in</w:t>
      </w:r>
      <w:r w:rsidRPr="00D80D7E">
        <w:t xml:space="preserve"> his ideal principles relating to foreign policy</w:t>
      </w:r>
      <w:r w:rsidR="00212C03">
        <w:t xml:space="preserve"> he told parliament of in 1879</w:t>
      </w:r>
      <w:r w:rsidRPr="00D80D7E">
        <w:t xml:space="preserve"> included ‘avoid needless and entangling engagements’ and to first and foremost keep order in the interest of all countries.</w:t>
      </w:r>
      <w:r w:rsidR="00D17C4E">
        <w:rPr>
          <w:rStyle w:val="FootnoteReference"/>
        </w:rPr>
        <w:footnoteReference w:id="11"/>
      </w:r>
      <w:r w:rsidRPr="00D80D7E">
        <w:t xml:space="preserve"> Gladstone’s priority was to quell the rebellion and appeared to have no ambitions beyond this and this was a situation that he inherited from Disraeli. Back in 1860 Lord Palmerston had said of Egypt, ‘what we wish about Egypt is that it should be attached to the Turkish Empire, which is security against it belonging to another European power’.</w:t>
      </w:r>
      <w:r w:rsidR="00D17C4E">
        <w:rPr>
          <w:rStyle w:val="FootnoteReference"/>
        </w:rPr>
        <w:footnoteReference w:id="12"/>
      </w:r>
      <w:r w:rsidRPr="00D80D7E">
        <w:t xml:space="preserve"> </w:t>
      </w:r>
      <w:r w:rsidR="009458D5">
        <w:t>T</w:t>
      </w:r>
      <w:r w:rsidRPr="00D80D7E">
        <w:t>he</w:t>
      </w:r>
      <w:r w:rsidR="009458D5">
        <w:t>re is</w:t>
      </w:r>
      <w:r w:rsidRPr="00D80D7E">
        <w:t xml:space="preserve"> debate amongst historians regarding occupying Egypt, asserting that there had to be both political and economic reasons, not just connected to the safeguarding of India.</w:t>
      </w:r>
      <w:r w:rsidR="00A52AFF">
        <w:t xml:space="preserve"> </w:t>
      </w:r>
      <w:r w:rsidR="000A00D3">
        <w:t>Tignor</w:t>
      </w:r>
      <w:r w:rsidR="009458D5">
        <w:t xml:space="preserve"> </w:t>
      </w:r>
      <w:r w:rsidR="000A00D3">
        <w:t xml:space="preserve">suggests that France was jealous of Britain’s participation in Egypt, not wanting Britain to play any dominant role, which would be supported by the </w:t>
      </w:r>
      <w:r w:rsidR="003C383A">
        <w:t>reaction to the occupation itself, revealing a deep mistrust.</w:t>
      </w:r>
      <w:r w:rsidR="009458D5">
        <w:rPr>
          <w:rStyle w:val="FootnoteReference"/>
        </w:rPr>
        <w:footnoteReference w:id="13"/>
      </w:r>
      <w:r w:rsidR="003C383A">
        <w:t xml:space="preserve"> Considering Disraeli’s pleas in 1853, there was always an element of tension between the countries and even though during this time it never resulted in war does not mean the threat of conflict was not there. Britain realised at this time France was emerging as a genuine rival and this prompted a defensive response. </w:t>
      </w:r>
    </w:p>
    <w:p w14:paraId="7E242DD7" w14:textId="3DC3F9F1" w:rsidR="00255D1D" w:rsidRDefault="00BA3500">
      <w:r>
        <w:t xml:space="preserve">The partition of Africa was as much related to the situation in Europe as it was Africa itself. For Britain, the idea of acquiring colonies in Africa was </w:t>
      </w:r>
      <w:r w:rsidR="00CE464C">
        <w:t>a strategic one given the competition with Germany and France commercially was growing</w:t>
      </w:r>
      <w:r w:rsidR="009034AF">
        <w:t>, and the primary aim was to keep these powers from entering Britain’s ‘sphere of influence’.</w:t>
      </w:r>
      <w:r w:rsidR="00CE464C">
        <w:t xml:space="preserve"> The Empire saw this as a </w:t>
      </w:r>
      <w:r w:rsidR="00835D5F">
        <w:t>long-term</w:t>
      </w:r>
      <w:r w:rsidR="00CE464C">
        <w:t xml:space="preserve"> investment given in the short term many of the African countries did not </w:t>
      </w:r>
      <w:r w:rsidR="009034AF">
        <w:t xml:space="preserve">run in the manner of other colonies or in fact India. </w:t>
      </w:r>
      <w:r w:rsidR="00E250A5">
        <w:t>Little consideration was given to the countries themselves, with many of those in charge of the African countries not realising the extent of the situation. The simple nature of the military victories in these colonies fed into the ideology of the Empire of the time, as Parsons describes the ‘evangelical zeal of the missionary movement was drowned out by social Darwinism and pseudoscientific racism’.</w:t>
      </w:r>
      <w:r w:rsidR="007D3B0E">
        <w:rPr>
          <w:rStyle w:val="FootnoteReference"/>
        </w:rPr>
        <w:footnoteReference w:id="14"/>
      </w:r>
      <w:r w:rsidR="00E250A5">
        <w:t xml:space="preserve"> </w:t>
      </w:r>
      <w:r w:rsidR="002D1925">
        <w:t xml:space="preserve">Britain’s concern was India was not it’s only focus in Africa, as they began to sense the advantages of both places rich in minerals and the opportunity for a railway stretching from Cairo to Cape Town, a project that was never completed. </w:t>
      </w:r>
      <w:r w:rsidR="00616433">
        <w:t xml:space="preserve">Britain’s aims in West Africa centred around the emerging soap industry, hugely popular in the late nineteenth century. Not only was this a lucrative business for Britain but it also played into the Social Darwinism Parsons spoke of, with Pears Soap often marketed in a racist manner, playing into the idea of white Britons being inherently superior to other races. This plays into the idea that many had at the time that </w:t>
      </w:r>
      <w:r w:rsidR="005A4FC6">
        <w:t xml:space="preserve">these colonies should be happy to have the British there to ‘improve’ their culture and lives. Similar remarks were made </w:t>
      </w:r>
      <w:r w:rsidR="005A4FC6">
        <w:lastRenderedPageBreak/>
        <w:t>concerning Egypt during debt crisis accusing the people of ‘ignorance</w:t>
      </w:r>
      <w:r w:rsidR="00212C03">
        <w:t>,</w:t>
      </w:r>
      <w:r w:rsidR="005A4FC6">
        <w:t xml:space="preserve"> dishonesty and waste’.</w:t>
      </w:r>
      <w:r w:rsidR="00D17C4E">
        <w:rPr>
          <w:rStyle w:val="FootnoteReference"/>
        </w:rPr>
        <w:footnoteReference w:id="15"/>
      </w:r>
      <w:r w:rsidR="005A4FC6">
        <w:t xml:space="preserve"> Involved in the West African were France and Germany</w:t>
      </w:r>
      <w:r w:rsidR="006C57D8">
        <w:t xml:space="preserve">, as well as a new rival in Belgium. Under Leopold II they had little pull in Europe but acquiring Congo free state allowed him to become ‘his own master’. Germany would also be involved with Britain in the partitioning of East Africa, an endeavour that would not </w:t>
      </w:r>
      <w:r w:rsidR="00255D1D">
        <w:t xml:space="preserve">prove to be successful as the Imperial British East Africa Company was created in response to a similar venture by Germany. Parsons believes the methodical nature of Britain’s response to the partition process they were in no way reluctantly participating, although there was a definite desire on the par of the Empire to protect its own interests. Still protecting its own key investment in India, it is clear the Empire was seeking to advance its trade and commerce with Egypt and the mineral-rich territory. </w:t>
      </w:r>
      <w:r w:rsidR="00E500E2">
        <w:t xml:space="preserve">There is evidently no regard for the native African people in this process however and it appears that </w:t>
      </w:r>
      <w:r w:rsidR="003C383A">
        <w:t>all</w:t>
      </w:r>
      <w:r w:rsidR="00E500E2">
        <w:t xml:space="preserve"> the European powers</w:t>
      </w:r>
      <w:r w:rsidR="003C383A">
        <w:t xml:space="preserve"> involved</w:t>
      </w:r>
      <w:r w:rsidR="00E500E2">
        <w:t xml:space="preserve"> looked at the partition of Africa in terms of strategy and their standing in their continent. </w:t>
      </w:r>
    </w:p>
    <w:p w14:paraId="510AA27F" w14:textId="14A6592E" w:rsidR="00A52AFF" w:rsidRDefault="00A52AFF">
      <w:r w:rsidRPr="00A52AFF">
        <w:t>Britain’s foreign policy that began under Prime Minister Lord Palmerston was ‘Splendid Isolation’, explained by Viscount Goschen as ‘deliberately chosen; the freedom to act as we choose in any circumstances that may arise’.</w:t>
      </w:r>
      <w:r w:rsidR="005E76BA">
        <w:rPr>
          <w:rStyle w:val="FootnoteReference"/>
        </w:rPr>
        <w:footnoteReference w:id="16"/>
      </w:r>
      <w:r w:rsidRPr="00A52AFF">
        <w:t xml:space="preserve"> This approach worked for a period as the British Empire was still a distance ahead of the other powers in the world and could afford to remain in charge of its own destiny. Britain was being forced to change its philosophy despite her lofty position.  The amount of cheaper grain in the nineteenth century proved hugely damaging for British agriculture and she began to depend on food that was imported. This meant Britain had to balance the sales abroad of its manufactured goods with the acquisition of food and other raw materials. Britain at this time due its reliance on manufacturing would experience fluctuations in its economic fortunes every decade, experiencing the ‘Great Depression’ of 1873, with the main cause believed to be the growing industrial capability of rivals in Europe and North America. This would hugely affect the confidence of the nation and Empire, creating a siege mentality, allied with Britain’s natural isolationist approach. Britain at this time still was far ahead of any other power but the difficulties in manufacturing and agriculture at home gave cause for concern. This coupled with perennial rivals France and Russia, and a newly unified Germany created a situation where the Empire felt it needed to protect its interests, namely India, and establish a free trade. The nature of a ‘siege mentality’ is one of a defensive nature and this is evident in the determination to prevent the Russian empire from gaining any ground India. Britain looked to exploit new avenues of revenue in Egypt after the Suez Canal was built, but this also served to heighten tensions with a suspicious France. Britain’s ideology amongst growing jingoism and national spirit, played on constantly by Disraeli and social Darwinism meant the acquisition of African colonies was justified by the arrogant notion they were being improved by British presence and rule. Historians disagree on the motivations behind key events, such as the occupation of Egypt, but it is fair to suggest the initial dealings with France and ‘dual control’ were both a strategic and economic decision. At all times Britain would have had the consideration that despite the imperial dominance they enjoyed over the rest of the powers of the time, the landscape of commerce and technology was changing, and the progress of rivals meant that they had to protect the Empire they had and look to other avenues of expanding their Empire.</w:t>
      </w:r>
    </w:p>
    <w:p w14:paraId="00CD8B69" w14:textId="6869E2DB" w:rsidR="00561C96" w:rsidRDefault="00561C96"/>
    <w:p w14:paraId="04ECE5C8" w14:textId="77777777" w:rsidR="00DC3631" w:rsidRDefault="00DC3631" w:rsidP="00561C96"/>
    <w:p w14:paraId="730FB23D" w14:textId="4F477F56" w:rsidR="00561C96" w:rsidRDefault="00561C96" w:rsidP="00561C96">
      <w:pPr>
        <w:rPr>
          <w:u w:val="single"/>
        </w:rPr>
      </w:pPr>
      <w:bookmarkStart w:id="0" w:name="_GoBack"/>
      <w:bookmarkEnd w:id="0"/>
      <w:r>
        <w:rPr>
          <w:u w:val="single"/>
        </w:rPr>
        <w:lastRenderedPageBreak/>
        <w:t>Bibliography</w:t>
      </w:r>
    </w:p>
    <w:p w14:paraId="3C35C333" w14:textId="1EE2A2CE" w:rsidR="00561C96" w:rsidRDefault="00561C96" w:rsidP="00561C96">
      <w:pPr>
        <w:rPr>
          <w:u w:val="single"/>
        </w:rPr>
      </w:pPr>
      <w:r>
        <w:rPr>
          <w:u w:val="single"/>
        </w:rPr>
        <w:t>Primary Sources</w:t>
      </w:r>
    </w:p>
    <w:p w14:paraId="778C6EC8" w14:textId="72E61614" w:rsidR="00561C96" w:rsidRPr="00561C96" w:rsidRDefault="00561C96" w:rsidP="00561C96">
      <w:r>
        <w:t xml:space="preserve">Ed by. Bassett, A. T. </w:t>
      </w:r>
      <w:r w:rsidRPr="00561C96">
        <w:rPr>
          <w:i/>
        </w:rPr>
        <w:t xml:space="preserve">Gladstone’s Speeches </w:t>
      </w:r>
      <w:r>
        <w:t xml:space="preserve">(London, Methuen &amp; Co, 1916). </w:t>
      </w:r>
    </w:p>
    <w:p w14:paraId="758E4AE0" w14:textId="5E42E115" w:rsidR="00561C96" w:rsidRDefault="00561C96" w:rsidP="00561C96">
      <w:r>
        <w:t xml:space="preserve">Ed by. Jones, E. R. MP. </w:t>
      </w:r>
      <w:r>
        <w:rPr>
          <w:i/>
        </w:rPr>
        <w:t xml:space="preserve">Selected Speeches </w:t>
      </w:r>
      <w:proofErr w:type="gramStart"/>
      <w:r>
        <w:rPr>
          <w:i/>
        </w:rPr>
        <w:t>On</w:t>
      </w:r>
      <w:proofErr w:type="gramEnd"/>
      <w:r>
        <w:rPr>
          <w:i/>
        </w:rPr>
        <w:t xml:space="preserve"> British Foreign Policy 1738-1914 </w:t>
      </w:r>
      <w:r>
        <w:t>(London, Oxford University Press, 1914).</w:t>
      </w:r>
      <w:r w:rsidR="00FA7484">
        <w:t xml:space="preserve"> Internet Archive</w:t>
      </w:r>
      <w:r>
        <w:t xml:space="preserve"> </w:t>
      </w:r>
      <w:proofErr w:type="spellStart"/>
      <w:r w:rsidR="00DD70C6">
        <w:t>eboo</w:t>
      </w:r>
      <w:r w:rsidR="00FA7484">
        <w:t>k</w:t>
      </w:r>
      <w:proofErr w:type="spellEnd"/>
      <w:r w:rsidR="00DD70C6">
        <w:t xml:space="preserve">. </w:t>
      </w:r>
    </w:p>
    <w:p w14:paraId="6EDB5AEC" w14:textId="291973AF" w:rsidR="00561C96" w:rsidRDefault="00561C96" w:rsidP="00561C96">
      <w:r>
        <w:t xml:space="preserve">Ed by. </w:t>
      </w:r>
      <w:proofErr w:type="spellStart"/>
      <w:r>
        <w:t>Kebbel</w:t>
      </w:r>
      <w:proofErr w:type="spellEnd"/>
      <w:r>
        <w:t xml:space="preserve">, T. E. </w:t>
      </w:r>
      <w:r>
        <w:rPr>
          <w:i/>
        </w:rPr>
        <w:t xml:space="preserve">Selected speeches of the late Right Hon. The Earl of Beaconsfield, Vol II </w:t>
      </w:r>
      <w:r>
        <w:t>(London, Longmans Green and Co, 1882).</w:t>
      </w:r>
      <w:r w:rsidR="00FA7484">
        <w:t xml:space="preserve"> Internet Archive</w:t>
      </w:r>
      <w:r>
        <w:t xml:space="preserve"> </w:t>
      </w:r>
      <w:proofErr w:type="spellStart"/>
      <w:r w:rsidR="00DD70C6">
        <w:t>ebook</w:t>
      </w:r>
      <w:proofErr w:type="spellEnd"/>
      <w:r w:rsidR="00DD70C6">
        <w:t xml:space="preserve">. </w:t>
      </w:r>
    </w:p>
    <w:p w14:paraId="703C1122" w14:textId="77777777" w:rsidR="00561C96" w:rsidRDefault="00561C96" w:rsidP="00561C96">
      <w:pPr>
        <w:rPr>
          <w:u w:val="single"/>
        </w:rPr>
      </w:pPr>
      <w:r>
        <w:rPr>
          <w:u w:val="single"/>
        </w:rPr>
        <w:t>Secondary Sources</w:t>
      </w:r>
    </w:p>
    <w:p w14:paraId="4B6A39DD" w14:textId="33DA0D2D" w:rsidR="00561C96" w:rsidRDefault="00561C96" w:rsidP="00561C96">
      <w:r>
        <w:t xml:space="preserve">Blake, R. </w:t>
      </w:r>
      <w:r>
        <w:rPr>
          <w:i/>
        </w:rPr>
        <w:t xml:space="preserve">Disraeli and Gladstone: Opposing Forces </w:t>
      </w:r>
      <w:r>
        <w:t>(17</w:t>
      </w:r>
      <w:r>
        <w:rPr>
          <w:vertAlign w:val="superscript"/>
        </w:rPr>
        <w:t>th</w:t>
      </w:r>
      <w:r>
        <w:t xml:space="preserve"> February 2011) </w:t>
      </w:r>
      <w:hyperlink r:id="rId6" w:history="1">
        <w:r>
          <w:rPr>
            <w:rStyle w:val="Hyperlink"/>
          </w:rPr>
          <w:t>http://www.bbc.co.uk/history/british/victorians/disraeli_gladstone_01.shtml</w:t>
        </w:r>
      </w:hyperlink>
      <w:r>
        <w:t xml:space="preserve"> [Last Accessed: 20</w:t>
      </w:r>
      <w:r>
        <w:rPr>
          <w:vertAlign w:val="superscript"/>
        </w:rPr>
        <w:t>th</w:t>
      </w:r>
      <w:r>
        <w:t xml:space="preserve"> March</w:t>
      </w:r>
      <w:r w:rsidR="005D152E">
        <w:t xml:space="preserve"> 2018</w:t>
      </w:r>
      <w:r>
        <w:t xml:space="preserve">]. </w:t>
      </w:r>
    </w:p>
    <w:p w14:paraId="453ABE82" w14:textId="3B4AA8F7" w:rsidR="00561C96" w:rsidRDefault="00561C96" w:rsidP="00561C96">
      <w:r>
        <w:t>Collins, R</w:t>
      </w:r>
      <w:r w:rsidR="009458D5">
        <w:t>.</w:t>
      </w:r>
      <w:r>
        <w:t xml:space="preserve"> O. </w:t>
      </w:r>
      <w:r>
        <w:rPr>
          <w:i/>
        </w:rPr>
        <w:t xml:space="preserve">The Partition of Africa: Illusion or Necessity </w:t>
      </w:r>
      <w:r>
        <w:t xml:space="preserve">(London, John Wiley &amp; Sons, 1969). </w:t>
      </w:r>
    </w:p>
    <w:p w14:paraId="79AB584A" w14:textId="2226D206" w:rsidR="00561C96" w:rsidRDefault="00561C96" w:rsidP="00561C96">
      <w:r>
        <w:t xml:space="preserve">David, Dr S. </w:t>
      </w:r>
      <w:r>
        <w:rPr>
          <w:i/>
        </w:rPr>
        <w:t xml:space="preserve">Slavery and the 'Scramble for Africa' </w:t>
      </w:r>
      <w:r>
        <w:t>(17</w:t>
      </w:r>
      <w:r>
        <w:rPr>
          <w:vertAlign w:val="superscript"/>
        </w:rPr>
        <w:t xml:space="preserve">th </w:t>
      </w:r>
      <w:r>
        <w:t xml:space="preserve">February 2011) </w:t>
      </w:r>
      <w:hyperlink r:id="rId7" w:history="1">
        <w:r>
          <w:rPr>
            <w:rStyle w:val="Hyperlink"/>
          </w:rPr>
          <w:t>http://www.bbc.co.uk/history/british/abolition/scramble_for_africa_article_01.shtml</w:t>
        </w:r>
      </w:hyperlink>
      <w:r>
        <w:t xml:space="preserve"> [Last Accessed: 19</w:t>
      </w:r>
      <w:r>
        <w:rPr>
          <w:vertAlign w:val="superscript"/>
        </w:rPr>
        <w:t>th</w:t>
      </w:r>
      <w:r>
        <w:t xml:space="preserve"> March</w:t>
      </w:r>
      <w:r w:rsidR="005D152E">
        <w:t xml:space="preserve"> 2018</w:t>
      </w:r>
      <w:r>
        <w:t xml:space="preserve">]. </w:t>
      </w:r>
    </w:p>
    <w:p w14:paraId="3D6711A2" w14:textId="3CA034D7" w:rsidR="00561C96" w:rsidRDefault="00561C96" w:rsidP="00561C96">
      <w:r>
        <w:t>Eldridge, C. C. ‘Disraeli and the New Imperialism</w:t>
      </w:r>
      <w:r w:rsidR="00604C9D">
        <w:t>: Prophet or Charlatan?</w:t>
      </w:r>
      <w:r>
        <w:t xml:space="preserve">’, </w:t>
      </w:r>
      <w:r>
        <w:rPr>
          <w:i/>
        </w:rPr>
        <w:t>Trivium</w:t>
      </w:r>
      <w:r>
        <w:t>, 23 (1988), pp. 149-175.</w:t>
      </w:r>
    </w:p>
    <w:p w14:paraId="361C4C58" w14:textId="77777777" w:rsidR="00561C96" w:rsidRDefault="00561C96" w:rsidP="00561C96">
      <w:r>
        <w:t xml:space="preserve">Eldridge, C. C. </w:t>
      </w:r>
      <w:r>
        <w:rPr>
          <w:i/>
        </w:rPr>
        <w:t>Disraeli and the rise of a New Imperialism</w:t>
      </w:r>
      <w:r>
        <w:t xml:space="preserve"> (Cardiff, University of Wales Press, 1996). </w:t>
      </w:r>
    </w:p>
    <w:p w14:paraId="76A9934C" w14:textId="77777777" w:rsidR="00561C96" w:rsidRDefault="00561C96" w:rsidP="00561C96">
      <w:r>
        <w:t xml:space="preserve">Gavin, R. J. and Betley, J. A. </w:t>
      </w:r>
      <w:r>
        <w:rPr>
          <w:i/>
        </w:rPr>
        <w:t xml:space="preserve">The Scramble for Africa </w:t>
      </w:r>
      <w:r>
        <w:t xml:space="preserve">(Ibadan, Ibadan University Press, 1973). </w:t>
      </w:r>
    </w:p>
    <w:p w14:paraId="6284C7D0" w14:textId="77777777" w:rsidR="00561C96" w:rsidRDefault="00561C96" w:rsidP="00561C96">
      <w:r>
        <w:t xml:space="preserve">Jenkins, T. A. </w:t>
      </w:r>
      <w:r>
        <w:rPr>
          <w:i/>
        </w:rPr>
        <w:t>Disraeli and Victorian Conservatism</w:t>
      </w:r>
      <w:r>
        <w:t xml:space="preserve"> (Hampshire, MacMillan Press, 1996). </w:t>
      </w:r>
    </w:p>
    <w:p w14:paraId="1AF2647C" w14:textId="77777777" w:rsidR="00561C96" w:rsidRDefault="00561C96" w:rsidP="00561C96">
      <w:r>
        <w:t xml:space="preserve">Knaplund, P. </w:t>
      </w:r>
      <w:r>
        <w:rPr>
          <w:i/>
        </w:rPr>
        <w:t xml:space="preserve">Gladstone’s Foreign Policy </w:t>
      </w:r>
      <w:r>
        <w:t xml:space="preserve">(London, Frank Cass and Company, 1970). </w:t>
      </w:r>
    </w:p>
    <w:p w14:paraId="6005AE6E" w14:textId="77777777" w:rsidR="00561C96" w:rsidRDefault="00561C96" w:rsidP="00561C96">
      <w:r>
        <w:t>Low, A. M, ed. by Porter, A.</w:t>
      </w:r>
      <w:r>
        <w:rPr>
          <w:i/>
        </w:rPr>
        <w:t xml:space="preserve"> The Oxford history of the British Empire, The Nineteenth Century </w:t>
      </w:r>
      <w:r>
        <w:t xml:space="preserve">(Oxford, Oxford University Press, 1999). </w:t>
      </w:r>
    </w:p>
    <w:p w14:paraId="55019371" w14:textId="7CAA43EE" w:rsidR="00561C96" w:rsidRDefault="00561C96" w:rsidP="00561C96">
      <w:r>
        <w:t xml:space="preserve">Medlicott, W. N. </w:t>
      </w:r>
      <w:r>
        <w:rPr>
          <w:i/>
        </w:rPr>
        <w:t>The Congress of Berlin and After</w:t>
      </w:r>
      <w:r>
        <w:t xml:space="preserve"> (Edinburgh, Frank Cass &amp; Co, 1963)</w:t>
      </w:r>
      <w:r w:rsidR="007D5961">
        <w:t>.</w:t>
      </w:r>
    </w:p>
    <w:p w14:paraId="38823BF4" w14:textId="23959755" w:rsidR="00561C96" w:rsidRDefault="00561C96" w:rsidP="00561C96">
      <w:r>
        <w:t xml:space="preserve">McDonough, F. </w:t>
      </w:r>
      <w:r>
        <w:rPr>
          <w:i/>
        </w:rPr>
        <w:t xml:space="preserve">The British Empire 1815-1914 </w:t>
      </w:r>
      <w:r>
        <w:t xml:space="preserve">(London, Hodder &amp; Stoughton, 1994). </w:t>
      </w:r>
    </w:p>
    <w:p w14:paraId="7742DAAD" w14:textId="21211C1B" w:rsidR="00561C96" w:rsidRDefault="00561C96" w:rsidP="00561C96">
      <w:r>
        <w:t xml:space="preserve">Parsons, T. H. </w:t>
      </w:r>
      <w:r>
        <w:rPr>
          <w:i/>
        </w:rPr>
        <w:t xml:space="preserve">The British Imperial Century, 1815-1914 </w:t>
      </w:r>
      <w:r>
        <w:t xml:space="preserve">(Oxford, Rowman &amp; Littlefield Publishers, 1999). </w:t>
      </w:r>
    </w:p>
    <w:p w14:paraId="0E3FFF5E" w14:textId="5F6CBDE9" w:rsidR="009B0D3D" w:rsidRPr="00E34F7D" w:rsidRDefault="009B0D3D" w:rsidP="00561C96">
      <w:r>
        <w:t xml:space="preserve">Somervell, D. C. </w:t>
      </w:r>
      <w:r w:rsidR="00E34F7D">
        <w:t xml:space="preserve">‘The Victorian Age’, </w:t>
      </w:r>
      <w:r w:rsidR="00E34F7D" w:rsidRPr="00E34F7D">
        <w:rPr>
          <w:i/>
        </w:rPr>
        <w:t>Historical Association Pamphlet</w:t>
      </w:r>
      <w:r w:rsidR="00E34F7D">
        <w:t xml:space="preserve">, 107 (1937), pp. 3-30. </w:t>
      </w:r>
    </w:p>
    <w:p w14:paraId="5ACC1349" w14:textId="77777777" w:rsidR="00561C96" w:rsidRDefault="00561C96" w:rsidP="00561C96">
      <w:r>
        <w:t xml:space="preserve">Stembridge, S. R. Disraeli and the Millstones, </w:t>
      </w:r>
      <w:r>
        <w:rPr>
          <w:i/>
        </w:rPr>
        <w:t>Journal of British Studies</w:t>
      </w:r>
      <w:r>
        <w:t>, 5(1) (1965),</w:t>
      </w:r>
      <w:r>
        <w:rPr>
          <w:i/>
        </w:rPr>
        <w:t xml:space="preserve"> </w:t>
      </w:r>
      <w:r>
        <w:t xml:space="preserve">pp. 122-139. </w:t>
      </w:r>
    </w:p>
    <w:p w14:paraId="620CBBD9" w14:textId="3D311BE7" w:rsidR="00561C96" w:rsidRDefault="00561C96" w:rsidP="00561C96">
      <w:r>
        <w:t xml:space="preserve">Tignor, R. L. </w:t>
      </w:r>
      <w:r>
        <w:rPr>
          <w:i/>
        </w:rPr>
        <w:t xml:space="preserve">Modernization and British Colonial Rule in Egypt, 1882-1914 </w:t>
      </w:r>
      <w:r>
        <w:t xml:space="preserve">(Princeton, Princeton University Press, 1966). </w:t>
      </w:r>
    </w:p>
    <w:p w14:paraId="1A231185" w14:textId="618BF760" w:rsidR="00561C96" w:rsidRDefault="005D152E">
      <w:r>
        <w:t xml:space="preserve">Unknown, </w:t>
      </w:r>
      <w:r w:rsidRPr="005D152E">
        <w:rPr>
          <w:i/>
        </w:rPr>
        <w:t>British Foreign Policy - Splendid Isolation - 1860-1905</w:t>
      </w:r>
      <w:r>
        <w:rPr>
          <w:i/>
        </w:rPr>
        <w:t xml:space="preserve"> </w:t>
      </w:r>
      <w:hyperlink r:id="rId8" w:history="1">
        <w:r w:rsidRPr="005D152E">
          <w:rPr>
            <w:rStyle w:val="Hyperlink"/>
          </w:rPr>
          <w:t>https://www.globalsecurity.org/military/world/europe/uk-forrel-isolation.htm</w:t>
        </w:r>
      </w:hyperlink>
      <w:r w:rsidRPr="005D152E">
        <w:t xml:space="preserve"> </w:t>
      </w:r>
      <w:r>
        <w:t>[Last Accessed: 20</w:t>
      </w:r>
      <w:r w:rsidRPr="005D152E">
        <w:rPr>
          <w:vertAlign w:val="superscript"/>
        </w:rPr>
        <w:t>th</w:t>
      </w:r>
      <w:r>
        <w:t xml:space="preserve"> March 2018].  </w:t>
      </w:r>
    </w:p>
    <w:sectPr w:rsidR="00561C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0C2D6E" w14:textId="77777777" w:rsidR="00D84E17" w:rsidRDefault="00D84E17" w:rsidP="00D17C4E">
      <w:pPr>
        <w:spacing w:after="0" w:line="240" w:lineRule="auto"/>
      </w:pPr>
      <w:r>
        <w:separator/>
      </w:r>
    </w:p>
  </w:endnote>
  <w:endnote w:type="continuationSeparator" w:id="0">
    <w:p w14:paraId="2B44E89C" w14:textId="77777777" w:rsidR="00D84E17" w:rsidRDefault="00D84E17" w:rsidP="00D17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B22008" w14:textId="77777777" w:rsidR="00D84E17" w:rsidRDefault="00D84E17" w:rsidP="00D17C4E">
      <w:pPr>
        <w:spacing w:after="0" w:line="240" w:lineRule="auto"/>
      </w:pPr>
      <w:r>
        <w:separator/>
      </w:r>
    </w:p>
  </w:footnote>
  <w:footnote w:type="continuationSeparator" w:id="0">
    <w:p w14:paraId="47C703C3" w14:textId="77777777" w:rsidR="00D84E17" w:rsidRDefault="00D84E17" w:rsidP="00D17C4E">
      <w:pPr>
        <w:spacing w:after="0" w:line="240" w:lineRule="auto"/>
      </w:pPr>
      <w:r>
        <w:continuationSeparator/>
      </w:r>
    </w:p>
  </w:footnote>
  <w:footnote w:id="1">
    <w:p w14:paraId="636B25A1" w14:textId="758A8143" w:rsidR="00D17C4E" w:rsidRDefault="00D17C4E">
      <w:pPr>
        <w:pStyle w:val="FootnoteText"/>
      </w:pPr>
      <w:r>
        <w:rPr>
          <w:rStyle w:val="FootnoteReference"/>
        </w:rPr>
        <w:footnoteRef/>
      </w:r>
      <w:r w:rsidR="00604C9D">
        <w:t xml:space="preserve"> D. C.</w:t>
      </w:r>
      <w:r>
        <w:t xml:space="preserve"> </w:t>
      </w:r>
      <w:r w:rsidR="00604C9D" w:rsidRPr="00604C9D">
        <w:t>Somervell</w:t>
      </w:r>
      <w:r w:rsidR="00FE4A3D">
        <w:t>,</w:t>
      </w:r>
      <w:r w:rsidR="00604C9D" w:rsidRPr="00604C9D">
        <w:t xml:space="preserve"> ‘The Victorian Age’, </w:t>
      </w:r>
      <w:r w:rsidR="00604C9D" w:rsidRPr="00604C9D">
        <w:rPr>
          <w:i/>
        </w:rPr>
        <w:t>Historical Association Pamphlet</w:t>
      </w:r>
      <w:r w:rsidR="00604C9D" w:rsidRPr="00604C9D">
        <w:t>, 107 (1937), p</w:t>
      </w:r>
      <w:r w:rsidR="00784DA4">
        <w:t>.</w:t>
      </w:r>
      <w:r w:rsidR="00604C9D">
        <w:t xml:space="preserve"> 10. </w:t>
      </w:r>
    </w:p>
  </w:footnote>
  <w:footnote w:id="2">
    <w:p w14:paraId="5461A173" w14:textId="172DC83F" w:rsidR="00D17C4E" w:rsidRDefault="00D17C4E">
      <w:pPr>
        <w:pStyle w:val="FootnoteText"/>
      </w:pPr>
      <w:r>
        <w:rPr>
          <w:rStyle w:val="FootnoteReference"/>
        </w:rPr>
        <w:footnoteRef/>
      </w:r>
      <w:r>
        <w:t xml:space="preserve"> </w:t>
      </w:r>
      <w:r w:rsidR="00DD70C6">
        <w:t xml:space="preserve">C. C. </w:t>
      </w:r>
      <w:r w:rsidR="00DD70C6" w:rsidRPr="00DD70C6">
        <w:t>Eldridge</w:t>
      </w:r>
      <w:r w:rsidR="00FE4A3D">
        <w:t>,</w:t>
      </w:r>
      <w:r w:rsidR="00DD70C6" w:rsidRPr="00DD70C6">
        <w:t xml:space="preserve"> ‘Disraeli and the New Imperialism: Prophet or Charlatan?’, </w:t>
      </w:r>
      <w:r w:rsidR="00DD70C6" w:rsidRPr="00DD70C6">
        <w:rPr>
          <w:i/>
        </w:rPr>
        <w:t>Trivium</w:t>
      </w:r>
      <w:r w:rsidR="00DD70C6" w:rsidRPr="00DD70C6">
        <w:t>, 23 (1988)</w:t>
      </w:r>
      <w:r w:rsidR="00DD70C6">
        <w:t xml:space="preserve"> p. 161. </w:t>
      </w:r>
    </w:p>
  </w:footnote>
  <w:footnote w:id="3">
    <w:p w14:paraId="6D6F2CDE" w14:textId="669C6B0C" w:rsidR="008833FF" w:rsidRDefault="008833FF">
      <w:pPr>
        <w:pStyle w:val="FootnoteText"/>
      </w:pPr>
      <w:r>
        <w:rPr>
          <w:rStyle w:val="FootnoteReference"/>
        </w:rPr>
        <w:footnoteRef/>
      </w:r>
      <w:r>
        <w:t xml:space="preserve"> </w:t>
      </w:r>
      <w:r w:rsidRPr="008833FF">
        <w:t xml:space="preserve">W. N. Medlicott, </w:t>
      </w:r>
      <w:r w:rsidRPr="00FE4A3D">
        <w:rPr>
          <w:i/>
        </w:rPr>
        <w:t xml:space="preserve">The Congress of Berlin and After </w:t>
      </w:r>
      <w:r w:rsidRPr="008833FF">
        <w:t xml:space="preserve">(Edinburgh, Frank Cass &amp; Co, 1963). p. </w:t>
      </w:r>
      <w:r>
        <w:t xml:space="preserve">7. </w:t>
      </w:r>
    </w:p>
  </w:footnote>
  <w:footnote w:id="4">
    <w:p w14:paraId="360C2403" w14:textId="301D473E" w:rsidR="00D17C4E" w:rsidRDefault="00D17C4E">
      <w:pPr>
        <w:pStyle w:val="FootnoteText"/>
      </w:pPr>
      <w:r>
        <w:rPr>
          <w:rStyle w:val="FootnoteReference"/>
        </w:rPr>
        <w:footnoteRef/>
      </w:r>
      <w:r>
        <w:t xml:space="preserve"> </w:t>
      </w:r>
      <w:r w:rsidR="00DD70C6">
        <w:t>W. E. Gladstone</w:t>
      </w:r>
      <w:r w:rsidR="00FE4A3D">
        <w:t>,</w:t>
      </w:r>
      <w:r w:rsidR="00DD70C6">
        <w:t xml:space="preserve"> </w:t>
      </w:r>
      <w:r w:rsidR="00DD70C6" w:rsidRPr="00DD70C6">
        <w:t xml:space="preserve">Ed by. Jones, E. R. MP. </w:t>
      </w:r>
      <w:r w:rsidR="00DD70C6" w:rsidRPr="00DD70C6">
        <w:rPr>
          <w:i/>
        </w:rPr>
        <w:t xml:space="preserve">Selected Speeches </w:t>
      </w:r>
      <w:proofErr w:type="gramStart"/>
      <w:r w:rsidR="00DD70C6" w:rsidRPr="00DD70C6">
        <w:rPr>
          <w:i/>
        </w:rPr>
        <w:t>On</w:t>
      </w:r>
      <w:proofErr w:type="gramEnd"/>
      <w:r w:rsidR="00DD70C6" w:rsidRPr="00DD70C6">
        <w:rPr>
          <w:i/>
        </w:rPr>
        <w:t xml:space="preserve"> British Foreign Policy 1738-1914</w:t>
      </w:r>
      <w:r w:rsidR="00DD70C6" w:rsidRPr="00DD70C6">
        <w:t xml:space="preserve"> (London, Oxford University Press, 1914).</w:t>
      </w:r>
      <w:r w:rsidR="00DD70C6">
        <w:t xml:space="preserve"> p 337. </w:t>
      </w:r>
    </w:p>
  </w:footnote>
  <w:footnote w:id="5">
    <w:p w14:paraId="10597180" w14:textId="4087D370" w:rsidR="00D17C4E" w:rsidRDefault="00D17C4E">
      <w:pPr>
        <w:pStyle w:val="FootnoteText"/>
      </w:pPr>
      <w:r>
        <w:rPr>
          <w:rStyle w:val="FootnoteReference"/>
        </w:rPr>
        <w:footnoteRef/>
      </w:r>
      <w:r>
        <w:t xml:space="preserve"> </w:t>
      </w:r>
      <w:r w:rsidR="007D7454">
        <w:t xml:space="preserve">T. A. </w:t>
      </w:r>
      <w:r w:rsidR="007D7454" w:rsidRPr="007D7454">
        <w:t>Jenkins</w:t>
      </w:r>
      <w:r w:rsidR="007D7454">
        <w:t>,</w:t>
      </w:r>
      <w:r w:rsidR="007D7454" w:rsidRPr="007D7454">
        <w:t xml:space="preserve"> </w:t>
      </w:r>
      <w:r w:rsidR="007D7454" w:rsidRPr="007D7454">
        <w:rPr>
          <w:i/>
        </w:rPr>
        <w:t>Disraeli and Victorian Conservatism</w:t>
      </w:r>
      <w:r w:rsidR="007D7454" w:rsidRPr="007D7454">
        <w:t xml:space="preserve"> (Hampshire, MacMillan Press, 1996).</w:t>
      </w:r>
      <w:r w:rsidR="007D7454">
        <w:t xml:space="preserve"> p. 126. </w:t>
      </w:r>
    </w:p>
  </w:footnote>
  <w:footnote w:id="6">
    <w:p w14:paraId="63BCB1F2" w14:textId="4F1BE843" w:rsidR="00D17C4E" w:rsidRDefault="00D17C4E">
      <w:pPr>
        <w:pStyle w:val="FootnoteText"/>
      </w:pPr>
      <w:r>
        <w:rPr>
          <w:rStyle w:val="FootnoteReference"/>
        </w:rPr>
        <w:footnoteRef/>
      </w:r>
      <w:r w:rsidR="00784DA4">
        <w:t xml:space="preserve"> F.</w:t>
      </w:r>
      <w:r>
        <w:t xml:space="preserve"> </w:t>
      </w:r>
      <w:r w:rsidR="00784DA4" w:rsidRPr="00784DA4">
        <w:t>McDonough</w:t>
      </w:r>
      <w:r w:rsidR="007D5961">
        <w:t>,</w:t>
      </w:r>
      <w:r w:rsidR="00784DA4" w:rsidRPr="00784DA4">
        <w:t xml:space="preserve"> </w:t>
      </w:r>
      <w:r w:rsidR="00784DA4" w:rsidRPr="00784DA4">
        <w:rPr>
          <w:i/>
        </w:rPr>
        <w:t xml:space="preserve">The British Empire 1815-1914 </w:t>
      </w:r>
      <w:r w:rsidR="00784DA4" w:rsidRPr="00784DA4">
        <w:t>(London, Hodder &amp; Stoughton, 1994).</w:t>
      </w:r>
      <w:r w:rsidR="00784DA4">
        <w:t xml:space="preserve"> p. 73. </w:t>
      </w:r>
    </w:p>
  </w:footnote>
  <w:footnote w:id="7">
    <w:p w14:paraId="37F36F75" w14:textId="53652FDB" w:rsidR="00D17C4E" w:rsidRDefault="00D17C4E">
      <w:pPr>
        <w:pStyle w:val="FootnoteText"/>
      </w:pPr>
      <w:r>
        <w:rPr>
          <w:rStyle w:val="FootnoteReference"/>
        </w:rPr>
        <w:footnoteRef/>
      </w:r>
      <w:r>
        <w:t xml:space="preserve"> </w:t>
      </w:r>
      <w:r w:rsidR="007E5AC8">
        <w:t xml:space="preserve">R. J. </w:t>
      </w:r>
      <w:r w:rsidR="007E5AC8" w:rsidRPr="007E5AC8">
        <w:t xml:space="preserve">Gavin and </w:t>
      </w:r>
      <w:r w:rsidR="007E5AC8">
        <w:t xml:space="preserve">J. A. </w:t>
      </w:r>
      <w:r w:rsidR="007E5AC8" w:rsidRPr="007E5AC8">
        <w:t xml:space="preserve">Betley, </w:t>
      </w:r>
      <w:r w:rsidR="007E5AC8" w:rsidRPr="007E5AC8">
        <w:rPr>
          <w:i/>
        </w:rPr>
        <w:t>The Scramble for Africa</w:t>
      </w:r>
      <w:r w:rsidR="007E5AC8" w:rsidRPr="007E5AC8">
        <w:t xml:space="preserve"> (Ibadan, Ibadan University Press, 1973).</w:t>
      </w:r>
      <w:r w:rsidR="007E5AC8">
        <w:t xml:space="preserve"> p. xvii. </w:t>
      </w:r>
    </w:p>
  </w:footnote>
  <w:footnote w:id="8">
    <w:p w14:paraId="7112F1FC" w14:textId="3D7B2EB5" w:rsidR="00D17C4E" w:rsidRDefault="00D17C4E">
      <w:pPr>
        <w:pStyle w:val="FootnoteText"/>
      </w:pPr>
      <w:r>
        <w:rPr>
          <w:rStyle w:val="FootnoteReference"/>
        </w:rPr>
        <w:footnoteRef/>
      </w:r>
      <w:r w:rsidR="007D5961">
        <w:t xml:space="preserve"> </w:t>
      </w:r>
      <w:r w:rsidR="007D5961" w:rsidRPr="007D5961">
        <w:t>Medlicott</w:t>
      </w:r>
      <w:r w:rsidR="008833FF">
        <w:t xml:space="preserve">, </w:t>
      </w:r>
      <w:r w:rsidR="007D5961">
        <w:t xml:space="preserve">p. 6. </w:t>
      </w:r>
    </w:p>
  </w:footnote>
  <w:footnote w:id="9">
    <w:p w14:paraId="72904E34" w14:textId="2D95253E" w:rsidR="00D17C4E" w:rsidRDefault="00D17C4E">
      <w:pPr>
        <w:pStyle w:val="FootnoteText"/>
      </w:pPr>
      <w:r>
        <w:rPr>
          <w:rStyle w:val="FootnoteReference"/>
        </w:rPr>
        <w:footnoteRef/>
      </w:r>
      <w:r>
        <w:t xml:space="preserve"> </w:t>
      </w:r>
      <w:r w:rsidR="007D5961">
        <w:t xml:space="preserve">McDonough, p. </w:t>
      </w:r>
      <w:r w:rsidR="006E4A49">
        <w:t xml:space="preserve">44. </w:t>
      </w:r>
    </w:p>
  </w:footnote>
  <w:footnote w:id="10">
    <w:p w14:paraId="4CBAC7A2" w14:textId="25802DB2" w:rsidR="00D17C4E" w:rsidRDefault="00D17C4E">
      <w:pPr>
        <w:pStyle w:val="FootnoteText"/>
      </w:pPr>
      <w:r>
        <w:rPr>
          <w:rStyle w:val="FootnoteReference"/>
        </w:rPr>
        <w:footnoteRef/>
      </w:r>
      <w:r>
        <w:t xml:space="preserve"> </w:t>
      </w:r>
      <w:r w:rsidR="006E4A49">
        <w:t xml:space="preserve">B. Disraeli, </w:t>
      </w:r>
      <w:r w:rsidR="006E4A49" w:rsidRPr="006E4A49">
        <w:t xml:space="preserve">Ed by. </w:t>
      </w:r>
      <w:proofErr w:type="spellStart"/>
      <w:r w:rsidR="006E4A49" w:rsidRPr="006E4A49">
        <w:t>Kebbel</w:t>
      </w:r>
      <w:proofErr w:type="spellEnd"/>
      <w:r w:rsidR="006E4A49" w:rsidRPr="006E4A49">
        <w:t>, T. E</w:t>
      </w:r>
      <w:r w:rsidR="00FE4A3D">
        <w:t>,</w:t>
      </w:r>
      <w:r w:rsidR="006E4A49" w:rsidRPr="006E4A49">
        <w:t xml:space="preserve"> </w:t>
      </w:r>
      <w:r w:rsidR="006E4A49" w:rsidRPr="00FE4A3D">
        <w:rPr>
          <w:i/>
        </w:rPr>
        <w:t>Selected speeches of the late Right Hon. The Earl of Beaconsfield, Vol II</w:t>
      </w:r>
      <w:r w:rsidR="006E4A49" w:rsidRPr="006E4A49">
        <w:t xml:space="preserve"> (London, Longmans Green and Co, 1882).</w:t>
      </w:r>
      <w:r w:rsidR="00BC69FE">
        <w:t xml:space="preserve"> Internet Archive</w:t>
      </w:r>
      <w:r w:rsidR="006E4A49" w:rsidRPr="006E4A49">
        <w:t xml:space="preserve"> </w:t>
      </w:r>
      <w:proofErr w:type="spellStart"/>
      <w:r w:rsidR="006E4A49" w:rsidRPr="006E4A49">
        <w:t>ebook</w:t>
      </w:r>
      <w:proofErr w:type="spellEnd"/>
      <w:r w:rsidR="006E4A49" w:rsidRPr="006E4A49">
        <w:t>.</w:t>
      </w:r>
      <w:r w:rsidR="006E4A49">
        <w:t xml:space="preserve"> p. 5. </w:t>
      </w:r>
    </w:p>
  </w:footnote>
  <w:footnote w:id="11">
    <w:p w14:paraId="2B9E74B7" w14:textId="45A62E08" w:rsidR="00D17C4E" w:rsidRDefault="00D17C4E">
      <w:pPr>
        <w:pStyle w:val="FootnoteText"/>
      </w:pPr>
      <w:r>
        <w:rPr>
          <w:rStyle w:val="FootnoteReference"/>
        </w:rPr>
        <w:footnoteRef/>
      </w:r>
      <w:r w:rsidR="006E4A49">
        <w:t xml:space="preserve"> W. E. Gladstone,</w:t>
      </w:r>
      <w:r>
        <w:t xml:space="preserve"> </w:t>
      </w:r>
      <w:r w:rsidR="006E4A49" w:rsidRPr="006E4A49">
        <w:t>Ed by. Jones, E. R. M</w:t>
      </w:r>
      <w:r w:rsidR="006E4A49">
        <w:t>P,</w:t>
      </w:r>
      <w:r w:rsidR="006E4A49" w:rsidRPr="006E4A49">
        <w:t xml:space="preserve"> </w:t>
      </w:r>
      <w:r w:rsidR="006E4A49" w:rsidRPr="006E4A49">
        <w:rPr>
          <w:i/>
        </w:rPr>
        <w:t xml:space="preserve">Selected Speeches </w:t>
      </w:r>
      <w:proofErr w:type="gramStart"/>
      <w:r w:rsidR="006E4A49" w:rsidRPr="006E4A49">
        <w:rPr>
          <w:i/>
        </w:rPr>
        <w:t>On</w:t>
      </w:r>
      <w:proofErr w:type="gramEnd"/>
      <w:r w:rsidR="006E4A49" w:rsidRPr="006E4A49">
        <w:rPr>
          <w:i/>
        </w:rPr>
        <w:t xml:space="preserve"> British Foreign Policy 1738-1914</w:t>
      </w:r>
      <w:r w:rsidR="006E4A49" w:rsidRPr="006E4A49">
        <w:t xml:space="preserve"> (London, Oxford University Press, 1914). </w:t>
      </w:r>
      <w:r w:rsidR="00BC69FE">
        <w:t xml:space="preserve">Internet Archive </w:t>
      </w:r>
      <w:proofErr w:type="spellStart"/>
      <w:r w:rsidR="006E4A49" w:rsidRPr="006E4A49">
        <w:t>eboo</w:t>
      </w:r>
      <w:r w:rsidR="00BC69FE">
        <w:t>k</w:t>
      </w:r>
      <w:proofErr w:type="spellEnd"/>
      <w:r w:rsidR="006E4A49" w:rsidRPr="006E4A49">
        <w:t>.</w:t>
      </w:r>
      <w:r w:rsidR="006E4A49">
        <w:t xml:space="preserve"> p. 372. </w:t>
      </w:r>
    </w:p>
  </w:footnote>
  <w:footnote w:id="12">
    <w:p w14:paraId="08300DFE" w14:textId="06E2CC14" w:rsidR="00D17C4E" w:rsidRDefault="00D17C4E">
      <w:pPr>
        <w:pStyle w:val="FootnoteText"/>
      </w:pPr>
      <w:r>
        <w:rPr>
          <w:rStyle w:val="FootnoteReference"/>
        </w:rPr>
        <w:footnoteRef/>
      </w:r>
      <w:r>
        <w:t xml:space="preserve"> </w:t>
      </w:r>
      <w:r w:rsidR="00965A31">
        <w:t xml:space="preserve">McDonough, p. 29. </w:t>
      </w:r>
    </w:p>
  </w:footnote>
  <w:footnote w:id="13">
    <w:p w14:paraId="7F8F079C" w14:textId="2C452B83" w:rsidR="009458D5" w:rsidRDefault="009458D5">
      <w:pPr>
        <w:pStyle w:val="FootnoteText"/>
      </w:pPr>
      <w:r>
        <w:rPr>
          <w:rStyle w:val="FootnoteReference"/>
        </w:rPr>
        <w:footnoteRef/>
      </w:r>
      <w:r>
        <w:t xml:space="preserve"> R. L. </w:t>
      </w:r>
      <w:r w:rsidRPr="009458D5">
        <w:t xml:space="preserve">Tignor, </w:t>
      </w:r>
      <w:r w:rsidRPr="009458D5">
        <w:rPr>
          <w:i/>
        </w:rPr>
        <w:t>Modernization and British Colonial Rule in Egypt, 1882-1914</w:t>
      </w:r>
      <w:r w:rsidRPr="009458D5">
        <w:t xml:space="preserve"> (Princeton, Princeton University Press, 1966).</w:t>
      </w:r>
      <w:r>
        <w:t xml:space="preserve"> p. 12. </w:t>
      </w:r>
    </w:p>
  </w:footnote>
  <w:footnote w:id="14">
    <w:p w14:paraId="22586B31" w14:textId="0DBD2E5B" w:rsidR="007D3B0E" w:rsidRDefault="007D3B0E">
      <w:pPr>
        <w:pStyle w:val="FootnoteText"/>
      </w:pPr>
      <w:r>
        <w:rPr>
          <w:rStyle w:val="FootnoteReference"/>
        </w:rPr>
        <w:footnoteRef/>
      </w:r>
      <w:r>
        <w:t xml:space="preserve"> T. H. </w:t>
      </w:r>
      <w:r w:rsidRPr="007D3B0E">
        <w:t xml:space="preserve">Parsons, </w:t>
      </w:r>
      <w:r w:rsidRPr="007D3B0E">
        <w:rPr>
          <w:i/>
        </w:rPr>
        <w:t>The British Imperial Century, 1815-1914</w:t>
      </w:r>
      <w:r w:rsidRPr="007D3B0E">
        <w:t xml:space="preserve"> (Oxford, Rowman &amp; Littlefield Publishers, 1999).</w:t>
      </w:r>
      <w:r w:rsidR="00A65C4C">
        <w:t xml:space="preserve"> p. 25.</w:t>
      </w:r>
    </w:p>
  </w:footnote>
  <w:footnote w:id="15">
    <w:p w14:paraId="42440FC6" w14:textId="5A82762B" w:rsidR="00D17C4E" w:rsidRPr="009458D5" w:rsidRDefault="00D17C4E">
      <w:pPr>
        <w:pStyle w:val="FootnoteText"/>
      </w:pPr>
      <w:r>
        <w:rPr>
          <w:rStyle w:val="FootnoteReference"/>
        </w:rPr>
        <w:footnoteRef/>
      </w:r>
      <w:r>
        <w:t xml:space="preserve"> </w:t>
      </w:r>
      <w:r w:rsidR="009458D5">
        <w:t xml:space="preserve">McDonough, p. 29. </w:t>
      </w:r>
    </w:p>
  </w:footnote>
  <w:footnote w:id="16">
    <w:p w14:paraId="4CB80444" w14:textId="2EDCA3FD" w:rsidR="005E76BA" w:rsidRDefault="005E76BA">
      <w:pPr>
        <w:pStyle w:val="FootnoteText"/>
      </w:pPr>
      <w:r>
        <w:rPr>
          <w:rStyle w:val="FootnoteReference"/>
        </w:rPr>
        <w:footnoteRef/>
      </w:r>
      <w:r>
        <w:t xml:space="preserve"> </w:t>
      </w:r>
      <w:r w:rsidR="005D152E" w:rsidRPr="005D152E">
        <w:t xml:space="preserve">Unknown, </w:t>
      </w:r>
      <w:r w:rsidR="005D152E" w:rsidRPr="005D152E">
        <w:rPr>
          <w:i/>
        </w:rPr>
        <w:t xml:space="preserve">British Foreign Policy - Splendid Isolation - 1860-1905 </w:t>
      </w:r>
      <w:hyperlink r:id="rId1" w:history="1">
        <w:r w:rsidR="005D152E" w:rsidRPr="00023632">
          <w:rPr>
            <w:rStyle w:val="Hyperlink"/>
          </w:rPr>
          <w:t>https://www.globalsecurity.org/military/world/europe/uk-forrel-isolation.htm</w:t>
        </w:r>
      </w:hyperlink>
      <w:r w:rsidR="005D152E">
        <w:t xml:space="preserve"> </w:t>
      </w:r>
      <w:r w:rsidR="005D152E" w:rsidRPr="005D152E">
        <w:t xml:space="preserve">[Last Accessed: 20th March 2018].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03D"/>
    <w:rsid w:val="00034D9C"/>
    <w:rsid w:val="000A00D3"/>
    <w:rsid w:val="000A38CE"/>
    <w:rsid w:val="000A5C97"/>
    <w:rsid w:val="000F22C1"/>
    <w:rsid w:val="00105541"/>
    <w:rsid w:val="00114FD3"/>
    <w:rsid w:val="00190667"/>
    <w:rsid w:val="001C3554"/>
    <w:rsid w:val="00203B23"/>
    <w:rsid w:val="00212C03"/>
    <w:rsid w:val="00227044"/>
    <w:rsid w:val="00255D1D"/>
    <w:rsid w:val="00276C22"/>
    <w:rsid w:val="002B2D8E"/>
    <w:rsid w:val="002D1925"/>
    <w:rsid w:val="0031169B"/>
    <w:rsid w:val="0034330E"/>
    <w:rsid w:val="00376F22"/>
    <w:rsid w:val="003C383A"/>
    <w:rsid w:val="003E5835"/>
    <w:rsid w:val="0040157E"/>
    <w:rsid w:val="00413479"/>
    <w:rsid w:val="0042503F"/>
    <w:rsid w:val="0047276E"/>
    <w:rsid w:val="00482C6F"/>
    <w:rsid w:val="00490DA1"/>
    <w:rsid w:val="004F5C0F"/>
    <w:rsid w:val="00511B8A"/>
    <w:rsid w:val="00533354"/>
    <w:rsid w:val="00561C96"/>
    <w:rsid w:val="005A1551"/>
    <w:rsid w:val="005A4FC6"/>
    <w:rsid w:val="005D152E"/>
    <w:rsid w:val="005E76BA"/>
    <w:rsid w:val="00604C9D"/>
    <w:rsid w:val="00616433"/>
    <w:rsid w:val="006444A2"/>
    <w:rsid w:val="006C338B"/>
    <w:rsid w:val="006C57D8"/>
    <w:rsid w:val="006E4A49"/>
    <w:rsid w:val="0073780F"/>
    <w:rsid w:val="00784DA4"/>
    <w:rsid w:val="007C799B"/>
    <w:rsid w:val="007D3B0E"/>
    <w:rsid w:val="007D5961"/>
    <w:rsid w:val="007D7454"/>
    <w:rsid w:val="007E0B2F"/>
    <w:rsid w:val="007E5AC8"/>
    <w:rsid w:val="00832B2A"/>
    <w:rsid w:val="00835D5F"/>
    <w:rsid w:val="00860B5C"/>
    <w:rsid w:val="008719BE"/>
    <w:rsid w:val="008833FF"/>
    <w:rsid w:val="0088438C"/>
    <w:rsid w:val="00890B54"/>
    <w:rsid w:val="009034AF"/>
    <w:rsid w:val="009458D5"/>
    <w:rsid w:val="00965A31"/>
    <w:rsid w:val="0096616D"/>
    <w:rsid w:val="00980266"/>
    <w:rsid w:val="009B0D3D"/>
    <w:rsid w:val="009C1A05"/>
    <w:rsid w:val="00A17618"/>
    <w:rsid w:val="00A52AFF"/>
    <w:rsid w:val="00A65C4C"/>
    <w:rsid w:val="00AC7FF1"/>
    <w:rsid w:val="00B1519E"/>
    <w:rsid w:val="00B4321E"/>
    <w:rsid w:val="00B65D60"/>
    <w:rsid w:val="00B91963"/>
    <w:rsid w:val="00BA3500"/>
    <w:rsid w:val="00BB6365"/>
    <w:rsid w:val="00BC69FE"/>
    <w:rsid w:val="00BF0BB3"/>
    <w:rsid w:val="00BF70BB"/>
    <w:rsid w:val="00C32EFA"/>
    <w:rsid w:val="00CB6FEE"/>
    <w:rsid w:val="00CC030C"/>
    <w:rsid w:val="00CC780D"/>
    <w:rsid w:val="00CD07E4"/>
    <w:rsid w:val="00CE464C"/>
    <w:rsid w:val="00D05EFA"/>
    <w:rsid w:val="00D1410B"/>
    <w:rsid w:val="00D17C4E"/>
    <w:rsid w:val="00D80D7E"/>
    <w:rsid w:val="00D84E17"/>
    <w:rsid w:val="00DC3631"/>
    <w:rsid w:val="00DD70C6"/>
    <w:rsid w:val="00DF1EB5"/>
    <w:rsid w:val="00E207CC"/>
    <w:rsid w:val="00E250A5"/>
    <w:rsid w:val="00E34F7D"/>
    <w:rsid w:val="00E500E2"/>
    <w:rsid w:val="00E53E6A"/>
    <w:rsid w:val="00E92976"/>
    <w:rsid w:val="00EF7581"/>
    <w:rsid w:val="00F113CA"/>
    <w:rsid w:val="00F179AE"/>
    <w:rsid w:val="00F25D2B"/>
    <w:rsid w:val="00F9003D"/>
    <w:rsid w:val="00FA257F"/>
    <w:rsid w:val="00FA50BC"/>
    <w:rsid w:val="00FA7484"/>
    <w:rsid w:val="00FE4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275D1"/>
  <w15:chartTrackingRefBased/>
  <w15:docId w15:val="{878CDFAF-20F3-42CF-851A-29C5BA5C7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1C96"/>
    <w:rPr>
      <w:color w:val="0563C1" w:themeColor="hyperlink"/>
      <w:u w:val="single"/>
    </w:rPr>
  </w:style>
  <w:style w:type="paragraph" w:styleId="FootnoteText">
    <w:name w:val="footnote text"/>
    <w:basedOn w:val="Normal"/>
    <w:link w:val="FootnoteTextChar"/>
    <w:uiPriority w:val="99"/>
    <w:semiHidden/>
    <w:unhideWhenUsed/>
    <w:rsid w:val="00D17C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7C4E"/>
    <w:rPr>
      <w:sz w:val="20"/>
      <w:szCs w:val="20"/>
    </w:rPr>
  </w:style>
  <w:style w:type="character" w:styleId="FootnoteReference">
    <w:name w:val="footnote reference"/>
    <w:basedOn w:val="DefaultParagraphFont"/>
    <w:uiPriority w:val="99"/>
    <w:semiHidden/>
    <w:unhideWhenUsed/>
    <w:rsid w:val="00D17C4E"/>
    <w:rPr>
      <w:vertAlign w:val="superscript"/>
    </w:rPr>
  </w:style>
  <w:style w:type="character" w:styleId="UnresolvedMention">
    <w:name w:val="Unresolved Mention"/>
    <w:basedOn w:val="DefaultParagraphFont"/>
    <w:uiPriority w:val="99"/>
    <w:semiHidden/>
    <w:unhideWhenUsed/>
    <w:rsid w:val="005D152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8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security.org/military/world/europe/uk-forrel-isolation.htm" TargetMode="External"/><Relationship Id="rId3" Type="http://schemas.openxmlformats.org/officeDocument/2006/relationships/webSettings" Target="webSettings.xml"/><Relationship Id="rId7" Type="http://schemas.openxmlformats.org/officeDocument/2006/relationships/hyperlink" Target="http://www.bbc.co.uk/history/british/abolition/scramble_for_africa_article_01.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history/british/victorians/disraeli_gladstone_01.s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globalsecurity.org/military/world/europe/uk-forrel-isol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1065</TotalTime>
  <Pages>5</Pages>
  <Words>2631</Words>
  <Characters>15000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46</cp:revision>
  <dcterms:created xsi:type="dcterms:W3CDTF">2018-03-21T14:33:00Z</dcterms:created>
  <dcterms:modified xsi:type="dcterms:W3CDTF">2018-03-23T13:30:00Z</dcterms:modified>
</cp:coreProperties>
</file>