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3D915" w14:textId="7EB302DA" w:rsidR="0093242E" w:rsidRDefault="00000000" w:rsidP="007E2FCE">
      <w:pPr>
        <w:pStyle w:val="NoSpacing"/>
        <w:spacing w:line="360" w:lineRule="auto"/>
        <w:rPr>
          <w:rStyle w:val="Strong"/>
          <w:rFonts w:ascii="Arial" w:hAnsi="Arial" w:cs="Arial"/>
          <w:i/>
          <w:iCs/>
          <w:u w:val="single"/>
        </w:rPr>
      </w:pPr>
      <w:r w:rsidRPr="005625C5">
        <w:rPr>
          <w:rStyle w:val="Strong"/>
          <w:rFonts w:ascii="Arial" w:hAnsi="Arial" w:cs="Arial"/>
          <w:i/>
          <w:iCs/>
          <w:highlight w:val="yellow"/>
          <w:u w:val="single"/>
        </w:rPr>
        <w:t>Psychological Theories Supporting Adult Development and Wellbeing in Health and Social Care</w:t>
      </w:r>
    </w:p>
    <w:p w14:paraId="4342FAE7" w14:textId="77777777" w:rsidR="005625C5" w:rsidRPr="005625C5" w:rsidRDefault="005625C5" w:rsidP="007E2FCE">
      <w:pPr>
        <w:pStyle w:val="NoSpacing"/>
        <w:spacing w:line="360" w:lineRule="auto"/>
        <w:rPr>
          <w:rStyle w:val="Strong"/>
          <w:rFonts w:ascii="Arial" w:hAnsi="Arial" w:cs="Arial"/>
          <w:i/>
          <w:iCs/>
          <w:u w:val="single"/>
        </w:rPr>
      </w:pPr>
    </w:p>
    <w:p w14:paraId="785C0086" w14:textId="77777777" w:rsidR="0093242E" w:rsidRPr="005625C5" w:rsidRDefault="00000000" w:rsidP="007E2FCE">
      <w:pPr>
        <w:pStyle w:val="NoSpacing"/>
        <w:spacing w:line="360" w:lineRule="auto"/>
        <w:rPr>
          <w:rFonts w:ascii="Arial" w:hAnsi="Arial" w:cs="Arial"/>
        </w:rPr>
      </w:pPr>
      <w:r w:rsidRPr="005625C5">
        <w:rPr>
          <w:rFonts w:ascii="Arial" w:hAnsi="Arial" w:cs="Arial"/>
        </w:rPr>
        <w:t>Student Name: Fizza Rizwan</w:t>
      </w:r>
    </w:p>
    <w:p w14:paraId="7C8D054B" w14:textId="295C664A" w:rsidR="0093242E" w:rsidRPr="005625C5" w:rsidRDefault="00000000" w:rsidP="007E2FCE">
      <w:pPr>
        <w:pStyle w:val="NoSpacing"/>
        <w:spacing w:line="360" w:lineRule="auto"/>
        <w:rPr>
          <w:rFonts w:ascii="Arial" w:hAnsi="Arial" w:cs="Arial"/>
        </w:rPr>
      </w:pPr>
      <w:r w:rsidRPr="005625C5">
        <w:rPr>
          <w:rFonts w:ascii="Arial" w:hAnsi="Arial" w:cs="Arial"/>
        </w:rPr>
        <w:t xml:space="preserve">Student Number: </w:t>
      </w:r>
      <w:r w:rsidR="0095204F" w:rsidRPr="005625C5">
        <w:rPr>
          <w:rFonts w:ascii="Arial" w:hAnsi="Arial" w:cs="Arial"/>
        </w:rPr>
        <w:t>2422238</w:t>
      </w:r>
    </w:p>
    <w:p w14:paraId="49110EBF" w14:textId="076FE771" w:rsidR="0093242E" w:rsidRPr="005625C5" w:rsidRDefault="00000000" w:rsidP="007E2FCE">
      <w:pPr>
        <w:pStyle w:val="NoSpacing"/>
        <w:spacing w:line="360" w:lineRule="auto"/>
        <w:rPr>
          <w:rFonts w:ascii="Arial" w:hAnsi="Arial" w:cs="Arial"/>
        </w:rPr>
      </w:pPr>
      <w:r w:rsidRPr="005625C5">
        <w:rPr>
          <w:rFonts w:ascii="Arial" w:hAnsi="Arial" w:cs="Arial"/>
        </w:rPr>
        <w:t xml:space="preserve">Module Code and Title: </w:t>
      </w:r>
      <w:r w:rsidR="0095204F" w:rsidRPr="005625C5">
        <w:rPr>
          <w:rFonts w:ascii="Arial" w:hAnsi="Arial" w:cs="Arial"/>
        </w:rPr>
        <w:t>LCHS4010</w:t>
      </w:r>
    </w:p>
    <w:p w14:paraId="2E6FA302" w14:textId="3585F0A9" w:rsidR="0093242E" w:rsidRPr="005625C5" w:rsidRDefault="00000000" w:rsidP="007E2FCE">
      <w:pPr>
        <w:pStyle w:val="NoSpacing"/>
        <w:spacing w:line="360" w:lineRule="auto"/>
        <w:rPr>
          <w:rFonts w:ascii="Arial" w:hAnsi="Arial" w:cs="Arial"/>
        </w:rPr>
      </w:pPr>
      <w:r w:rsidRPr="005625C5">
        <w:rPr>
          <w:rFonts w:ascii="Arial" w:hAnsi="Arial" w:cs="Arial"/>
        </w:rPr>
        <w:t>Lecturer:</w:t>
      </w:r>
      <w:r w:rsidR="0095204F" w:rsidRPr="005625C5">
        <w:rPr>
          <w:rFonts w:ascii="Arial" w:hAnsi="Arial" w:cs="Arial"/>
        </w:rPr>
        <w:t xml:space="preserve"> Alice clayton</w:t>
      </w:r>
    </w:p>
    <w:p w14:paraId="413CA560" w14:textId="77777777" w:rsidR="0095204F" w:rsidRPr="005625C5" w:rsidRDefault="0095204F" w:rsidP="007E2FCE">
      <w:pPr>
        <w:pStyle w:val="NoSpacing"/>
        <w:spacing w:line="360" w:lineRule="auto"/>
        <w:rPr>
          <w:rFonts w:ascii="Arial" w:hAnsi="Arial" w:cs="Arial"/>
        </w:rPr>
      </w:pPr>
    </w:p>
    <w:p w14:paraId="16472F78" w14:textId="77777777" w:rsidR="0095204F" w:rsidRPr="005625C5" w:rsidRDefault="0095204F" w:rsidP="007E2FCE">
      <w:pPr>
        <w:pStyle w:val="NoSpacing"/>
        <w:spacing w:line="360" w:lineRule="auto"/>
        <w:rPr>
          <w:rFonts w:ascii="Arial" w:hAnsi="Arial" w:cs="Arial"/>
        </w:rPr>
      </w:pPr>
    </w:p>
    <w:p w14:paraId="20D4320E" w14:textId="77777777" w:rsidR="0095204F" w:rsidRPr="005625C5" w:rsidRDefault="0095204F" w:rsidP="007E2FCE">
      <w:pPr>
        <w:pStyle w:val="NoSpacing"/>
        <w:spacing w:line="360" w:lineRule="auto"/>
        <w:rPr>
          <w:rFonts w:ascii="Arial" w:hAnsi="Arial" w:cs="Arial"/>
        </w:rPr>
      </w:pPr>
    </w:p>
    <w:p w14:paraId="646E8903" w14:textId="77777777" w:rsidR="0095204F" w:rsidRPr="005625C5" w:rsidRDefault="0095204F" w:rsidP="007E2FCE">
      <w:pPr>
        <w:pStyle w:val="NoSpacing"/>
        <w:spacing w:line="360" w:lineRule="auto"/>
        <w:rPr>
          <w:rFonts w:ascii="Arial" w:hAnsi="Arial" w:cs="Arial"/>
        </w:rPr>
      </w:pPr>
    </w:p>
    <w:p w14:paraId="154168E1" w14:textId="77777777" w:rsidR="0095204F" w:rsidRPr="005625C5" w:rsidRDefault="0095204F" w:rsidP="007E2FCE">
      <w:pPr>
        <w:pStyle w:val="NoSpacing"/>
        <w:spacing w:line="360" w:lineRule="auto"/>
        <w:rPr>
          <w:rFonts w:ascii="Arial" w:hAnsi="Arial" w:cs="Arial"/>
        </w:rPr>
      </w:pPr>
    </w:p>
    <w:p w14:paraId="6FA925A7" w14:textId="77777777" w:rsidR="0095204F" w:rsidRPr="005625C5" w:rsidRDefault="0095204F" w:rsidP="007E2FCE">
      <w:pPr>
        <w:pStyle w:val="NoSpacing"/>
        <w:spacing w:line="360" w:lineRule="auto"/>
        <w:rPr>
          <w:rFonts w:ascii="Arial" w:hAnsi="Arial" w:cs="Arial"/>
        </w:rPr>
      </w:pPr>
    </w:p>
    <w:p w14:paraId="40D6DC3B" w14:textId="77777777" w:rsidR="0095204F" w:rsidRPr="005625C5" w:rsidRDefault="0095204F" w:rsidP="007E2FCE">
      <w:pPr>
        <w:pStyle w:val="NoSpacing"/>
        <w:spacing w:line="360" w:lineRule="auto"/>
        <w:rPr>
          <w:rFonts w:ascii="Arial" w:hAnsi="Arial" w:cs="Arial"/>
        </w:rPr>
      </w:pPr>
    </w:p>
    <w:p w14:paraId="5446DBAA" w14:textId="77777777" w:rsidR="0095204F" w:rsidRPr="005625C5" w:rsidRDefault="0095204F" w:rsidP="007E2FCE">
      <w:pPr>
        <w:pStyle w:val="NoSpacing"/>
        <w:spacing w:line="360" w:lineRule="auto"/>
        <w:rPr>
          <w:rFonts w:ascii="Arial" w:hAnsi="Arial" w:cs="Arial"/>
        </w:rPr>
      </w:pPr>
    </w:p>
    <w:p w14:paraId="0BBDD636" w14:textId="77777777" w:rsidR="0095204F" w:rsidRPr="005625C5" w:rsidRDefault="0095204F" w:rsidP="007E2FCE">
      <w:pPr>
        <w:pStyle w:val="NoSpacing"/>
        <w:spacing w:line="360" w:lineRule="auto"/>
        <w:rPr>
          <w:rFonts w:ascii="Arial" w:hAnsi="Arial" w:cs="Arial"/>
        </w:rPr>
      </w:pPr>
    </w:p>
    <w:p w14:paraId="1016178B" w14:textId="77777777" w:rsidR="0095204F" w:rsidRPr="005625C5" w:rsidRDefault="0095204F" w:rsidP="007E2FCE">
      <w:pPr>
        <w:pStyle w:val="NoSpacing"/>
        <w:spacing w:line="360" w:lineRule="auto"/>
        <w:rPr>
          <w:rFonts w:ascii="Arial" w:hAnsi="Arial" w:cs="Arial"/>
        </w:rPr>
      </w:pPr>
    </w:p>
    <w:p w14:paraId="0855EC4C" w14:textId="77777777" w:rsidR="0095204F" w:rsidRPr="005625C5" w:rsidRDefault="0095204F" w:rsidP="007E2FCE">
      <w:pPr>
        <w:pStyle w:val="NoSpacing"/>
        <w:spacing w:line="360" w:lineRule="auto"/>
        <w:rPr>
          <w:rFonts w:ascii="Arial" w:hAnsi="Arial" w:cs="Arial"/>
        </w:rPr>
      </w:pPr>
    </w:p>
    <w:p w14:paraId="1751091F" w14:textId="77777777" w:rsidR="0095204F" w:rsidRPr="005625C5" w:rsidRDefault="0095204F" w:rsidP="007E2FCE">
      <w:pPr>
        <w:pStyle w:val="NoSpacing"/>
        <w:spacing w:line="360" w:lineRule="auto"/>
        <w:rPr>
          <w:rFonts w:ascii="Arial" w:hAnsi="Arial" w:cs="Arial"/>
        </w:rPr>
      </w:pPr>
    </w:p>
    <w:p w14:paraId="5D694638" w14:textId="77777777" w:rsidR="0095204F" w:rsidRPr="005625C5" w:rsidRDefault="0095204F" w:rsidP="007E2FCE">
      <w:pPr>
        <w:pStyle w:val="NoSpacing"/>
        <w:spacing w:line="360" w:lineRule="auto"/>
        <w:rPr>
          <w:rFonts w:ascii="Arial" w:hAnsi="Arial" w:cs="Arial"/>
        </w:rPr>
      </w:pPr>
    </w:p>
    <w:p w14:paraId="63CB3371" w14:textId="77777777" w:rsidR="0095204F" w:rsidRPr="005625C5" w:rsidRDefault="0095204F" w:rsidP="007E2FCE">
      <w:pPr>
        <w:pStyle w:val="NoSpacing"/>
        <w:spacing w:line="360" w:lineRule="auto"/>
        <w:rPr>
          <w:rFonts w:ascii="Arial" w:hAnsi="Arial" w:cs="Arial"/>
        </w:rPr>
      </w:pPr>
    </w:p>
    <w:p w14:paraId="503E28D5" w14:textId="77777777" w:rsidR="0095204F" w:rsidRPr="005625C5" w:rsidRDefault="0095204F" w:rsidP="007E2FCE">
      <w:pPr>
        <w:pStyle w:val="NoSpacing"/>
        <w:spacing w:line="360" w:lineRule="auto"/>
        <w:rPr>
          <w:rFonts w:ascii="Arial" w:hAnsi="Arial" w:cs="Arial"/>
        </w:rPr>
      </w:pPr>
    </w:p>
    <w:p w14:paraId="5B2B97AE" w14:textId="77777777" w:rsidR="0095204F" w:rsidRPr="005625C5" w:rsidRDefault="0095204F" w:rsidP="007E2FCE">
      <w:pPr>
        <w:pStyle w:val="NoSpacing"/>
        <w:spacing w:line="360" w:lineRule="auto"/>
        <w:rPr>
          <w:rFonts w:ascii="Arial" w:hAnsi="Arial" w:cs="Arial"/>
        </w:rPr>
      </w:pPr>
    </w:p>
    <w:p w14:paraId="2D295FFB" w14:textId="77777777" w:rsidR="0095204F" w:rsidRDefault="0095204F" w:rsidP="007E2FCE">
      <w:pPr>
        <w:pStyle w:val="NoSpacing"/>
        <w:spacing w:line="360" w:lineRule="auto"/>
        <w:rPr>
          <w:rFonts w:ascii="Arial" w:hAnsi="Arial" w:cs="Arial"/>
        </w:rPr>
      </w:pPr>
    </w:p>
    <w:p w14:paraId="48C45FFA" w14:textId="77777777" w:rsidR="005625C5" w:rsidRDefault="005625C5" w:rsidP="007E2FCE">
      <w:pPr>
        <w:pStyle w:val="NoSpacing"/>
        <w:spacing w:line="360" w:lineRule="auto"/>
        <w:rPr>
          <w:rFonts w:ascii="Arial" w:hAnsi="Arial" w:cs="Arial"/>
        </w:rPr>
      </w:pPr>
    </w:p>
    <w:p w14:paraId="70CFD560" w14:textId="77777777" w:rsidR="005625C5" w:rsidRDefault="005625C5" w:rsidP="007E2FCE">
      <w:pPr>
        <w:pStyle w:val="NoSpacing"/>
        <w:spacing w:line="360" w:lineRule="auto"/>
        <w:rPr>
          <w:rFonts w:ascii="Arial" w:hAnsi="Arial" w:cs="Arial"/>
        </w:rPr>
      </w:pPr>
    </w:p>
    <w:p w14:paraId="718BD760" w14:textId="77777777" w:rsidR="005625C5" w:rsidRDefault="005625C5" w:rsidP="007E2FCE">
      <w:pPr>
        <w:pStyle w:val="NoSpacing"/>
        <w:spacing w:line="360" w:lineRule="auto"/>
        <w:rPr>
          <w:rFonts w:ascii="Arial" w:hAnsi="Arial" w:cs="Arial"/>
        </w:rPr>
      </w:pPr>
    </w:p>
    <w:p w14:paraId="4EEE7D09" w14:textId="77777777" w:rsidR="005625C5" w:rsidRDefault="005625C5" w:rsidP="007E2FCE">
      <w:pPr>
        <w:pStyle w:val="NoSpacing"/>
        <w:spacing w:line="360" w:lineRule="auto"/>
        <w:rPr>
          <w:rFonts w:ascii="Arial" w:hAnsi="Arial" w:cs="Arial"/>
        </w:rPr>
      </w:pPr>
    </w:p>
    <w:p w14:paraId="57E7A044" w14:textId="77777777" w:rsidR="005625C5" w:rsidRDefault="005625C5" w:rsidP="007E2FCE">
      <w:pPr>
        <w:pStyle w:val="NoSpacing"/>
        <w:spacing w:line="360" w:lineRule="auto"/>
        <w:rPr>
          <w:rFonts w:ascii="Arial" w:hAnsi="Arial" w:cs="Arial"/>
        </w:rPr>
      </w:pPr>
    </w:p>
    <w:p w14:paraId="47995E65" w14:textId="77777777" w:rsidR="005625C5" w:rsidRDefault="005625C5" w:rsidP="007E2FCE">
      <w:pPr>
        <w:pStyle w:val="NoSpacing"/>
        <w:spacing w:line="360" w:lineRule="auto"/>
        <w:rPr>
          <w:rFonts w:ascii="Arial" w:hAnsi="Arial" w:cs="Arial"/>
        </w:rPr>
      </w:pPr>
    </w:p>
    <w:p w14:paraId="3133B9AE" w14:textId="77777777" w:rsidR="005625C5" w:rsidRDefault="005625C5" w:rsidP="007E2FCE">
      <w:pPr>
        <w:pStyle w:val="NoSpacing"/>
        <w:spacing w:line="360" w:lineRule="auto"/>
        <w:rPr>
          <w:rFonts w:ascii="Arial" w:hAnsi="Arial" w:cs="Arial"/>
        </w:rPr>
      </w:pPr>
    </w:p>
    <w:p w14:paraId="16DA26AD" w14:textId="77777777" w:rsidR="005625C5" w:rsidRDefault="005625C5" w:rsidP="007E2FCE">
      <w:pPr>
        <w:pStyle w:val="NoSpacing"/>
        <w:spacing w:line="360" w:lineRule="auto"/>
        <w:rPr>
          <w:rFonts w:ascii="Arial" w:hAnsi="Arial" w:cs="Arial"/>
        </w:rPr>
      </w:pPr>
    </w:p>
    <w:p w14:paraId="0C6E00E1" w14:textId="77777777" w:rsidR="005625C5" w:rsidRDefault="005625C5" w:rsidP="007E2FCE">
      <w:pPr>
        <w:pStyle w:val="NoSpacing"/>
        <w:spacing w:line="360" w:lineRule="auto"/>
        <w:rPr>
          <w:rFonts w:ascii="Arial" w:hAnsi="Arial" w:cs="Arial"/>
        </w:rPr>
      </w:pPr>
    </w:p>
    <w:p w14:paraId="5A1D4D07" w14:textId="77777777" w:rsidR="005625C5" w:rsidRDefault="005625C5" w:rsidP="007E2FCE">
      <w:pPr>
        <w:pStyle w:val="NoSpacing"/>
        <w:spacing w:line="360" w:lineRule="auto"/>
        <w:rPr>
          <w:rFonts w:ascii="Arial" w:hAnsi="Arial" w:cs="Arial"/>
        </w:rPr>
      </w:pPr>
    </w:p>
    <w:p w14:paraId="55828022" w14:textId="77777777" w:rsidR="005625C5" w:rsidRDefault="005625C5" w:rsidP="007E2FCE">
      <w:pPr>
        <w:pStyle w:val="NoSpacing"/>
        <w:spacing w:line="360" w:lineRule="auto"/>
        <w:rPr>
          <w:rFonts w:ascii="Arial" w:hAnsi="Arial" w:cs="Arial"/>
        </w:rPr>
      </w:pPr>
    </w:p>
    <w:p w14:paraId="19A62F01" w14:textId="77777777" w:rsidR="005625C5" w:rsidRDefault="005625C5" w:rsidP="007E2FCE">
      <w:pPr>
        <w:pStyle w:val="NoSpacing"/>
        <w:spacing w:line="360" w:lineRule="auto"/>
        <w:rPr>
          <w:rFonts w:ascii="Arial" w:hAnsi="Arial" w:cs="Arial"/>
        </w:rPr>
      </w:pPr>
    </w:p>
    <w:p w14:paraId="403B17BD" w14:textId="77777777" w:rsidR="005625C5" w:rsidRDefault="005625C5" w:rsidP="007E2FCE">
      <w:pPr>
        <w:pStyle w:val="NoSpacing"/>
        <w:spacing w:line="360" w:lineRule="auto"/>
        <w:rPr>
          <w:rFonts w:ascii="Arial" w:hAnsi="Arial" w:cs="Arial"/>
        </w:rPr>
      </w:pPr>
    </w:p>
    <w:p w14:paraId="4B875BFC" w14:textId="77777777" w:rsidR="005625C5" w:rsidRDefault="005625C5" w:rsidP="007E2FCE">
      <w:pPr>
        <w:pStyle w:val="NoSpacing"/>
        <w:spacing w:line="360" w:lineRule="auto"/>
        <w:rPr>
          <w:rFonts w:ascii="Arial" w:hAnsi="Arial" w:cs="Arial"/>
        </w:rPr>
      </w:pPr>
    </w:p>
    <w:p w14:paraId="1FFD26BE" w14:textId="77777777" w:rsidR="005625C5" w:rsidRDefault="005625C5" w:rsidP="007E2FCE">
      <w:pPr>
        <w:pStyle w:val="NoSpacing"/>
        <w:spacing w:line="360" w:lineRule="auto"/>
        <w:rPr>
          <w:rFonts w:ascii="Arial" w:hAnsi="Arial" w:cs="Arial"/>
        </w:rPr>
      </w:pPr>
    </w:p>
    <w:p w14:paraId="75AF6CAA" w14:textId="77777777" w:rsidR="005625C5" w:rsidRDefault="005625C5" w:rsidP="007E2FCE">
      <w:pPr>
        <w:pStyle w:val="NoSpacing"/>
        <w:spacing w:line="360" w:lineRule="auto"/>
        <w:rPr>
          <w:rFonts w:ascii="Arial" w:hAnsi="Arial" w:cs="Arial"/>
        </w:rPr>
      </w:pPr>
    </w:p>
    <w:p w14:paraId="2AA7FAFB" w14:textId="77777777" w:rsidR="005625C5" w:rsidRDefault="005625C5" w:rsidP="007E2FCE">
      <w:pPr>
        <w:pStyle w:val="NoSpacing"/>
        <w:spacing w:line="360" w:lineRule="auto"/>
        <w:rPr>
          <w:rFonts w:ascii="Arial" w:hAnsi="Arial" w:cs="Arial"/>
        </w:rPr>
      </w:pPr>
    </w:p>
    <w:p w14:paraId="7CDF1242" w14:textId="77777777" w:rsidR="005625C5" w:rsidRDefault="005625C5" w:rsidP="007E2FCE">
      <w:pPr>
        <w:pStyle w:val="NoSpacing"/>
        <w:spacing w:line="360" w:lineRule="auto"/>
        <w:rPr>
          <w:rFonts w:ascii="Arial" w:hAnsi="Arial" w:cs="Arial"/>
        </w:rPr>
      </w:pPr>
    </w:p>
    <w:p w14:paraId="03B3F4FB" w14:textId="77777777" w:rsidR="005625C5" w:rsidRDefault="005625C5" w:rsidP="007E2FCE">
      <w:pPr>
        <w:pStyle w:val="NoSpacing"/>
        <w:spacing w:line="360" w:lineRule="auto"/>
        <w:rPr>
          <w:rFonts w:ascii="Arial" w:hAnsi="Arial" w:cs="Arial"/>
        </w:rPr>
      </w:pPr>
    </w:p>
    <w:p w14:paraId="411E0733" w14:textId="77777777" w:rsidR="005625C5" w:rsidRDefault="005625C5" w:rsidP="007E2FCE">
      <w:pPr>
        <w:pStyle w:val="NoSpacing"/>
        <w:spacing w:line="360" w:lineRule="auto"/>
        <w:rPr>
          <w:rFonts w:ascii="Arial" w:hAnsi="Arial" w:cs="Arial"/>
        </w:rPr>
      </w:pPr>
    </w:p>
    <w:p w14:paraId="01190BA9" w14:textId="77777777" w:rsidR="005625C5" w:rsidRDefault="005625C5" w:rsidP="007E2FCE">
      <w:pPr>
        <w:pStyle w:val="NoSpacing"/>
        <w:spacing w:line="360" w:lineRule="auto"/>
        <w:rPr>
          <w:rFonts w:ascii="Arial" w:hAnsi="Arial" w:cs="Arial"/>
        </w:rPr>
      </w:pPr>
    </w:p>
    <w:p w14:paraId="2BCAAC44" w14:textId="77777777" w:rsidR="005625C5" w:rsidRDefault="005625C5" w:rsidP="007E2FCE">
      <w:pPr>
        <w:pStyle w:val="NoSpacing"/>
        <w:spacing w:line="360" w:lineRule="auto"/>
        <w:rPr>
          <w:rFonts w:ascii="Arial" w:hAnsi="Arial" w:cs="Arial"/>
        </w:rPr>
      </w:pPr>
    </w:p>
    <w:p w14:paraId="2FF4CF67" w14:textId="77777777" w:rsidR="005625C5" w:rsidRDefault="005625C5" w:rsidP="007E2FCE">
      <w:pPr>
        <w:pStyle w:val="NoSpacing"/>
        <w:spacing w:line="360" w:lineRule="auto"/>
        <w:rPr>
          <w:rFonts w:ascii="Arial" w:hAnsi="Arial" w:cs="Arial"/>
        </w:rPr>
      </w:pPr>
    </w:p>
    <w:p w14:paraId="7790F772" w14:textId="77777777" w:rsidR="005625C5" w:rsidRDefault="005625C5" w:rsidP="007E2FCE">
      <w:pPr>
        <w:pStyle w:val="NoSpacing"/>
        <w:spacing w:line="360" w:lineRule="auto"/>
        <w:rPr>
          <w:rFonts w:ascii="Arial" w:hAnsi="Arial" w:cs="Arial"/>
        </w:rPr>
      </w:pPr>
    </w:p>
    <w:p w14:paraId="1A7FE49E" w14:textId="77777777" w:rsidR="005625C5" w:rsidRDefault="005625C5" w:rsidP="007E2FCE">
      <w:pPr>
        <w:pStyle w:val="NoSpacing"/>
        <w:spacing w:line="360" w:lineRule="auto"/>
        <w:rPr>
          <w:rFonts w:ascii="Arial" w:hAnsi="Arial" w:cs="Arial"/>
        </w:rPr>
      </w:pPr>
    </w:p>
    <w:p w14:paraId="336626EB" w14:textId="77777777" w:rsidR="005625C5" w:rsidRDefault="005625C5" w:rsidP="007E2FCE">
      <w:pPr>
        <w:pStyle w:val="NoSpacing"/>
        <w:spacing w:line="360" w:lineRule="auto"/>
        <w:rPr>
          <w:rFonts w:ascii="Arial" w:hAnsi="Arial" w:cs="Arial"/>
        </w:rPr>
      </w:pPr>
    </w:p>
    <w:p w14:paraId="3CA3942E" w14:textId="77777777" w:rsidR="005625C5" w:rsidRDefault="005625C5" w:rsidP="007E2FCE">
      <w:pPr>
        <w:pStyle w:val="NoSpacing"/>
        <w:spacing w:line="360" w:lineRule="auto"/>
        <w:rPr>
          <w:rFonts w:ascii="Arial" w:hAnsi="Arial" w:cs="Arial"/>
        </w:rPr>
      </w:pPr>
    </w:p>
    <w:p w14:paraId="29948B29" w14:textId="77777777" w:rsidR="005625C5" w:rsidRDefault="005625C5" w:rsidP="007E2FCE">
      <w:pPr>
        <w:pStyle w:val="NoSpacing"/>
        <w:spacing w:line="360" w:lineRule="auto"/>
        <w:rPr>
          <w:rFonts w:ascii="Arial" w:hAnsi="Arial" w:cs="Arial"/>
        </w:rPr>
      </w:pPr>
    </w:p>
    <w:p w14:paraId="42FBA0E8" w14:textId="77777777" w:rsidR="005625C5" w:rsidRDefault="005625C5" w:rsidP="007E2FCE">
      <w:pPr>
        <w:pStyle w:val="NoSpacing"/>
        <w:spacing w:line="360" w:lineRule="auto"/>
        <w:rPr>
          <w:rFonts w:ascii="Arial" w:hAnsi="Arial" w:cs="Arial"/>
        </w:rPr>
      </w:pPr>
    </w:p>
    <w:p w14:paraId="4A29356F" w14:textId="77777777" w:rsidR="005625C5" w:rsidRDefault="005625C5" w:rsidP="007E2FCE">
      <w:pPr>
        <w:pStyle w:val="NoSpacing"/>
        <w:spacing w:line="360" w:lineRule="auto"/>
        <w:rPr>
          <w:rFonts w:ascii="Arial" w:hAnsi="Arial" w:cs="Arial"/>
        </w:rPr>
      </w:pPr>
    </w:p>
    <w:p w14:paraId="054855F8" w14:textId="77777777" w:rsidR="005625C5" w:rsidRPr="005625C5" w:rsidRDefault="005625C5" w:rsidP="007E2FCE">
      <w:pPr>
        <w:pStyle w:val="NoSpacing"/>
        <w:spacing w:line="360" w:lineRule="auto"/>
        <w:rPr>
          <w:rFonts w:ascii="Arial" w:hAnsi="Arial" w:cs="Arial"/>
        </w:rPr>
      </w:pPr>
    </w:p>
    <w:p w14:paraId="59CE5F52" w14:textId="77777777" w:rsidR="0095204F" w:rsidRPr="005625C5" w:rsidRDefault="0095204F" w:rsidP="007E2FCE">
      <w:pPr>
        <w:pStyle w:val="NoSpacing"/>
        <w:spacing w:line="360" w:lineRule="auto"/>
        <w:rPr>
          <w:rFonts w:ascii="Arial" w:hAnsi="Arial" w:cs="Arial"/>
        </w:rPr>
      </w:pPr>
    </w:p>
    <w:p w14:paraId="11C10D44" w14:textId="5D2B9FBC" w:rsidR="0093242E" w:rsidRPr="005625C5" w:rsidRDefault="00000000" w:rsidP="007E2FCE">
      <w:pPr>
        <w:pStyle w:val="NoSpacing"/>
        <w:spacing w:line="360" w:lineRule="auto"/>
        <w:rPr>
          <w:rFonts w:ascii="Arial" w:hAnsi="Arial" w:cs="Arial"/>
        </w:rPr>
      </w:pPr>
      <w:r w:rsidRPr="005625C5">
        <w:rPr>
          <w:rFonts w:ascii="Arial" w:hAnsi="Arial" w:cs="Arial"/>
        </w:rPr>
        <w:t>Assignment Title: Two-Part Assessment – Annotated Bibliography and Short Report</w:t>
      </w:r>
    </w:p>
    <w:p w14:paraId="04B32501" w14:textId="1B842263" w:rsidR="0093242E" w:rsidRPr="005625C5" w:rsidRDefault="00000000" w:rsidP="007E2FCE">
      <w:pPr>
        <w:pStyle w:val="NoSpacing"/>
        <w:spacing w:line="360" w:lineRule="auto"/>
        <w:rPr>
          <w:rFonts w:ascii="Arial" w:hAnsi="Arial" w:cs="Arial"/>
        </w:rPr>
      </w:pPr>
      <w:r w:rsidRPr="005625C5">
        <w:rPr>
          <w:rFonts w:ascii="Arial" w:hAnsi="Arial" w:cs="Arial"/>
          <w:highlight w:val="yellow"/>
        </w:rPr>
        <w:t>Part A: Annotated Bibliography</w:t>
      </w:r>
    </w:p>
    <w:p w14:paraId="657426DC" w14:textId="51072E32" w:rsidR="0093242E" w:rsidRPr="005625C5" w:rsidRDefault="00000000" w:rsidP="007E2FCE">
      <w:pPr>
        <w:pStyle w:val="NoSpacing"/>
        <w:spacing w:line="360" w:lineRule="auto"/>
        <w:rPr>
          <w:rFonts w:ascii="Arial" w:hAnsi="Arial" w:cs="Arial"/>
        </w:rPr>
      </w:pPr>
      <w:r w:rsidRPr="005625C5">
        <w:rPr>
          <w:rFonts w:ascii="Arial" w:hAnsi="Arial" w:cs="Arial"/>
        </w:rPr>
        <w:t xml:space="preserve">1. Erikson, E.H. (1963) Childhood and Society. 2nd </w:t>
      </w:r>
      <w:proofErr w:type="gramStart"/>
      <w:r w:rsidRPr="005625C5">
        <w:rPr>
          <w:rFonts w:ascii="Arial" w:hAnsi="Arial" w:cs="Arial"/>
        </w:rPr>
        <w:t>edn</w:t>
      </w:r>
      <w:proofErr w:type="gramEnd"/>
      <w:r w:rsidRPr="005625C5">
        <w:rPr>
          <w:rFonts w:ascii="Arial" w:hAnsi="Arial" w:cs="Arial"/>
        </w:rPr>
        <w:t>. New York: W.W. Norton.</w:t>
      </w:r>
    </w:p>
    <w:p w14:paraId="0F4A9182" w14:textId="7777FBE3" w:rsidR="0093242E" w:rsidRPr="005625C5" w:rsidRDefault="00000000" w:rsidP="007E2FCE">
      <w:pPr>
        <w:pStyle w:val="NoSpacing"/>
        <w:spacing w:line="360" w:lineRule="auto"/>
        <w:rPr>
          <w:rFonts w:ascii="Arial" w:hAnsi="Arial" w:cs="Arial"/>
        </w:rPr>
      </w:pPr>
      <w:r w:rsidRPr="005625C5">
        <w:rPr>
          <w:rFonts w:ascii="Arial" w:hAnsi="Arial" w:cs="Arial"/>
        </w:rPr>
        <w:t>Summary</w:t>
      </w:r>
    </w:p>
    <w:p w14:paraId="3ABCE13F"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Erikson’s psychosocial theory explains that development continues across the entire lifespan. </w:t>
      </w:r>
    </w:p>
    <w:p w14:paraId="7B1A107D"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He proposed eight stages, and each stage includes a psychological conflict that must be resolved (Erikson, 1963). </w:t>
      </w:r>
    </w:p>
    <w:p w14:paraId="31F78D1D"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The final stage, Ego Integrity versus Despair, occurs in older adulthood. </w:t>
      </w:r>
    </w:p>
    <w:p w14:paraId="00ED5533"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At this stage, individuals reflect on their life experiences and evaluate whether their life has been meaningful. </w:t>
      </w:r>
    </w:p>
    <w:p w14:paraId="2BEA39D4" w14:textId="77777777" w:rsidR="0093242E" w:rsidRPr="005625C5" w:rsidRDefault="00000000" w:rsidP="007E2FCE">
      <w:pPr>
        <w:pStyle w:val="NoSpacing"/>
        <w:spacing w:line="360" w:lineRule="auto"/>
        <w:rPr>
          <w:rFonts w:ascii="Arial" w:hAnsi="Arial" w:cs="Arial"/>
        </w:rPr>
      </w:pPr>
      <w:r w:rsidRPr="005625C5">
        <w:rPr>
          <w:rFonts w:ascii="Arial" w:hAnsi="Arial" w:cs="Arial"/>
        </w:rPr>
        <w:lastRenderedPageBreak/>
        <w:t xml:space="preserve">If older adults feel satisfied with their achievements and relationships, they develop ego integrity. </w:t>
      </w:r>
    </w:p>
    <w:p w14:paraId="53B94B9D"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This creates feelings of wisdom, acceptance and emotional peace. </w:t>
      </w:r>
    </w:p>
    <w:p w14:paraId="0696A3F6"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However, if they focus on regret or </w:t>
      </w:r>
      <w:proofErr w:type="gramStart"/>
      <w:r w:rsidRPr="005625C5">
        <w:rPr>
          <w:rFonts w:ascii="Arial" w:hAnsi="Arial" w:cs="Arial"/>
        </w:rPr>
        <w:t>missed</w:t>
      </w:r>
      <w:proofErr w:type="gramEnd"/>
      <w:r w:rsidRPr="005625C5">
        <w:rPr>
          <w:rFonts w:ascii="Arial" w:hAnsi="Arial" w:cs="Arial"/>
        </w:rPr>
        <w:t xml:space="preserve"> opportunities, they may experience despair. </w:t>
      </w:r>
    </w:p>
    <w:p w14:paraId="5C1CCEF6" w14:textId="77777777" w:rsidR="0093242E" w:rsidRPr="005625C5" w:rsidRDefault="00000000" w:rsidP="007E2FCE">
      <w:pPr>
        <w:pStyle w:val="NoSpacing"/>
        <w:spacing w:line="360" w:lineRule="auto"/>
        <w:rPr>
          <w:rFonts w:ascii="Arial" w:hAnsi="Arial" w:cs="Arial"/>
        </w:rPr>
      </w:pPr>
      <w:r w:rsidRPr="005625C5">
        <w:rPr>
          <w:rFonts w:ascii="Arial" w:hAnsi="Arial" w:cs="Arial"/>
        </w:rPr>
        <w:t>Despair is linked to depression, anxiety and fear of death in later life.</w:t>
      </w:r>
    </w:p>
    <w:p w14:paraId="583C8EDA" w14:textId="77777777" w:rsidR="0093242E" w:rsidRPr="005625C5" w:rsidRDefault="0093242E" w:rsidP="007E2FCE">
      <w:pPr>
        <w:pStyle w:val="NoSpacing"/>
        <w:spacing w:line="360" w:lineRule="auto"/>
        <w:rPr>
          <w:rFonts w:ascii="Arial" w:hAnsi="Arial" w:cs="Arial"/>
        </w:rPr>
      </w:pPr>
    </w:p>
    <w:p w14:paraId="2F37A615" w14:textId="54D515A5" w:rsidR="0093242E" w:rsidRPr="005625C5" w:rsidRDefault="00000000" w:rsidP="007E2FCE">
      <w:pPr>
        <w:pStyle w:val="NoSpacing"/>
        <w:spacing w:line="360" w:lineRule="auto"/>
        <w:rPr>
          <w:rFonts w:ascii="Arial" w:hAnsi="Arial" w:cs="Arial"/>
        </w:rPr>
      </w:pPr>
      <w:r w:rsidRPr="005625C5">
        <w:rPr>
          <w:rFonts w:ascii="Arial" w:hAnsi="Arial" w:cs="Arial"/>
        </w:rPr>
        <w:t>Critical Comment</w:t>
      </w:r>
    </w:p>
    <w:p w14:paraId="04EB4A1A"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This theory is highly relevant in residential care settings because older adults often face major transitions such as bereavement, declining health and reduced independence. </w:t>
      </w:r>
    </w:p>
    <w:p w14:paraId="51866C16"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These changes naturally encourage life reflection. </w:t>
      </w:r>
    </w:p>
    <w:p w14:paraId="2CED5B04"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Professionals can support ego integrity through reminiscence therapy, life story work and person-centred conversations. </w:t>
      </w:r>
    </w:p>
    <w:p w14:paraId="28C965D2"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Research suggests that structured life review can improve self-esteem and reduce depressive symptoms in older adults (Baltes and Baltes, 1990). </w:t>
      </w:r>
    </w:p>
    <w:p w14:paraId="5153FA10"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However, Erikson’s model has been criticised for being too stage-based and culturally fixed. </w:t>
      </w:r>
    </w:p>
    <w:p w14:paraId="1DAD0A50"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Not all individuals experience development in the same structured way. </w:t>
      </w:r>
    </w:p>
    <w:p w14:paraId="12715204" w14:textId="77777777" w:rsidR="0093242E" w:rsidRPr="005625C5" w:rsidRDefault="00000000" w:rsidP="007E2FCE">
      <w:pPr>
        <w:pStyle w:val="NoSpacing"/>
        <w:spacing w:line="360" w:lineRule="auto"/>
        <w:rPr>
          <w:rFonts w:ascii="Arial" w:hAnsi="Arial" w:cs="Arial"/>
        </w:rPr>
      </w:pPr>
      <w:r w:rsidRPr="005625C5">
        <w:rPr>
          <w:rFonts w:ascii="Arial" w:hAnsi="Arial" w:cs="Arial"/>
        </w:rPr>
        <w:t>Despite this limitation, the theory remains valuable because it emphasises dignity, identity and meaning, which are central to quality care.</w:t>
      </w:r>
    </w:p>
    <w:p w14:paraId="20642AB6" w14:textId="77777777" w:rsidR="0093242E" w:rsidRPr="005625C5" w:rsidRDefault="0093242E" w:rsidP="007E2FCE">
      <w:pPr>
        <w:pStyle w:val="NoSpacing"/>
        <w:spacing w:line="360" w:lineRule="auto"/>
        <w:rPr>
          <w:rFonts w:ascii="Arial" w:hAnsi="Arial" w:cs="Arial"/>
        </w:rPr>
      </w:pPr>
    </w:p>
    <w:p w14:paraId="3DC757FE" w14:textId="77777777" w:rsidR="0093242E" w:rsidRPr="005625C5" w:rsidRDefault="00000000" w:rsidP="007E2FCE">
      <w:pPr>
        <w:pStyle w:val="NoSpacing"/>
        <w:spacing w:line="360" w:lineRule="auto"/>
        <w:rPr>
          <w:rFonts w:ascii="Arial" w:hAnsi="Arial" w:cs="Arial"/>
        </w:rPr>
      </w:pPr>
      <w:r w:rsidRPr="005625C5">
        <w:rPr>
          <w:rFonts w:ascii="Arial" w:hAnsi="Arial" w:cs="Arial"/>
        </w:rPr>
        <w:t>2. Havighurst, R.J. (1961) ‘Successful aging’, The Gerontologist, 1(1), pp. 8–13.</w:t>
      </w:r>
    </w:p>
    <w:p w14:paraId="238776E1" w14:textId="77777777" w:rsidR="0093242E" w:rsidRPr="005625C5" w:rsidRDefault="0093242E" w:rsidP="007E2FCE">
      <w:pPr>
        <w:pStyle w:val="NoSpacing"/>
        <w:spacing w:line="360" w:lineRule="auto"/>
        <w:rPr>
          <w:rFonts w:ascii="Arial" w:hAnsi="Arial" w:cs="Arial"/>
        </w:rPr>
      </w:pPr>
    </w:p>
    <w:p w14:paraId="51E2E26B" w14:textId="0DAC2B58" w:rsidR="0093242E" w:rsidRPr="005625C5" w:rsidRDefault="00000000" w:rsidP="007E2FCE">
      <w:pPr>
        <w:pStyle w:val="NoSpacing"/>
        <w:spacing w:line="360" w:lineRule="auto"/>
        <w:rPr>
          <w:rFonts w:ascii="Arial" w:hAnsi="Arial" w:cs="Arial"/>
        </w:rPr>
      </w:pPr>
      <w:r w:rsidRPr="005625C5">
        <w:rPr>
          <w:rFonts w:ascii="Arial" w:hAnsi="Arial" w:cs="Arial"/>
        </w:rPr>
        <w:t>Summary</w:t>
      </w:r>
    </w:p>
    <w:p w14:paraId="0814F6A5"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Havighurst’s Activity Theory argues that successful ageing occurs when older adults remain socially active and engaged (Havighurst, 1961). </w:t>
      </w:r>
    </w:p>
    <w:p w14:paraId="2746CE44"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When individuals lose previous roles such as employment, they should replace them with meaningful activities. </w:t>
      </w:r>
    </w:p>
    <w:p w14:paraId="6263D4A0"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Participation in hobbies, social groups or volunteering is believed to increase life satisfaction and reduce loneliness. </w:t>
      </w:r>
    </w:p>
    <w:p w14:paraId="13FFB466" w14:textId="74130EFF" w:rsidR="0093242E" w:rsidRPr="005625C5" w:rsidRDefault="00000000" w:rsidP="007E2FCE">
      <w:pPr>
        <w:pStyle w:val="NoSpacing"/>
        <w:spacing w:line="360" w:lineRule="auto"/>
        <w:rPr>
          <w:rFonts w:ascii="Arial" w:hAnsi="Arial" w:cs="Arial"/>
        </w:rPr>
      </w:pPr>
      <w:r w:rsidRPr="005625C5">
        <w:rPr>
          <w:rFonts w:ascii="Arial" w:hAnsi="Arial" w:cs="Arial"/>
        </w:rPr>
        <w:t>The theory suggests that withdrawal from social roles may negatively affect wellbeing.</w:t>
      </w:r>
    </w:p>
    <w:p w14:paraId="6430C982" w14:textId="21077EA0" w:rsidR="0093242E" w:rsidRPr="005625C5" w:rsidRDefault="00000000" w:rsidP="007E2FCE">
      <w:pPr>
        <w:pStyle w:val="NoSpacing"/>
        <w:spacing w:line="360" w:lineRule="auto"/>
        <w:rPr>
          <w:rFonts w:ascii="Arial" w:hAnsi="Arial" w:cs="Arial"/>
        </w:rPr>
      </w:pPr>
      <w:r w:rsidRPr="005625C5">
        <w:rPr>
          <w:rFonts w:ascii="Arial" w:hAnsi="Arial" w:cs="Arial"/>
        </w:rPr>
        <w:t>Critical Comment</w:t>
      </w:r>
    </w:p>
    <w:p w14:paraId="3EAF5B91"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This theory strongly supports activity programmes within care homes. </w:t>
      </w:r>
    </w:p>
    <w:p w14:paraId="68588D42"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Group activities, creative sessions and social events can improve confidence and social connection. </w:t>
      </w:r>
    </w:p>
    <w:p w14:paraId="28301709" w14:textId="77777777" w:rsidR="0093242E" w:rsidRPr="005625C5" w:rsidRDefault="00000000" w:rsidP="007E2FCE">
      <w:pPr>
        <w:pStyle w:val="NoSpacing"/>
        <w:spacing w:line="360" w:lineRule="auto"/>
        <w:rPr>
          <w:rFonts w:ascii="Arial" w:hAnsi="Arial" w:cs="Arial"/>
        </w:rPr>
      </w:pPr>
      <w:r w:rsidRPr="005625C5">
        <w:rPr>
          <w:rFonts w:ascii="Arial" w:hAnsi="Arial" w:cs="Arial"/>
        </w:rPr>
        <w:lastRenderedPageBreak/>
        <w:t xml:space="preserve">Evidence shows that social participation is linked to better mental health outcomes in older adults (World Health Organization, 2015). </w:t>
      </w:r>
    </w:p>
    <w:p w14:paraId="57F089FD"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However, Activity Theory may assume that all older adults prefer high levels of engagement. </w:t>
      </w:r>
    </w:p>
    <w:p w14:paraId="41EA80F5"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Some residents may prefer quiet reflection or small groups. </w:t>
      </w:r>
    </w:p>
    <w:p w14:paraId="5C620CDF"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Physical illness or disability may also restrict participation. </w:t>
      </w:r>
    </w:p>
    <w:p w14:paraId="3894A6FF" w14:textId="77777777" w:rsidR="0093242E" w:rsidRPr="005625C5" w:rsidRDefault="00000000" w:rsidP="007E2FCE">
      <w:pPr>
        <w:pStyle w:val="NoSpacing"/>
        <w:spacing w:line="360" w:lineRule="auto"/>
        <w:rPr>
          <w:rFonts w:ascii="Arial" w:hAnsi="Arial" w:cs="Arial"/>
        </w:rPr>
      </w:pPr>
      <w:r w:rsidRPr="005625C5">
        <w:rPr>
          <w:rFonts w:ascii="Arial" w:hAnsi="Arial" w:cs="Arial"/>
        </w:rPr>
        <w:t>Therefore, professionals must apply this theory flexibly and use a person-centred approach to ensure inclusion.</w:t>
      </w:r>
    </w:p>
    <w:p w14:paraId="39D75243" w14:textId="77777777" w:rsidR="0093242E" w:rsidRPr="005625C5" w:rsidRDefault="0093242E" w:rsidP="007E2FCE">
      <w:pPr>
        <w:pStyle w:val="NoSpacing"/>
        <w:spacing w:line="360" w:lineRule="auto"/>
        <w:rPr>
          <w:rFonts w:ascii="Arial" w:hAnsi="Arial" w:cs="Arial"/>
        </w:rPr>
      </w:pPr>
    </w:p>
    <w:p w14:paraId="68DE607C" w14:textId="1A334666" w:rsidR="0093242E" w:rsidRPr="005625C5" w:rsidRDefault="00000000" w:rsidP="007E2FCE">
      <w:pPr>
        <w:pStyle w:val="NoSpacing"/>
        <w:spacing w:line="360" w:lineRule="auto"/>
        <w:rPr>
          <w:rFonts w:ascii="Arial" w:hAnsi="Arial" w:cs="Arial"/>
        </w:rPr>
      </w:pPr>
      <w:r w:rsidRPr="005625C5">
        <w:rPr>
          <w:rFonts w:ascii="Arial" w:hAnsi="Arial" w:cs="Arial"/>
        </w:rPr>
        <w:t>3. Bowlby, J. (1988) A Secure Base: Parent-Child Attachment and Healthy Human Development. London: Routledge.</w:t>
      </w:r>
    </w:p>
    <w:p w14:paraId="44026527" w14:textId="379187AF" w:rsidR="0093242E" w:rsidRPr="005625C5" w:rsidRDefault="00000000" w:rsidP="007E2FCE">
      <w:pPr>
        <w:pStyle w:val="NoSpacing"/>
        <w:spacing w:line="360" w:lineRule="auto"/>
        <w:rPr>
          <w:rFonts w:ascii="Arial" w:hAnsi="Arial" w:cs="Arial"/>
        </w:rPr>
      </w:pPr>
      <w:r w:rsidRPr="005625C5">
        <w:rPr>
          <w:rFonts w:ascii="Arial" w:hAnsi="Arial" w:cs="Arial"/>
        </w:rPr>
        <w:t>Summary</w:t>
      </w:r>
    </w:p>
    <w:p w14:paraId="2AEF6A34"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Attachment theory explains how early relationships shape emotional development (Bowlby, 1988). </w:t>
      </w:r>
    </w:p>
    <w:p w14:paraId="3DCA08FC"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Although originally focused on childhood, attachment styles continue throughout adulthood. </w:t>
      </w:r>
    </w:p>
    <w:p w14:paraId="0AC778F4"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Older adults entering residential care may experience separation anxiety or insecurity. </w:t>
      </w:r>
    </w:p>
    <w:p w14:paraId="2177CE1B"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Secure attachment is associated with better coping skills, while insecure attachment may increase distress. </w:t>
      </w:r>
    </w:p>
    <w:p w14:paraId="0C2AB4C2" w14:textId="77777777" w:rsidR="0093242E" w:rsidRPr="005625C5" w:rsidRDefault="00000000" w:rsidP="007E2FCE">
      <w:pPr>
        <w:pStyle w:val="NoSpacing"/>
        <w:spacing w:line="360" w:lineRule="auto"/>
        <w:rPr>
          <w:rFonts w:ascii="Arial" w:hAnsi="Arial" w:cs="Arial"/>
        </w:rPr>
      </w:pPr>
      <w:r w:rsidRPr="005625C5">
        <w:rPr>
          <w:rFonts w:ascii="Arial" w:hAnsi="Arial" w:cs="Arial"/>
        </w:rPr>
        <w:t>Consistent and compassionate caregiving can help older adults feel safe and supported.</w:t>
      </w:r>
    </w:p>
    <w:p w14:paraId="5D652CDF" w14:textId="77777777" w:rsidR="0093242E" w:rsidRPr="005625C5" w:rsidRDefault="0093242E" w:rsidP="007E2FCE">
      <w:pPr>
        <w:pStyle w:val="NoSpacing"/>
        <w:spacing w:line="360" w:lineRule="auto"/>
        <w:rPr>
          <w:rFonts w:ascii="Arial" w:hAnsi="Arial" w:cs="Arial"/>
        </w:rPr>
      </w:pPr>
    </w:p>
    <w:p w14:paraId="3801C330" w14:textId="568C42AF" w:rsidR="0093242E" w:rsidRPr="005625C5" w:rsidRDefault="00000000" w:rsidP="007E2FCE">
      <w:pPr>
        <w:pStyle w:val="NoSpacing"/>
        <w:spacing w:line="360" w:lineRule="auto"/>
        <w:rPr>
          <w:rFonts w:ascii="Arial" w:hAnsi="Arial" w:cs="Arial"/>
        </w:rPr>
      </w:pPr>
      <w:r w:rsidRPr="005625C5">
        <w:rPr>
          <w:rFonts w:ascii="Arial" w:hAnsi="Arial" w:cs="Arial"/>
        </w:rPr>
        <w:t>Critical Comment</w:t>
      </w:r>
    </w:p>
    <w:p w14:paraId="36A9E546"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Attachment theory </w:t>
      </w:r>
      <w:proofErr w:type="gramStart"/>
      <w:r w:rsidRPr="005625C5">
        <w:rPr>
          <w:rFonts w:ascii="Arial" w:hAnsi="Arial" w:cs="Arial"/>
        </w:rPr>
        <w:t>is helpful in understanding</w:t>
      </w:r>
      <w:proofErr w:type="gramEnd"/>
      <w:r w:rsidRPr="005625C5">
        <w:rPr>
          <w:rFonts w:ascii="Arial" w:hAnsi="Arial" w:cs="Arial"/>
        </w:rPr>
        <w:t xml:space="preserve"> relocation stress in care homes. </w:t>
      </w:r>
    </w:p>
    <w:p w14:paraId="2ECD8A4B"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Research shows that strong staff-resident relationships can reduce behavioural distress and anxiety (Cummings and Cockerill, 2016). </w:t>
      </w:r>
    </w:p>
    <w:p w14:paraId="1E3F2D40"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However, critics argue that attachment theory may overemphasise early childhood experiences. </w:t>
      </w:r>
    </w:p>
    <w:p w14:paraId="78B7A718"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It may underestimate resilience developed later in life. </w:t>
      </w:r>
    </w:p>
    <w:p w14:paraId="5E0B0911" w14:textId="439AE9F5" w:rsidR="0093242E" w:rsidRPr="005625C5" w:rsidRDefault="00000000" w:rsidP="007E2FCE">
      <w:pPr>
        <w:pStyle w:val="NoSpacing"/>
        <w:spacing w:line="360" w:lineRule="auto"/>
        <w:rPr>
          <w:rFonts w:ascii="Arial" w:hAnsi="Arial" w:cs="Arial"/>
        </w:rPr>
      </w:pPr>
      <w:r w:rsidRPr="005625C5">
        <w:rPr>
          <w:rFonts w:ascii="Arial" w:hAnsi="Arial" w:cs="Arial"/>
        </w:rPr>
        <w:t>Despite this, it remains useful because it highlights the importance of trust and emotional security in care settings.</w:t>
      </w:r>
    </w:p>
    <w:p w14:paraId="6DED150B" w14:textId="3C2070FA" w:rsidR="0093242E" w:rsidRPr="005625C5" w:rsidRDefault="00000000" w:rsidP="007E2FCE">
      <w:pPr>
        <w:pStyle w:val="NoSpacing"/>
        <w:spacing w:line="360" w:lineRule="auto"/>
        <w:rPr>
          <w:rFonts w:ascii="Arial" w:hAnsi="Arial" w:cs="Arial"/>
        </w:rPr>
      </w:pPr>
      <w:r w:rsidRPr="005625C5">
        <w:rPr>
          <w:rFonts w:ascii="Arial" w:hAnsi="Arial" w:cs="Arial"/>
        </w:rPr>
        <w:t>4. Seligman, M.E.P. (2011) Flourish: A Visionary New Understanding of Happiness and Wellbeing. New York: Free Press.</w:t>
      </w:r>
    </w:p>
    <w:p w14:paraId="1BB1C3BB" w14:textId="650F09F5" w:rsidR="0093242E" w:rsidRPr="005625C5" w:rsidRDefault="00000000" w:rsidP="007E2FCE">
      <w:pPr>
        <w:pStyle w:val="NoSpacing"/>
        <w:spacing w:line="360" w:lineRule="auto"/>
        <w:rPr>
          <w:rFonts w:ascii="Arial" w:hAnsi="Arial" w:cs="Arial"/>
        </w:rPr>
      </w:pPr>
      <w:r w:rsidRPr="005625C5">
        <w:rPr>
          <w:rFonts w:ascii="Arial" w:hAnsi="Arial" w:cs="Arial"/>
        </w:rPr>
        <w:t>Summary</w:t>
      </w:r>
    </w:p>
    <w:p w14:paraId="0DAEAA1D"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Positive psychology focuses on strengths rather than deficits. </w:t>
      </w:r>
    </w:p>
    <w:p w14:paraId="00C0D176" w14:textId="77777777" w:rsidR="0093242E" w:rsidRPr="005625C5" w:rsidRDefault="00000000" w:rsidP="007E2FCE">
      <w:pPr>
        <w:pStyle w:val="NoSpacing"/>
        <w:spacing w:line="360" w:lineRule="auto"/>
        <w:rPr>
          <w:rFonts w:ascii="Arial" w:hAnsi="Arial" w:cs="Arial"/>
        </w:rPr>
      </w:pPr>
      <w:r w:rsidRPr="005625C5">
        <w:rPr>
          <w:rFonts w:ascii="Arial" w:hAnsi="Arial" w:cs="Arial"/>
        </w:rPr>
        <w:lastRenderedPageBreak/>
        <w:t xml:space="preserve">Seligman introduced the PERMA model, which includes Positive emotion, Engagement, Relationships, Meaning and Achievement (Seligman, 2011). </w:t>
      </w:r>
    </w:p>
    <w:p w14:paraId="003054D1"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These elements contribute to psychological flourishing. </w:t>
      </w:r>
    </w:p>
    <w:p w14:paraId="03130E7D" w14:textId="290E2C41" w:rsidR="0093242E" w:rsidRPr="005625C5" w:rsidRDefault="00000000" w:rsidP="007E2FCE">
      <w:pPr>
        <w:pStyle w:val="NoSpacing"/>
        <w:spacing w:line="360" w:lineRule="auto"/>
        <w:rPr>
          <w:rFonts w:ascii="Arial" w:hAnsi="Arial" w:cs="Arial"/>
        </w:rPr>
      </w:pPr>
      <w:r w:rsidRPr="005625C5">
        <w:rPr>
          <w:rFonts w:ascii="Arial" w:hAnsi="Arial" w:cs="Arial"/>
        </w:rPr>
        <w:t>In older adults, wellbeing can be improved by encouraging gratitude, meaningful activities and social connection.</w:t>
      </w:r>
    </w:p>
    <w:p w14:paraId="0EC3986D" w14:textId="0CFDDD7D" w:rsidR="0093242E" w:rsidRPr="005625C5" w:rsidRDefault="00000000" w:rsidP="007E2FCE">
      <w:pPr>
        <w:pStyle w:val="NoSpacing"/>
        <w:spacing w:line="360" w:lineRule="auto"/>
        <w:rPr>
          <w:rFonts w:ascii="Arial" w:hAnsi="Arial" w:cs="Arial"/>
        </w:rPr>
      </w:pPr>
      <w:r w:rsidRPr="005625C5">
        <w:rPr>
          <w:rFonts w:ascii="Arial" w:hAnsi="Arial" w:cs="Arial"/>
        </w:rPr>
        <w:t>Critical Comment</w:t>
      </w:r>
    </w:p>
    <w:p w14:paraId="00BB3C1F"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Positive psychology supports a </w:t>
      </w:r>
      <w:proofErr w:type="gramStart"/>
      <w:r w:rsidRPr="005625C5">
        <w:rPr>
          <w:rFonts w:ascii="Arial" w:hAnsi="Arial" w:cs="Arial"/>
        </w:rPr>
        <w:t>strengths</w:t>
      </w:r>
      <w:proofErr w:type="gramEnd"/>
      <w:r w:rsidRPr="005625C5">
        <w:rPr>
          <w:rFonts w:ascii="Arial" w:hAnsi="Arial" w:cs="Arial"/>
        </w:rPr>
        <w:t xml:space="preserve">-based approach in care homes. </w:t>
      </w:r>
    </w:p>
    <w:p w14:paraId="29FE3423"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It encourages professionals to focus on abilities rather than decline. </w:t>
      </w:r>
    </w:p>
    <w:p w14:paraId="1822EDC2"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Studies suggest that gratitude and meaning-based interventions can improve mood in older adults (Snyder and Lopez, 2009). </w:t>
      </w:r>
    </w:p>
    <w:p w14:paraId="0F07FA4E"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However, if applied without balance, it may overlook serious mental health conditions. </w:t>
      </w:r>
    </w:p>
    <w:p w14:paraId="4705F1BF" w14:textId="50B05976" w:rsidR="0093242E" w:rsidRPr="005625C5" w:rsidRDefault="00000000" w:rsidP="007E2FCE">
      <w:pPr>
        <w:pStyle w:val="NoSpacing"/>
        <w:spacing w:line="360" w:lineRule="auto"/>
        <w:rPr>
          <w:rFonts w:ascii="Arial" w:hAnsi="Arial" w:cs="Arial"/>
        </w:rPr>
      </w:pPr>
      <w:r w:rsidRPr="005625C5">
        <w:rPr>
          <w:rFonts w:ascii="Arial" w:hAnsi="Arial" w:cs="Arial"/>
        </w:rPr>
        <w:t>Therefore, it should complement clinical and social care interventions rather than replace them.</w:t>
      </w:r>
    </w:p>
    <w:p w14:paraId="16BC505B" w14:textId="49A67943" w:rsidR="0093242E" w:rsidRPr="005625C5" w:rsidRDefault="00000000" w:rsidP="007E2FCE">
      <w:pPr>
        <w:pStyle w:val="NoSpacing"/>
        <w:spacing w:line="360" w:lineRule="auto"/>
        <w:rPr>
          <w:rFonts w:ascii="Arial" w:hAnsi="Arial" w:cs="Arial"/>
          <w:b/>
          <w:bCs/>
          <w:i/>
          <w:iCs/>
          <w:u w:val="single"/>
        </w:rPr>
      </w:pPr>
      <w:r w:rsidRPr="005625C5">
        <w:rPr>
          <w:rFonts w:ascii="Arial" w:hAnsi="Arial" w:cs="Arial"/>
          <w:b/>
          <w:bCs/>
          <w:i/>
          <w:iCs/>
          <w:highlight w:val="yellow"/>
          <w:u w:val="single"/>
        </w:rPr>
        <w:t xml:space="preserve">Part B: Short </w:t>
      </w:r>
      <w:proofErr w:type="gramStart"/>
      <w:r w:rsidRPr="005625C5">
        <w:rPr>
          <w:rFonts w:ascii="Arial" w:hAnsi="Arial" w:cs="Arial"/>
          <w:b/>
          <w:bCs/>
          <w:i/>
          <w:iCs/>
          <w:highlight w:val="yellow"/>
          <w:u w:val="single"/>
        </w:rPr>
        <w:t>Report</w:t>
      </w:r>
      <w:r w:rsidR="00762A4C" w:rsidRPr="005625C5">
        <w:rPr>
          <w:rFonts w:ascii="Arial" w:hAnsi="Arial" w:cs="Arial"/>
          <w:b/>
          <w:bCs/>
          <w:i/>
          <w:iCs/>
          <w:u w:val="single"/>
        </w:rPr>
        <w:t>:-</w:t>
      </w:r>
      <w:proofErr w:type="gramEnd"/>
    </w:p>
    <w:p w14:paraId="71359B57" w14:textId="60697708" w:rsidR="0093242E" w:rsidRPr="005625C5" w:rsidRDefault="00000000" w:rsidP="007E2FCE">
      <w:pPr>
        <w:pStyle w:val="NoSpacing"/>
        <w:spacing w:line="360" w:lineRule="auto"/>
        <w:rPr>
          <w:rFonts w:ascii="Arial" w:hAnsi="Arial" w:cs="Arial"/>
        </w:rPr>
      </w:pPr>
      <w:r w:rsidRPr="005625C5">
        <w:rPr>
          <w:rFonts w:ascii="Arial" w:hAnsi="Arial" w:cs="Arial"/>
        </w:rPr>
        <w:t>Applying Erikson’s Psychosocial Theory in Residential Care</w:t>
      </w:r>
    </w:p>
    <w:p w14:paraId="68CB1991" w14:textId="490847E5" w:rsidR="0093242E" w:rsidRPr="005625C5" w:rsidRDefault="00000000" w:rsidP="007E2FCE">
      <w:pPr>
        <w:pStyle w:val="NoSpacing"/>
        <w:spacing w:line="360" w:lineRule="auto"/>
        <w:rPr>
          <w:rFonts w:ascii="Arial" w:hAnsi="Arial" w:cs="Arial"/>
        </w:rPr>
      </w:pPr>
      <w:r w:rsidRPr="005625C5">
        <w:rPr>
          <w:rFonts w:ascii="Arial" w:hAnsi="Arial" w:cs="Arial"/>
        </w:rPr>
        <w:t>Introduction</w:t>
      </w:r>
    </w:p>
    <w:p w14:paraId="52A0C41D"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Psychological wellbeing is a key part of high-quality residential care. </w:t>
      </w:r>
    </w:p>
    <w:p w14:paraId="7C9070B6"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Older adults often experience major changes such as bereavement, chronic illness and loss of independence. </w:t>
      </w:r>
    </w:p>
    <w:p w14:paraId="4C40F0B3"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These changes can affect identity and self-esteem. </w:t>
      </w:r>
    </w:p>
    <w:p w14:paraId="725EE328"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According to Erikson (1963), the main developmental task in later life is achieving ego integrity rather than despair. </w:t>
      </w:r>
    </w:p>
    <w:p w14:paraId="3D3D7775"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When older adults feel their life has meaning, they experience peace and emotional stability. </w:t>
      </w:r>
    </w:p>
    <w:p w14:paraId="369F0CB6" w14:textId="1864EEDE" w:rsidR="0093242E" w:rsidRPr="005625C5" w:rsidRDefault="00000000" w:rsidP="007E2FCE">
      <w:pPr>
        <w:pStyle w:val="NoSpacing"/>
        <w:spacing w:line="360" w:lineRule="auto"/>
        <w:rPr>
          <w:rFonts w:ascii="Arial" w:hAnsi="Arial" w:cs="Arial"/>
        </w:rPr>
      </w:pPr>
      <w:r w:rsidRPr="005625C5">
        <w:rPr>
          <w:rFonts w:ascii="Arial" w:hAnsi="Arial" w:cs="Arial"/>
        </w:rPr>
        <w:t>If they focus on regret, they may develop despair.</w:t>
      </w:r>
    </w:p>
    <w:p w14:paraId="2E71CAD1" w14:textId="5DBAFBCC" w:rsidR="0093242E" w:rsidRPr="005625C5" w:rsidRDefault="00000000" w:rsidP="007E2FCE">
      <w:pPr>
        <w:pStyle w:val="NoSpacing"/>
        <w:spacing w:line="360" w:lineRule="auto"/>
        <w:rPr>
          <w:rFonts w:ascii="Arial" w:hAnsi="Arial" w:cs="Arial"/>
        </w:rPr>
      </w:pPr>
      <w:r w:rsidRPr="005625C5">
        <w:rPr>
          <w:rFonts w:ascii="Arial" w:hAnsi="Arial" w:cs="Arial"/>
        </w:rPr>
        <w:t>Application in Practice</w:t>
      </w:r>
    </w:p>
    <w:p w14:paraId="5E7E896B"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Professionals can apply Erikson’s theory through life review activities and reminiscence therapy. </w:t>
      </w:r>
    </w:p>
    <w:p w14:paraId="376AB160"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Life review involves structured reflection on important life events. </w:t>
      </w:r>
    </w:p>
    <w:p w14:paraId="1323921C"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Research shows that life review interventions can reduce depressive symptoms and improve wellbeing (Baltes and Baltes, 1990). </w:t>
      </w:r>
    </w:p>
    <w:p w14:paraId="56A8F4AB"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Staff can create memory books, organise storytelling sessions and encourage residents to share personal achievements. </w:t>
      </w:r>
    </w:p>
    <w:p w14:paraId="00ADFAE3" w14:textId="695AB89E" w:rsidR="0093242E" w:rsidRPr="005625C5" w:rsidRDefault="00000000" w:rsidP="007E2FCE">
      <w:pPr>
        <w:pStyle w:val="NoSpacing"/>
        <w:spacing w:line="360" w:lineRule="auto"/>
        <w:rPr>
          <w:rFonts w:ascii="Arial" w:hAnsi="Arial" w:cs="Arial"/>
        </w:rPr>
      </w:pPr>
      <w:r w:rsidRPr="005625C5">
        <w:rPr>
          <w:rFonts w:ascii="Arial" w:hAnsi="Arial" w:cs="Arial"/>
        </w:rPr>
        <w:t>These activities support identity and dignity.</w:t>
      </w:r>
    </w:p>
    <w:p w14:paraId="2D7E976E" w14:textId="77777777" w:rsidR="0093242E" w:rsidRPr="005625C5" w:rsidRDefault="00000000" w:rsidP="007E2FCE">
      <w:pPr>
        <w:pStyle w:val="NoSpacing"/>
        <w:spacing w:line="360" w:lineRule="auto"/>
        <w:rPr>
          <w:rFonts w:ascii="Arial" w:hAnsi="Arial" w:cs="Arial"/>
        </w:rPr>
      </w:pPr>
      <w:r w:rsidRPr="005625C5">
        <w:rPr>
          <w:rFonts w:ascii="Arial" w:hAnsi="Arial" w:cs="Arial"/>
        </w:rPr>
        <w:lastRenderedPageBreak/>
        <w:t xml:space="preserve">It is important that emotional support is integrated into daily care routines. </w:t>
      </w:r>
    </w:p>
    <w:p w14:paraId="6C841CF1"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For example, during mealtimes or personal care, staff can ask simple reflective questions. </w:t>
      </w:r>
    </w:p>
    <w:p w14:paraId="235747EB"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Active listening and empathy are essential skills. </w:t>
      </w:r>
    </w:p>
    <w:p w14:paraId="45171FE5" w14:textId="6196695E" w:rsidR="0093242E" w:rsidRPr="005625C5" w:rsidRDefault="00000000" w:rsidP="007E2FCE">
      <w:pPr>
        <w:pStyle w:val="NoSpacing"/>
        <w:spacing w:line="360" w:lineRule="auto"/>
        <w:rPr>
          <w:rFonts w:ascii="Arial" w:hAnsi="Arial" w:cs="Arial"/>
        </w:rPr>
      </w:pPr>
      <w:r w:rsidRPr="005625C5">
        <w:rPr>
          <w:rFonts w:ascii="Arial" w:hAnsi="Arial" w:cs="Arial"/>
        </w:rPr>
        <w:t>Person-centred communication improves emotional outcomes in residential settings (World Health Organization, 2015).</w:t>
      </w:r>
    </w:p>
    <w:p w14:paraId="7851BA34" w14:textId="77777777" w:rsidR="0095204F" w:rsidRPr="005625C5" w:rsidRDefault="0095204F" w:rsidP="007E2FCE">
      <w:pPr>
        <w:pStyle w:val="NoSpacing"/>
        <w:spacing w:line="360" w:lineRule="auto"/>
        <w:rPr>
          <w:rFonts w:ascii="Arial" w:hAnsi="Arial" w:cs="Arial"/>
        </w:rPr>
      </w:pPr>
    </w:p>
    <w:p w14:paraId="6C720807" w14:textId="62552AA4" w:rsidR="0093242E" w:rsidRPr="005625C5" w:rsidRDefault="00000000" w:rsidP="007E2FCE">
      <w:pPr>
        <w:pStyle w:val="NoSpacing"/>
        <w:spacing w:line="360" w:lineRule="auto"/>
        <w:rPr>
          <w:rFonts w:ascii="Arial" w:hAnsi="Arial" w:cs="Arial"/>
        </w:rPr>
      </w:pPr>
      <w:r w:rsidRPr="005625C5">
        <w:rPr>
          <w:rFonts w:ascii="Arial" w:hAnsi="Arial" w:cs="Arial"/>
        </w:rPr>
        <w:t>Case Scenario</w:t>
      </w:r>
    </w:p>
    <w:p w14:paraId="6DAAD486"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Mrs Ahmed, aged 82, moved into residential care after her husband passed away. </w:t>
      </w:r>
    </w:p>
    <w:p w14:paraId="4DA80CBE"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She felt withdrawn and expressed regret about unfinished goals. </w:t>
      </w:r>
    </w:p>
    <w:p w14:paraId="42FDBCCD"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Staff recognised signs of despair and applied Erikson’s theory. </w:t>
      </w:r>
    </w:p>
    <w:p w14:paraId="1B40CDE8"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They introduced weekly life review sessions and involved her family in creating a memory book. </w:t>
      </w:r>
    </w:p>
    <w:p w14:paraId="2027F10F"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Over time, Mrs Ahmed began to reflect positively on raising her children and contributing to her community. </w:t>
      </w:r>
    </w:p>
    <w:p w14:paraId="375793A2"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Her mood improved and she re-engaged with group activities. </w:t>
      </w:r>
    </w:p>
    <w:p w14:paraId="4023C033" w14:textId="1BE9D74B" w:rsidR="0093242E" w:rsidRPr="005625C5" w:rsidRDefault="00000000" w:rsidP="007E2FCE">
      <w:pPr>
        <w:pStyle w:val="NoSpacing"/>
        <w:spacing w:line="360" w:lineRule="auto"/>
        <w:rPr>
          <w:rFonts w:ascii="Arial" w:hAnsi="Arial" w:cs="Arial"/>
        </w:rPr>
      </w:pPr>
      <w:r w:rsidRPr="005625C5">
        <w:rPr>
          <w:rFonts w:ascii="Arial" w:hAnsi="Arial" w:cs="Arial"/>
        </w:rPr>
        <w:t>This example demonstrates how supporting ego integrity can enhance wellbeing.</w:t>
      </w:r>
    </w:p>
    <w:p w14:paraId="7E995C3A" w14:textId="72615AEB" w:rsidR="0093242E" w:rsidRPr="005625C5" w:rsidRDefault="00000000" w:rsidP="007E2FCE">
      <w:pPr>
        <w:pStyle w:val="NoSpacing"/>
        <w:spacing w:line="360" w:lineRule="auto"/>
        <w:rPr>
          <w:rFonts w:ascii="Arial" w:hAnsi="Arial" w:cs="Arial"/>
        </w:rPr>
      </w:pPr>
      <w:r w:rsidRPr="005625C5">
        <w:rPr>
          <w:rFonts w:ascii="Arial" w:hAnsi="Arial" w:cs="Arial"/>
        </w:rPr>
        <w:t>Challenges</w:t>
      </w:r>
    </w:p>
    <w:p w14:paraId="5C742BCF"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One major challenge is limited staff time and high workload. </w:t>
      </w:r>
    </w:p>
    <w:p w14:paraId="6FC17F16"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Care workers often prioritise physical health needs. </w:t>
      </w:r>
    </w:p>
    <w:p w14:paraId="6D35557E"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Residents with dementia may also struggle with structured reflection. </w:t>
      </w:r>
    </w:p>
    <w:p w14:paraId="321DAF32" w14:textId="77777777" w:rsidR="0093242E" w:rsidRPr="005625C5" w:rsidRDefault="00000000" w:rsidP="007E2FCE">
      <w:pPr>
        <w:pStyle w:val="NoSpacing"/>
        <w:spacing w:line="360" w:lineRule="auto"/>
        <w:rPr>
          <w:rFonts w:ascii="Arial" w:hAnsi="Arial" w:cs="Arial"/>
        </w:rPr>
      </w:pPr>
      <w:r w:rsidRPr="005625C5">
        <w:rPr>
          <w:rFonts w:ascii="Arial" w:hAnsi="Arial" w:cs="Arial"/>
        </w:rPr>
        <w:t>Without proper training, staff may feel unsure how to manage emotional conversations.</w:t>
      </w:r>
    </w:p>
    <w:p w14:paraId="37D6E4B6" w14:textId="77777777" w:rsidR="0093242E" w:rsidRPr="005625C5" w:rsidRDefault="0093242E" w:rsidP="007E2FCE">
      <w:pPr>
        <w:pStyle w:val="NoSpacing"/>
        <w:spacing w:line="360" w:lineRule="auto"/>
        <w:rPr>
          <w:rFonts w:ascii="Arial" w:hAnsi="Arial" w:cs="Arial"/>
        </w:rPr>
      </w:pPr>
    </w:p>
    <w:p w14:paraId="04B70ED9" w14:textId="74F51DB4" w:rsidR="0093242E" w:rsidRPr="005625C5" w:rsidRDefault="00000000" w:rsidP="007E2FCE">
      <w:pPr>
        <w:pStyle w:val="NoSpacing"/>
        <w:spacing w:line="360" w:lineRule="auto"/>
        <w:rPr>
          <w:rFonts w:ascii="Arial" w:hAnsi="Arial" w:cs="Arial"/>
        </w:rPr>
      </w:pPr>
      <w:r w:rsidRPr="005625C5">
        <w:rPr>
          <w:rFonts w:ascii="Arial" w:hAnsi="Arial" w:cs="Arial"/>
        </w:rPr>
        <w:t>Strategies to Overcome Challenges</w:t>
      </w:r>
    </w:p>
    <w:p w14:paraId="7DC14995"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To address these issues, care homes can provide training in communication and reminiscence therapy. </w:t>
      </w:r>
    </w:p>
    <w:p w14:paraId="7B30E684"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Short reflective conversations can be included in everyday care. </w:t>
      </w:r>
    </w:p>
    <w:p w14:paraId="1E084CDE"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Family involvement is also valuable, as relatives can provide personal history and emotional support. </w:t>
      </w:r>
    </w:p>
    <w:p w14:paraId="3F799E51" w14:textId="77777777" w:rsidR="0093242E" w:rsidRPr="005625C5" w:rsidRDefault="00000000" w:rsidP="007E2FCE">
      <w:pPr>
        <w:pStyle w:val="NoSpacing"/>
        <w:spacing w:line="360" w:lineRule="auto"/>
        <w:rPr>
          <w:rFonts w:ascii="Arial" w:hAnsi="Arial" w:cs="Arial"/>
        </w:rPr>
      </w:pPr>
      <w:r w:rsidRPr="005625C5">
        <w:rPr>
          <w:rFonts w:ascii="Arial" w:hAnsi="Arial" w:cs="Arial"/>
        </w:rPr>
        <w:t>Teamwork and person-centred planning are essential for success.</w:t>
      </w:r>
    </w:p>
    <w:p w14:paraId="37BB4FB6" w14:textId="77777777" w:rsidR="0093242E" w:rsidRPr="005625C5" w:rsidRDefault="0093242E" w:rsidP="007E2FCE">
      <w:pPr>
        <w:pStyle w:val="NoSpacing"/>
        <w:spacing w:line="360" w:lineRule="auto"/>
        <w:rPr>
          <w:rFonts w:ascii="Arial" w:hAnsi="Arial" w:cs="Arial"/>
        </w:rPr>
      </w:pPr>
    </w:p>
    <w:p w14:paraId="6630BBCD" w14:textId="7A816AD6" w:rsidR="0093242E" w:rsidRPr="005625C5" w:rsidRDefault="00000000" w:rsidP="007E2FCE">
      <w:pPr>
        <w:pStyle w:val="NoSpacing"/>
        <w:spacing w:line="360" w:lineRule="auto"/>
        <w:rPr>
          <w:rFonts w:ascii="Arial" w:hAnsi="Arial" w:cs="Arial"/>
        </w:rPr>
      </w:pPr>
      <w:r w:rsidRPr="005625C5">
        <w:rPr>
          <w:rFonts w:ascii="Arial" w:hAnsi="Arial" w:cs="Arial"/>
        </w:rPr>
        <w:t>Conclusion</w:t>
      </w:r>
    </w:p>
    <w:p w14:paraId="76A18701" w14:textId="77777777" w:rsidR="0093242E" w:rsidRPr="005625C5" w:rsidRDefault="00000000" w:rsidP="007E2FCE">
      <w:pPr>
        <w:pStyle w:val="NoSpacing"/>
        <w:spacing w:line="360" w:lineRule="auto"/>
        <w:rPr>
          <w:rFonts w:ascii="Arial" w:hAnsi="Arial" w:cs="Arial"/>
        </w:rPr>
      </w:pPr>
      <w:r w:rsidRPr="005625C5">
        <w:rPr>
          <w:rFonts w:ascii="Arial" w:hAnsi="Arial" w:cs="Arial"/>
        </w:rPr>
        <w:t xml:space="preserve">Erikson’s psychosocial theory provides a clear framework for promoting psychological wellbeing in residential care. </w:t>
      </w:r>
    </w:p>
    <w:p w14:paraId="2DC521E8" w14:textId="77777777" w:rsidR="0093242E" w:rsidRPr="005625C5" w:rsidRDefault="00000000" w:rsidP="007E2FCE">
      <w:pPr>
        <w:pStyle w:val="NoSpacing"/>
        <w:spacing w:line="360" w:lineRule="auto"/>
        <w:rPr>
          <w:rFonts w:ascii="Arial" w:hAnsi="Arial" w:cs="Arial"/>
        </w:rPr>
      </w:pPr>
      <w:r w:rsidRPr="005625C5">
        <w:rPr>
          <w:rFonts w:ascii="Arial" w:hAnsi="Arial" w:cs="Arial"/>
        </w:rPr>
        <w:lastRenderedPageBreak/>
        <w:t xml:space="preserve">By supporting life reflection, dignity and identity, professionals can help residents achieve ego integrity rather than despair. </w:t>
      </w:r>
    </w:p>
    <w:p w14:paraId="1B82D4FD" w14:textId="7D235AFC" w:rsidR="0093242E" w:rsidRPr="005625C5" w:rsidRDefault="00000000" w:rsidP="007E2FCE">
      <w:pPr>
        <w:pStyle w:val="NoSpacing"/>
        <w:spacing w:line="360" w:lineRule="auto"/>
        <w:rPr>
          <w:rFonts w:ascii="Arial" w:hAnsi="Arial" w:cs="Arial"/>
        </w:rPr>
      </w:pPr>
      <w:r w:rsidRPr="005625C5">
        <w:rPr>
          <w:rFonts w:ascii="Arial" w:hAnsi="Arial" w:cs="Arial"/>
        </w:rPr>
        <w:t>Although challenges exist, integrating emotional support into daily practice can significantly improve quality of life.</w:t>
      </w:r>
    </w:p>
    <w:p w14:paraId="5D313751" w14:textId="77777777" w:rsidR="0093242E" w:rsidRPr="005625C5" w:rsidRDefault="00000000" w:rsidP="007E2FCE">
      <w:pPr>
        <w:pStyle w:val="NoSpacing"/>
        <w:spacing w:line="360" w:lineRule="auto"/>
        <w:rPr>
          <w:rFonts w:ascii="Arial" w:hAnsi="Arial" w:cs="Arial"/>
        </w:rPr>
      </w:pPr>
      <w:r w:rsidRPr="005625C5">
        <w:rPr>
          <w:rFonts w:ascii="Arial" w:hAnsi="Arial" w:cs="Arial"/>
        </w:rPr>
        <w:t>Finally, applying this theory encourages a more holistic approach to care. Health and social care professionals should not focus only on physical needs such as medication and mobility. Emotional, social and spiritual needs are equally important. By combining person-centred communication, teamwork and family involvement, care homes can create a supportive environment where older adults feel valued and understood.</w:t>
      </w:r>
    </w:p>
    <w:p w14:paraId="4423F558" w14:textId="77777777" w:rsidR="0093242E" w:rsidRPr="005625C5" w:rsidRDefault="00000000" w:rsidP="007E2FCE">
      <w:pPr>
        <w:pStyle w:val="NoSpacing"/>
        <w:spacing w:line="360" w:lineRule="auto"/>
        <w:rPr>
          <w:rFonts w:ascii="Arial" w:hAnsi="Arial" w:cs="Arial"/>
        </w:rPr>
      </w:pPr>
      <w:r w:rsidRPr="005625C5">
        <w:rPr>
          <w:rFonts w:ascii="Arial" w:hAnsi="Arial" w:cs="Arial"/>
        </w:rPr>
        <w:t>In addition, promoting ego integrity can reduce feelings of loneliness, hopelessness and low self-worth. Older adults who feel heard and respected are more likely to engage in activities and social interaction. This shows that psychological support has a direct impact on overall wellbeing and quality of life.</w:t>
      </w:r>
    </w:p>
    <w:p w14:paraId="3287FF6B" w14:textId="77777777" w:rsidR="0093242E" w:rsidRDefault="00000000" w:rsidP="007E2FCE">
      <w:pPr>
        <w:pStyle w:val="NoSpacing"/>
        <w:spacing w:line="360" w:lineRule="auto"/>
        <w:rPr>
          <w:rFonts w:ascii="Arial" w:hAnsi="Arial" w:cs="Arial"/>
        </w:rPr>
      </w:pPr>
      <w:r w:rsidRPr="005625C5">
        <w:rPr>
          <w:rFonts w:ascii="Arial" w:hAnsi="Arial" w:cs="Arial"/>
        </w:rPr>
        <w:t>Overall, Erikson’s theory does not only explain emotional development, but it also provides practical guidance for daily care practice. When professionals understand that older adults are naturally reflecting on their lives, they can respond with empathy and patience. This helps build trust and emotional safety within the care environment.</w:t>
      </w:r>
    </w:p>
    <w:p w14:paraId="54329B77" w14:textId="77777777" w:rsidR="005625C5" w:rsidRPr="005625C5" w:rsidRDefault="005625C5" w:rsidP="007E2FCE">
      <w:pPr>
        <w:pStyle w:val="NoSpacing"/>
        <w:spacing w:line="360" w:lineRule="auto"/>
        <w:rPr>
          <w:rFonts w:ascii="Arial" w:hAnsi="Arial" w:cs="Arial"/>
        </w:rPr>
      </w:pPr>
    </w:p>
    <w:p w14:paraId="36677820" w14:textId="77777777" w:rsidR="005625C5" w:rsidRPr="005625C5" w:rsidRDefault="005625C5" w:rsidP="007E2FCE">
      <w:pPr>
        <w:spacing w:line="360" w:lineRule="auto"/>
        <w:rPr>
          <w:b/>
          <w:bCs/>
          <w:i/>
          <w:iCs/>
          <w:u w:val="single"/>
        </w:rPr>
      </w:pPr>
      <w:r w:rsidRPr="005625C5">
        <w:rPr>
          <w:b/>
          <w:bCs/>
          <w:i/>
          <w:iCs/>
          <w:u w:val="single"/>
        </w:rPr>
        <w:t>Reference List</w:t>
      </w:r>
    </w:p>
    <w:p w14:paraId="5011FF73" w14:textId="77777777" w:rsidR="005625C5" w:rsidRPr="005625C5" w:rsidRDefault="005625C5" w:rsidP="007E2FCE">
      <w:pPr>
        <w:pStyle w:val="NoSpacing"/>
        <w:spacing w:line="360" w:lineRule="auto"/>
        <w:rPr>
          <w:rFonts w:ascii="Arial" w:eastAsiaTheme="majorEastAsia" w:hAnsi="Arial" w:cs="Arial"/>
          <w:color w:val="365F91" w:themeColor="accent1" w:themeShade="BF"/>
        </w:rPr>
      </w:pPr>
    </w:p>
    <w:p w14:paraId="3A7840B0" w14:textId="77777777" w:rsidR="005625C5" w:rsidRPr="005625C5" w:rsidRDefault="005625C5" w:rsidP="007E2FCE">
      <w:pPr>
        <w:pStyle w:val="NoSpacing"/>
        <w:spacing w:line="360" w:lineRule="auto"/>
        <w:rPr>
          <w:rFonts w:ascii="Arial" w:hAnsi="Arial" w:cs="Arial"/>
        </w:rPr>
      </w:pPr>
      <w:r w:rsidRPr="005625C5">
        <w:rPr>
          <w:rFonts w:ascii="Arial" w:hAnsi="Arial" w:cs="Arial"/>
        </w:rPr>
        <w:t xml:space="preserve">Baltes, P.B. and Baltes, M.M. (1990) Successful Aging: Perspectives from Behavioral Sciences. Cambridge: Cambridge University Press. Available at: </w:t>
      </w:r>
      <w:hyperlink r:id="rId8">
        <w:r w:rsidRPr="005625C5">
          <w:rPr>
            <w:rFonts w:ascii="Arial" w:hAnsi="Arial" w:cs="Arial"/>
            <w:color w:val="0000FF"/>
          </w:rPr>
          <w:t>https://doi.org/10.1017/CBO9780511665684</w:t>
        </w:r>
      </w:hyperlink>
    </w:p>
    <w:p w14:paraId="32566A58" w14:textId="77777777" w:rsidR="005625C5" w:rsidRPr="005625C5" w:rsidRDefault="005625C5" w:rsidP="007E2FCE">
      <w:pPr>
        <w:pStyle w:val="NoSpacing"/>
        <w:spacing w:line="360" w:lineRule="auto"/>
        <w:rPr>
          <w:rFonts w:ascii="Arial" w:hAnsi="Arial" w:cs="Arial"/>
        </w:rPr>
      </w:pPr>
      <w:r w:rsidRPr="005625C5">
        <w:rPr>
          <w:rFonts w:ascii="Arial" w:hAnsi="Arial" w:cs="Arial"/>
        </w:rPr>
        <w:t xml:space="preserve">Bowlby, J. (1988) A Secure Base: Parent-Child Attachment and Healthy Human Development. London: Routledge. Available at: </w:t>
      </w:r>
      <w:hyperlink r:id="rId9">
        <w:r w:rsidRPr="005625C5">
          <w:rPr>
            <w:rFonts w:ascii="Arial" w:hAnsi="Arial" w:cs="Arial"/>
            <w:color w:val="0000FF"/>
          </w:rPr>
          <w:t>https://www.routledge.com/A-Secure-Base-Parent-Child-Attachment-and-Healthy-Human-Development/Bowlby/p/book/9780465005437</w:t>
        </w:r>
      </w:hyperlink>
    </w:p>
    <w:p w14:paraId="383A739B" w14:textId="77777777" w:rsidR="005625C5" w:rsidRPr="005625C5" w:rsidRDefault="005625C5" w:rsidP="007E2FCE">
      <w:pPr>
        <w:pStyle w:val="NoSpacing"/>
        <w:spacing w:line="360" w:lineRule="auto"/>
        <w:rPr>
          <w:rFonts w:ascii="Arial" w:hAnsi="Arial" w:cs="Arial"/>
        </w:rPr>
      </w:pPr>
      <w:r w:rsidRPr="005625C5">
        <w:rPr>
          <w:rFonts w:ascii="Arial" w:hAnsi="Arial" w:cs="Arial"/>
        </w:rPr>
        <w:t xml:space="preserve">Cummings, S.M. and Cockerill, R. (2016) ‘Attachment theory and older adults’, Journal of Gerontological Social Work, 59(3), pp. 203–218. Available at: </w:t>
      </w:r>
      <w:hyperlink r:id="rId10">
        <w:r w:rsidRPr="005625C5">
          <w:rPr>
            <w:rFonts w:ascii="Arial" w:hAnsi="Arial" w:cs="Arial"/>
            <w:color w:val="0000FF"/>
          </w:rPr>
          <w:t>https://doi.org/10.1080/01634372.2016.1150873</w:t>
        </w:r>
      </w:hyperlink>
    </w:p>
    <w:p w14:paraId="3571DFA5" w14:textId="77777777" w:rsidR="005625C5" w:rsidRPr="005625C5" w:rsidRDefault="005625C5" w:rsidP="007E2FCE">
      <w:pPr>
        <w:pStyle w:val="NoSpacing"/>
        <w:spacing w:line="360" w:lineRule="auto"/>
        <w:rPr>
          <w:rFonts w:ascii="Arial" w:hAnsi="Arial" w:cs="Arial"/>
        </w:rPr>
      </w:pPr>
      <w:r w:rsidRPr="005625C5">
        <w:rPr>
          <w:rFonts w:ascii="Arial" w:hAnsi="Arial" w:cs="Arial"/>
        </w:rPr>
        <w:t xml:space="preserve">Erikson, E.H. (1963) Childhood and Society. 2nd </w:t>
      </w:r>
      <w:proofErr w:type="spellStart"/>
      <w:proofErr w:type="gramStart"/>
      <w:r w:rsidRPr="005625C5">
        <w:rPr>
          <w:rFonts w:ascii="Arial" w:hAnsi="Arial" w:cs="Arial"/>
        </w:rPr>
        <w:t>edn</w:t>
      </w:r>
      <w:proofErr w:type="spellEnd"/>
      <w:proofErr w:type="gramEnd"/>
      <w:r w:rsidRPr="005625C5">
        <w:rPr>
          <w:rFonts w:ascii="Arial" w:hAnsi="Arial" w:cs="Arial"/>
        </w:rPr>
        <w:t xml:space="preserve">. New York: W.W. Norton. Available at: </w:t>
      </w:r>
      <w:hyperlink r:id="rId11">
        <w:r w:rsidRPr="005625C5">
          <w:rPr>
            <w:rFonts w:ascii="Arial" w:hAnsi="Arial" w:cs="Arial"/>
            <w:color w:val="0000FF"/>
          </w:rPr>
          <w:t>https://www.norton.com/books/Childhood-and-Society</w:t>
        </w:r>
      </w:hyperlink>
    </w:p>
    <w:p w14:paraId="6C9D8AB7" w14:textId="77777777" w:rsidR="005625C5" w:rsidRPr="005625C5" w:rsidRDefault="005625C5" w:rsidP="007E2FCE">
      <w:pPr>
        <w:pStyle w:val="NoSpacing"/>
        <w:spacing w:line="360" w:lineRule="auto"/>
        <w:rPr>
          <w:rFonts w:ascii="Arial" w:hAnsi="Arial" w:cs="Arial"/>
        </w:rPr>
      </w:pPr>
      <w:r w:rsidRPr="005625C5">
        <w:rPr>
          <w:rFonts w:ascii="Arial" w:hAnsi="Arial" w:cs="Arial"/>
        </w:rPr>
        <w:lastRenderedPageBreak/>
        <w:t xml:space="preserve">Havighurst, R.J. (1961) ‘Successful aging’, The Gerontologist, 1(1), pp. 8–13. Available at: </w:t>
      </w:r>
      <w:hyperlink r:id="rId12">
        <w:r w:rsidRPr="005625C5">
          <w:rPr>
            <w:rFonts w:ascii="Arial" w:hAnsi="Arial" w:cs="Arial"/>
            <w:color w:val="0000FF"/>
          </w:rPr>
          <w:t>https://doi.org/10.1093/geront/1.1.8</w:t>
        </w:r>
      </w:hyperlink>
    </w:p>
    <w:p w14:paraId="72DF7D26" w14:textId="77777777" w:rsidR="005625C5" w:rsidRPr="005625C5" w:rsidRDefault="005625C5" w:rsidP="007E2FCE">
      <w:pPr>
        <w:pStyle w:val="NoSpacing"/>
        <w:spacing w:line="360" w:lineRule="auto"/>
        <w:rPr>
          <w:rFonts w:ascii="Arial" w:hAnsi="Arial" w:cs="Arial"/>
        </w:rPr>
      </w:pPr>
      <w:r w:rsidRPr="005625C5">
        <w:rPr>
          <w:rFonts w:ascii="Arial" w:hAnsi="Arial" w:cs="Arial"/>
        </w:rPr>
        <w:t xml:space="preserve">Seligman, M.E.P. (2011) Flourish: A Visionary New Understanding of Happiness and Wellbeing. New York: Free Press. Available at: </w:t>
      </w:r>
      <w:hyperlink r:id="rId13">
        <w:r w:rsidRPr="005625C5">
          <w:rPr>
            <w:rFonts w:ascii="Arial" w:hAnsi="Arial" w:cs="Arial"/>
            <w:color w:val="0000FF"/>
          </w:rPr>
          <w:t>https://www.simonandschuster.com/books/Flourish/Martin-E-P-Seligman/9781439190760</w:t>
        </w:r>
      </w:hyperlink>
    </w:p>
    <w:p w14:paraId="02D0FF96" w14:textId="77777777" w:rsidR="005625C5" w:rsidRPr="005625C5" w:rsidRDefault="005625C5" w:rsidP="007E2FCE">
      <w:pPr>
        <w:pStyle w:val="NoSpacing"/>
        <w:spacing w:line="360" w:lineRule="auto"/>
        <w:rPr>
          <w:rFonts w:ascii="Arial" w:hAnsi="Arial" w:cs="Arial"/>
        </w:rPr>
      </w:pPr>
      <w:r w:rsidRPr="005625C5">
        <w:rPr>
          <w:rFonts w:ascii="Arial" w:hAnsi="Arial" w:cs="Arial"/>
        </w:rPr>
        <w:t xml:space="preserve">Snyder, C.R. and Lopez, S.J. (2009) Oxford Handbook of Positive Psychology. Oxford: Oxford University Press. Available at: </w:t>
      </w:r>
      <w:hyperlink r:id="rId14">
        <w:r w:rsidRPr="005625C5">
          <w:rPr>
            <w:rFonts w:ascii="Arial" w:hAnsi="Arial" w:cs="Arial"/>
            <w:color w:val="0000FF"/>
          </w:rPr>
          <w:t>https://doi.org/10.1093/oxfordhb/9780195187243.001.0001</w:t>
        </w:r>
      </w:hyperlink>
    </w:p>
    <w:p w14:paraId="26E9DCCF" w14:textId="77777777" w:rsidR="005625C5" w:rsidRPr="005625C5" w:rsidRDefault="005625C5" w:rsidP="007E2FCE">
      <w:pPr>
        <w:pStyle w:val="NoSpacing"/>
        <w:spacing w:line="360" w:lineRule="auto"/>
        <w:rPr>
          <w:rFonts w:ascii="Arial" w:hAnsi="Arial" w:cs="Arial"/>
        </w:rPr>
      </w:pPr>
      <w:r w:rsidRPr="005625C5">
        <w:rPr>
          <w:rFonts w:ascii="Arial" w:hAnsi="Arial" w:cs="Arial"/>
        </w:rPr>
        <w:t xml:space="preserve">World Health Organization (2015) World report on ageing and health. Geneva: WHO. Available at: </w:t>
      </w:r>
      <w:hyperlink r:id="rId15">
        <w:r w:rsidRPr="005625C5">
          <w:rPr>
            <w:rFonts w:ascii="Arial" w:hAnsi="Arial" w:cs="Arial"/>
            <w:color w:val="0000FF"/>
          </w:rPr>
          <w:t>https://www.who.int/publications/i/item/9789241565042</w:t>
        </w:r>
      </w:hyperlink>
    </w:p>
    <w:p w14:paraId="497D2CCE" w14:textId="77777777" w:rsidR="0093242E" w:rsidRPr="006A15F6" w:rsidRDefault="0093242E" w:rsidP="007E2FCE">
      <w:pPr>
        <w:spacing w:line="360" w:lineRule="auto"/>
        <w:rPr>
          <w:rFonts w:cs="Arial"/>
        </w:rPr>
      </w:pPr>
    </w:p>
    <w:sectPr w:rsidR="0093242E" w:rsidRPr="006A15F6" w:rsidSect="00034616">
      <w:footerReference w:type="default" r:id="rId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8AE05" w14:textId="77777777" w:rsidR="00986A1E" w:rsidRDefault="00986A1E">
      <w:pPr>
        <w:spacing w:after="0" w:line="240" w:lineRule="auto"/>
      </w:pPr>
      <w:r>
        <w:separator/>
      </w:r>
    </w:p>
  </w:endnote>
  <w:endnote w:type="continuationSeparator" w:id="0">
    <w:p w14:paraId="3CEB18F3" w14:textId="77777777" w:rsidR="00986A1E" w:rsidRDefault="00986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5A4BE" w14:textId="77777777" w:rsidR="0093242E" w:rsidRDefault="00000000">
    <w:pPr>
      <w:pStyle w:val="Footer"/>
      <w:jc w:val="center"/>
    </w:pPr>
    <w:r>
      <w:fldChar w:fldCharType="begin"/>
    </w:r>
    <w:r>
      <w:instrText>PAGE</w:instrText>
    </w:r>
    <w:r>
      <w:fldChar w:fldCharType="separate"/>
    </w:r>
    <w:r w:rsidR="0095204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3A051" w14:textId="77777777" w:rsidR="00986A1E" w:rsidRDefault="00986A1E">
      <w:pPr>
        <w:spacing w:after="0" w:line="240" w:lineRule="auto"/>
      </w:pPr>
      <w:r>
        <w:separator/>
      </w:r>
    </w:p>
  </w:footnote>
  <w:footnote w:type="continuationSeparator" w:id="0">
    <w:p w14:paraId="5F30F84A" w14:textId="77777777" w:rsidR="00986A1E" w:rsidRDefault="00986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D4265D"/>
    <w:multiLevelType w:val="hybridMultilevel"/>
    <w:tmpl w:val="D3F266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2FD11CAC"/>
    <w:multiLevelType w:val="hybridMultilevel"/>
    <w:tmpl w:val="9F76EFA0"/>
    <w:lvl w:ilvl="0" w:tplc="2000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34B118C6"/>
    <w:multiLevelType w:val="hybridMultilevel"/>
    <w:tmpl w:val="084C85A4"/>
    <w:lvl w:ilvl="0" w:tplc="2000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62D7186"/>
    <w:multiLevelType w:val="hybridMultilevel"/>
    <w:tmpl w:val="E632CB1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74925D84"/>
    <w:multiLevelType w:val="hybridMultilevel"/>
    <w:tmpl w:val="52867266"/>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77631300">
    <w:abstractNumId w:val="8"/>
  </w:num>
  <w:num w:numId="2" w16cid:durableId="820345619">
    <w:abstractNumId w:val="6"/>
  </w:num>
  <w:num w:numId="3" w16cid:durableId="2105880131">
    <w:abstractNumId w:val="5"/>
  </w:num>
  <w:num w:numId="4" w16cid:durableId="973172103">
    <w:abstractNumId w:val="4"/>
  </w:num>
  <w:num w:numId="5" w16cid:durableId="1179004934">
    <w:abstractNumId w:val="7"/>
  </w:num>
  <w:num w:numId="6" w16cid:durableId="430198457">
    <w:abstractNumId w:val="3"/>
  </w:num>
  <w:num w:numId="7" w16cid:durableId="2109233192">
    <w:abstractNumId w:val="2"/>
  </w:num>
  <w:num w:numId="8" w16cid:durableId="304815177">
    <w:abstractNumId w:val="1"/>
  </w:num>
  <w:num w:numId="9" w16cid:durableId="1365057034">
    <w:abstractNumId w:val="0"/>
  </w:num>
  <w:num w:numId="10" w16cid:durableId="1176771395">
    <w:abstractNumId w:val="9"/>
  </w:num>
  <w:num w:numId="11" w16cid:durableId="484666747">
    <w:abstractNumId w:val="10"/>
  </w:num>
  <w:num w:numId="12" w16cid:durableId="640236550">
    <w:abstractNumId w:val="11"/>
  </w:num>
  <w:num w:numId="13" w16cid:durableId="1916891638">
    <w:abstractNumId w:val="12"/>
  </w:num>
  <w:num w:numId="14" w16cid:durableId="13083157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C1887"/>
    <w:rsid w:val="001D2591"/>
    <w:rsid w:val="00222E0F"/>
    <w:rsid w:val="0029639D"/>
    <w:rsid w:val="00326F90"/>
    <w:rsid w:val="005625C5"/>
    <w:rsid w:val="006A15F6"/>
    <w:rsid w:val="00726497"/>
    <w:rsid w:val="00762A4C"/>
    <w:rsid w:val="007E2FCE"/>
    <w:rsid w:val="0093242E"/>
    <w:rsid w:val="0095204F"/>
    <w:rsid w:val="00953BA2"/>
    <w:rsid w:val="00986A1E"/>
    <w:rsid w:val="009A70F0"/>
    <w:rsid w:val="009E2C86"/>
    <w:rsid w:val="009F0B4A"/>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B6B876"/>
  <w14:defaultImageDpi w14:val="300"/>
  <w15:docId w15:val="{B109530F-2113-4F16-8547-2EA75DBEF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762A4C"/>
    <w:pPr>
      <w:spacing w:before="100" w:beforeAutospacing="1" w:after="100" w:afterAutospacing="1" w:line="240" w:lineRule="auto"/>
    </w:pPr>
    <w:rPr>
      <w:rFonts w:ascii="Times New Roman" w:eastAsia="Times New Roman" w:hAnsi="Times New Roman" w:cs="Times New Roman"/>
      <w:sz w:val="24"/>
      <w:szCs w:val="24"/>
      <w:lang w:val="en-PK" w:eastAsia="en-PK"/>
    </w:rPr>
  </w:style>
  <w:style w:type="character" w:styleId="Hyperlink">
    <w:name w:val="Hyperlink"/>
    <w:basedOn w:val="DefaultParagraphFont"/>
    <w:uiPriority w:val="99"/>
    <w:semiHidden/>
    <w:unhideWhenUsed/>
    <w:rsid w:val="00762A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CBO9780511665684" TargetMode="External"/><Relationship Id="rId13" Type="http://schemas.openxmlformats.org/officeDocument/2006/relationships/hyperlink" Target="https://www.simonandschuster.com/books/Flourish/Martin-E-P-Seligman/978143919076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93/geront/1.1.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rton.com/books/Childhood-and-Society" TargetMode="External"/><Relationship Id="rId5" Type="http://schemas.openxmlformats.org/officeDocument/2006/relationships/webSettings" Target="webSettings.xml"/><Relationship Id="rId15" Type="http://schemas.openxmlformats.org/officeDocument/2006/relationships/hyperlink" Target="https://www.who.int/publications/i/item/9789241565042" TargetMode="External"/><Relationship Id="rId10" Type="http://schemas.openxmlformats.org/officeDocument/2006/relationships/hyperlink" Target="https://doi.org/10.1080/01634372.2016.1150873" TargetMode="External"/><Relationship Id="rId4" Type="http://schemas.openxmlformats.org/officeDocument/2006/relationships/settings" Target="settings.xml"/><Relationship Id="rId9" Type="http://schemas.openxmlformats.org/officeDocument/2006/relationships/hyperlink" Target="https://www.routledge.com/A-Secure-Base-Parent-Child-Attachment-and-Healthy-Human-Development/Bowlby/p/book/9780465005437" TargetMode="External"/><Relationship Id="rId14" Type="http://schemas.openxmlformats.org/officeDocument/2006/relationships/hyperlink" Target="https://doi.org/10.1093/oxfordhb/9780195187243.001.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1708</Words>
  <Characters>9736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11422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Fizza Rizwan</cp:lastModifiedBy>
  <cp:revision>2</cp:revision>
  <dcterms:created xsi:type="dcterms:W3CDTF">2026-03-10T23:10:00Z</dcterms:created>
  <dcterms:modified xsi:type="dcterms:W3CDTF">2026-03-10T23:10:00Z</dcterms:modified>
  <cp:category/>
</cp:coreProperties>
</file>