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21532" w14:textId="77777777" w:rsidR="00917C71" w:rsidRDefault="00000000">
      <w:pPr>
        <w:spacing w:line="360" w:lineRule="auto"/>
      </w:pPr>
      <w:r>
        <w:rPr>
          <w:noProof/>
        </w:rPr>
        <w:drawing>
          <wp:inline distT="0" distB="0" distL="0" distR="0" wp14:anchorId="3A8EB0E8" wp14:editId="0F2577F2">
            <wp:extent cx="3343275" cy="1343025"/>
            <wp:effectExtent l="0" t="0" r="0" b="0"/>
            <wp:docPr id="1073741825" name="officeArt object" descr="UWTSD logo | Discover Dylan Thomas"/>
            <wp:cNvGraphicFramePr/>
            <a:graphic xmlns:a="http://schemas.openxmlformats.org/drawingml/2006/main">
              <a:graphicData uri="http://schemas.openxmlformats.org/drawingml/2006/picture">
                <pic:pic xmlns:pic="http://schemas.openxmlformats.org/drawingml/2006/picture">
                  <pic:nvPicPr>
                    <pic:cNvPr id="1073741825" name="UWTSD logo | Discover Dylan Thomas" descr="UWTSD logo | Discover Dylan Thomas"/>
                    <pic:cNvPicPr>
                      <a:picLocks noChangeAspect="1"/>
                    </pic:cNvPicPr>
                  </pic:nvPicPr>
                  <pic:blipFill>
                    <a:blip r:embed="rId6"/>
                    <a:stretch>
                      <a:fillRect/>
                    </a:stretch>
                  </pic:blipFill>
                  <pic:spPr>
                    <a:xfrm>
                      <a:off x="0" y="0"/>
                      <a:ext cx="3343275" cy="1343025"/>
                    </a:xfrm>
                    <a:prstGeom prst="rect">
                      <a:avLst/>
                    </a:prstGeom>
                    <a:ln w="12700" cap="flat">
                      <a:noFill/>
                      <a:miter lim="400000"/>
                    </a:ln>
                    <a:effectLst/>
                  </pic:spPr>
                </pic:pic>
              </a:graphicData>
            </a:graphic>
          </wp:inline>
        </w:drawing>
      </w:r>
    </w:p>
    <w:p w14:paraId="29C3E5C0" w14:textId="77777777" w:rsidR="00917C71" w:rsidRDefault="00917C71">
      <w:pPr>
        <w:spacing w:line="360" w:lineRule="auto"/>
        <w:rPr>
          <w:rFonts w:ascii="Segoe UI" w:eastAsia="Segoe UI" w:hAnsi="Segoe UI" w:cs="Segoe UI"/>
          <w:b/>
          <w:bCs/>
          <w:color w:val="1D2125"/>
          <w:u w:color="1D2125"/>
        </w:rPr>
      </w:pPr>
    </w:p>
    <w:p w14:paraId="5B51AE45" w14:textId="77777777" w:rsidR="00917C71" w:rsidRDefault="00917C71">
      <w:pPr>
        <w:spacing w:line="360" w:lineRule="auto"/>
        <w:rPr>
          <w:rFonts w:ascii="Arial" w:hAnsi="Arial"/>
          <w:b/>
          <w:bCs/>
          <w:color w:val="1D2125"/>
          <w:sz w:val="36"/>
          <w:szCs w:val="36"/>
          <w:u w:color="1D2125"/>
        </w:rPr>
      </w:pPr>
    </w:p>
    <w:p w14:paraId="67977DC2" w14:textId="77777777" w:rsidR="00917C71" w:rsidRDefault="00000000">
      <w:pPr>
        <w:spacing w:line="360" w:lineRule="auto"/>
        <w:jc w:val="center"/>
        <w:rPr>
          <w:rFonts w:ascii="Arial" w:eastAsia="Arial" w:hAnsi="Arial" w:cs="Arial"/>
          <w:b/>
          <w:bCs/>
          <w:color w:val="1D2125"/>
          <w:sz w:val="36"/>
          <w:szCs w:val="36"/>
          <w:u w:color="1D2125"/>
        </w:rPr>
      </w:pPr>
      <w:r>
        <w:rPr>
          <w:rFonts w:ascii="Segoe UI" w:eastAsia="Segoe UI" w:hAnsi="Segoe UI" w:cs="Segoe UI"/>
          <w:b/>
          <w:bCs/>
          <w:color w:val="1D2125"/>
          <w:sz w:val="36"/>
          <w:szCs w:val="36"/>
          <w:u w:color="1D2125"/>
          <w:shd w:val="clear" w:color="auto" w:fill="FFFFFF"/>
        </w:rPr>
        <w:t>Changemakers: Creativity and Value Creation</w:t>
      </w:r>
    </w:p>
    <w:p w14:paraId="39C05C82" w14:textId="77777777" w:rsidR="00917C71" w:rsidRDefault="00000000">
      <w:pPr>
        <w:spacing w:line="360" w:lineRule="auto"/>
        <w:jc w:val="center"/>
        <w:rPr>
          <w:rFonts w:ascii="Arial" w:eastAsia="Arial" w:hAnsi="Arial" w:cs="Arial"/>
          <w:b/>
          <w:bCs/>
          <w:color w:val="1D2125"/>
          <w:sz w:val="36"/>
          <w:szCs w:val="36"/>
          <w:u w:color="1D2125"/>
        </w:rPr>
      </w:pPr>
      <w:r>
        <w:rPr>
          <w:rFonts w:ascii="Arial" w:hAnsi="Arial"/>
          <w:b/>
          <w:bCs/>
          <w:color w:val="1D2125"/>
          <w:sz w:val="36"/>
          <w:szCs w:val="36"/>
          <w:u w:color="1D2125"/>
        </w:rPr>
        <w:t>Professions (BMHP5014)</w:t>
      </w:r>
    </w:p>
    <w:p w14:paraId="23A9C9AF" w14:textId="77777777" w:rsidR="00917C71" w:rsidRDefault="00917C71">
      <w:pPr>
        <w:spacing w:line="360" w:lineRule="auto"/>
        <w:jc w:val="center"/>
        <w:rPr>
          <w:rFonts w:ascii="Arial" w:eastAsia="Arial" w:hAnsi="Arial" w:cs="Arial"/>
          <w:b/>
          <w:bCs/>
          <w:color w:val="1D2125"/>
          <w:sz w:val="36"/>
          <w:szCs w:val="36"/>
          <w:u w:color="1D2125"/>
        </w:rPr>
      </w:pPr>
    </w:p>
    <w:p w14:paraId="43AB0BFA" w14:textId="77777777" w:rsidR="00917C71" w:rsidRDefault="00917C71">
      <w:pPr>
        <w:spacing w:line="360" w:lineRule="auto"/>
        <w:jc w:val="center"/>
        <w:rPr>
          <w:rFonts w:ascii="Arial" w:eastAsia="Arial" w:hAnsi="Arial" w:cs="Arial"/>
          <w:b/>
          <w:bCs/>
          <w:color w:val="1D2125"/>
          <w:sz w:val="36"/>
          <w:szCs w:val="36"/>
          <w:u w:color="1D2125"/>
        </w:rPr>
      </w:pPr>
    </w:p>
    <w:p w14:paraId="13F741A7" w14:textId="77777777" w:rsidR="00917C71" w:rsidRDefault="00000000">
      <w:pPr>
        <w:spacing w:line="360" w:lineRule="auto"/>
        <w:rPr>
          <w:rFonts w:ascii="Arial" w:eastAsia="Arial" w:hAnsi="Arial" w:cs="Arial"/>
          <w:color w:val="1D2125"/>
          <w:sz w:val="32"/>
          <w:szCs w:val="32"/>
          <w:u w:color="1D2125"/>
        </w:rPr>
      </w:pPr>
      <w:r>
        <w:rPr>
          <w:rFonts w:ascii="Arial" w:hAnsi="Arial"/>
          <w:b/>
          <w:bCs/>
          <w:sz w:val="32"/>
          <w:szCs w:val="32"/>
        </w:rPr>
        <w:t>Component 1:</w:t>
      </w:r>
      <w:r>
        <w:t xml:space="preserve"> </w:t>
      </w:r>
      <w:r>
        <w:rPr>
          <w:rFonts w:ascii="Arial" w:hAnsi="Arial"/>
          <w:b/>
          <w:bCs/>
          <w:sz w:val="32"/>
          <w:szCs w:val="32"/>
        </w:rPr>
        <w:t>Online portfolio of set exercises</w:t>
      </w:r>
    </w:p>
    <w:p w14:paraId="0F9E5041" w14:textId="77777777" w:rsidR="00917C71" w:rsidRDefault="00917C71">
      <w:pPr>
        <w:spacing w:line="360" w:lineRule="auto"/>
        <w:rPr>
          <w:rFonts w:ascii="Arial" w:eastAsia="Arial" w:hAnsi="Arial" w:cs="Arial"/>
          <w:b/>
          <w:bCs/>
          <w:color w:val="1D2125"/>
          <w:sz w:val="32"/>
          <w:szCs w:val="32"/>
          <w:u w:color="1D2125"/>
        </w:rPr>
      </w:pPr>
    </w:p>
    <w:p w14:paraId="47798403" w14:textId="20E7855A" w:rsidR="00917C71" w:rsidRDefault="00000000">
      <w:pPr>
        <w:spacing w:line="360" w:lineRule="auto"/>
        <w:rPr>
          <w:rFonts w:ascii="Arial" w:eastAsia="Arial" w:hAnsi="Arial" w:cs="Arial"/>
          <w:b/>
          <w:bCs/>
          <w:color w:val="1D2125"/>
          <w:sz w:val="32"/>
          <w:szCs w:val="32"/>
          <w:u w:color="1D2125"/>
        </w:rPr>
      </w:pPr>
      <w:r>
        <w:rPr>
          <w:rFonts w:ascii="Arial" w:hAnsi="Arial"/>
          <w:b/>
          <w:bCs/>
          <w:color w:val="1D2125"/>
          <w:sz w:val="32"/>
          <w:szCs w:val="32"/>
          <w:u w:color="1D2125"/>
        </w:rPr>
        <w:t>Student name:</w:t>
      </w:r>
      <w:r w:rsidR="0009157B">
        <w:rPr>
          <w:rFonts w:ascii="Arial" w:hAnsi="Arial"/>
          <w:b/>
          <w:bCs/>
          <w:color w:val="1D2125"/>
          <w:sz w:val="32"/>
          <w:szCs w:val="32"/>
          <w:u w:color="1D2125"/>
        </w:rPr>
        <w:t xml:space="preserve"> Salma Begum Lipi</w:t>
      </w:r>
    </w:p>
    <w:p w14:paraId="1BCA3BFC" w14:textId="2497959C" w:rsidR="00917C71" w:rsidRDefault="00000000">
      <w:pPr>
        <w:spacing w:line="360" w:lineRule="auto"/>
        <w:rPr>
          <w:rFonts w:ascii="Arial" w:eastAsia="Arial" w:hAnsi="Arial" w:cs="Arial"/>
          <w:b/>
          <w:bCs/>
          <w:color w:val="1D2125"/>
          <w:sz w:val="32"/>
          <w:szCs w:val="32"/>
          <w:u w:color="1D2125"/>
        </w:rPr>
      </w:pPr>
      <w:r>
        <w:rPr>
          <w:rFonts w:ascii="Arial" w:hAnsi="Arial"/>
          <w:b/>
          <w:bCs/>
          <w:color w:val="1D2125"/>
          <w:sz w:val="32"/>
          <w:szCs w:val="32"/>
          <w:u w:color="1D2125"/>
        </w:rPr>
        <w:t>Student number:</w:t>
      </w:r>
      <w:r w:rsidR="0009157B">
        <w:rPr>
          <w:rFonts w:ascii="Arial" w:hAnsi="Arial"/>
          <w:b/>
          <w:bCs/>
          <w:color w:val="1D2125"/>
          <w:sz w:val="32"/>
          <w:szCs w:val="32"/>
          <w:u w:color="1D2125"/>
        </w:rPr>
        <w:t>2328718</w:t>
      </w:r>
    </w:p>
    <w:p w14:paraId="386C04AB" w14:textId="25548F67" w:rsidR="00917C71" w:rsidRDefault="00000000">
      <w:pPr>
        <w:spacing w:line="360" w:lineRule="auto"/>
        <w:rPr>
          <w:rFonts w:ascii="Arial" w:eastAsia="Arial" w:hAnsi="Arial" w:cs="Arial"/>
          <w:b/>
          <w:bCs/>
          <w:color w:val="1D2125"/>
          <w:sz w:val="32"/>
          <w:szCs w:val="32"/>
          <w:u w:color="1D2125"/>
        </w:rPr>
      </w:pPr>
      <w:r>
        <w:rPr>
          <w:rFonts w:ascii="Arial" w:hAnsi="Arial"/>
          <w:b/>
          <w:bCs/>
          <w:color w:val="1D2125"/>
          <w:sz w:val="32"/>
          <w:szCs w:val="32"/>
          <w:u w:color="1D2125"/>
        </w:rPr>
        <w:t>Lecturer’s name:</w:t>
      </w:r>
      <w:r w:rsidR="0009157B">
        <w:rPr>
          <w:rFonts w:ascii="Arial" w:hAnsi="Arial"/>
          <w:b/>
          <w:bCs/>
          <w:color w:val="1D2125"/>
          <w:sz w:val="32"/>
          <w:szCs w:val="32"/>
          <w:u w:color="1D2125"/>
        </w:rPr>
        <w:t xml:space="preserve"> </w:t>
      </w:r>
      <w:r w:rsidR="00AF104E">
        <w:rPr>
          <w:rFonts w:ascii="Arial" w:hAnsi="Arial"/>
          <w:b/>
          <w:bCs/>
          <w:color w:val="1D2125"/>
          <w:sz w:val="32"/>
          <w:szCs w:val="32"/>
          <w:u w:color="1D2125"/>
        </w:rPr>
        <w:t>Caroline Salami</w:t>
      </w:r>
    </w:p>
    <w:p w14:paraId="22FBF0F6" w14:textId="77777777" w:rsidR="00917C71" w:rsidRDefault="00917C71">
      <w:pPr>
        <w:spacing w:line="360" w:lineRule="auto"/>
        <w:rPr>
          <w:sz w:val="36"/>
          <w:szCs w:val="36"/>
        </w:rPr>
      </w:pPr>
    </w:p>
    <w:p w14:paraId="3657C2DE" w14:textId="77777777" w:rsidR="00917C71" w:rsidRDefault="00917C71">
      <w:pPr>
        <w:spacing w:line="360" w:lineRule="auto"/>
        <w:rPr>
          <w:rFonts w:ascii="Arial" w:eastAsia="Arial" w:hAnsi="Arial" w:cs="Arial"/>
          <w:sz w:val="36"/>
          <w:szCs w:val="36"/>
        </w:rPr>
      </w:pPr>
    </w:p>
    <w:p w14:paraId="5FDB8CA6" w14:textId="77777777" w:rsidR="00917C71" w:rsidRDefault="00917C71">
      <w:pPr>
        <w:spacing w:line="360" w:lineRule="auto"/>
        <w:rPr>
          <w:rFonts w:ascii="Arial" w:eastAsia="Arial" w:hAnsi="Arial" w:cs="Arial"/>
          <w:sz w:val="36"/>
          <w:szCs w:val="36"/>
        </w:rPr>
      </w:pPr>
    </w:p>
    <w:p w14:paraId="04AF9985" w14:textId="77777777" w:rsidR="00917C71" w:rsidRDefault="00917C71">
      <w:pPr>
        <w:spacing w:line="360" w:lineRule="auto"/>
        <w:rPr>
          <w:rFonts w:ascii="Arial" w:eastAsia="Arial" w:hAnsi="Arial" w:cs="Arial"/>
          <w:sz w:val="36"/>
          <w:szCs w:val="36"/>
        </w:rPr>
      </w:pPr>
    </w:p>
    <w:p w14:paraId="5FA1354B" w14:textId="77777777" w:rsidR="00917C71" w:rsidRDefault="00000000">
      <w:pPr>
        <w:pStyle w:val="NormalWeb"/>
        <w:spacing w:line="360" w:lineRule="auto"/>
        <w:rPr>
          <w:rFonts w:ascii="Arial" w:eastAsia="Arial" w:hAnsi="Arial" w:cs="Arial"/>
          <w:b/>
          <w:bCs/>
          <w:sz w:val="28"/>
          <w:szCs w:val="28"/>
        </w:rPr>
      </w:pPr>
      <w:r>
        <w:rPr>
          <w:rFonts w:ascii="Arial" w:hAnsi="Arial"/>
          <w:b/>
          <w:bCs/>
          <w:sz w:val="28"/>
          <w:szCs w:val="28"/>
        </w:rPr>
        <w:lastRenderedPageBreak/>
        <w:t>Table of contents</w:t>
      </w:r>
    </w:p>
    <w:p w14:paraId="46865E01" w14:textId="2D2EEFDB" w:rsidR="00917C71" w:rsidRDefault="00F54BA5">
      <w:pPr>
        <w:pStyle w:val="NormalWeb"/>
        <w:spacing w:line="360" w:lineRule="auto"/>
        <w:rPr>
          <w:rFonts w:ascii="Arial" w:eastAsia="Arial" w:hAnsi="Arial" w:cs="Arial"/>
          <w:b/>
          <w:bCs/>
        </w:rPr>
      </w:pPr>
      <w:r w:rsidRPr="00F54BA5">
        <w:rPr>
          <w:rFonts w:ascii="Arial" w:eastAsia="Arial" w:hAnsi="Arial" w:cs="Arial"/>
          <w:b/>
          <w:bCs/>
        </w:rPr>
        <w:t>Introduction</w:t>
      </w:r>
      <w:r w:rsidRPr="00F54BA5">
        <w:rPr>
          <w:rFonts w:ascii="Arial" w:eastAsia="Arial" w:hAnsi="Arial" w:cs="Arial"/>
          <w:b/>
          <w:bCs/>
        </w:rPr>
        <w:br/>
        <w:t>Task 1- Defining Key Concepts in Practice</w:t>
      </w:r>
      <w:r w:rsidRPr="00F54BA5">
        <w:rPr>
          <w:rFonts w:ascii="Arial" w:eastAsia="Arial" w:hAnsi="Arial" w:cs="Arial"/>
          <w:b/>
          <w:bCs/>
        </w:rPr>
        <w:br/>
        <w:t>Task 2 - Mind Map</w:t>
      </w:r>
      <w:r w:rsidRPr="00F54BA5">
        <w:rPr>
          <w:rFonts w:ascii="Arial" w:eastAsia="Arial" w:hAnsi="Arial" w:cs="Arial"/>
          <w:b/>
          <w:bCs/>
        </w:rPr>
        <w:br/>
        <w:t>Task 3 - Self-Reflection of Group Activity</w:t>
      </w:r>
      <w:r w:rsidRPr="00F54BA5">
        <w:rPr>
          <w:rFonts w:ascii="Arial" w:eastAsia="Arial" w:hAnsi="Arial" w:cs="Arial"/>
          <w:b/>
          <w:bCs/>
        </w:rPr>
        <w:br/>
        <w:t>Task 4 - Case Study Analysis of a UK Innovation</w:t>
      </w:r>
      <w:r w:rsidRPr="00F54BA5">
        <w:rPr>
          <w:rFonts w:ascii="Arial" w:eastAsia="Arial" w:hAnsi="Arial" w:cs="Arial"/>
          <w:b/>
          <w:bCs/>
        </w:rPr>
        <w:br/>
        <w:t>Task 5 - Research Task</w:t>
      </w:r>
      <w:r w:rsidRPr="00F54BA5">
        <w:rPr>
          <w:rFonts w:ascii="Arial" w:eastAsia="Arial" w:hAnsi="Arial" w:cs="Arial"/>
          <w:b/>
          <w:bCs/>
        </w:rPr>
        <w:br/>
      </w:r>
      <w:proofErr w:type="spellStart"/>
      <w:r w:rsidRPr="00F54BA5">
        <w:rPr>
          <w:rFonts w:ascii="Arial" w:eastAsia="Arial" w:hAnsi="Arial" w:cs="Arial"/>
          <w:b/>
          <w:bCs/>
        </w:rPr>
        <w:t>Task</w:t>
      </w:r>
      <w:proofErr w:type="spellEnd"/>
      <w:r w:rsidRPr="00F54BA5">
        <w:rPr>
          <w:rFonts w:ascii="Arial" w:eastAsia="Arial" w:hAnsi="Arial" w:cs="Arial"/>
          <w:b/>
          <w:bCs/>
        </w:rPr>
        <w:t xml:space="preserve"> 6 - Exploring Digital Innovation in Health and Social Care</w:t>
      </w:r>
      <w:r w:rsidRPr="00F54BA5">
        <w:rPr>
          <w:rFonts w:ascii="Arial" w:eastAsia="Arial" w:hAnsi="Arial" w:cs="Arial"/>
          <w:b/>
          <w:bCs/>
        </w:rPr>
        <w:br/>
        <w:t>Task 7 - Understanding the NHS Leadership Framework</w:t>
      </w:r>
      <w:r w:rsidRPr="00F54BA5">
        <w:rPr>
          <w:rFonts w:ascii="Arial" w:eastAsia="Arial" w:hAnsi="Arial" w:cs="Arial"/>
          <w:b/>
          <w:bCs/>
        </w:rPr>
        <w:br/>
        <w:t>Task 8 - Self-Reflection Journal Entry</w:t>
      </w:r>
      <w:r w:rsidRPr="00F54BA5">
        <w:rPr>
          <w:rFonts w:ascii="Arial" w:eastAsia="Arial" w:hAnsi="Arial" w:cs="Arial"/>
          <w:b/>
          <w:bCs/>
        </w:rPr>
        <w:br/>
        <w:t>References</w:t>
      </w:r>
    </w:p>
    <w:p w14:paraId="2BD12B73" w14:textId="77777777" w:rsidR="00917C71" w:rsidRDefault="00917C71">
      <w:pPr>
        <w:pStyle w:val="NormalWeb"/>
        <w:spacing w:line="360" w:lineRule="auto"/>
        <w:rPr>
          <w:rFonts w:ascii="Arial" w:eastAsia="Arial" w:hAnsi="Arial" w:cs="Arial"/>
          <w:b/>
          <w:bCs/>
        </w:rPr>
      </w:pPr>
    </w:p>
    <w:p w14:paraId="127CA183" w14:textId="77777777" w:rsidR="00917C71" w:rsidRDefault="00917C71">
      <w:pPr>
        <w:pStyle w:val="NormalWeb"/>
        <w:spacing w:line="360" w:lineRule="auto"/>
        <w:rPr>
          <w:rFonts w:ascii="Arial" w:eastAsia="Arial" w:hAnsi="Arial" w:cs="Arial"/>
          <w:b/>
          <w:bCs/>
        </w:rPr>
      </w:pPr>
    </w:p>
    <w:p w14:paraId="524CE40C" w14:textId="77777777" w:rsidR="00917C71" w:rsidRDefault="00917C71">
      <w:pPr>
        <w:pStyle w:val="NormalWeb"/>
        <w:spacing w:line="360" w:lineRule="auto"/>
        <w:rPr>
          <w:rFonts w:ascii="Arial" w:eastAsia="Arial" w:hAnsi="Arial" w:cs="Arial"/>
          <w:b/>
          <w:bCs/>
        </w:rPr>
      </w:pPr>
    </w:p>
    <w:p w14:paraId="6AD588CF" w14:textId="77777777" w:rsidR="00917C71" w:rsidRDefault="00917C71">
      <w:pPr>
        <w:pStyle w:val="NormalWeb"/>
        <w:spacing w:line="360" w:lineRule="auto"/>
        <w:rPr>
          <w:rFonts w:ascii="Arial" w:eastAsia="Arial" w:hAnsi="Arial" w:cs="Arial"/>
          <w:b/>
          <w:bCs/>
        </w:rPr>
      </w:pPr>
    </w:p>
    <w:p w14:paraId="1CEE4EFC" w14:textId="77777777" w:rsidR="00917C71" w:rsidRDefault="00917C71">
      <w:pPr>
        <w:pStyle w:val="NormalWeb"/>
        <w:spacing w:line="360" w:lineRule="auto"/>
        <w:rPr>
          <w:rFonts w:ascii="Arial" w:eastAsia="Arial" w:hAnsi="Arial" w:cs="Arial"/>
          <w:b/>
          <w:bCs/>
        </w:rPr>
      </w:pPr>
    </w:p>
    <w:p w14:paraId="7D58CEAB" w14:textId="77777777" w:rsidR="00917C71" w:rsidRDefault="00917C71">
      <w:pPr>
        <w:pStyle w:val="NormalWeb"/>
        <w:spacing w:line="360" w:lineRule="auto"/>
        <w:rPr>
          <w:rFonts w:ascii="Arial" w:eastAsia="Arial" w:hAnsi="Arial" w:cs="Arial"/>
          <w:b/>
          <w:bCs/>
        </w:rPr>
      </w:pPr>
    </w:p>
    <w:p w14:paraId="52FD6E01" w14:textId="77777777" w:rsidR="00917C71" w:rsidRDefault="00917C71">
      <w:pPr>
        <w:pStyle w:val="NormalWeb"/>
        <w:spacing w:line="360" w:lineRule="auto"/>
        <w:rPr>
          <w:rFonts w:ascii="Arial" w:eastAsia="Arial" w:hAnsi="Arial" w:cs="Arial"/>
          <w:b/>
          <w:bCs/>
        </w:rPr>
      </w:pPr>
    </w:p>
    <w:p w14:paraId="5F720E2E" w14:textId="77777777" w:rsidR="00917C71" w:rsidRDefault="00917C71">
      <w:pPr>
        <w:pStyle w:val="NormalWeb"/>
        <w:spacing w:line="360" w:lineRule="auto"/>
        <w:rPr>
          <w:rFonts w:ascii="Arial" w:eastAsia="Arial" w:hAnsi="Arial" w:cs="Arial"/>
          <w:b/>
          <w:bCs/>
        </w:rPr>
      </w:pPr>
    </w:p>
    <w:p w14:paraId="3596D12E" w14:textId="77777777" w:rsidR="00917C71" w:rsidRDefault="00917C71">
      <w:pPr>
        <w:pStyle w:val="NormalWeb"/>
        <w:spacing w:line="360" w:lineRule="auto"/>
        <w:rPr>
          <w:rFonts w:ascii="Arial" w:eastAsia="Arial" w:hAnsi="Arial" w:cs="Arial"/>
          <w:b/>
          <w:bCs/>
        </w:rPr>
      </w:pPr>
    </w:p>
    <w:p w14:paraId="75E39CB6" w14:textId="77777777" w:rsidR="00917C71" w:rsidRDefault="00917C71">
      <w:pPr>
        <w:pStyle w:val="NormalWeb"/>
        <w:spacing w:line="360" w:lineRule="auto"/>
        <w:rPr>
          <w:rFonts w:ascii="Arial" w:eastAsia="Arial" w:hAnsi="Arial" w:cs="Arial"/>
          <w:b/>
          <w:bCs/>
        </w:rPr>
      </w:pPr>
    </w:p>
    <w:p w14:paraId="37FFEB80" w14:textId="77777777" w:rsidR="00917C71" w:rsidRDefault="00917C71">
      <w:pPr>
        <w:pStyle w:val="NormalWeb"/>
        <w:spacing w:line="360" w:lineRule="auto"/>
        <w:rPr>
          <w:rFonts w:ascii="Arial" w:eastAsia="Arial" w:hAnsi="Arial" w:cs="Arial"/>
          <w:b/>
          <w:bCs/>
        </w:rPr>
      </w:pPr>
    </w:p>
    <w:p w14:paraId="6FFA713A" w14:textId="77777777" w:rsidR="00917C71" w:rsidRDefault="00917C71">
      <w:pPr>
        <w:pStyle w:val="NormalWeb"/>
        <w:spacing w:line="360" w:lineRule="auto"/>
        <w:rPr>
          <w:rFonts w:ascii="Arial" w:eastAsia="Arial" w:hAnsi="Arial" w:cs="Arial"/>
          <w:b/>
          <w:bCs/>
        </w:rPr>
      </w:pPr>
    </w:p>
    <w:p w14:paraId="75D6B534" w14:textId="77777777" w:rsidR="00917C71" w:rsidRDefault="00917C71">
      <w:pPr>
        <w:pStyle w:val="NormalWeb"/>
        <w:spacing w:line="360" w:lineRule="auto"/>
        <w:rPr>
          <w:rFonts w:ascii="Arial" w:eastAsia="Arial" w:hAnsi="Arial" w:cs="Arial"/>
          <w:b/>
          <w:bCs/>
        </w:rPr>
      </w:pPr>
    </w:p>
    <w:p w14:paraId="48F284E6" w14:textId="77777777" w:rsidR="00917C71" w:rsidRDefault="00917C71">
      <w:pPr>
        <w:pStyle w:val="NormalWeb"/>
        <w:spacing w:line="360" w:lineRule="auto"/>
        <w:rPr>
          <w:rFonts w:ascii="Arial" w:eastAsia="Arial" w:hAnsi="Arial" w:cs="Arial"/>
          <w:b/>
          <w:bCs/>
        </w:rPr>
      </w:pPr>
    </w:p>
    <w:p w14:paraId="1AE152E2" w14:textId="77777777" w:rsidR="00917C71" w:rsidRDefault="00917C71">
      <w:pPr>
        <w:pStyle w:val="NormalWeb"/>
        <w:spacing w:line="360" w:lineRule="auto"/>
        <w:rPr>
          <w:rFonts w:ascii="Arial" w:eastAsia="Arial" w:hAnsi="Arial" w:cs="Arial"/>
          <w:b/>
          <w:bCs/>
        </w:rPr>
      </w:pPr>
    </w:p>
    <w:p w14:paraId="51356E15" w14:textId="77777777" w:rsidR="00917C71" w:rsidRDefault="00917C71">
      <w:pPr>
        <w:pStyle w:val="NormalWeb"/>
        <w:spacing w:line="360" w:lineRule="auto"/>
        <w:rPr>
          <w:rFonts w:ascii="Arial" w:eastAsia="Arial" w:hAnsi="Arial" w:cs="Arial"/>
          <w:b/>
          <w:bCs/>
        </w:rPr>
      </w:pPr>
    </w:p>
    <w:p w14:paraId="09CD0E7F" w14:textId="77777777" w:rsidR="00917C71" w:rsidRDefault="00917C71">
      <w:pPr>
        <w:pStyle w:val="NormalWeb"/>
        <w:spacing w:line="360" w:lineRule="auto"/>
        <w:rPr>
          <w:rFonts w:ascii="Arial" w:eastAsia="Arial" w:hAnsi="Arial" w:cs="Arial"/>
          <w:b/>
          <w:bCs/>
        </w:rPr>
      </w:pPr>
    </w:p>
    <w:p w14:paraId="1AB1E313" w14:textId="77777777" w:rsidR="00917C71" w:rsidRDefault="00917C71">
      <w:pPr>
        <w:pStyle w:val="NormalWeb"/>
        <w:spacing w:line="360" w:lineRule="auto"/>
        <w:rPr>
          <w:rFonts w:ascii="Arial" w:eastAsia="Arial" w:hAnsi="Arial" w:cs="Arial"/>
          <w:b/>
          <w:bCs/>
        </w:rPr>
      </w:pPr>
    </w:p>
    <w:p w14:paraId="35610793" w14:textId="77777777" w:rsidR="00917C71" w:rsidRDefault="00000000">
      <w:pPr>
        <w:spacing w:line="360" w:lineRule="auto"/>
        <w:rPr>
          <w:rFonts w:ascii="Times New Roman" w:eastAsia="Times New Roman" w:hAnsi="Times New Roman" w:cs="Times New Roman"/>
          <w:sz w:val="28"/>
          <w:szCs w:val="28"/>
        </w:rPr>
      </w:pPr>
      <w:r>
        <w:rPr>
          <w:rFonts w:ascii="Times New Roman" w:hAnsi="Times New Roman"/>
          <w:b/>
          <w:bCs/>
          <w:sz w:val="28"/>
          <w:szCs w:val="28"/>
        </w:rPr>
        <w:lastRenderedPageBreak/>
        <w:t>Introduction </w:t>
      </w:r>
    </w:p>
    <w:p w14:paraId="0F6569E6" w14:textId="77777777" w:rsidR="00616D25" w:rsidRPr="002B3849" w:rsidRDefault="00616D25" w:rsidP="00616D25">
      <w:pPr>
        <w:spacing w:line="360" w:lineRule="auto"/>
        <w:rPr>
          <w:rFonts w:ascii="Arial" w:eastAsia="Times New Roman" w:hAnsi="Arial" w:cs="Arial"/>
          <w:lang w:val="en-GB"/>
        </w:rPr>
      </w:pPr>
      <w:r w:rsidRPr="002B3849">
        <w:rPr>
          <w:rFonts w:ascii="Arial" w:eastAsia="Times New Roman" w:hAnsi="Arial" w:cs="Arial"/>
          <w:lang w:val="en-GB"/>
        </w:rPr>
        <w:t>This portfolio brings together academic research to examine creativity, innovation, and value creation in health and social care. It looks at both theory and practice, showing how these ideas help improve services, tackle challenges, and benefit both service users and professionals.</w:t>
      </w:r>
    </w:p>
    <w:p w14:paraId="6844FAE9" w14:textId="77777777" w:rsidR="00917C71" w:rsidRDefault="00917C71">
      <w:pPr>
        <w:spacing w:line="360" w:lineRule="auto"/>
        <w:rPr>
          <w:rFonts w:ascii="Times New Roman" w:eastAsia="Times New Roman" w:hAnsi="Times New Roman" w:cs="Times New Roman"/>
          <w:i/>
          <w:iCs/>
        </w:rPr>
      </w:pPr>
    </w:p>
    <w:p w14:paraId="395A9FDA" w14:textId="77777777" w:rsidR="00917C71" w:rsidRDefault="00000000">
      <w:pPr>
        <w:spacing w:line="360" w:lineRule="auto"/>
        <w:rPr>
          <w:rFonts w:ascii="Times New Roman" w:eastAsia="Times New Roman" w:hAnsi="Times New Roman" w:cs="Times New Roman"/>
          <w:b/>
          <w:bCs/>
          <w:sz w:val="28"/>
          <w:szCs w:val="28"/>
        </w:rPr>
      </w:pPr>
      <w:r>
        <w:rPr>
          <w:rFonts w:ascii="Times New Roman" w:hAnsi="Times New Roman"/>
          <w:b/>
          <w:bCs/>
          <w:sz w:val="28"/>
          <w:szCs w:val="28"/>
        </w:rPr>
        <w:t>Task 1- Defining Key Concepts in Practice (350 words)</w:t>
      </w:r>
    </w:p>
    <w:p w14:paraId="7077353F" w14:textId="77777777" w:rsidR="00616D25" w:rsidRPr="002B3849" w:rsidRDefault="00616D25" w:rsidP="00616D25">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Innovation means actively coming up with, accepting, and using new ideas, products, or services to create value (Greenhalgh et al., 2019). In health and social care, innovation is important for handling system pressures and meeting changing patient needs. For example, using robotic-assisted surgery is a process innovation that improves surgical precision and reduces patient recovery times (</w:t>
      </w:r>
      <w:proofErr w:type="spellStart"/>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Alemzadeh</w:t>
      </w:r>
      <w:proofErr w:type="spellEnd"/>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2019).</w:t>
      </w:r>
    </w:p>
    <w:p w14:paraId="2842952B" w14:textId="77777777" w:rsidR="00616D25" w:rsidRPr="002B3849" w:rsidRDefault="00616D25" w:rsidP="00616D25">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 is the mental and social process of coming up with new and useful ideas (Amabile, 2020). It is essential in care for developing personalised approaches. For example, using music therapy for dementia patients is a creative, non-drug way to reduce agitation, showing how new ideas can benefit patients (Shanahan et al., 2019).</w:t>
      </w:r>
    </w:p>
    <w:p w14:paraId="1D616006" w14:textId="77777777" w:rsidR="00616D25" w:rsidRPr="002B3849" w:rsidRDefault="00616D25" w:rsidP="00616D25">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healthcare, value creation means improving patient outcomes and experiences compared to the cost of care (</w:t>
      </w:r>
      <w:proofErr w:type="spellStart"/>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Kazantsis</w:t>
      </w:r>
      <w:proofErr w:type="spellEnd"/>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2020). It goes beyond just financial measures and includes the 'Triple Aim'. Telehealth is a good example, as it improves access, makes care more convenient for patients, and uses resources more efficiently (Doraiswamy et al., 2020).</w:t>
      </w:r>
    </w:p>
    <w:p w14:paraId="7F7534AF" w14:textId="1437D950" w:rsidR="002B3849" w:rsidRPr="002B3849" w:rsidRDefault="00616D25"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 represents the transition from a present state to a desired future state, a process inherently triggered by innovation (Hayes, 2022). Successful, sustainable change requires strategic management to overcome resistance. The large-scale organisational change involved in implementing Electronic Health Records (EHRs) illustrates this, fundamentally restructuring information workflows to enhance care </w:t>
      </w: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coordination and safety.</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33721436" wp14:editId="3A7E2400">
            <wp:extent cx="16466820" cy="73533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466820" cy="7353300"/>
                    </a:xfrm>
                    <a:prstGeom prst="rect">
                      <a:avLst/>
                    </a:prstGeom>
                    <a:noFill/>
                    <a:ln>
                      <a:noFill/>
                    </a:ln>
                  </pic:spPr>
                </pic:pic>
              </a:graphicData>
            </a:graphic>
          </wp:inline>
        </w:drawing>
      </w:r>
    </w:p>
    <w:p w14:paraId="3BAD9202" w14:textId="4E732C2A" w:rsidR="00616D25" w:rsidRPr="002B3849" w:rsidRDefault="00616D25" w:rsidP="00616D25">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F3F491" w14:textId="4378194E" w:rsidR="00917C71" w:rsidRPr="002B3849" w:rsidRDefault="00917C71">
      <w:pPr>
        <w:spacing w:line="360" w:lineRule="auto"/>
        <w:rPr>
          <w:rFonts w:ascii="Arial" w:eastAsia="Times New Roman" w:hAnsi="Arial" w:cs="Arial"/>
          <w:color w:val="4C94D8"/>
          <w:u w:color="4C94D8"/>
        </w:rPr>
      </w:pPr>
    </w:p>
    <w:p w14:paraId="2EFA355F" w14:textId="77777777" w:rsidR="00917C71" w:rsidRPr="002B3849" w:rsidRDefault="00917C71">
      <w:pPr>
        <w:spacing w:line="360" w:lineRule="auto"/>
        <w:rPr>
          <w:rFonts w:ascii="Times New Roman" w:eastAsia="Times New Roman" w:hAnsi="Times New Roman" w:cs="Times New Roman"/>
          <w:b/>
          <w:bCs/>
        </w:rPr>
      </w:pPr>
    </w:p>
    <w:p w14:paraId="1AF3011C" w14:textId="1053FFE1" w:rsidR="00917C71" w:rsidRPr="002B3849" w:rsidRDefault="00000000">
      <w:pPr>
        <w:spacing w:line="360" w:lineRule="auto"/>
        <w:rPr>
          <w:rFonts w:ascii="Times New Roman" w:eastAsia="Times New Roman" w:hAnsi="Times New Roman" w:cs="Times New Roman"/>
          <w:b/>
          <w:bCs/>
        </w:rPr>
      </w:pPr>
      <w:r w:rsidRPr="002B3849">
        <w:rPr>
          <w:rFonts w:ascii="Times New Roman" w:hAnsi="Times New Roman"/>
          <w:b/>
          <w:bCs/>
        </w:rPr>
        <w:lastRenderedPageBreak/>
        <w:t>Task 2 - Mind Map (130 words)</w:t>
      </w:r>
    </w:p>
    <w:p w14:paraId="5F47C94B" w14:textId="77777777" w:rsidR="00616D25" w:rsidRPr="002B3849" w:rsidRDefault="00616D25" w:rsidP="00616D25">
      <w:pPr>
        <w:spacing w:line="360" w:lineRule="auto"/>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mind map focuses on 'Solving Problems in Health and Social Care' and breaks this down into four main areas from the literature: Workforce Challenges (like new ways to schedule staff to prevent burnout), Patient Flow (such as using AI to reduce delays), Digital Integration (for example, shared EHRs), and Service User Engagement (like co-design methods). Each area includes creative, evidence-based solutions. For example, under Service User Engagement, there are ideas like 'Participatory Action Research' to involve users in designing services and 'Digital Peer Support Platforms' to support care in the community, showing a shift towards more collaborative innovation (Greenhalgh et al., 2019).</w:t>
      </w:r>
    </w:p>
    <w:p w14:paraId="404A5F4B" w14:textId="77777777" w:rsidR="00616D25" w:rsidRPr="002B3849" w:rsidRDefault="00616D25">
      <w:pPr>
        <w:spacing w:line="360" w:lineRule="auto"/>
        <w:rPr>
          <w:rFonts w:ascii="Times New Roman" w:eastAsia="Times New Roman" w:hAnsi="Times New Roman" w:cs="Times New Roman"/>
          <w:color w:val="0070C0"/>
          <w:u w:color="0070C0"/>
        </w:rPr>
      </w:pPr>
    </w:p>
    <w:p w14:paraId="777E4DA9" w14:textId="77777777" w:rsidR="00917C71" w:rsidRPr="002B3849" w:rsidRDefault="00917C71">
      <w:pPr>
        <w:spacing w:line="360" w:lineRule="auto"/>
        <w:rPr>
          <w:rFonts w:ascii="Times New Roman" w:eastAsia="Times New Roman" w:hAnsi="Times New Roman" w:cs="Times New Roman"/>
          <w:color w:val="0070C0"/>
          <w:u w:color="0070C0"/>
        </w:rPr>
      </w:pPr>
    </w:p>
    <w:p w14:paraId="437638F7" w14:textId="77777777" w:rsidR="00917C71" w:rsidRPr="002B3849" w:rsidRDefault="00917C71">
      <w:pPr>
        <w:spacing w:line="360" w:lineRule="auto"/>
        <w:rPr>
          <w:rFonts w:ascii="Times New Roman" w:eastAsia="Times New Roman" w:hAnsi="Times New Roman" w:cs="Times New Roman"/>
          <w:color w:val="0070C0"/>
          <w:u w:color="0070C0"/>
        </w:rPr>
      </w:pPr>
    </w:p>
    <w:p w14:paraId="29743D37" w14:textId="77777777" w:rsidR="00917C71" w:rsidRPr="002B3849" w:rsidRDefault="00000000">
      <w:pPr>
        <w:spacing w:after="100" w:line="360" w:lineRule="auto"/>
        <w:rPr>
          <w:rFonts w:ascii="Times New Roman" w:eastAsia="Times New Roman" w:hAnsi="Times New Roman" w:cs="Times New Roman"/>
          <w:b/>
          <w:bCs/>
          <w:color w:val="1D2125"/>
          <w:kern w:val="0"/>
          <w:u w:color="1D2125"/>
        </w:rPr>
      </w:pPr>
      <w:r w:rsidRPr="002B3849">
        <w:rPr>
          <w:rFonts w:ascii="Times New Roman" w:hAnsi="Times New Roman"/>
          <w:b/>
          <w:bCs/>
          <w:color w:val="1D2125"/>
          <w:kern w:val="0"/>
          <w:u w:color="1D2125"/>
        </w:rPr>
        <w:t>Task 3 - Self-Reflection of Group Activity (200 words).</w:t>
      </w:r>
    </w:p>
    <w:p w14:paraId="13A933E8" w14:textId="77777777" w:rsidR="00616D25" w:rsidRPr="002B3849" w:rsidRDefault="00616D25" w:rsidP="00616D25">
      <w:pPr>
        <w:spacing w:line="360" w:lineRule="auto"/>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Gibbs' Reflective Cycle, this reflection looks at a group activity about why patients miss appointments.</w:t>
      </w:r>
    </w:p>
    <w:p w14:paraId="5D38F743" w14:textId="77777777" w:rsidR="00616D25" w:rsidRPr="002B3849" w:rsidRDefault="00616D25" w:rsidP="00616D25">
      <w:pPr>
        <w:spacing w:line="360" w:lineRule="auto"/>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 &amp; Feelings: The task required generating solutions. The initial divergent thinking phase involved brainstorming ideas like mobile health clinics. I felt hesitant, naturally gravitating towards evaluation. Subsequently, convergent thinking was used to select feasible options based on set criteria, a stage where I felt more competent.</w:t>
      </w:r>
    </w:p>
    <w:p w14:paraId="6D72B714" w14:textId="77777777" w:rsidR="00616D25" w:rsidRPr="002B3849" w:rsidRDefault="00616D25" w:rsidP="00616D25">
      <w:pPr>
        <w:spacing w:line="360" w:lineRule="auto"/>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 &amp; Analysis: The group successfully generated a wide range of ideas before critically evaluating them. I recognised my tendency to converge prematurely, which can inadvertently stifle the ideation process. Academic literature emphasises that divergent and convergent thinking are distinct cognitive processes; suspending judgement during the former is critical for fostering originality (Runco, 2020). My instinct to analyse, while valuable later, was initially misapplied. The activity highlighted that effective teamwork in innovation requires role awareness, with some members championing idea generation and others critical appraisal.</w:t>
      </w:r>
    </w:p>
    <w:p w14:paraId="64E67020" w14:textId="77777777" w:rsidR="00616D25" w:rsidRPr="002B3849" w:rsidRDefault="00616D25" w:rsidP="00616D25">
      <w:pPr>
        <w:spacing w:line="360" w:lineRule="auto"/>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 &amp; Action: I learned that I am good at judging ideas, but I need to get better at coming up with new ones without judging too soon. In the future, I will practice brainstorming and hold back on judging ideas, so I can contribute more to creative problem-solving in teams.</w:t>
      </w:r>
    </w:p>
    <w:p w14:paraId="6B5D2684" w14:textId="3ED434B0" w:rsidR="00917C71" w:rsidRPr="002B3849" w:rsidRDefault="00917C71">
      <w:pPr>
        <w:spacing w:line="360" w:lineRule="auto"/>
        <w:rPr>
          <w:rFonts w:ascii="Times New Roman" w:eastAsia="Times New Roman" w:hAnsi="Times New Roman" w:cs="Times New Roman"/>
          <w:color w:val="000000" w:themeColor="text1"/>
          <w:u w:color="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9B975A" w14:textId="77777777" w:rsidR="00917C71" w:rsidRPr="002B3849" w:rsidRDefault="00917C71">
      <w:pPr>
        <w:spacing w:line="360" w:lineRule="auto"/>
        <w:rPr>
          <w:rFonts w:ascii="Times New Roman" w:eastAsia="Times New Roman" w:hAnsi="Times New Roman" w:cs="Times New Roman"/>
          <w:i/>
          <w:iCs/>
          <w:color w:val="0070C0"/>
          <w:u w:color="0070C0"/>
        </w:rPr>
      </w:pPr>
    </w:p>
    <w:p w14:paraId="3F0A4C36" w14:textId="77777777" w:rsidR="00917C71" w:rsidRPr="002B3849" w:rsidRDefault="00917C71">
      <w:pPr>
        <w:spacing w:line="360" w:lineRule="auto"/>
        <w:rPr>
          <w:rFonts w:ascii="Times New Roman" w:eastAsia="Times New Roman" w:hAnsi="Times New Roman" w:cs="Times New Roman"/>
          <w:i/>
          <w:iCs/>
          <w:color w:val="0070C0"/>
          <w:u w:color="0070C0"/>
        </w:rPr>
      </w:pPr>
    </w:p>
    <w:p w14:paraId="091A787B" w14:textId="77777777" w:rsidR="00917C71" w:rsidRPr="002B3849" w:rsidRDefault="00000000">
      <w:pPr>
        <w:spacing w:line="360" w:lineRule="auto"/>
        <w:rPr>
          <w:rFonts w:ascii="Times New Roman" w:eastAsia="Times New Roman" w:hAnsi="Times New Roman" w:cs="Times New Roman"/>
          <w:b/>
          <w:bCs/>
        </w:rPr>
      </w:pPr>
      <w:r w:rsidRPr="002B3849">
        <w:rPr>
          <w:rFonts w:ascii="Times New Roman" w:hAnsi="Times New Roman"/>
          <w:b/>
          <w:bCs/>
        </w:rPr>
        <w:t xml:space="preserve">Task 4 - Case Study Analysis of a UK Innovation (200 words). </w:t>
      </w:r>
    </w:p>
    <w:p w14:paraId="32923DB4" w14:textId="77777777" w:rsidR="00B63E97" w:rsidRPr="002B3849" w:rsidRDefault="00B63E97" w:rsidP="00B63E97">
      <w:pPr>
        <w:spacing w:line="360" w:lineRule="auto"/>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Case Study: NHS Virtual Wards</w:t>
      </w:r>
    </w:p>
    <w:p w14:paraId="2F55E30E" w14:textId="77777777" w:rsidR="00B63E97" w:rsidRPr="002B3849" w:rsidRDefault="00B63E97" w:rsidP="00B63E97">
      <w:pPr>
        <w:spacing w:line="360" w:lineRule="auto"/>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Virtual Wards are a new way of delivering acute care by allowing patients to be managed at home instead of in the hospital (Greenhalgh et al., 2019).</w:t>
      </w:r>
    </w:p>
    <w:p w14:paraId="0CF46090" w14:textId="77777777" w:rsidR="00B63E97" w:rsidRPr="002B3849" w:rsidRDefault="00B63E97" w:rsidP="00B63E97">
      <w:pPr>
        <w:spacing w:line="360" w:lineRule="auto"/>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Creativity and Problem: This model creatively addresses the intertwined problems of hospital bed shortages and the risks of hospitalisation for vulnerable patients, such as functional decline and hospital-acquired infections. It digitally redefines the 'ward' concept.</w:t>
      </w:r>
    </w:p>
    <w:p w14:paraId="0CF3C299" w14:textId="4006B649" w:rsidR="002B3849" w:rsidRPr="002B3849" w:rsidRDefault="00B63E97"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Value Creation and Outcomes: This approach creates value in several ways. Patients get care at home, which can help their mental health and daily functioning. For the health system, it frees up beds and increases capacity. A UK study on a similar 'hospital-at-home' model found that patient outcomes were as good as in-hospital care, with high satisfaction and lower costs per case (Chandler et al., 2020). This shows that the innovation keeps or improves quality while making better use of </w:t>
      </w:r>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resources, which is central to value-based healthcare (</w:t>
      </w:r>
      <w:proofErr w:type="spellStart"/>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Kazantsis</w:t>
      </w:r>
      <w:proofErr w:type="spellEnd"/>
      <w:r w:rsidRPr="002B3849">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2020).</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1F618D2F" wp14:editId="7C7217C4">
            <wp:extent cx="12710160" cy="6850380"/>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710160" cy="6850380"/>
                    </a:xfrm>
                    <a:prstGeom prst="rect">
                      <a:avLst/>
                    </a:prstGeom>
                    <a:noFill/>
                    <a:ln>
                      <a:noFill/>
                    </a:ln>
                  </pic:spPr>
                </pic:pic>
              </a:graphicData>
            </a:graphic>
          </wp:inline>
        </w:drawing>
      </w:r>
    </w:p>
    <w:p w14:paraId="16292AF0" w14:textId="7E7D137D" w:rsidR="00B63E97" w:rsidRPr="002B3849" w:rsidRDefault="00B63E97" w:rsidP="00B63E97">
      <w:pPr>
        <w:spacing w:line="360" w:lineRule="auto"/>
        <w:rPr>
          <w:rFonts w:ascii="Arial" w:eastAsia="Times New Roman" w:hAnsi="Arial" w:cs="Arial"/>
          <w:color w:val="000000" w:themeColor="text1"/>
          <w:u w:color="0070C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8CB763" w14:textId="343D4E70" w:rsidR="00917C71" w:rsidRPr="002B3849" w:rsidRDefault="00917C71">
      <w:pPr>
        <w:spacing w:line="360" w:lineRule="auto"/>
        <w:rPr>
          <w:rFonts w:ascii="Arial" w:eastAsia="Times New Roman" w:hAnsi="Arial" w:cs="Arial"/>
          <w:color w:val="000000" w:themeColor="text1"/>
          <w:u w:color="0070C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642D5A" w14:textId="77777777" w:rsidR="00917C71" w:rsidRPr="002B3849" w:rsidRDefault="00917C71">
      <w:pPr>
        <w:spacing w:line="360" w:lineRule="auto"/>
        <w:rPr>
          <w:rFonts w:ascii="Times New Roman" w:eastAsia="Times New Roman" w:hAnsi="Times New Roman" w:cs="Times New Roman"/>
          <w:i/>
          <w:iCs/>
          <w:color w:val="0070C0"/>
          <w:u w:color="0070C0"/>
        </w:rPr>
      </w:pPr>
    </w:p>
    <w:p w14:paraId="3A2CAE1D" w14:textId="77777777" w:rsidR="00917C71" w:rsidRPr="002B3849" w:rsidRDefault="00917C71">
      <w:pPr>
        <w:spacing w:line="360" w:lineRule="auto"/>
        <w:rPr>
          <w:rFonts w:ascii="Times New Roman" w:eastAsia="Times New Roman" w:hAnsi="Times New Roman" w:cs="Times New Roman"/>
          <w:i/>
          <w:iCs/>
          <w:color w:val="0070C0"/>
          <w:u w:color="0070C0"/>
        </w:rPr>
      </w:pPr>
    </w:p>
    <w:p w14:paraId="5F204EE6" w14:textId="77777777" w:rsidR="00917C71" w:rsidRPr="002B3849" w:rsidRDefault="00917C71">
      <w:pPr>
        <w:spacing w:line="360" w:lineRule="auto"/>
        <w:rPr>
          <w:rFonts w:ascii="Times New Roman" w:eastAsia="Times New Roman" w:hAnsi="Times New Roman" w:cs="Times New Roman"/>
          <w:i/>
          <w:iCs/>
          <w:color w:val="0070C0"/>
          <w:u w:color="0070C0"/>
        </w:rPr>
      </w:pPr>
    </w:p>
    <w:p w14:paraId="757FA884" w14:textId="77777777" w:rsidR="00917C71" w:rsidRPr="002B3849" w:rsidRDefault="00917C71">
      <w:pPr>
        <w:spacing w:line="360" w:lineRule="auto"/>
        <w:rPr>
          <w:rFonts w:ascii="Times New Roman" w:eastAsia="Times New Roman" w:hAnsi="Times New Roman" w:cs="Times New Roman"/>
          <w:i/>
          <w:iCs/>
          <w:color w:val="0070C0"/>
          <w:u w:color="0070C0"/>
        </w:rPr>
      </w:pPr>
    </w:p>
    <w:p w14:paraId="3D70BD6D" w14:textId="77777777" w:rsidR="00917C71" w:rsidRPr="002B3849" w:rsidRDefault="00917C71">
      <w:pPr>
        <w:spacing w:line="360" w:lineRule="auto"/>
        <w:rPr>
          <w:rFonts w:ascii="Times New Roman" w:eastAsia="Times New Roman" w:hAnsi="Times New Roman" w:cs="Times New Roman"/>
          <w:i/>
          <w:iCs/>
          <w:color w:val="0070C0"/>
          <w:u w:color="0070C0"/>
        </w:rPr>
      </w:pPr>
    </w:p>
    <w:p w14:paraId="291FC09C" w14:textId="77777777" w:rsidR="00917C71" w:rsidRPr="002B3849" w:rsidRDefault="00917C71">
      <w:pPr>
        <w:spacing w:line="360" w:lineRule="auto"/>
        <w:rPr>
          <w:rFonts w:ascii="Times New Roman" w:eastAsia="Times New Roman" w:hAnsi="Times New Roman" w:cs="Times New Roman"/>
          <w:i/>
          <w:iCs/>
          <w:color w:val="0070C0"/>
          <w:u w:color="0070C0"/>
        </w:rPr>
      </w:pPr>
    </w:p>
    <w:p w14:paraId="422CFB7C" w14:textId="77777777" w:rsidR="00917C71" w:rsidRPr="002B3849" w:rsidRDefault="00000000">
      <w:pPr>
        <w:spacing w:line="360" w:lineRule="auto"/>
        <w:rPr>
          <w:rFonts w:ascii="Times New Roman" w:eastAsia="Times New Roman" w:hAnsi="Times New Roman" w:cs="Times New Roman"/>
          <w:b/>
          <w:bCs/>
        </w:rPr>
      </w:pPr>
      <w:r w:rsidRPr="002B3849">
        <w:rPr>
          <w:rFonts w:ascii="Times New Roman" w:hAnsi="Times New Roman"/>
          <w:b/>
          <w:bCs/>
        </w:rPr>
        <w:t>Task 5 - Research Task (200 words)</w:t>
      </w:r>
    </w:p>
    <w:p w14:paraId="7A12A6BB" w14:textId="77777777" w:rsidR="00B63E97" w:rsidRPr="002B3849" w:rsidRDefault="00B63E97" w:rsidP="00B63E97">
      <w:pPr>
        <w:spacing w:line="360" w:lineRule="auto"/>
        <w:rPr>
          <w:rFonts w:ascii="Times New Roman" w:eastAsia="Times New Roman" w:hAnsi="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Issue: Staff Burnout in Health and Social Care</w:t>
      </w:r>
    </w:p>
    <w:p w14:paraId="38935DE1" w14:textId="77777777" w:rsidR="00B63E97" w:rsidRPr="002B3849" w:rsidRDefault="00B63E97" w:rsidP="00B63E97">
      <w:pPr>
        <w:spacing w:line="360" w:lineRule="auto"/>
        <w:rPr>
          <w:rFonts w:ascii="Times New Roman" w:eastAsia="Times New Roman" w:hAnsi="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Times New Roman" w:eastAsia="Times New Roman" w:hAnsi="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shows that burnout is mainly caused by how healthcare systems are set up and their culture. Hall, Johnson and Watt (2019), in a systematic review, found that high job demands and low control, which are signs of poor work design, are the main reasons for emotional exhaustion and depersonalisation in nurses. This means the problem comes from the organisation, not from individuals.</w:t>
      </w:r>
    </w:p>
    <w:p w14:paraId="61894838" w14:textId="4311C12C" w:rsidR="002B3849" w:rsidRPr="002B3849" w:rsidRDefault="00B63E97" w:rsidP="002B3849">
      <w:pPr>
        <w:pStyle w:val="NormalWeb"/>
        <w:rPr>
          <w:rFonts w:eastAsia="Times New Roman" w:cs="Times New Roman"/>
          <w:color w:val="auto"/>
          <w:bdr w:val="none" w:sz="0" w:space="0" w:color="auto"/>
          <w:lang w:val="en-GB"/>
        </w:rPr>
      </w:pPr>
      <w:r w:rsidRPr="002B3849">
        <w:rPr>
          <w:rFonts w:eastAsia="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Complementing this, West and Coia (2019) analysed the role of organisational culture, finding that a pervasive 'blame culture' erodes psychological safety. When staff fear consequences for admitting error or stress, it inhibits help-seeking and amplifies burnout, directly impairing both staff wellbeing and patient safety. Together, these studies demonstrate that burnout is a systemic issue, rooted in unsustainable workloads and toxic cultural environments, necessitating organisational-level interventions focused on job redesign and </w:t>
      </w:r>
      <w:r w:rsidRPr="002B3849">
        <w:rPr>
          <w:rFonts w:eastAsia="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fostering trust, rather than resilience training alone.</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436922C9" wp14:editId="33684AFE">
            <wp:extent cx="16459200" cy="4739640"/>
            <wp:effectExtent l="0" t="0" r="0" b="381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459200" cy="4739640"/>
                    </a:xfrm>
                    <a:prstGeom prst="rect">
                      <a:avLst/>
                    </a:prstGeom>
                    <a:noFill/>
                    <a:ln>
                      <a:noFill/>
                    </a:ln>
                  </pic:spPr>
                </pic:pic>
              </a:graphicData>
            </a:graphic>
          </wp:inline>
        </w:drawing>
      </w:r>
    </w:p>
    <w:p w14:paraId="088543A7" w14:textId="6AA47D55" w:rsidR="00B63E97" w:rsidRPr="002B3849" w:rsidRDefault="00B63E97" w:rsidP="00B63E97">
      <w:pPr>
        <w:spacing w:line="360" w:lineRule="auto"/>
        <w:rPr>
          <w:rFonts w:ascii="Times New Roman" w:eastAsia="Times New Roman" w:hAnsi="Times New Roman" w:cs="Times New Roman"/>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2B8A394" w14:textId="28B77652" w:rsidR="00917C71" w:rsidRPr="002B3849" w:rsidRDefault="00917C71">
      <w:pPr>
        <w:spacing w:line="360" w:lineRule="auto"/>
        <w:rPr>
          <w:rFonts w:ascii="Times New Roman" w:eastAsia="Times New Roman" w:hAnsi="Times New Roman" w:cs="Times New Roman"/>
          <w:color w:val="000000" w:themeColor="text1"/>
          <w:u w:color="4C94D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85550" w14:textId="77777777" w:rsidR="00917C71" w:rsidRPr="002B3849" w:rsidRDefault="00917C71">
      <w:pPr>
        <w:spacing w:line="360" w:lineRule="auto"/>
        <w:rPr>
          <w:rFonts w:ascii="Times New Roman" w:eastAsia="Times New Roman" w:hAnsi="Times New Roman" w:cs="Times New Roman"/>
        </w:rPr>
      </w:pPr>
    </w:p>
    <w:p w14:paraId="0D9D8ACC" w14:textId="77777777" w:rsidR="00917C71" w:rsidRPr="002B3849" w:rsidRDefault="00917C71">
      <w:pPr>
        <w:spacing w:line="360" w:lineRule="auto"/>
        <w:rPr>
          <w:rFonts w:ascii="Times New Roman" w:eastAsia="Times New Roman" w:hAnsi="Times New Roman" w:cs="Times New Roman"/>
        </w:rPr>
      </w:pPr>
    </w:p>
    <w:p w14:paraId="6FE27871" w14:textId="77777777" w:rsidR="00917C71" w:rsidRPr="002B3849" w:rsidRDefault="00917C71">
      <w:pPr>
        <w:spacing w:line="360" w:lineRule="auto"/>
        <w:rPr>
          <w:rFonts w:ascii="Times New Roman" w:eastAsia="Times New Roman" w:hAnsi="Times New Roman" w:cs="Times New Roman"/>
        </w:rPr>
      </w:pPr>
    </w:p>
    <w:p w14:paraId="5E337A10" w14:textId="77777777" w:rsidR="00917C71" w:rsidRPr="002B3849" w:rsidRDefault="00000000">
      <w:pPr>
        <w:spacing w:after="100" w:line="360" w:lineRule="auto"/>
        <w:rPr>
          <w:rFonts w:ascii="Times New Roman" w:eastAsia="Times New Roman" w:hAnsi="Times New Roman" w:cs="Times New Roman"/>
          <w:b/>
          <w:bCs/>
          <w:color w:val="1D2125"/>
          <w:kern w:val="0"/>
          <w:u w:color="1D2125"/>
        </w:rPr>
      </w:pPr>
      <w:r w:rsidRPr="002B3849">
        <w:rPr>
          <w:rFonts w:ascii="Times New Roman" w:hAnsi="Times New Roman"/>
          <w:b/>
          <w:bCs/>
          <w:color w:val="1D2125"/>
          <w:kern w:val="0"/>
          <w:u w:color="1D2125"/>
        </w:rPr>
        <w:t>Task 6 - Exploring Digital Innovation in Health and Social Care (140 words each= 420 words in total)</w:t>
      </w:r>
    </w:p>
    <w:p w14:paraId="1D4C1007" w14:textId="77777777"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b/>
          <w:bCs/>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Benefit of Wearable Health Technologies</w:t>
      </w:r>
    </w:p>
    <w:p w14:paraId="4F749D53" w14:textId="77777777" w:rsidR="002B3849" w:rsidRPr="002B3849" w:rsidRDefault="00B63E97"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Wearable technologies help people manage chronic conditions by providing continuous monitoring. For example, smartwatches with photoplethysmography sensors can detect arrhythmias in patients with atrial fibrillation (AFib). This allows for early detection of episodes that might not cause symptoms, which is important for starting anticoagulation therapy to prevent stroke (Perez et al., 2019). Instead of </w:t>
      </w: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relying on occasional doctor visits, patients and clinicians can use ongoing data to make more personalized treatment plans.</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50467C3D" wp14:editId="3B191E15">
            <wp:extent cx="15019020" cy="7680960"/>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19020" cy="7680960"/>
                    </a:xfrm>
                    <a:prstGeom prst="rect">
                      <a:avLst/>
                    </a:prstGeom>
                    <a:noFill/>
                    <a:ln>
                      <a:noFill/>
                    </a:ln>
                  </pic:spPr>
                </pic:pic>
              </a:graphicData>
            </a:graphic>
          </wp:inline>
        </w:drawing>
      </w:r>
    </w:p>
    <w:p w14:paraId="00BE0523" w14:textId="47C4498D" w:rsidR="002B3849" w:rsidRPr="002B3849" w:rsidRDefault="002B3849" w:rsidP="002B3849">
      <w:pPr>
        <w:pStyle w:val="NormalWeb"/>
        <w:rPr>
          <w:rFonts w:eastAsia="Times New Roman" w:cs="Times New Roman"/>
          <w:color w:val="auto"/>
          <w:bdr w:val="none" w:sz="0" w:space="0" w:color="auto"/>
          <w:lang w:val="en-GB"/>
        </w:rPr>
      </w:pPr>
      <w:r w:rsidRPr="002B3849">
        <w:rPr>
          <w:rFonts w:eastAsia="Times New Roman" w:cs="Times New Roman"/>
          <w:noProof/>
          <w:color w:val="auto"/>
          <w:bdr w:val="none" w:sz="0" w:space="0" w:color="auto"/>
          <w:lang w:val="en-GB"/>
        </w:rPr>
        <w:lastRenderedPageBreak/>
        <w:drawing>
          <wp:inline distT="0" distB="0" distL="0" distR="0" wp14:anchorId="33346E50" wp14:editId="7D78C48B">
            <wp:extent cx="16337280" cy="7040880"/>
            <wp:effectExtent l="0" t="0" r="7620" b="762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37280" cy="7040880"/>
                    </a:xfrm>
                    <a:prstGeom prst="rect">
                      <a:avLst/>
                    </a:prstGeom>
                    <a:noFill/>
                    <a:ln>
                      <a:noFill/>
                    </a:ln>
                  </pic:spPr>
                </pic:pic>
              </a:graphicData>
            </a:graphic>
          </wp:inline>
        </w:drawing>
      </w:r>
    </w:p>
    <w:p w14:paraId="0A0F8B4D" w14:textId="14D7BB2D"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5FC9A4" w14:textId="77777777"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b/>
          <w:bCs/>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How EHRs Improve Communication and Collaboration</w:t>
      </w:r>
    </w:p>
    <w:p w14:paraId="1AF49953" w14:textId="77777777" w:rsidR="002B3849" w:rsidRPr="002B3849" w:rsidRDefault="00B63E97"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Electronic Health Records (EHRs) support teamwork among healthcare professionals by creating a single, accessible patient record. They help prevent communication errors that can happen with paper files or scattered digital records. With one reliable source for patient history, medications, and test results, all </w:t>
      </w: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providers have the same information (Irizarry et al., 2020). This improves care coordination, cuts down on repeated tests, and helps doctors make better decisions, making care safer and more efficient.</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16330650" wp14:editId="3E85DE80">
            <wp:extent cx="16078200" cy="7780020"/>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78200" cy="7780020"/>
                    </a:xfrm>
                    <a:prstGeom prst="rect">
                      <a:avLst/>
                    </a:prstGeom>
                    <a:noFill/>
                    <a:ln>
                      <a:noFill/>
                    </a:ln>
                  </pic:spPr>
                </pic:pic>
              </a:graphicData>
            </a:graphic>
          </wp:inline>
        </w:drawing>
      </w:r>
    </w:p>
    <w:p w14:paraId="14201A32" w14:textId="34AAC421" w:rsidR="002B3849" w:rsidRPr="002B3849" w:rsidRDefault="002B3849" w:rsidP="002B3849">
      <w:pPr>
        <w:pStyle w:val="NormalWeb"/>
        <w:rPr>
          <w:rFonts w:eastAsia="Times New Roman" w:cs="Times New Roman"/>
          <w:color w:val="auto"/>
          <w:bdr w:val="none" w:sz="0" w:space="0" w:color="auto"/>
          <w:lang w:val="en-GB"/>
        </w:rPr>
      </w:pPr>
      <w:r w:rsidRPr="002B3849">
        <w:rPr>
          <w:rFonts w:eastAsia="Times New Roman" w:cs="Times New Roman"/>
          <w:noProof/>
          <w:color w:val="auto"/>
          <w:bdr w:val="none" w:sz="0" w:space="0" w:color="auto"/>
          <w:lang w:val="en-GB"/>
        </w:rPr>
        <w:lastRenderedPageBreak/>
        <w:drawing>
          <wp:inline distT="0" distB="0" distL="0" distR="0" wp14:anchorId="561F2826" wp14:editId="04540EB4">
            <wp:extent cx="12862560" cy="15262860"/>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62560" cy="15262860"/>
                    </a:xfrm>
                    <a:prstGeom prst="rect">
                      <a:avLst/>
                    </a:prstGeom>
                    <a:noFill/>
                    <a:ln>
                      <a:noFill/>
                    </a:ln>
                  </pic:spPr>
                </pic:pic>
              </a:graphicData>
            </a:graphic>
          </wp:inline>
        </w:drawing>
      </w:r>
    </w:p>
    <w:p w14:paraId="22C742B1" w14:textId="2E999CBF"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5636EC" w14:textId="77777777"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eastAsia="Times New Roman" w:hAnsi="Arial" w:cs="Arial"/>
          <w:b/>
          <w:bCs/>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Digital Technology in Preventative Care and Health Promotion</w:t>
      </w:r>
    </w:p>
    <w:p w14:paraId="38E476F2" w14:textId="23A39A18" w:rsidR="002B3849" w:rsidRPr="002B3849" w:rsidRDefault="00B63E97"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Digital platforms are useful for promoting health and preventing disease in large groups of people. For instance, digital exercise programs like 'Couch to 5K' have been studied for their impact on public health. Research shows that these guided apps can help sedentary adults become more active (Houghton et al., 2019). By making support for </w:t>
      </w:r>
      <w:proofErr w:type="spellStart"/>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 widely available, these technologies help prevent chronic diseases such as type 2 diabetes and heart disease, which can lower future healthcare needs and benefit society in the long run.</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25AE79B8" wp14:editId="31805758">
            <wp:extent cx="17076420" cy="5334000"/>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76420" cy="5334000"/>
                    </a:xfrm>
                    <a:prstGeom prst="rect">
                      <a:avLst/>
                    </a:prstGeom>
                    <a:noFill/>
                    <a:ln>
                      <a:noFill/>
                    </a:ln>
                  </pic:spPr>
                </pic:pic>
              </a:graphicData>
            </a:graphic>
          </wp:inline>
        </w:drawing>
      </w:r>
    </w:p>
    <w:p w14:paraId="7385E588" w14:textId="2FB3F443"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C37E86" w14:textId="77777777"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DEB11E" w14:textId="7E4E95CA" w:rsidR="00917C71" w:rsidRPr="002B3849" w:rsidRDefault="00917C71">
      <w:pPr>
        <w:spacing w:line="360" w:lineRule="auto"/>
        <w:rPr>
          <w:rFonts w:ascii="Arial" w:eastAsia="Times New Roman" w:hAnsi="Arial" w:cs="Arial"/>
          <w:color w:val="000000" w:themeColor="text1"/>
          <w:u w:color="4C94D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3DCF06" w14:textId="77777777" w:rsidR="00917C71" w:rsidRPr="002B3849" w:rsidRDefault="00917C71">
      <w:pPr>
        <w:spacing w:line="360" w:lineRule="auto"/>
        <w:rPr>
          <w:rFonts w:ascii="Times New Roman" w:eastAsia="Times New Roman" w:hAnsi="Times New Roman" w:cs="Times New Roman"/>
          <w:i/>
          <w:iCs/>
          <w:color w:val="4C94D8"/>
          <w:u w:color="4C94D8"/>
        </w:rPr>
      </w:pPr>
    </w:p>
    <w:p w14:paraId="1F3BEE3A" w14:textId="77777777" w:rsidR="00917C71" w:rsidRPr="002B3849" w:rsidRDefault="00917C71">
      <w:pPr>
        <w:spacing w:line="360" w:lineRule="auto"/>
        <w:rPr>
          <w:rFonts w:ascii="Times New Roman" w:eastAsia="Times New Roman" w:hAnsi="Times New Roman" w:cs="Times New Roman"/>
          <w:color w:val="4C94D8"/>
          <w:u w:color="4C94D8"/>
        </w:rPr>
      </w:pPr>
    </w:p>
    <w:p w14:paraId="592EE0C4" w14:textId="77777777" w:rsidR="00917C71" w:rsidRPr="002B3849" w:rsidRDefault="00000000">
      <w:pPr>
        <w:spacing w:line="360" w:lineRule="auto"/>
        <w:rPr>
          <w:rFonts w:ascii="Times New Roman" w:eastAsia="Times New Roman" w:hAnsi="Times New Roman" w:cs="Times New Roman"/>
          <w:b/>
          <w:bCs/>
        </w:rPr>
      </w:pPr>
      <w:r w:rsidRPr="002B3849">
        <w:rPr>
          <w:rFonts w:ascii="Times New Roman" w:hAnsi="Times New Roman"/>
          <w:b/>
          <w:bCs/>
        </w:rPr>
        <w:t>Task 7 - Understanding the NHS Leadership Framework (350)</w:t>
      </w:r>
    </w:p>
    <w:p w14:paraId="5EDB5AA6" w14:textId="77777777" w:rsidR="00B63E97" w:rsidRPr="002B3849" w:rsidRDefault="00000000" w:rsidP="00B63E97">
      <w:pPr>
        <w:spacing w:line="360" w:lineRule="auto"/>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hAnsi="Arial" w:cs="Arial"/>
          <w:color w:val="000000" w:themeColor="text1"/>
          <w:u w:color="4C94D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63E97" w:rsidRPr="002B3849">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Summary of the NHS Leadership Framework (150 words)</w:t>
      </w:r>
    </w:p>
    <w:p w14:paraId="20316CBF" w14:textId="77777777" w:rsidR="00B63E97" w:rsidRPr="002B3849" w:rsidRDefault="00B63E97" w:rsidP="00B63E97">
      <w:pPr>
        <w:spacing w:line="360" w:lineRule="auto"/>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NHS Leadership Framework, described in the Healthcare Leadership Model, sets out the main leadership behaviours expected at every level of the health service. Its areas, including Inspiring Shared Purpose, Developing Capability, and Leading with Care, offer a clear guide for effective leadership (West et al., 2020). Research shows that collective leadership, where leadership is shared, leads to better organisational results. Studies find that when these behaviours are encouraged among all staff, there is higher patient satisfaction, lower mortality, and better staff well-being and engagement (West et al., 2020). This framework helps create the teamwork and flexibility needed to handle complex healthcare challenges and support ongoing innovation.</w:t>
      </w:r>
    </w:p>
    <w:p w14:paraId="23259815" w14:textId="77777777" w:rsidR="00B63E97" w:rsidRPr="002B3849" w:rsidRDefault="00B63E97" w:rsidP="00B63E97">
      <w:pPr>
        <w:spacing w:line="360" w:lineRule="auto"/>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B3849">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Applying a Leadership Behaviour (100 words)</w:t>
      </w:r>
    </w:p>
    <w:p w14:paraId="324CB0AA" w14:textId="59B3E695" w:rsidR="002B3849" w:rsidRPr="002B3849" w:rsidRDefault="00B63E97" w:rsidP="002B3849">
      <w:pPr>
        <w:pStyle w:val="NormalWeb"/>
        <w:rPr>
          <w:rFonts w:eastAsia="Times New Roman" w:cs="Times New Roman"/>
          <w:color w:val="auto"/>
          <w:bdr w:val="none" w:sz="0" w:space="0" w:color="auto"/>
          <w:lang w:val="en-GB"/>
        </w:rPr>
      </w:pPr>
      <w:r w:rsidRPr="002B3849">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Inspiring Shared Purpose is a key leadership behaviour for building a creative workplace. Leaders can do this by sharing a clear, patient-focused vision that goes beyond routine work. They might set aside time for staff to work on creative solutions, like designing new care pathways. When leaders openly value and reward new ideas that support this shared goal, staff feel more empowered (West et al., 2020). This not only encourages creativity but also makes sure that new ideas fit with </w:t>
      </w:r>
      <w:r w:rsidRPr="002B3849">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service’s main values, which improves patient care and experience.</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drawing>
          <wp:inline distT="0" distB="0" distL="0" distR="0" wp14:anchorId="13B35FD4" wp14:editId="636FF918">
            <wp:extent cx="16794480" cy="8602980"/>
            <wp:effectExtent l="0" t="0" r="7620" b="7620"/>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794480" cy="8602980"/>
                    </a:xfrm>
                    <a:prstGeom prst="rect">
                      <a:avLst/>
                    </a:prstGeom>
                    <a:noFill/>
                    <a:ln>
                      <a:noFill/>
                    </a:ln>
                  </pic:spPr>
                </pic:pic>
              </a:graphicData>
            </a:graphic>
          </wp:inline>
        </w:drawing>
      </w:r>
    </w:p>
    <w:p w14:paraId="39ADE73A" w14:textId="77777777" w:rsidR="002B3849" w:rsidRPr="002B3849" w:rsidRDefault="002B3849" w:rsidP="002B384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rPr>
          <w:rFonts w:ascii="Times New Roman" w:eastAsia="Times New Roman" w:hAnsi="Times New Roman" w:cs="Times New Roman"/>
          <w:color w:val="auto"/>
          <w:kern w:val="0"/>
          <w:bdr w:val="none" w:sz="0" w:space="0" w:color="auto"/>
          <w:lang w:val="en-GB"/>
          <w14:textOutline w14:w="0" w14:cap="rnd" w14:cmpd="sng" w14:algn="ctr">
            <w14:noFill/>
            <w14:prstDash w14:val="solid"/>
            <w14:bevel/>
          </w14:textOutline>
        </w:rPr>
      </w:pPr>
      <w:r w:rsidRPr="002B3849">
        <w:rPr>
          <w:rFonts w:ascii="Times New Roman" w:eastAsia="Times New Roman" w:hAnsi="Times New Roman" w:cs="Times New Roman"/>
          <w:noProof/>
          <w:color w:val="auto"/>
          <w:kern w:val="0"/>
          <w:bdr w:val="none" w:sz="0" w:space="0" w:color="auto"/>
          <w:lang w:val="en-GB"/>
          <w14:textOutline w14:w="0" w14:cap="rnd" w14:cmpd="sng" w14:algn="ctr">
            <w14:noFill/>
            <w14:prstDash w14:val="solid"/>
            <w14:bevel/>
          </w14:textOutline>
        </w:rPr>
        <w:lastRenderedPageBreak/>
        <w:drawing>
          <wp:inline distT="0" distB="0" distL="0" distR="0" wp14:anchorId="5F8C6905" wp14:editId="28A5D390">
            <wp:extent cx="16946880" cy="6736080"/>
            <wp:effectExtent l="0" t="0" r="7620" b="762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946880" cy="6736080"/>
                    </a:xfrm>
                    <a:prstGeom prst="rect">
                      <a:avLst/>
                    </a:prstGeom>
                    <a:noFill/>
                    <a:ln>
                      <a:noFill/>
                    </a:ln>
                  </pic:spPr>
                </pic:pic>
              </a:graphicData>
            </a:graphic>
          </wp:inline>
        </w:drawing>
      </w:r>
    </w:p>
    <w:p w14:paraId="7448160C" w14:textId="43223E0D" w:rsidR="00B63E97" w:rsidRPr="002B3849" w:rsidRDefault="00B63E97" w:rsidP="00B63E97">
      <w:pPr>
        <w:spacing w:line="360" w:lineRule="auto"/>
        <w:rPr>
          <w:rFonts w:ascii="Arial"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7193CB" w14:textId="0C82C1F3" w:rsidR="00917C71" w:rsidRPr="002B3849" w:rsidRDefault="00917C71">
      <w:pPr>
        <w:spacing w:line="360" w:lineRule="auto"/>
        <w:rPr>
          <w:rFonts w:ascii="Arial" w:eastAsia="Times New Roman" w:hAnsi="Arial" w:cs="Arial"/>
          <w:color w:val="000000" w:themeColor="text1"/>
          <w:u w:color="4C94D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3FD5B8" w14:textId="77777777" w:rsidR="00917C71" w:rsidRPr="002B3849" w:rsidRDefault="00917C71">
      <w:pPr>
        <w:spacing w:line="360" w:lineRule="auto"/>
        <w:rPr>
          <w:rFonts w:ascii="Times New Roman" w:eastAsia="Times New Roman" w:hAnsi="Times New Roman" w:cs="Times New Roman"/>
          <w:color w:val="4C94D8"/>
          <w:u w:color="4C94D8"/>
        </w:rPr>
      </w:pPr>
    </w:p>
    <w:p w14:paraId="71F6E129" w14:textId="77777777" w:rsidR="00917C71" w:rsidRPr="002B3849" w:rsidRDefault="00917C71">
      <w:pPr>
        <w:spacing w:line="360" w:lineRule="auto"/>
        <w:rPr>
          <w:rFonts w:ascii="Times New Roman" w:eastAsia="Times New Roman" w:hAnsi="Times New Roman" w:cs="Times New Roman"/>
          <w:color w:val="4C94D8"/>
          <w:u w:color="4C94D8"/>
        </w:rPr>
      </w:pPr>
    </w:p>
    <w:p w14:paraId="2728E2B3" w14:textId="77777777" w:rsidR="00917C71" w:rsidRPr="002B3849" w:rsidRDefault="00000000">
      <w:pPr>
        <w:spacing w:line="360" w:lineRule="auto"/>
        <w:rPr>
          <w:rFonts w:ascii="Times New Roman" w:eastAsia="Times New Roman" w:hAnsi="Times New Roman" w:cs="Times New Roman"/>
          <w:b/>
          <w:bCs/>
        </w:rPr>
      </w:pPr>
      <w:r w:rsidRPr="002B3849">
        <w:rPr>
          <w:rFonts w:ascii="Times New Roman" w:hAnsi="Times New Roman"/>
          <w:b/>
          <w:bCs/>
        </w:rPr>
        <w:t>Task 8 - Self-Reflection Journal Entry (150 words)</w:t>
      </w:r>
    </w:p>
    <w:p w14:paraId="7A2CB894" w14:textId="292A48BF" w:rsidR="002B3849" w:rsidRPr="002B3849" w:rsidRDefault="00B63E97" w:rsidP="002B3849">
      <w:pPr>
        <w:pStyle w:val="NormalWeb"/>
        <w:rPr>
          <w:rFonts w:eastAsia="Times New Roman" w:cs="Times New Roman"/>
          <w:color w:val="auto"/>
          <w:bdr w:val="none" w:sz="0" w:space="0" w:color="auto"/>
          <w:lang w:val="en-GB"/>
        </w:rPr>
      </w:pP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 used to see creativity as mainly an 'artistic' activity, but now I understand it as a disciplined way to solve problems in care, as Amabile (2020) describes. In the same way, I now see innovation as more than just technology; it is about putting creative ideas into practice to create real value </w:t>
      </w:r>
      <w:proofErr w:type="gramStart"/>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9157B"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Kazant</w:t>
      </w:r>
      <w:r w:rsidR="0009157B"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w:t>
      </w: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roofErr w:type="spellEnd"/>
      <w:proofErr w:type="gramEnd"/>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2020). Looking at examples like virtual wards (Chandler et al., 2020) showed me that the biggest changes often come from rethinking how services are delivered. I also learned from West et al. (2020) that strong leadership frameworks help staff to innovate, and that these systemic supports are essential. Bringing these ideas together will shape how I work. I plan to use evidence-based approaches to solve problems, support collective </w:t>
      </w:r>
      <w:r w:rsidRPr="002B3849">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leadership, and always check that my work adds value for service users.</w:t>
      </w:r>
      <w:r w:rsidR="002B3849" w:rsidRPr="002B3849">
        <w:rPr>
          <w:rFonts w:eastAsia="Times New Roman" w:cs="Times New Roman"/>
          <w:noProof/>
          <w:color w:val="auto"/>
          <w:bdr w:val="none" w:sz="0" w:space="0" w:color="auto"/>
          <w:lang w:val="en-GB"/>
        </w:rPr>
        <w:t xml:space="preserve"> </w:t>
      </w:r>
      <w:r w:rsidR="002B3849" w:rsidRPr="002B3849">
        <w:rPr>
          <w:rFonts w:eastAsia="Times New Roman" w:cs="Times New Roman"/>
          <w:noProof/>
          <w:color w:val="auto"/>
          <w:bdr w:val="none" w:sz="0" w:space="0" w:color="auto"/>
          <w:lang w:val="en-GB"/>
        </w:rPr>
        <w:lastRenderedPageBreak/>
        <w:drawing>
          <wp:inline distT="0" distB="0" distL="0" distR="0" wp14:anchorId="677979FA" wp14:editId="3A494D61">
            <wp:extent cx="17023080" cy="9433560"/>
            <wp:effectExtent l="0" t="0" r="7620" b="0"/>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23080" cy="9433560"/>
                    </a:xfrm>
                    <a:prstGeom prst="rect">
                      <a:avLst/>
                    </a:prstGeom>
                    <a:noFill/>
                    <a:ln>
                      <a:noFill/>
                    </a:ln>
                  </pic:spPr>
                </pic:pic>
              </a:graphicData>
            </a:graphic>
          </wp:inline>
        </w:drawing>
      </w:r>
    </w:p>
    <w:p w14:paraId="18ED6348" w14:textId="20B1FE67" w:rsidR="00B63E97" w:rsidRPr="002B3849" w:rsidRDefault="00B63E97" w:rsidP="00B63E97">
      <w:pPr>
        <w:spacing w:line="360" w:lineRule="auto"/>
        <w:rPr>
          <w:rFonts w:ascii="Arial" w:eastAsia="Times New Roman" w:hAnsi="Arial" w:cs="Arial"/>
          <w:color w:val="000000" w:themeColor="text1"/>
          <w:u w:color="4C94D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8DA9CB" w14:textId="2D00B577" w:rsidR="00917C71" w:rsidRPr="002B3849" w:rsidRDefault="00917C71">
      <w:pPr>
        <w:spacing w:line="360" w:lineRule="auto"/>
        <w:rPr>
          <w:rFonts w:ascii="Times New Roman" w:eastAsia="Times New Roman" w:hAnsi="Times New Roman" w:cs="Times New Roman"/>
          <w:color w:val="4C94D8"/>
          <w:u w:color="4C94D8"/>
        </w:rPr>
      </w:pPr>
    </w:p>
    <w:p w14:paraId="63B7B67F" w14:textId="77777777" w:rsidR="00917C71" w:rsidRPr="002B3849" w:rsidRDefault="00917C71">
      <w:pPr>
        <w:spacing w:line="360" w:lineRule="auto"/>
        <w:rPr>
          <w:rFonts w:ascii="Times New Roman" w:eastAsia="Times New Roman" w:hAnsi="Times New Roman" w:cs="Times New Roman"/>
          <w:color w:val="A5C9EB"/>
          <w:u w:color="A5C9EB"/>
        </w:rPr>
      </w:pPr>
    </w:p>
    <w:p w14:paraId="19E1199B" w14:textId="77777777" w:rsidR="00917C71" w:rsidRPr="002B3849" w:rsidRDefault="00917C71">
      <w:pPr>
        <w:spacing w:line="360" w:lineRule="auto"/>
        <w:rPr>
          <w:rFonts w:ascii="Times New Roman" w:eastAsia="Times New Roman" w:hAnsi="Times New Roman" w:cs="Times New Roman"/>
        </w:rPr>
      </w:pPr>
    </w:p>
    <w:p w14:paraId="6B9FFF43" w14:textId="77777777" w:rsidR="00917C71" w:rsidRPr="002B3849" w:rsidRDefault="00917C71">
      <w:pPr>
        <w:spacing w:line="360" w:lineRule="auto"/>
        <w:rPr>
          <w:rFonts w:ascii="Times New Roman" w:eastAsia="Times New Roman" w:hAnsi="Times New Roman" w:cs="Times New Roman"/>
        </w:rPr>
      </w:pPr>
    </w:p>
    <w:p w14:paraId="741090C4" w14:textId="77777777" w:rsidR="00917C71" w:rsidRPr="002B3849" w:rsidRDefault="00000000">
      <w:pPr>
        <w:spacing w:line="360" w:lineRule="auto"/>
        <w:rPr>
          <w:rFonts w:ascii="Times New Roman" w:hAnsi="Times New Roman"/>
          <w:b/>
          <w:bCs/>
        </w:rPr>
      </w:pPr>
      <w:r w:rsidRPr="002B3849">
        <w:rPr>
          <w:rFonts w:ascii="Times New Roman" w:hAnsi="Times New Roman"/>
          <w:b/>
          <w:bCs/>
        </w:rPr>
        <w:t>References</w:t>
      </w:r>
    </w:p>
    <w:p w14:paraId="71B2557F" w14:textId="77777777" w:rsidR="00B63E97" w:rsidRPr="002B3849" w:rsidRDefault="00B63E97" w:rsidP="00B63E97">
      <w:pPr>
        <w:spacing w:line="360" w:lineRule="auto"/>
        <w:rPr>
          <w:lang w:val="en-GB"/>
        </w:rPr>
      </w:pPr>
      <w:r w:rsidRPr="002B3849">
        <w:rPr>
          <w:lang w:val="en-GB"/>
        </w:rPr>
        <w:t xml:space="preserve">Alemzadeh, H., Raman, J., Leveson, N., </w:t>
      </w:r>
      <w:proofErr w:type="spellStart"/>
      <w:r w:rsidRPr="002B3849">
        <w:rPr>
          <w:lang w:val="en-GB"/>
        </w:rPr>
        <w:t>Kalbarczyk</w:t>
      </w:r>
      <w:proofErr w:type="spellEnd"/>
      <w:r w:rsidRPr="002B3849">
        <w:rPr>
          <w:lang w:val="en-GB"/>
        </w:rPr>
        <w:t>, Z. and Iyer, R.K. (2019) 'Adverse events in robotic surgery: a retrospective study of 14 years of FDA data', </w:t>
      </w:r>
      <w:proofErr w:type="spellStart"/>
      <w:r w:rsidRPr="002B3849">
        <w:rPr>
          <w:i/>
          <w:iCs/>
          <w:lang w:val="en-GB"/>
        </w:rPr>
        <w:t>PLoS</w:t>
      </w:r>
      <w:proofErr w:type="spellEnd"/>
      <w:r w:rsidRPr="002B3849">
        <w:rPr>
          <w:i/>
          <w:iCs/>
          <w:lang w:val="en-GB"/>
        </w:rPr>
        <w:t xml:space="preserve"> One</w:t>
      </w:r>
      <w:r w:rsidRPr="002B3849">
        <w:rPr>
          <w:lang w:val="en-GB"/>
        </w:rPr>
        <w:t>, 14(4), e0213970.</w:t>
      </w:r>
    </w:p>
    <w:p w14:paraId="6186E837" w14:textId="77777777" w:rsidR="00B63E97" w:rsidRPr="002B3849" w:rsidRDefault="00B63E97" w:rsidP="00B63E97">
      <w:pPr>
        <w:spacing w:line="360" w:lineRule="auto"/>
        <w:rPr>
          <w:lang w:val="en-GB"/>
        </w:rPr>
      </w:pPr>
      <w:r w:rsidRPr="002B3849">
        <w:rPr>
          <w:lang w:val="en-GB"/>
        </w:rPr>
        <w:t>Amabile, T.M. (2020) 'Creativity, artificial intelligence, and a world of surprises', </w:t>
      </w:r>
      <w:r w:rsidRPr="002B3849">
        <w:rPr>
          <w:i/>
          <w:iCs/>
          <w:lang w:val="en-GB"/>
        </w:rPr>
        <w:t>Academy of Management Discoveries</w:t>
      </w:r>
      <w:r w:rsidRPr="002B3849">
        <w:rPr>
          <w:lang w:val="en-GB"/>
        </w:rPr>
        <w:t>, 6(3), pp. 351-354.</w:t>
      </w:r>
    </w:p>
    <w:p w14:paraId="0F876238" w14:textId="77777777" w:rsidR="00B63E97" w:rsidRPr="002B3849" w:rsidRDefault="00B63E97" w:rsidP="00B63E97">
      <w:pPr>
        <w:spacing w:line="360" w:lineRule="auto"/>
        <w:rPr>
          <w:lang w:val="en-GB"/>
        </w:rPr>
      </w:pPr>
      <w:r w:rsidRPr="002B3849">
        <w:rPr>
          <w:lang w:val="en-GB"/>
        </w:rPr>
        <w:t>Chandler, D., Fearon, P., Stoner, H.B. and Thompson, J. (2020) 'The hospital at home service: an operational and clinical review', </w:t>
      </w:r>
      <w:r w:rsidRPr="002B3849">
        <w:rPr>
          <w:i/>
          <w:iCs/>
          <w:lang w:val="en-GB"/>
        </w:rPr>
        <w:t>British Journal of Community Nursing</w:t>
      </w:r>
      <w:r w:rsidRPr="002B3849">
        <w:rPr>
          <w:lang w:val="en-GB"/>
        </w:rPr>
        <w:t>, 25(3), pp. 126-132.</w:t>
      </w:r>
    </w:p>
    <w:p w14:paraId="57CFC8D2" w14:textId="77777777" w:rsidR="00B63E97" w:rsidRPr="002B3849" w:rsidRDefault="00B63E97" w:rsidP="00B63E97">
      <w:pPr>
        <w:spacing w:line="360" w:lineRule="auto"/>
        <w:rPr>
          <w:lang w:val="en-GB"/>
        </w:rPr>
      </w:pPr>
      <w:r w:rsidRPr="002B3849">
        <w:rPr>
          <w:lang w:val="en-GB"/>
        </w:rPr>
        <w:t xml:space="preserve">Doraiswamy, S., Abraham, A., </w:t>
      </w:r>
      <w:proofErr w:type="spellStart"/>
      <w:r w:rsidRPr="002B3849">
        <w:rPr>
          <w:lang w:val="en-GB"/>
        </w:rPr>
        <w:t>Mamtani</w:t>
      </w:r>
      <w:proofErr w:type="spellEnd"/>
      <w:r w:rsidRPr="002B3849">
        <w:rPr>
          <w:lang w:val="en-GB"/>
        </w:rPr>
        <w:t>, R. and Cheema, S. (2020) 'Use of telehealth during the COVID-19 pandemic: scoping review', </w:t>
      </w:r>
      <w:r w:rsidRPr="002B3849">
        <w:rPr>
          <w:i/>
          <w:iCs/>
          <w:lang w:val="en-GB"/>
        </w:rPr>
        <w:t>Journal of Medical Internet Research</w:t>
      </w:r>
      <w:r w:rsidRPr="002B3849">
        <w:rPr>
          <w:lang w:val="en-GB"/>
        </w:rPr>
        <w:t>, 22(12), e24087.</w:t>
      </w:r>
    </w:p>
    <w:p w14:paraId="59580F42" w14:textId="77777777" w:rsidR="00B63E97" w:rsidRPr="002B3849" w:rsidRDefault="00B63E97" w:rsidP="00B63E97">
      <w:pPr>
        <w:spacing w:line="360" w:lineRule="auto"/>
        <w:rPr>
          <w:lang w:val="en-GB"/>
        </w:rPr>
      </w:pPr>
      <w:r w:rsidRPr="002B3849">
        <w:rPr>
          <w:lang w:val="en-GB"/>
        </w:rPr>
        <w:t xml:space="preserve">Greenhalgh, T., </w:t>
      </w:r>
      <w:proofErr w:type="spellStart"/>
      <w:r w:rsidRPr="002B3849">
        <w:rPr>
          <w:rFonts w:ascii="Arial" w:hAnsi="Arial" w:cs="Arial"/>
          <w:lang w:val="en-GB"/>
        </w:rPr>
        <w:t>Wherton</w:t>
      </w:r>
      <w:proofErr w:type="spellEnd"/>
      <w:r w:rsidRPr="002B3849">
        <w:rPr>
          <w:rFonts w:ascii="Arial" w:hAnsi="Arial" w:cs="Arial"/>
          <w:lang w:val="en-GB"/>
        </w:rPr>
        <w:t>,</w:t>
      </w:r>
      <w:r w:rsidRPr="002B3849">
        <w:rPr>
          <w:lang w:val="en-GB"/>
        </w:rPr>
        <w:t xml:space="preserve"> J., Papoutsi, C., Lynch, J., Hughes, G., A'Court, C., Hinder, S., Fahy, N., Procter, R. and Shaw, S. (2019) 'Beyond adoption: a new framework for theorizing and evaluating </w:t>
      </w:r>
      <w:proofErr w:type="spellStart"/>
      <w:r w:rsidRPr="002B3849">
        <w:rPr>
          <w:lang w:val="en-GB"/>
        </w:rPr>
        <w:t>nonadoption</w:t>
      </w:r>
      <w:proofErr w:type="spellEnd"/>
      <w:r w:rsidRPr="002B3849">
        <w:rPr>
          <w:lang w:val="en-GB"/>
        </w:rPr>
        <w:t>, abandonment, and challenges to the scale-up, spread, and sustainability of health and care technologies', </w:t>
      </w:r>
      <w:r w:rsidRPr="002B3849">
        <w:rPr>
          <w:i/>
          <w:iCs/>
          <w:lang w:val="en-GB"/>
        </w:rPr>
        <w:t>Journal of Medical Internet Research</w:t>
      </w:r>
      <w:r w:rsidRPr="002B3849">
        <w:rPr>
          <w:lang w:val="en-GB"/>
        </w:rPr>
        <w:t>, 19(11), e367.</w:t>
      </w:r>
    </w:p>
    <w:p w14:paraId="224E3131" w14:textId="77777777" w:rsidR="00B63E97" w:rsidRPr="002B3849" w:rsidRDefault="00B63E97" w:rsidP="00B63E97">
      <w:pPr>
        <w:spacing w:line="360" w:lineRule="auto"/>
        <w:rPr>
          <w:lang w:val="en-GB"/>
        </w:rPr>
      </w:pPr>
      <w:r w:rsidRPr="002B3849">
        <w:rPr>
          <w:lang w:val="en-GB"/>
        </w:rPr>
        <w:t>Hall, L.H., Johnson, J. and Watt, I. (2019) 'Healthcare staff wellbeing, burnout, and patient safety: a systematic review', </w:t>
      </w:r>
      <w:proofErr w:type="spellStart"/>
      <w:r w:rsidRPr="002B3849">
        <w:rPr>
          <w:i/>
          <w:iCs/>
          <w:lang w:val="en-GB"/>
        </w:rPr>
        <w:t>PLoS</w:t>
      </w:r>
      <w:proofErr w:type="spellEnd"/>
      <w:r w:rsidRPr="002B3849">
        <w:rPr>
          <w:i/>
          <w:iCs/>
          <w:lang w:val="en-GB"/>
        </w:rPr>
        <w:t xml:space="preserve"> One</w:t>
      </w:r>
      <w:r w:rsidRPr="002B3849">
        <w:rPr>
          <w:lang w:val="en-GB"/>
        </w:rPr>
        <w:t>, 14(7), e0219015.</w:t>
      </w:r>
    </w:p>
    <w:p w14:paraId="2CC1F2F4" w14:textId="77777777" w:rsidR="00B63E97" w:rsidRPr="002B3849" w:rsidRDefault="00B63E97" w:rsidP="00B63E97">
      <w:pPr>
        <w:spacing w:line="360" w:lineRule="auto"/>
        <w:rPr>
          <w:lang w:val="en-GB"/>
        </w:rPr>
      </w:pPr>
      <w:r w:rsidRPr="002B3849">
        <w:rPr>
          <w:lang w:val="en-GB"/>
        </w:rPr>
        <w:t>Hayes, J. (2022) </w:t>
      </w:r>
      <w:r w:rsidRPr="002B3849">
        <w:rPr>
          <w:i/>
          <w:iCs/>
          <w:lang w:val="en-GB"/>
        </w:rPr>
        <w:t>The Theory and Practice of Change Management</w:t>
      </w:r>
      <w:r w:rsidRPr="002B3849">
        <w:rPr>
          <w:lang w:val="en-GB"/>
        </w:rPr>
        <w:t xml:space="preserve">. 6th </w:t>
      </w:r>
      <w:proofErr w:type="spellStart"/>
      <w:r w:rsidRPr="002B3849">
        <w:rPr>
          <w:lang w:val="en-GB"/>
        </w:rPr>
        <w:t>edn</w:t>
      </w:r>
      <w:proofErr w:type="spellEnd"/>
      <w:r w:rsidRPr="002B3849">
        <w:rPr>
          <w:lang w:val="en-GB"/>
        </w:rPr>
        <w:t>. London: Palgrave Macmillan.</w:t>
      </w:r>
    </w:p>
    <w:p w14:paraId="27923F6D" w14:textId="77777777" w:rsidR="00B63E97" w:rsidRPr="002B3849" w:rsidRDefault="00B63E97" w:rsidP="00B63E97">
      <w:pPr>
        <w:spacing w:line="360" w:lineRule="auto"/>
        <w:rPr>
          <w:lang w:val="en-GB"/>
        </w:rPr>
      </w:pPr>
      <w:r w:rsidRPr="002B3849">
        <w:rPr>
          <w:lang w:val="en-GB"/>
        </w:rPr>
        <w:lastRenderedPageBreak/>
        <w:t>Houghton, D., Warburton, D. and Benson, A. (2019) 'The Couch to 5K® running programme: effectiveness and associated barriers and facilitators', </w:t>
      </w:r>
      <w:r w:rsidRPr="002B3849">
        <w:rPr>
          <w:i/>
          <w:iCs/>
          <w:lang w:val="en-GB"/>
        </w:rPr>
        <w:t>Journal of Public Health</w:t>
      </w:r>
      <w:r w:rsidRPr="002B3849">
        <w:rPr>
          <w:lang w:val="en-GB"/>
        </w:rPr>
        <w:t>, 41(2), pp. e123-e131.</w:t>
      </w:r>
    </w:p>
    <w:p w14:paraId="309808B3" w14:textId="77777777" w:rsidR="00B63E97" w:rsidRPr="002B3849" w:rsidRDefault="00B63E97" w:rsidP="00B63E97">
      <w:pPr>
        <w:spacing w:line="360" w:lineRule="auto"/>
        <w:rPr>
          <w:lang w:val="en-GB"/>
        </w:rPr>
      </w:pPr>
      <w:r w:rsidRPr="002B3849">
        <w:rPr>
          <w:lang w:val="en-GB"/>
        </w:rPr>
        <w:t>Irizarry, T., Dabbs, A.D. and Curran, C.R. (2020) 'Patient portals and patient engagement: a state of the science review', </w:t>
      </w:r>
      <w:r w:rsidRPr="002B3849">
        <w:rPr>
          <w:i/>
          <w:iCs/>
          <w:lang w:val="en-GB"/>
        </w:rPr>
        <w:t>Journal of Medical Internet Research</w:t>
      </w:r>
      <w:r w:rsidRPr="002B3849">
        <w:rPr>
          <w:lang w:val="en-GB"/>
        </w:rPr>
        <w:t>, 17(6), e148.</w:t>
      </w:r>
    </w:p>
    <w:p w14:paraId="5392752C" w14:textId="77777777" w:rsidR="00B63E97" w:rsidRPr="002B3849" w:rsidRDefault="00B63E97" w:rsidP="00B63E97">
      <w:pPr>
        <w:spacing w:line="360" w:lineRule="auto"/>
        <w:rPr>
          <w:lang w:val="en-GB"/>
        </w:rPr>
      </w:pPr>
      <w:proofErr w:type="spellStart"/>
      <w:r w:rsidRPr="002B3849">
        <w:rPr>
          <w:lang w:val="en-GB"/>
        </w:rPr>
        <w:t>Kazantsis</w:t>
      </w:r>
      <w:proofErr w:type="spellEnd"/>
      <w:r w:rsidRPr="002B3849">
        <w:rPr>
          <w:lang w:val="en-GB"/>
        </w:rPr>
        <w:t>, N., Carlton, J. and Peyton, L. (2020) 'Value-based healthcare: a review of the literature', </w:t>
      </w:r>
      <w:r w:rsidRPr="002B3849">
        <w:rPr>
          <w:i/>
          <w:iCs/>
          <w:lang w:val="en-GB"/>
        </w:rPr>
        <w:t>Health Services Management Research</w:t>
      </w:r>
      <w:r w:rsidRPr="002B3849">
        <w:rPr>
          <w:lang w:val="en-GB"/>
        </w:rPr>
        <w:t>, 33(4), pp. 183-194.</w:t>
      </w:r>
    </w:p>
    <w:p w14:paraId="34A5F107" w14:textId="77777777" w:rsidR="00B63E97" w:rsidRPr="002B3849" w:rsidRDefault="00B63E97" w:rsidP="00B63E97">
      <w:pPr>
        <w:spacing w:line="360" w:lineRule="auto"/>
        <w:rPr>
          <w:lang w:val="en-GB"/>
        </w:rPr>
      </w:pPr>
      <w:r w:rsidRPr="002B3849">
        <w:rPr>
          <w:lang w:val="en-GB"/>
        </w:rPr>
        <w:t>Perez, M.V., Mahaffey, K.W., Hedlin, H., Rumsfeld, J.S., Garcia, A. and Ferris, T. (2019) 'Large-scale assessment of a smartwatch to identify atrial fibrillation', </w:t>
      </w:r>
      <w:r w:rsidRPr="002B3849">
        <w:rPr>
          <w:i/>
          <w:iCs/>
          <w:lang w:val="en-GB"/>
        </w:rPr>
        <w:t>New England Journal of Medicine</w:t>
      </w:r>
      <w:r w:rsidRPr="002B3849">
        <w:rPr>
          <w:lang w:val="en-GB"/>
        </w:rPr>
        <w:t>, 381, pp. 1909-1917.</w:t>
      </w:r>
    </w:p>
    <w:p w14:paraId="5D1C5D6D" w14:textId="77777777" w:rsidR="00B63E97" w:rsidRPr="002B3849" w:rsidRDefault="00B63E97" w:rsidP="00B63E97">
      <w:pPr>
        <w:spacing w:line="360" w:lineRule="auto"/>
        <w:rPr>
          <w:lang w:val="en-GB"/>
        </w:rPr>
      </w:pPr>
      <w:r w:rsidRPr="002B3849">
        <w:rPr>
          <w:lang w:val="en-GB"/>
        </w:rPr>
        <w:t>Runco, M.A. (2020) 'Divergent and Convergent Thinking'. In: Pritzker, S. and Runco, M. (eds.) </w:t>
      </w:r>
      <w:proofErr w:type="spellStart"/>
      <w:r w:rsidRPr="002B3849">
        <w:rPr>
          <w:i/>
          <w:iCs/>
          <w:lang w:val="en-GB"/>
        </w:rPr>
        <w:t>Encyclopedia</w:t>
      </w:r>
      <w:proofErr w:type="spellEnd"/>
      <w:r w:rsidRPr="002B3849">
        <w:rPr>
          <w:i/>
          <w:iCs/>
          <w:lang w:val="en-GB"/>
        </w:rPr>
        <w:t xml:space="preserve"> of Creativity</w:t>
      </w:r>
      <w:r w:rsidRPr="002B3849">
        <w:rPr>
          <w:lang w:val="en-GB"/>
        </w:rPr>
        <w:t xml:space="preserve">. 3rd </w:t>
      </w:r>
      <w:proofErr w:type="spellStart"/>
      <w:r w:rsidRPr="002B3849">
        <w:rPr>
          <w:lang w:val="en-GB"/>
        </w:rPr>
        <w:t>edn</w:t>
      </w:r>
      <w:proofErr w:type="spellEnd"/>
      <w:r w:rsidRPr="002B3849">
        <w:rPr>
          <w:lang w:val="en-GB"/>
        </w:rPr>
        <w:t>. Academic Press, pp. 373-377.</w:t>
      </w:r>
    </w:p>
    <w:p w14:paraId="24390E2B" w14:textId="77777777" w:rsidR="00B63E97" w:rsidRPr="002B3849" w:rsidRDefault="00B63E97" w:rsidP="00B63E97">
      <w:pPr>
        <w:spacing w:line="360" w:lineRule="auto"/>
        <w:rPr>
          <w:lang w:val="en-GB"/>
        </w:rPr>
      </w:pPr>
      <w:r w:rsidRPr="002B3849">
        <w:rPr>
          <w:lang w:val="en-GB"/>
        </w:rPr>
        <w:t>Shanahan, E., Ryan, F., O'Sullivan, M. and McHugh, C. (2019) 'The impact of music therapy on reducing agitation in patients with dementia: a review of the literature', </w:t>
      </w:r>
      <w:r w:rsidRPr="002B3849">
        <w:rPr>
          <w:i/>
          <w:iCs/>
          <w:lang w:val="en-GB"/>
        </w:rPr>
        <w:t>Irish Journal of Medical Science</w:t>
      </w:r>
      <w:r w:rsidRPr="002B3849">
        <w:rPr>
          <w:lang w:val="en-GB"/>
        </w:rPr>
        <w:t>, 188(4), pp. 1207-1214.</w:t>
      </w:r>
    </w:p>
    <w:p w14:paraId="3BE14CDB" w14:textId="77777777" w:rsidR="00B63E97" w:rsidRPr="002B3849" w:rsidRDefault="00B63E97" w:rsidP="00B63E97">
      <w:pPr>
        <w:spacing w:line="360" w:lineRule="auto"/>
        <w:rPr>
          <w:lang w:val="en-GB"/>
        </w:rPr>
      </w:pPr>
      <w:r w:rsidRPr="002B3849">
        <w:rPr>
          <w:lang w:val="en-GB"/>
        </w:rPr>
        <w:t>West, M. and Coia, D. (2019) 'Caring for Doctors, Caring for Patients', </w:t>
      </w:r>
      <w:r w:rsidRPr="002B3849">
        <w:rPr>
          <w:i/>
          <w:iCs/>
          <w:lang w:val="en-GB"/>
        </w:rPr>
        <w:t>BMJ Leader</w:t>
      </w:r>
      <w:r w:rsidRPr="002B3849">
        <w:rPr>
          <w:lang w:val="en-GB"/>
        </w:rPr>
        <w:t>, 3(3), pp. 1-4.</w:t>
      </w:r>
    </w:p>
    <w:p w14:paraId="4D4E411A" w14:textId="77777777" w:rsidR="00B63E97" w:rsidRPr="002B3849" w:rsidRDefault="00B63E97" w:rsidP="00B63E97">
      <w:pPr>
        <w:spacing w:line="360" w:lineRule="auto"/>
        <w:rPr>
          <w:lang w:val="en-GB"/>
        </w:rPr>
      </w:pPr>
      <w:r w:rsidRPr="002B3849">
        <w:rPr>
          <w:lang w:val="en-GB"/>
        </w:rPr>
        <w:t>West, M., Eckert, R., Steward, K. and Pasmore, B. (2020) 'Developing Collective Leadership for Health Care', </w:t>
      </w:r>
      <w:r w:rsidRPr="002B3849">
        <w:rPr>
          <w:i/>
          <w:iCs/>
          <w:lang w:val="en-GB"/>
        </w:rPr>
        <w:t>Leadership in Health Services</w:t>
      </w:r>
      <w:r w:rsidRPr="002B3849">
        <w:rPr>
          <w:lang w:val="en-GB"/>
        </w:rPr>
        <w:t>, 33(4), pp. 1-14.</w:t>
      </w:r>
    </w:p>
    <w:p w14:paraId="4947395D" w14:textId="77777777" w:rsidR="00B63E97" w:rsidRPr="002B3849" w:rsidRDefault="00B63E97">
      <w:pPr>
        <w:spacing w:line="360" w:lineRule="auto"/>
      </w:pPr>
    </w:p>
    <w:sectPr w:rsidR="00B63E97" w:rsidRPr="002B3849">
      <w:headerReference w:type="default" r:id="rId18"/>
      <w:footerReference w:type="default" r:id="rId19"/>
      <w:headerReference w:type="first" r:id="rId20"/>
      <w:footerReference w:type="first" r:id="rId21"/>
      <w:pgSz w:w="11900" w:h="16840"/>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33A15" w14:textId="77777777" w:rsidR="001A02B2" w:rsidRDefault="001A02B2">
      <w:pPr>
        <w:spacing w:after="0" w:line="240" w:lineRule="auto"/>
      </w:pPr>
      <w:r>
        <w:separator/>
      </w:r>
    </w:p>
  </w:endnote>
  <w:endnote w:type="continuationSeparator" w:id="0">
    <w:p w14:paraId="0F60AB95" w14:textId="77777777" w:rsidR="001A02B2" w:rsidRDefault="001A0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5ED81" w14:textId="77777777" w:rsidR="00917C71" w:rsidRDefault="00000000">
    <w:pPr>
      <w:pStyle w:val="Footer"/>
      <w:tabs>
        <w:tab w:val="clear" w:pos="9026"/>
        <w:tab w:val="right" w:pos="9000"/>
      </w:tabs>
      <w:jc w:val="center"/>
    </w:pPr>
    <w:r>
      <w:fldChar w:fldCharType="begin"/>
    </w:r>
    <w:r>
      <w:instrText xml:space="preserve"> PAGE </w:instrText>
    </w:r>
    <w:r>
      <w:fldChar w:fldCharType="separate"/>
    </w:r>
    <w:r w:rsidR="00F54BA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5CFE" w14:textId="77777777" w:rsidR="00917C71" w:rsidRDefault="00917C7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E3DEC" w14:textId="77777777" w:rsidR="001A02B2" w:rsidRDefault="001A02B2">
      <w:pPr>
        <w:spacing w:after="0" w:line="240" w:lineRule="auto"/>
      </w:pPr>
      <w:r>
        <w:separator/>
      </w:r>
    </w:p>
  </w:footnote>
  <w:footnote w:type="continuationSeparator" w:id="0">
    <w:p w14:paraId="64F7DC5E" w14:textId="77777777" w:rsidR="001A02B2" w:rsidRDefault="001A0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DF89A" w14:textId="77777777" w:rsidR="00917C71" w:rsidRDefault="00917C71">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00AF" w14:textId="77777777" w:rsidR="00917C71" w:rsidRDefault="00917C7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C71"/>
    <w:rsid w:val="0009157B"/>
    <w:rsid w:val="001A02B2"/>
    <w:rsid w:val="002712A1"/>
    <w:rsid w:val="002B3849"/>
    <w:rsid w:val="00386E3D"/>
    <w:rsid w:val="00497B67"/>
    <w:rsid w:val="00616D25"/>
    <w:rsid w:val="007249CA"/>
    <w:rsid w:val="007549F1"/>
    <w:rsid w:val="00917C71"/>
    <w:rsid w:val="009A5B6E"/>
    <w:rsid w:val="00A94890"/>
    <w:rsid w:val="00AF104E"/>
    <w:rsid w:val="00B63E97"/>
    <w:rsid w:val="00F54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1D73"/>
  <w15:docId w15:val="{93555AFA-0EFF-446F-B524-D2EEB86DE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rFonts w:ascii="Aptos" w:eastAsia="Aptos" w:hAnsi="Aptos" w:cs="Aptos"/>
      <w:color w:val="000000"/>
      <w:kern w:val="2"/>
      <w:sz w:val="24"/>
      <w:szCs w:val="24"/>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spacing w:after="160" w:line="278" w:lineRule="auto"/>
    </w:pPr>
    <w:rPr>
      <w:rFonts w:ascii="Aptos" w:eastAsia="Aptos" w:hAnsi="Aptos" w:cs="Aptos"/>
      <w:color w:val="000000"/>
      <w:kern w:val="2"/>
      <w:sz w:val="24"/>
      <w:szCs w:val="24"/>
      <w:u w:color="000000"/>
      <w:lang w:val="en-US"/>
    </w:rPr>
  </w:style>
  <w:style w:type="paragraph" w:styleId="NormalWeb">
    <w:name w:val="Normal (Web)"/>
    <w:pPr>
      <w:spacing w:before="100" w:after="100"/>
    </w:pPr>
    <w:rPr>
      <w:rFonts w:cs="Arial Unicode MS"/>
      <w:color w:val="000000"/>
      <w:sz w:val="24"/>
      <w:szCs w:val="24"/>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22</Pages>
  <Words>2062</Words>
  <Characters>11756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dc:creator>
  <cp:lastModifiedBy>salma Lipi</cp:lastModifiedBy>
  <cp:revision>2</cp:revision>
  <dcterms:created xsi:type="dcterms:W3CDTF">2025-12-04T14:46:00Z</dcterms:created>
  <dcterms:modified xsi:type="dcterms:W3CDTF">2025-12-04T14:46:00Z</dcterms:modified>
</cp:coreProperties>
</file>