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lineRule="auto" w:line="360"/>
        <w:jc w:val="center"/>
        <w:rPr>
          <w:sz w:val="28"/>
          <w:szCs w:val="24"/>
        </w:rPr>
      </w:pPr>
      <w:r>
        <w:rPr>
          <w:b/>
          <w:bCs/>
          <w:sz w:val="28"/>
          <w:szCs w:val="24"/>
          <w:u w:val="single"/>
          <w:lang w:val="en-GB"/>
        </w:rPr>
        <w:t>Cross-cultural challenges and Hofstede’s cultural dimensions theory</w:t>
      </w:r>
    </w:p>
    <w:p>
      <w:pPr>
        <w:pStyle w:val="Normal"/>
        <w:bidi w:val="0"/>
        <w:spacing w:lineRule="auto" w:line="360"/>
        <w:jc w:val="both"/>
        <w:rPr/>
      </w:pPr>
      <w:r>
        <w:rPr/>
        <w:tab/>
        <w:t xml:space="preserve">The trends in the modern world create a favourable environment </w:t>
      </w:r>
      <w:r>
        <w:rPr>
          <w:lang w:val="en-GB"/>
        </w:rPr>
        <w:t xml:space="preserve">for any company to go international. Impressive international opportunities, attractive possibilities to establish a low-cost branch in another country or sign a contract with a prospective company somewhere in another part of the globe – all these vectors are available for any company within hand reach, which as often are very flourishing, as they fail. Cross-cultural cooperation outside the business field is challenging no less, as the international projects must be tailored to each country's differences not only in law but also in cultural values. Fortunately, there are very powerful tools today to give a certain degree of understanding of one nation's balance of values, in other words – culture. The basis for analysis of a nation's culture is largely associated with Geert Hofstede and his division of culture by four originally, and now by six dimensions, which explore a nation's initial layer of conduct that is expected to be respected and recognised by any foreign business or organization wanting to engage the nation into cooperation. </w:t>
      </w:r>
    </w:p>
    <w:p>
      <w:pPr>
        <w:pStyle w:val="Normal"/>
        <w:bidi w:val="0"/>
        <w:spacing w:lineRule="auto" w:line="360"/>
        <w:jc w:val="both"/>
        <w:rPr>
          <w:lang w:val="en-GB"/>
        </w:rPr>
      </w:pPr>
      <w:r>
        <w:rPr>
          <w:lang w:val="en-GB"/>
        </w:rPr>
        <w:tab/>
        <w:t xml:space="preserve">Before engaging in practical application, it is necessary to derive some base ground for starters. Geert Hofstede was tailoring his work for the application in a business field, so no wonder it became a really popular benchmarking approach to assessing a country. There are, however, whole science branches, such as anthropology, where experts would completely disagree with his approach and argue that to speak about culture one shall study it first (Baskerville, 2002). But, as the theory was and still is relevant to businesses, it continues to be a guide today. </w:t>
      </w:r>
    </w:p>
    <w:p>
      <w:pPr>
        <w:pStyle w:val="Normal"/>
        <w:bidi w:val="0"/>
        <w:spacing w:lineRule="auto" w:line="360"/>
        <w:jc w:val="both"/>
        <w:rPr>
          <w:lang w:val="en-GB"/>
        </w:rPr>
      </w:pPr>
      <w:r>
        <w:rPr>
          <w:lang w:val="en-GB"/>
        </w:rPr>
        <w:tab/>
        <w:t>This work will only consider the older four cultural dimensions, in theory concentrating on the "ends of a stick" instead of the criteria itself. Collectivistic culture nurtures a kind of hive-like society, where individuals are given little to no value unless they are a part of a group (Bochner, 1994), in such culture cooperation is centred around the words like "our companies, we" and should enhance the result as something achieved by the group. Individualistic culture is the polar opposite: "our company, your company, me, You", – highlighting the importance of a person or a company as a unit constructing the culture. Masculine and feminine cultures could be interpreted as a dominantly religious one and another freer, or – as one with a more strict and older societal construct, and another being more free and democratic. The remaining two criteria do not have "ends of a stick": uncertainty avoidance being the scale of to what extent the nation is ready to accept the absence of reliable data or prognosis or lack of credible sources of information or previous records of performance; and power distance is metaphorically speaking the size of a moral wall that divides subordinates and managers, where at the highest point the subordinates just stop caring on whatever the decision is, they just comply with the requirement and delegate the responsibility for all of the consequences to their chef or the one in charge.</w:t>
      </w:r>
    </w:p>
    <w:p>
      <w:pPr>
        <w:pStyle w:val="Normal"/>
        <w:bidi w:val="0"/>
        <w:spacing w:lineRule="auto" w:line="360"/>
        <w:jc w:val="both"/>
        <w:rPr/>
      </w:pPr>
      <w:r>
        <w:rPr>
          <w:lang w:val="en-GB"/>
        </w:rPr>
        <w:tab/>
        <w:t>As simple as it may seem, we don't live in a "black and white" world. While the world is made of grey on different brightness levels, if we look at it closely, the grey is actually a rainbow mix, and the closer we look, the more obvious becomes the fact that there is no simple green or red, they are dark green, bright red, cold and hot tints – there is no simplistic approach such as the stick with two ends, and while the stick is enough to understand what the tree is made of, the two look quite different, and so is the situation between the theoretical approach and practical reality.</w:t>
      </w:r>
    </w:p>
    <w:p>
      <w:pPr>
        <w:pStyle w:val="Normal"/>
        <w:bidi w:val="0"/>
        <w:spacing w:lineRule="auto" w:line="360"/>
        <w:jc w:val="both"/>
        <w:rPr>
          <w:lang w:val="en-GB"/>
        </w:rPr>
      </w:pPr>
      <w:r>
        <w:rPr>
          <w:lang w:val="en-GB"/>
        </w:rPr>
        <w:tab/>
        <w:t>G. Hofstede in his works defines culture as an unwritten code of social transactions, and social conduct. Culture is a very detailed, sophisticated thing to approach, but it is always very easy to analyze what has already happened and how in a situation applies the dimensional approach. The most valuable take for any business, any organization is not to assume, adapt. Otherwise what is so mesmerising and motivational about expanding to new markets could quickly turn into a disaster. There is a take: car companies make their cars tailored to the three markets across the globe, the same drinks taste differently in Ukraine and Japan, and fast-food giants have different menus in different countries as well. Is it only about the taste though?</w:t>
      </w:r>
    </w:p>
    <w:p>
      <w:pPr>
        <w:pStyle w:val="Normal"/>
        <w:bidi w:val="0"/>
        <w:spacing w:lineRule="auto" w:line="360"/>
        <w:jc w:val="both"/>
        <w:rPr>
          <w:lang w:val="en-GB"/>
        </w:rPr>
      </w:pPr>
      <w:r>
        <w:rPr>
          <w:lang w:val="en-GB"/>
        </w:rPr>
        <w:tab/>
        <w:t>It is an absolute treasure for businesses that Hofstede's cultural dimensions theory is not just a purely descriptive thesis, there is a website called "Hofstede Insights" that explores each country's culture by existing dimensions. Some of the countries have reliable data which is based on investigatory experiments, and some data is estimated on the principle of the closest country with a similar cultural pattern. In the appendices, there are two graphical comparison models with three countries each, which will be analyzed in the following paragraphs.</w:t>
      </w:r>
    </w:p>
    <w:p>
      <w:pPr>
        <w:pStyle w:val="Normal"/>
        <w:bidi w:val="0"/>
        <w:spacing w:lineRule="auto" w:line="360"/>
        <w:jc w:val="both"/>
        <w:rPr/>
      </w:pPr>
      <w:r>
        <w:rPr>
          <w:lang w:val="en-GB"/>
        </w:rPr>
        <w:tab/>
        <w:t>China is one of the hardest markets for western organizations to get into. It is really easy to slip even when the business is already up and running there. Given the country being more of a closed economy with a challenging communistic regime, in Image 1 the profile of the country looks as follows: quite high power distance of 80, quite collective-oriented society with a 20 score on individualism, with an incline towards masculinity (66) and very low uncertainty avoidance of 30. A combination of such characteristics describes Chinese people as determined to work for a leader that the society elected, ready to get into any venture if the prize is considered worthy and quite oriented toward achievements. The next country is Italy, with significantly lower power distance (50) and much higher individualism (76), a little more masculinity (70) and quite high uncertainty avoidance (75). Italian cultural character is up for a challenge only if it is bounded to succeed, ready to speak up in case there is a necessity and tends to pride itself on its work. The United States is imagined as a country with lower power distance (40), one of the highest scores on individualism (91), surprisingly lower masculinity (62) and low uncertainty avoidance (46). The American spirit is mirrored in these numbers, as one takes pride in themselves, isn't afraid to speak up, ready to get into a venture with no clear success prospect, just in a good name of themselves. Image 2 begins with Australia, a close competitor of American stats, with a power distance of 38, an individualism of 90, a masculinity of 61 and 51 on uncertainty avoidance. A bit more cautious than Americans, Australians, judging by the numbers on the Hofstede Insights, are not very different from Americans, and so the business deals should be successful in any case. The next country, Germany, scores the lowest on this list in power distance (35), middle on individualism (67), same as Italy in terms of masculinity (66) and the same number on uncertainty avoidance. German society overall is a good example of the free-spirited European culture, which, therefore is a little bit more about the societal benefits, not only an individual's achievements; German are quite certain that they would rather not make any rash decisions. And the concluding country is the United Arab Emirates, which is the only one with estimated numbers. With a significantly high score of 74 on power distance, second least on individualism at 36, 52 on masculinity and 66 on uncertainty avoidance, this country is strictly following the directions they choose, once they settle the matter as worth considering in terms of prospects.</w:t>
      </w:r>
    </w:p>
    <w:p>
      <w:pPr>
        <w:pStyle w:val="Normal"/>
        <w:bidi w:val="0"/>
        <w:spacing w:lineRule="auto" w:line="360"/>
        <w:jc w:val="both"/>
        <w:rPr/>
      </w:pPr>
      <w:r>
        <w:rPr>
          <w:lang w:val="en-GB"/>
        </w:rPr>
        <w:tab/>
        <w:t>While it is quite interesting to look at the numbers, they are somewhat similar and somewhat different to the real situation. In the years 2006-2012, the American chain store Home Depot failed to present its idea of "Do It Yourself" to Chinese customers (Shedd, 2019). As simple as that, the company just couldn't imagine that the matter that individualistic American culture accepts as devotion to the process, realization of own creativity and fun time spending activity, would be seen by Chinese as a time-wasting, inconvenient and cheap thing to do, even a sign of being poor. Italian luxury couture company, Dolce&amp;Gabbana had their stores up and running, but in 2018 they decided to launch an insulting company before the Chinese New Year (Hills, 2021). That was, however, the conflict between two masculine cultures, those, which take pride in their traditions and social constructs. Their video campaign pictured a Chinese model eating Italian food with chopsticks with no success, because, as they stated, some things are meant to be eaten with a fork and a knife. This campaign has enraged the Chinese public, they understood this ad as picturing Chinese people as dumb and uncultured and called out to boycott the D&amp;G stores completely. And ever since nothing they did had regained their market position back.</w:t>
      </w:r>
    </w:p>
    <w:p>
      <w:pPr>
        <w:pStyle w:val="Normal"/>
        <w:bidi w:val="0"/>
        <w:spacing w:lineRule="auto" w:line="360"/>
        <w:jc w:val="both"/>
        <w:rPr>
          <w:lang w:val="en-GB"/>
        </w:rPr>
      </w:pPr>
      <w:r>
        <w:rPr>
          <w:lang w:val="en-GB"/>
        </w:rPr>
        <w:tab/>
        <w:t>But it is not only for the sharply different countries which are on the opposite ends of a dimensional scale to be bound to pose a significant level of difficulty to cooperation. Sometimes the seemingly similar cultures pose a much more challenging environment of false assumption: "They are similar to us, therefore almost the same". Walmart, a well-known low-cost chain store from the US decided to enter the German market with the expectation of great profits and quite an easy entrance, because of their well-known name (Saini, 2022). But what they didn't take into account was the German culture, which in general is pretty much similar to the American one, but overall scope and organization are different. What German people had for benchmark were national chain stores Aldi and Lidl, which, despite having higher prices than Walmart's initial were offering excellent service and considerate packing, which was not the case in the US. Also, what the American team didn't expect and even called German "communists" were trade unions and their close relation to companies. Walmart was very quickly outcasted by German society for having unethical in Germany working practices, such as the "no dating" policy. As the result, Walmart opted out of the German market. However, in this case, the argument may be that Germany's numbers are quite different from American, not as different as Chinese though; and this very argument will give such understanding as substantiality of scales, how much the difference should be to be noticeable. There is a great example of the American company Starbucks expanding to the closest cultural environment, Australia, which is almost identical in terms of the numbers. In 2000 Starbucks saw the Australian market as an attractive goldmine, being the 13</w:t>
      </w:r>
      <w:r>
        <w:rPr>
          <w:vertAlign w:val="superscript"/>
          <w:lang w:val="en-GB"/>
        </w:rPr>
        <w:t>th</w:t>
      </w:r>
      <w:r>
        <w:rPr>
          <w:lang w:val="en-GB"/>
        </w:rPr>
        <w:t xml:space="preserve"> largest economy in the world and with not yet explored areas of possibilities (CASTUS, 2022). However, the same way as it happened with the German-American case, this time American team assumed that the Australian public will be happy to pay for fairly overpriced coffee in the name of the brand when in reality Australians were happy to stick with low-priced coffee made by their favourite barista in the local small coffee shop. This eventually urged Starbucks to sell three-quarters of its shops there.</w:t>
      </w:r>
    </w:p>
    <w:p>
      <w:pPr>
        <w:pStyle w:val="Normal"/>
        <w:bidi w:val="0"/>
        <w:spacing w:lineRule="auto" w:line="360"/>
        <w:jc w:val="both"/>
        <w:rPr>
          <w:lang w:val="en-GB"/>
        </w:rPr>
      </w:pPr>
      <w:r>
        <w:rPr>
          <w:lang w:val="en-GB"/>
        </w:rPr>
        <w:tab/>
        <w:t>As was mentioned in the first paragraph, Hofstede's cultural dimensions theory is a useful tool when building the initial level, only assuming the wording, the setup and the structure of the project, which will enable the company to land the contract. However, the cultural peculiarities should never be assumed, they should be studied carefully and the project should be assessed from the point of view of a resident, only after that can it be converted to numbers and prospects. It is an important point while negotiating in a cross-cultural environment, to be considerate of the "touching points" and specifically target them, therefore, enabling dialogue on the equality principle. Overall, the only solid standpoint for cross-cultural cooperation is to never assume anything.</w:t>
      </w:r>
    </w:p>
    <w:p>
      <w:pPr>
        <w:pStyle w:val="Normal"/>
        <w:bidi w:val="0"/>
        <w:spacing w:lineRule="auto" w:line="360"/>
        <w:jc w:val="both"/>
        <w:rPr>
          <w:lang w:val="en-GB"/>
        </w:rPr>
      </w:pPr>
      <w:r>
        <w:rPr>
          <w:lang w:val="en-GB"/>
        </w:rPr>
      </w:r>
      <w:r>
        <w:br w:type="page"/>
      </w:r>
    </w:p>
    <w:p>
      <w:pPr>
        <w:pStyle w:val="Normal"/>
        <w:bidi w:val="0"/>
        <w:spacing w:lineRule="auto" w:line="360"/>
        <w:jc w:val="both"/>
        <w:rPr>
          <w:b/>
          <w:b/>
          <w:bCs/>
          <w:i w:val="false"/>
          <w:i w:val="false"/>
          <w:iCs w:val="false"/>
          <w:u w:val="single"/>
        </w:rPr>
      </w:pPr>
      <w:r>
        <w:rPr>
          <w:b/>
          <w:bCs/>
          <w:i w:val="false"/>
          <w:iCs w:val="false"/>
          <w:u w:val="single"/>
          <w:lang w:val="en-GB"/>
        </w:rPr>
        <w:t>Appendices</w:t>
      </w:r>
    </w:p>
    <w:p>
      <w:pPr>
        <w:pStyle w:val="Normal"/>
        <w:bidi w:val="0"/>
        <w:spacing w:lineRule="auto" w:line="360"/>
        <w:jc w:val="both"/>
        <w:rPr>
          <w:i/>
          <w:i/>
          <w:iCs/>
          <w:lang w:val="en-GB"/>
        </w:rPr>
      </w:pPr>
      <w:r>
        <w:rPr>
          <w:i/>
          <w:iCs/>
          <w:lang w:val="en-GB"/>
        </w:rPr>
        <w:t>Image 1: Comparison of China, Italy and the United States</w:t>
      </w:r>
    </w:p>
    <w:p>
      <w:pPr>
        <w:pStyle w:val="Normal"/>
        <w:bidi w:val="0"/>
        <w:spacing w:lineRule="auto" w:line="360"/>
        <w:jc w:val="right"/>
        <w:rPr>
          <w:lang w:val="en-GB"/>
        </w:rPr>
      </w:pPr>
      <w:r>
        <w:drawing>
          <wp:anchor behindDoc="0" distT="0" distB="0" distL="0" distR="0" simplePos="0" locked="0" layoutInCell="0" allowOverlap="1" relativeHeight="2">
            <wp:simplePos x="0" y="0"/>
            <wp:positionH relativeFrom="column">
              <wp:align>center</wp:align>
            </wp:positionH>
            <wp:positionV relativeFrom="paragraph">
              <wp:posOffset>635</wp:posOffset>
            </wp:positionV>
            <wp:extent cx="6083300" cy="3397250"/>
            <wp:effectExtent l="0" t="0" r="0" b="0"/>
            <wp:wrapSquare wrapText="largest"/>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083300" cy="3397250"/>
                    </a:xfrm>
                    <a:prstGeom prst="rect">
                      <a:avLst/>
                    </a:prstGeom>
                  </pic:spPr>
                </pic:pic>
              </a:graphicData>
            </a:graphic>
          </wp:anchor>
        </w:drawing>
      </w:r>
      <w:r>
        <w:rPr>
          <w:lang w:val="en-GB"/>
        </w:rPr>
        <w:t>(Hofstede Insights, 2022)</w:t>
      </w:r>
    </w:p>
    <w:p>
      <w:pPr>
        <w:pStyle w:val="Normal"/>
        <w:bidi w:val="0"/>
        <w:spacing w:lineRule="auto" w:line="360"/>
        <w:jc w:val="both"/>
        <w:rPr>
          <w:i/>
          <w:i/>
          <w:iCs/>
          <w:lang w:val="en-GB"/>
        </w:rPr>
      </w:pPr>
      <w:r>
        <w:rPr>
          <w:i/>
          <w:iCs/>
          <w:lang w:val="en-GB"/>
        </w:rPr>
        <w:t>Image 2: Comparison of Australia, Germany and the United Arab Emirates</w:t>
      </w:r>
    </w:p>
    <w:p>
      <w:pPr>
        <w:pStyle w:val="Normal"/>
        <w:bidi w:val="0"/>
        <w:spacing w:lineRule="auto" w:line="360"/>
        <w:jc w:val="right"/>
        <w:rPr>
          <w:lang w:val="en-GB"/>
        </w:rPr>
      </w:pPr>
      <w:r>
        <w:drawing>
          <wp:anchor behindDoc="0" distT="0" distB="0" distL="0" distR="0" simplePos="0" locked="0" layoutInCell="0" allowOverlap="1" relativeHeight="3">
            <wp:simplePos x="0" y="0"/>
            <wp:positionH relativeFrom="column">
              <wp:align>center</wp:align>
            </wp:positionH>
            <wp:positionV relativeFrom="paragraph">
              <wp:posOffset>635</wp:posOffset>
            </wp:positionV>
            <wp:extent cx="6120130" cy="3827780"/>
            <wp:effectExtent l="0" t="0" r="0" b="0"/>
            <wp:wrapSquare wrapText="largest"/>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120130" cy="3827780"/>
                    </a:xfrm>
                    <a:prstGeom prst="rect">
                      <a:avLst/>
                    </a:prstGeom>
                  </pic:spPr>
                </pic:pic>
              </a:graphicData>
            </a:graphic>
          </wp:anchor>
        </w:drawing>
      </w:r>
      <w:r>
        <w:rPr>
          <w:lang w:val="en-GB"/>
        </w:rPr>
        <w:t>(Hofstede Insights, 2022)</w:t>
      </w:r>
    </w:p>
    <w:p>
      <w:pPr>
        <w:pStyle w:val="Normal"/>
        <w:bidi w:val="0"/>
        <w:spacing w:lineRule="auto" w:line="360"/>
        <w:jc w:val="both"/>
        <w:rPr>
          <w:lang w:val="en-GB"/>
        </w:rPr>
      </w:pPr>
      <w:r>
        <w:rPr>
          <w:lang w:val="en-GB"/>
        </w:rPr>
      </w:r>
      <w:r>
        <w:br w:type="page"/>
      </w:r>
    </w:p>
    <w:p>
      <w:pPr>
        <w:pStyle w:val="Normal"/>
        <w:bidi w:val="0"/>
        <w:spacing w:lineRule="auto" w:line="360"/>
        <w:jc w:val="both"/>
        <w:rPr>
          <w:b/>
          <w:b/>
          <w:bCs/>
          <w:u w:val="single"/>
        </w:rPr>
      </w:pPr>
      <w:r>
        <w:rPr>
          <w:b/>
          <w:bCs/>
          <w:u w:val="single"/>
          <w:lang w:val="en-GB"/>
        </w:rPr>
        <w:t>Reference List:</w:t>
      </w:r>
    </w:p>
    <w:p>
      <w:pPr>
        <w:pStyle w:val="TextBody"/>
        <w:numPr>
          <w:ilvl w:val="0"/>
          <w:numId w:val="2"/>
        </w:numPr>
        <w:bidi w:val="0"/>
        <w:spacing w:lineRule="auto" w:line="360" w:before="0" w:after="0"/>
        <w:jc w:val="both"/>
        <w:rPr/>
      </w:pPr>
      <w:r>
        <w:rPr/>
        <w:t xml:space="preserve">Baskerville, R. (2002) </w:t>
      </w:r>
      <w:r>
        <w:rPr>
          <w:i/>
        </w:rPr>
        <w:t>Hofstede never studied culture</w:t>
      </w:r>
      <w:r>
        <w:rPr/>
        <w:t xml:space="preserve">, </w:t>
      </w:r>
      <w:r>
        <w:rPr>
          <w:i/>
        </w:rPr>
        <w:t>ScienceDirect</w:t>
      </w:r>
      <w:r>
        <w:rPr/>
        <w:t xml:space="preserve">. Accounting, Organizations &amp; Society. Available at: </w:t>
      </w:r>
      <w:hyperlink r:id="rId4">
        <w:r>
          <w:rPr>
            <w:rStyle w:val="InternetLink"/>
          </w:rPr>
          <w:t>https://www.sciencedirect.com/science/article/abs/pii/S0361368201000484</w:t>
        </w:r>
      </w:hyperlink>
      <w:r>
        <w:rPr/>
        <w:t xml:space="preserve"> (Accessed: December 15, 2022). </w:t>
      </w:r>
    </w:p>
    <w:p>
      <w:pPr>
        <w:pStyle w:val="Normal"/>
        <w:numPr>
          <w:ilvl w:val="0"/>
          <w:numId w:val="2"/>
        </w:numPr>
        <w:bidi w:val="0"/>
        <w:spacing w:lineRule="auto" w:line="360" w:before="0" w:after="0"/>
        <w:jc w:val="both"/>
        <w:rPr/>
      </w:pPr>
      <w:r>
        <w:rPr/>
        <w:t xml:space="preserve">Bochner, S. (1994). </w:t>
      </w:r>
      <w:r>
        <w:rPr>
          <w:i/>
          <w:iCs/>
        </w:rPr>
        <w:t>Cross-Cultural Differences in the Self Concept: A Test of Hofstede’s Individualism/</w:t>
      </w:r>
      <w:r>
        <w:rPr>
          <w:rFonts w:eastAsia="NSimSun" w:cs="Lucida Sans"/>
          <w:i/>
          <w:iCs/>
          <w:color w:val="auto"/>
          <w:kern w:val="2"/>
          <w:sz w:val="24"/>
          <w:szCs w:val="24"/>
          <w:lang w:val="en-US" w:eastAsia="zh-CN" w:bidi="hi-IN"/>
        </w:rPr>
        <w:t>Collectivism</w:t>
      </w:r>
      <w:r>
        <w:rPr>
          <w:i/>
          <w:iCs/>
        </w:rPr>
        <w:t xml:space="preserve"> Distinction</w:t>
      </w:r>
      <w:r>
        <w:rPr/>
        <w:t xml:space="preserve">. Journal of Cross-Cultural Psychology, 25(2), 273–283. </w:t>
      </w:r>
      <w:hyperlink r:id="rId5">
        <w:r>
          <w:rPr>
            <w:rStyle w:val="InternetLink"/>
          </w:rPr>
          <w:t>https://doi.org/10.1177/0022022194252007</w:t>
        </w:r>
      </w:hyperlink>
    </w:p>
    <w:p>
      <w:pPr>
        <w:pStyle w:val="Normal"/>
        <w:numPr>
          <w:ilvl w:val="0"/>
          <w:numId w:val="2"/>
        </w:numPr>
        <w:bidi w:val="0"/>
        <w:spacing w:lineRule="auto" w:line="360" w:before="0" w:after="0"/>
        <w:jc w:val="both"/>
        <w:rPr/>
      </w:pPr>
      <w:r>
        <w:rPr>
          <w:i w:val="false"/>
          <w:iCs w:val="false"/>
          <w:lang w:val="en-GB"/>
        </w:rPr>
        <w:t xml:space="preserve">CASTUS (2022) </w:t>
      </w:r>
      <w:r>
        <w:rPr>
          <w:i/>
          <w:lang w:val="en-GB"/>
        </w:rPr>
        <w:t>How Starbucks missed the mark in Australia: Insights</w:t>
      </w:r>
      <w:r>
        <w:rPr>
          <w:lang w:val="en-GB"/>
        </w:rPr>
        <w:t xml:space="preserve"> (2022) </w:t>
      </w:r>
      <w:r>
        <w:rPr>
          <w:i/>
          <w:lang w:val="en-GB"/>
        </w:rPr>
        <w:t>CASTUS</w:t>
      </w:r>
      <w:r>
        <w:rPr>
          <w:lang w:val="en-GB"/>
        </w:rPr>
        <w:t xml:space="preserve">. Available at: </w:t>
      </w:r>
      <w:hyperlink r:id="rId6">
        <w:r>
          <w:rPr>
            <w:rStyle w:val="InternetLink"/>
            <w:lang w:val="en-GB"/>
          </w:rPr>
          <w:t>https://www.castusglobal.com/insights/how-starbucks-missed-the-mark-in-australia</w:t>
        </w:r>
      </w:hyperlink>
      <w:r>
        <w:rPr>
          <w:lang w:val="en-GB"/>
        </w:rPr>
        <w:t xml:space="preserve"> (Accessed: December 15, 2022). </w:t>
      </w:r>
    </w:p>
    <w:p>
      <w:pPr>
        <w:pStyle w:val="Normal"/>
        <w:numPr>
          <w:ilvl w:val="0"/>
          <w:numId w:val="2"/>
        </w:numPr>
        <w:bidi w:val="0"/>
        <w:spacing w:lineRule="auto" w:line="360" w:before="0" w:after="0"/>
        <w:jc w:val="both"/>
        <w:rPr/>
      </w:pPr>
      <w:r>
        <w:rPr>
          <w:lang w:val="en-GB"/>
        </w:rPr>
        <w:t xml:space="preserve">Hills, M.C. (2021) </w:t>
      </w:r>
      <w:r>
        <w:rPr>
          <w:i/>
          <w:lang w:val="en-GB"/>
        </w:rPr>
        <w:t>Three years after ad controversy, D&amp;G is still struggling to win back China</w:t>
      </w:r>
      <w:r>
        <w:rPr>
          <w:lang w:val="en-GB"/>
        </w:rPr>
        <w:t xml:space="preserve">, </w:t>
      </w:r>
      <w:r>
        <w:rPr>
          <w:i/>
          <w:lang w:val="en-GB"/>
        </w:rPr>
        <w:t>CNN</w:t>
      </w:r>
      <w:r>
        <w:rPr>
          <w:lang w:val="en-GB"/>
        </w:rPr>
        <w:t xml:space="preserve">. Cable News Network. Available at: </w:t>
      </w:r>
      <w:hyperlink r:id="rId7">
        <w:r>
          <w:rPr>
            <w:rStyle w:val="InternetLink"/>
            <w:lang w:val="en-GB"/>
          </w:rPr>
          <w:t>https://edition.cnn.com/style/article/dolce-gabbana-karen-mok-china/index.html</w:t>
        </w:r>
      </w:hyperlink>
      <w:r>
        <w:rPr>
          <w:lang w:val="en-GB"/>
        </w:rPr>
        <w:t xml:space="preserve"> (Accessed: December 14, 2022). </w:t>
      </w:r>
    </w:p>
    <w:p>
      <w:pPr>
        <w:pStyle w:val="Normal"/>
        <w:numPr>
          <w:ilvl w:val="0"/>
          <w:numId w:val="2"/>
        </w:numPr>
        <w:bidi w:val="0"/>
        <w:spacing w:lineRule="auto" w:line="360" w:before="0" w:after="0"/>
        <w:jc w:val="both"/>
        <w:rPr/>
      </w:pPr>
      <w:r>
        <w:rPr/>
        <w:t xml:space="preserve">Hofstede, G., 1984. </w:t>
      </w:r>
      <w:r>
        <w:rPr>
          <w:i/>
          <w:iCs/>
        </w:rPr>
        <w:t>Culture's consequences: International differences in work-related values</w:t>
      </w:r>
      <w:r>
        <w:rPr/>
        <w:t xml:space="preserve"> (Vol. 5). sage.</w:t>
      </w:r>
    </w:p>
    <w:p>
      <w:pPr>
        <w:pStyle w:val="TextBody"/>
        <w:numPr>
          <w:ilvl w:val="0"/>
          <w:numId w:val="2"/>
        </w:numPr>
        <w:bidi w:val="0"/>
        <w:spacing w:lineRule="auto" w:line="360" w:before="0" w:after="0"/>
        <w:jc w:val="both"/>
        <w:rPr/>
      </w:pPr>
      <w:r>
        <w:rPr/>
        <w:t xml:space="preserve">Hofstede, G. (2011). </w:t>
      </w:r>
      <w:r>
        <w:rPr>
          <w:i/>
          <w:iCs/>
        </w:rPr>
        <w:t>Dimensionalizing Cultures: The Hofstede Model in Context</w:t>
      </w:r>
      <w:r>
        <w:rPr/>
        <w:t xml:space="preserve">. Online Readings in Psychology and Culture, Unit 2. Available at: </w:t>
      </w:r>
      <w:hyperlink r:id="rId8">
        <w:r>
          <w:rPr>
            <w:rStyle w:val="InternetLink"/>
          </w:rPr>
          <w:t>http://scholarworks.gvsu.edu/orpc/vol2/iss1/8</w:t>
        </w:r>
      </w:hyperlink>
      <w:r>
        <w:rPr/>
        <w:t xml:space="preserve">  (Accessed: December 9, 2022)</w:t>
      </w:r>
    </w:p>
    <w:p>
      <w:pPr>
        <w:pStyle w:val="TextBody"/>
        <w:numPr>
          <w:ilvl w:val="0"/>
          <w:numId w:val="2"/>
        </w:numPr>
        <w:bidi w:val="0"/>
        <w:spacing w:lineRule="auto" w:line="360" w:before="0" w:after="0"/>
        <w:jc w:val="both"/>
        <w:rPr/>
      </w:pPr>
      <w:r>
        <w:rPr/>
        <w:t xml:space="preserve">Hofstede, G. (2003) </w:t>
      </w:r>
      <w:r>
        <w:rPr>
          <w:i/>
        </w:rPr>
        <w:t>What is culture? A reply to Baskerville,</w:t>
      </w:r>
      <w:r>
        <w:rPr/>
        <w:t xml:space="preserve"> </w:t>
      </w:r>
      <w:r>
        <w:rPr>
          <w:i/>
        </w:rPr>
        <w:t>Accounting, Organizations and Society</w:t>
      </w:r>
      <w:r>
        <w:rPr/>
        <w:t xml:space="preserve">. ScienceDirect. Available at: </w:t>
      </w:r>
      <w:hyperlink r:id="rId9">
        <w:r>
          <w:rPr>
            <w:rStyle w:val="InternetLink"/>
          </w:rPr>
          <w:t>https://www.sciencedirect.com/science/article/abs/pii/S0361368</w:t>
        </w:r>
      </w:hyperlink>
      <w:r>
        <w:rPr/>
        <w:t xml:space="preserve"> </w:t>
      </w:r>
      <w:hyperlink r:id="rId10">
        <w:r>
          <w:rPr>
            <w:rStyle w:val="InternetLink"/>
          </w:rPr>
          <w:t>203000187</w:t>
        </w:r>
      </w:hyperlink>
      <w:r>
        <w:rPr/>
        <w:t xml:space="preserve"> (Accessed: December 15, 2022). </w:t>
      </w:r>
    </w:p>
    <w:p>
      <w:pPr>
        <w:pStyle w:val="TextBody"/>
        <w:numPr>
          <w:ilvl w:val="0"/>
          <w:numId w:val="2"/>
        </w:numPr>
        <w:bidi w:val="0"/>
        <w:spacing w:lineRule="auto" w:line="360" w:before="0" w:after="0"/>
        <w:jc w:val="both"/>
        <w:rPr/>
      </w:pPr>
      <w:r>
        <w:rPr>
          <w:lang w:val="en-GB"/>
        </w:rPr>
        <w:t>Hofstede Insights</w:t>
      </w:r>
      <w:r>
        <w:rPr>
          <w:spacing w:val="-3"/>
          <w:lang w:val="en-GB"/>
        </w:rPr>
        <w:t xml:space="preserve"> </w:t>
      </w:r>
      <w:r>
        <w:rPr>
          <w:lang w:val="en-GB"/>
        </w:rPr>
        <w:t>(2022)</w:t>
      </w:r>
      <w:r>
        <w:rPr>
          <w:spacing w:val="-3"/>
          <w:lang w:val="en-GB"/>
        </w:rPr>
        <w:t xml:space="preserve"> C</w:t>
      </w:r>
      <w:r>
        <w:rPr>
          <w:i/>
          <w:iCs/>
          <w:lang w:val="en-GB"/>
        </w:rPr>
        <w:t xml:space="preserve">ountry Comparison </w:t>
      </w:r>
      <w:r>
        <w:rPr>
          <w:lang w:val="en-GB"/>
        </w:rPr>
        <w:t xml:space="preserve">[Online]. Available at: </w:t>
      </w:r>
      <w:hyperlink r:id="rId11">
        <w:r>
          <w:rPr>
            <w:rStyle w:val="InternetLink"/>
          </w:rPr>
          <w:t>https://www.hofstede-insights.com/country-comparison/</w:t>
        </w:r>
      </w:hyperlink>
      <w:r>
        <w:rPr>
          <w:lang w:val="en-GB"/>
        </w:rPr>
        <w:t xml:space="preserve"> (Accessed: 10 December </w:t>
      </w:r>
      <w:r>
        <w:rPr>
          <w:spacing w:val="-2"/>
          <w:lang w:val="en-GB"/>
        </w:rPr>
        <w:t>2022).</w:t>
      </w:r>
    </w:p>
    <w:p>
      <w:pPr>
        <w:pStyle w:val="TextBody"/>
        <w:numPr>
          <w:ilvl w:val="0"/>
          <w:numId w:val="2"/>
        </w:numPr>
        <w:bidi w:val="0"/>
        <w:spacing w:lineRule="auto" w:line="360" w:before="0" w:after="0"/>
        <w:jc w:val="both"/>
        <w:rPr/>
      </w:pPr>
      <w:r>
        <w:rPr>
          <w:spacing w:val="-2"/>
          <w:lang w:val="en-GB"/>
        </w:rPr>
        <w:t xml:space="preserve">Saini, L. (2022) </w:t>
      </w:r>
      <w:r>
        <w:rPr>
          <w:i/>
          <w:spacing w:val="-2"/>
          <w:lang w:val="en-GB"/>
        </w:rPr>
        <w:t>Why Walmart failed in Germany</w:t>
      </w:r>
      <w:r>
        <w:rPr>
          <w:spacing w:val="-2"/>
          <w:lang w:val="en-GB"/>
        </w:rPr>
        <w:t xml:space="preserve">, </w:t>
      </w:r>
      <w:r>
        <w:rPr>
          <w:i/>
          <w:spacing w:val="-2"/>
          <w:lang w:val="en-GB"/>
        </w:rPr>
        <w:t>Medium</w:t>
      </w:r>
      <w:r>
        <w:rPr>
          <w:spacing w:val="-2"/>
          <w:lang w:val="en-GB"/>
        </w:rPr>
        <w:t xml:space="preserve">. Better Marketing. Available at: </w:t>
      </w:r>
      <w:hyperlink r:id="rId12">
        <w:r>
          <w:rPr>
            <w:rStyle w:val="InternetLink"/>
            <w:spacing w:val="-2"/>
            <w:lang w:val="en-GB"/>
          </w:rPr>
          <w:t>https://bettermarketing.pub/why-walmart-failed-in-germany-3fdcc6469b89</w:t>
        </w:r>
      </w:hyperlink>
      <w:r>
        <w:rPr>
          <w:spacing w:val="-2"/>
          <w:lang w:val="en-GB"/>
        </w:rPr>
        <w:t xml:space="preserve">  (Accessed: December 15, 2022). </w:t>
      </w:r>
    </w:p>
    <w:p>
      <w:pPr>
        <w:pStyle w:val="TextBody"/>
        <w:numPr>
          <w:ilvl w:val="0"/>
          <w:numId w:val="2"/>
        </w:numPr>
        <w:bidi w:val="0"/>
        <w:spacing w:lineRule="auto" w:line="360" w:before="0" w:after="0"/>
        <w:jc w:val="both"/>
        <w:rPr/>
      </w:pPr>
      <w:r>
        <w:rPr>
          <w:spacing w:val="-2"/>
          <w:lang w:val="en-GB"/>
        </w:rPr>
        <w:t xml:space="preserve">Shedd, K. (2019) </w:t>
      </w:r>
      <w:r>
        <w:rPr>
          <w:i/>
          <w:spacing w:val="-2"/>
          <w:lang w:val="en-GB"/>
        </w:rPr>
        <w:t>Why Home Depot failed in China</w:t>
      </w:r>
      <w:r>
        <w:rPr>
          <w:spacing w:val="-2"/>
          <w:lang w:val="en-GB"/>
        </w:rPr>
        <w:t xml:space="preserve">, </w:t>
      </w:r>
      <w:r>
        <w:rPr>
          <w:i/>
          <w:spacing w:val="-2"/>
          <w:lang w:val="en-GB"/>
        </w:rPr>
        <w:t>CNBC</w:t>
      </w:r>
      <w:r>
        <w:rPr>
          <w:spacing w:val="-2"/>
          <w:lang w:val="en-GB"/>
        </w:rPr>
        <w:t xml:space="preserve">. CNBC. Available at: </w:t>
      </w:r>
      <w:hyperlink r:id="rId13">
        <w:r>
          <w:rPr>
            <w:rStyle w:val="InternetLink"/>
            <w:spacing w:val="-2"/>
            <w:lang w:val="en-GB"/>
          </w:rPr>
          <w:t>https://www.cnbc.com/2019/06/14/why-home-depot-failed-in-china.html</w:t>
        </w:r>
      </w:hyperlink>
      <w:r>
        <w:rPr>
          <w:spacing w:val="-2"/>
          <w:lang w:val="en-GB"/>
        </w:rPr>
        <w:t xml:space="preserve"> (Accessed: December 14, 2022). </w:t>
      </w:r>
    </w:p>
    <w:p>
      <w:pPr>
        <w:pStyle w:val="Normal"/>
        <w:bidi w:val="0"/>
        <w:spacing w:lineRule="auto" w:line="360" w:before="0" w:after="0"/>
        <w:jc w:val="both"/>
        <w:rPr>
          <w:spacing w:val="-2"/>
          <w:lang w:val="en-GB"/>
        </w:rPr>
      </w:pPr>
      <w:r>
        <w:rPr>
          <w:spacing w:val="-2"/>
          <w:lang w:val="en-GB"/>
        </w:rPr>
      </w:r>
    </w:p>
    <w:p>
      <w:pPr>
        <w:pStyle w:val="Normal"/>
        <w:bidi w:val="0"/>
        <w:spacing w:lineRule="auto" w:line="360"/>
        <w:jc w:val="both"/>
        <w:rPr/>
      </w:pPr>
      <w:r>
        <w:rPr/>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imes New Roman">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decimal"/>
      <w:lvlText w:val="%1."/>
      <w:lvlJc w:val="left"/>
      <w:pPr>
        <w:tabs>
          <w:tab w:val="num" w:pos="720"/>
        </w:tabs>
        <w:ind w:left="720" w:hanging="360"/>
      </w:pPr>
      <w:rPr/>
    </w:lvl>
    <w:lvl w:ilvl="1">
      <w:start w:val="1"/>
      <w:numFmt w:val="decimal"/>
      <w:lvlText w:val="%2."/>
      <w:lvlJc w:val="left"/>
      <w:pPr>
        <w:tabs>
          <w:tab w:val="num" w:pos="1080"/>
        </w:tabs>
        <w:ind w:left="1080" w:hanging="360"/>
      </w:pPr>
      <w:rPr/>
    </w:lvl>
    <w:lvl w:ilvl="2">
      <w:start w:val="1"/>
      <w:numFmt w:val="decimal"/>
      <w:lvlText w:val="%3."/>
      <w:lvlJc w:val="left"/>
      <w:pPr>
        <w:tabs>
          <w:tab w:val="num" w:pos="1440"/>
        </w:tabs>
        <w:ind w:left="1440" w:hanging="360"/>
      </w:pPr>
      <w:rPr/>
    </w:lvl>
    <w:lvl w:ilvl="3">
      <w:start w:val="1"/>
      <w:numFmt w:val="decimal"/>
      <w:lvlText w:val="%4."/>
      <w:lvlJc w:val="left"/>
      <w:pPr>
        <w:tabs>
          <w:tab w:val="num" w:pos="1800"/>
        </w:tabs>
        <w:ind w:left="1800" w:hanging="360"/>
      </w:pPr>
      <w:rPr/>
    </w:lvl>
    <w:lvl w:ilvl="4">
      <w:start w:val="1"/>
      <w:numFmt w:val="decimal"/>
      <w:lvlText w:val="%5."/>
      <w:lvlJc w:val="left"/>
      <w:pPr>
        <w:tabs>
          <w:tab w:val="num" w:pos="2160"/>
        </w:tabs>
        <w:ind w:left="2160" w:hanging="360"/>
      </w:pPr>
      <w:rPr/>
    </w:lvl>
    <w:lvl w:ilvl="5">
      <w:start w:val="1"/>
      <w:numFmt w:val="decimal"/>
      <w:lvlText w:val="%6."/>
      <w:lvlJc w:val="left"/>
      <w:pPr>
        <w:tabs>
          <w:tab w:val="num" w:pos="2520"/>
        </w:tabs>
        <w:ind w:left="2520" w:hanging="360"/>
      </w:pPr>
      <w:rPr/>
    </w:lvl>
    <w:lvl w:ilvl="6">
      <w:start w:val="1"/>
      <w:numFmt w:val="decimal"/>
      <w:lvlText w:val="%7."/>
      <w:lvlJc w:val="left"/>
      <w:pPr>
        <w:tabs>
          <w:tab w:val="num" w:pos="2880"/>
        </w:tabs>
        <w:ind w:left="2880" w:hanging="360"/>
      </w:pPr>
      <w:rPr/>
    </w:lvl>
    <w:lvl w:ilvl="7">
      <w:start w:val="1"/>
      <w:numFmt w:val="decimal"/>
      <w:lvlText w:val="%8."/>
      <w:lvlJc w:val="left"/>
      <w:pPr>
        <w:tabs>
          <w:tab w:val="num" w:pos="3240"/>
        </w:tabs>
        <w:ind w:left="3240" w:hanging="360"/>
      </w:pPr>
      <w:rPr/>
    </w:lvl>
    <w:lvl w:ilvl="8">
      <w:start w:val="1"/>
      <w:numFmt w:val="decimal"/>
      <w:lvlText w:val="%9."/>
      <w:lvlJc w:val="left"/>
      <w:pPr>
        <w:tabs>
          <w:tab w:val="num" w:pos="3600"/>
        </w:tabs>
        <w:ind w:left="3600" w:hanging="360"/>
      </w:pPr>
      <w:rPr/>
    </w:lvl>
  </w:abstractNum>
  <w:num w:numId="1">
    <w:abstractNumId w:val="1"/>
  </w:num>
  <w:num w:numId="2">
    <w:abstractNumId w:val="2"/>
  </w:num>
</w:numbering>
</file>

<file path=word/settings.xml><?xml version="1.0" encoding="utf-8"?>
<w:settings xmlns:w="http://schemas.openxmlformats.org/wordprocessingml/2006/main">
  <w:zoom w:percent="90"/>
  <w:defaultTabStop w:val="709"/>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Lucida Sans"/>
        <w:kern w:val="2"/>
        <w:sz w:val="24"/>
        <w:szCs w:val="24"/>
        <w:lang w:val="en-US"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overflowPunct w:val="false"/>
      <w:bidi w:val="0"/>
      <w:spacing w:before="0" w:after="0"/>
      <w:jc w:val="left"/>
    </w:pPr>
    <w:rPr>
      <w:rFonts w:ascii="Times New Roman" w:hAnsi="Times New Roman" w:eastAsia="NSimSun" w:cs="Lucida Sans"/>
      <w:color w:val="auto"/>
      <w:kern w:val="2"/>
      <w:sz w:val="24"/>
      <w:szCs w:val="24"/>
      <w:lang w:val="en-US" w:eastAsia="zh-CN" w:bidi="hi-IN"/>
    </w:rPr>
  </w:style>
  <w:style w:type="character" w:styleId="DefaultParagraphFont" w:default="1">
    <w:name w:val="Default Paragraph Font"/>
    <w:uiPriority w:val="1"/>
    <w:semiHidden/>
    <w:unhideWhenUsed/>
    <w:qFormat/>
    <w:rPr/>
  </w:style>
  <w:style w:type="character" w:styleId="InternetLink">
    <w:name w:val="Hyperlink"/>
    <w:rPr>
      <w:color w:val="000080"/>
      <w:u w:val="single"/>
      <w:lang w:val="en-US" w:eastAsia="en-US" w:bidi="en-US"/>
    </w:rPr>
  </w:style>
  <w:style w:type="character" w:styleId="NumberingSymbols" w:customStyle="1">
    <w:name w:val="Numbering Symbols"/>
    <w:qFormat/>
    <w:rPr/>
  </w:style>
  <w:style w:type="paragraph" w:styleId="Heading" w:customStyle="1">
    <w:name w:val="Heading"/>
    <w:basedOn w:val="Normal"/>
    <w:next w:val="TextBody"/>
    <w:qFormat/>
    <w:pPr>
      <w:keepNext w:val="true"/>
      <w:spacing w:before="240" w:after="120"/>
    </w:pPr>
    <w:rPr>
      <w:rFonts w:ascii="Times New Roman" w:hAnsi="Times New Roman"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customStyle="1">
    <w:name w:val="Caption"/>
    <w:basedOn w:val="Normal"/>
    <w:qFormat/>
    <w:pPr>
      <w:suppressLineNumbers/>
      <w:spacing w:before="120" w:after="120"/>
    </w:pPr>
    <w:rPr>
      <w:rFonts w:cs="Lucida Sans"/>
      <w:i/>
      <w:iCs/>
      <w:sz w:val="24"/>
      <w:szCs w:val="24"/>
    </w:rPr>
  </w:style>
  <w:style w:type="paragraph" w:styleId="Index" w:customStyle="1">
    <w:name w:val="Index"/>
    <w:basedOn w:val="Normal"/>
    <w:qFormat/>
    <w:pPr>
      <w:suppressLineNumbers/>
    </w:pPr>
    <w:rPr>
      <w:rFonts w:cs="Lucida Sans"/>
      <w:lang w:val="en-US" w:eastAsia="en-US" w:bidi="en-U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hyperlink" Target="https://www.sciencedirect.com/science/article/abs/pii/S0361368201000484" TargetMode="External"/><Relationship Id="rId5" Type="http://schemas.openxmlformats.org/officeDocument/2006/relationships/hyperlink" Target="https://doi.org/10.1177/0022022194252007" TargetMode="External"/><Relationship Id="rId6" Type="http://schemas.openxmlformats.org/officeDocument/2006/relationships/hyperlink" Target="https://www.castusglobal.com/insights/how-starbucks-missed-the-mark-in-australia" TargetMode="External"/><Relationship Id="rId7" Type="http://schemas.openxmlformats.org/officeDocument/2006/relationships/hyperlink" Target="https://edition.cnn.com/style/article/dolce-gabbana-karen-mok-china/index.html" TargetMode="External"/><Relationship Id="rId8" Type="http://schemas.openxmlformats.org/officeDocument/2006/relationships/hyperlink" Target="http://scholarworks.gvsu.edu/orpc/vol2/iss1/8" TargetMode="External"/><Relationship Id="rId9" Type="http://schemas.openxmlformats.org/officeDocument/2006/relationships/hyperlink" Target="https://www.sciencedirect.com/science/article/abs/pii/S0361368" TargetMode="External"/><Relationship Id="rId10" Type="http://schemas.openxmlformats.org/officeDocument/2006/relationships/hyperlink" Target="https://www.sciencedirect.com/science/article/abs/pii/S0361368203000187" TargetMode="External"/><Relationship Id="rId11" Type="http://schemas.openxmlformats.org/officeDocument/2006/relationships/hyperlink" Target="https://www.hofstede-insights.com/country-comparison/" TargetMode="External"/><Relationship Id="rId12" Type="http://schemas.openxmlformats.org/officeDocument/2006/relationships/hyperlink" Target="https://bettermarketing.pub/why-walmart-failed-in-germany-3fdcc6469b89" TargetMode="External"/><Relationship Id="rId13" Type="http://schemas.openxmlformats.org/officeDocument/2006/relationships/hyperlink" Target="https://www.cnbc.com/2019/06/14/why-home-depot-failed-in-china.html" TargetMode="External"/><Relationship Id="rId14" Type="http://schemas.openxmlformats.org/officeDocument/2006/relationships/numbering" Target="numbering.xml"/><Relationship Id="rId15" Type="http://schemas.openxmlformats.org/officeDocument/2006/relationships/fontTable" Target="fontTable.xml"/><Relationship Id="rId16" Type="http://schemas.openxmlformats.org/officeDocument/2006/relationships/settings" Target="settings.xml"/><Relationship Id="rId1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
  <TotalTime>418</TotalTime>
  <Application>LibreOffice/7.3.4.2$Windows_X86_64 LibreOffice_project/728fec16bd5f605073805c3c9e7c4212a0120dc5</Application>
  <AppVersion>15.0000</AppVersion>
  <Pages>3</Pages>
  <Words>2213</Words>
  <Characters>12169</Characters>
  <CharactersWithSpaces>14369</CharactersWithSpaces>
  <Paragraphs>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2022-11-01T22:25:01Z</dcterms:created>
  <dc:creator/>
  <dc:description/>
  <dc:language>en-US</dc:language>
  <cp:lastModifiedBy/>
  <dcterms:modified xsi:type="dcterms:W3CDTF">2022-12-15T19:46:47Z</dcterms:modified>
  <cp:revision>31</cp:revision>
  <dc:subject/>
  <dc:title/>
</cp:coreProperties>
</file>

<file path=docProps/custom.xml><?xml version="1.0" encoding="utf-8"?>
<Properties xmlns="http://schemas.openxmlformats.org/officeDocument/2006/custom-properties" xmlns:vt="http://schemas.openxmlformats.org/officeDocument/2006/docPropsVTypes"/>
</file>