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652A9" w14:textId="77777777" w:rsidR="00824536" w:rsidRDefault="003A45AB">
      <w:r>
        <w:rPr>
          <w:noProof/>
        </w:rPr>
        <mc:AlternateContent>
          <mc:Choice Requires="wps">
            <w:drawing>
              <wp:anchor distT="45720" distB="45720" distL="114300" distR="114300" simplePos="0" relativeHeight="251664384" behindDoc="0" locked="0" layoutInCell="1" allowOverlap="1" wp14:anchorId="70EE1B4D" wp14:editId="799A5799">
                <wp:simplePos x="0" y="0"/>
                <wp:positionH relativeFrom="column">
                  <wp:posOffset>5276850</wp:posOffset>
                </wp:positionH>
                <wp:positionV relativeFrom="paragraph">
                  <wp:posOffset>635</wp:posOffset>
                </wp:positionV>
                <wp:extent cx="876935" cy="257810"/>
                <wp:effectExtent l="0" t="0" r="19050" b="28575"/>
                <wp:wrapSquare wrapText="bothSides"/>
                <wp:docPr id="1" name="Text Box 2"/>
                <wp:cNvGraphicFramePr/>
                <a:graphic xmlns:a="http://schemas.openxmlformats.org/drawingml/2006/main">
                  <a:graphicData uri="http://schemas.microsoft.com/office/word/2010/wordprocessingShape">
                    <wps:wsp>
                      <wps:cNvSpPr/>
                      <wps:spPr>
                        <a:xfrm>
                          <a:off x="0" y="0"/>
                          <a:ext cx="876935" cy="257810"/>
                        </a:xfrm>
                        <a:prstGeom prst="rect">
                          <a:avLst/>
                        </a:prstGeom>
                        <a:solidFill>
                          <a:srgbClr val="FFFFFF"/>
                        </a:solidFill>
                        <a:ln w="9360">
                          <a:solidFill>
                            <a:srgbClr val="000000"/>
                          </a:solidFill>
                          <a:miter lim="0"/>
                        </a:ln>
                      </wps:spPr>
                      <wps:txbx>
                        <w:txbxContent>
                          <w:p w14:paraId="2BE1622D" w14:textId="77777777" w:rsidR="00824536" w:rsidRDefault="003A45AB">
                            <w:pPr>
                              <w:pStyle w:val="FrameContents"/>
                            </w:pPr>
                            <w:r>
                              <w:t>06/11/2020</w:t>
                            </w:r>
                          </w:p>
                        </w:txbxContent>
                      </wps:txbx>
                      <wps:bodyPr/>
                    </wps:wsp>
                  </a:graphicData>
                </a:graphic>
              </wp:anchor>
            </w:drawing>
          </mc:Choice>
          <mc:Fallback>
            <w:pict>
              <v:rect w14:anchorId="70EE1B4D" id="Text Box 2" o:spid="_x0000_s1026" style="position:absolute;margin-left:415.5pt;margin-top:.05pt;width:69.05pt;height:20.3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" strokeweight=".26mm">
                <v:stroke miterlimit="0"/>
                <v:textbox>
                  <w:txbxContent>
                    <w:p w14:paraId="2BE1622D" w14:textId="77777777" w:rsidR="00824536" w:rsidRDefault="003A45AB">
                      <w:pPr>
                        <w:pStyle w:val="FrameContents"/>
                      </w:pPr>
                      <w:r>
                        <w:t>06/11/2020</w:t>
                      </w:r>
                    </w:p>
                  </w:txbxContent>
                </v:textbox>
                <w10:wrap type="square"/>
              </v:rect>
            </w:pict>
          </mc:Fallback>
        </mc:AlternateContent>
      </w:r>
    </w:p>
    <w:p w14:paraId="453DFD3A" w14:textId="77777777" w:rsidR="00824536" w:rsidRDefault="003A45AB">
      <w:r>
        <w:rPr>
          <w:noProof/>
        </w:rPr>
        <mc:AlternateContent>
          <mc:Choice Requires="wpg">
            <w:drawing>
              <wp:anchor distT="0" distB="0" distL="0" distR="0" simplePos="0" relativeHeight="251659264" behindDoc="1" locked="0" layoutInCell="1" allowOverlap="1" wp14:anchorId="311F87E3" wp14:editId="21ACDA52">
                <wp:simplePos x="0" y="0"/>
                <wp:positionH relativeFrom="margin">
                  <wp:align>center</wp:align>
                </wp:positionH>
                <wp:positionV relativeFrom="page">
                  <wp:posOffset>480695</wp:posOffset>
                </wp:positionV>
                <wp:extent cx="6591236" cy="7163727"/>
                <wp:effectExtent l="0" t="0" r="0" b="0"/>
                <wp:wrapNone/>
                <wp:docPr id="3" name="Group 125"/>
                <wp:cNvGraphicFramePr/>
                <a:graphic xmlns:a="http://schemas.openxmlformats.org/drawingml/2006/main">
                  <a:graphicData uri="http://schemas.microsoft.com/office/word/2010/wordprocessingGroup">
                    <wpg:wgp>
                      <wpg:cNvGrpSpPr/>
                      <wpg:grpSpPr>
                        <a:xfrm>
                          <a:off x="0" y="0"/>
                          <a:ext cx="6591236" cy="7163727"/>
                          <a:chOff x="0" y="0"/>
                          <a:chExt cx="0" cy="0"/>
                        </a:xfrm>
                      </wpg:grpSpPr>
                      <wps:wsp>
                        <wps:cNvPr id="2" name="Freeform: Shape 2"/>
                        <wps:cNvSpPr/>
                        <wps:spPr>
                          <a:xfrm>
                            <a:off x="0" y="0"/>
                            <a:ext cx="6853680" cy="7068240"/>
                          </a:xfrm>
                          <a:custGeom>
                            <a:avLst/>
                            <a:gdLst/>
                            <a:ahLst/>
                            <a:cxnLst/>
                            <a:rect l="l" t="t"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inor"/>
                        </wps:style>
                        <wps:txbx>
                          <w:txbxContent>
                            <w:p w14:paraId="4E9409D2" w14:textId="77777777" w:rsidR="00824536" w:rsidRDefault="003A45AB">
                              <w:pPr>
                                <w:overflowPunct w:val="0"/>
                                <w:spacing w:after="0" w:line="240" w:lineRule="auto"/>
                              </w:pPr>
                              <w:r>
                                <w:rPr>
                                  <w:rFonts w:ascii="Calibri Light" w:hAnsi="Calibri Light"/>
                                  <w:color w:val="FFFFFF"/>
                                  <w:sz w:val="72"/>
                                  <w:szCs w:val="72"/>
                                </w:rPr>
                                <w:t>Forensic Recovery and Examination</w:t>
                              </w:r>
                            </w:p>
                          </w:txbxContent>
                        </wps:txbx>
                        <wps:bodyPr lIns="914400" tIns="1097280" rIns="1097280" bIns="1097280" anchor="b"/>
                      </wps:wsp>
                      <wps:wsp>
                        <wps:cNvPr id="4" name="Freeform: Shape 4"/>
                        <wps:cNvSpPr/>
                        <wps:spPr>
                          <a:xfrm>
                            <a:off x="1080720" y="6238800"/>
                            <a:ext cx="5777280" cy="666000"/>
                          </a:xfrm>
                          <a:custGeom>
                            <a:avLst/>
                            <a:gdLst/>
                            <a:ahLst/>
                            <a:cxnLst/>
                            <a:rect l="l" t="t"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wps:wsp>
                    </wpg:wgp>
                  </a:graphicData>
                </a:graphic>
                <wp14:sizeRelH relativeFrom="margin">
                  <wp14:pctWidth>115000</wp14:pctWidth>
                </wp14:sizeRelH>
                <wp14:sizeRelV relativeFrom="page">
                  <wp14:pctHeight>67000</wp14:pctHeight>
                </wp14:sizeRelV>
              </wp:anchor>
            </w:drawing>
          </mc:Choice>
          <mc:Fallback>
            <w:pict>
              <v:group w14:anchorId="311F87E3" id="Group 125" o:spid="_x0000_s1027" style="position:absolute;margin-left:0;margin-top:37.85pt;width:519pt;height:564.05pt;z-index:-251657216;mso-width-percent:1150;mso-height-percent:670;mso-wrap-distance-left:0;mso-wrap-distance-right:0;mso-position-horizontal:center;mso-position-horizontal-relative:margin;mso-position-vertical-relative:page;mso-width-percent:1150;mso-height-percent:670;mso-width-relative:margin"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">
                <v:shape id="Freeform: Shape 2" o:spid="_x0000_s1028" style="position:absolute;width:6853680;height:706824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textboxrect="0,0,720,700"/>
                  <v:textbox inset="1in,86.4pt,86.4pt,86.4pt">
                    <w:txbxContent>
                      <w:p w14:paraId="4E9409D2" w14:textId="77777777" w:rsidR="00824536" w:rsidRDefault="003A45AB">
                        <w:pPr>
                          <w:overflowPunct w:val="0"/>
                          <w:spacing w:after="0" w:line="240" w:lineRule="auto"/>
                        </w:pPr>
                        <w:r>
                          <w:rPr>
                            <w:rFonts w:ascii="Calibri Light" w:hAnsi="Calibri Light"/>
                            <w:color w:val="FFFFFF"/>
                            <w:sz w:val="72"/>
                            <w:szCs w:val="72"/>
                          </w:rPr>
                          <w:t>Forensic Recovery and Examination</w:t>
                        </w:r>
                      </w:p>
                    </w:txbxContent>
                  </v:textbox>
                </v:shape>
                <v:shape id="Freeform: Shape 4" o:spid="_x0000_s1029" style="position:absolute;left:1080720;top:6238800;width:5777280;height:666000;visibility:visible;mso-wrap-style:square;v-text-anchor:top"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" path="m607,c450,44,300,57,176,57,109,57,49,53,,48,66,58,152,66,251,66,358,66,480,56,607,27,607,,607,,607,e" fillcolor="white [3212]" stroked="f">
                  <v:fill opacity="19789f"/>
                  <v:path arrowok="t"/>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F4040DF" wp14:editId="5F0596FB">
                <wp:simplePos x="0" y="0"/>
                <wp:positionH relativeFrom="margin">
                  <wp:align>center</wp:align>
                </wp:positionH>
                <wp:positionV relativeFrom="page">
                  <wp:posOffset>8056245</wp:posOffset>
                </wp:positionV>
                <wp:extent cx="6591236" cy="1104900"/>
                <wp:effectExtent l="0" t="0" r="0" b="6350"/>
                <wp:wrapSquare wrapText="bothSides"/>
                <wp:docPr id="5" name="Text Box 129"/>
                <wp:cNvGraphicFramePr/>
                <a:graphic xmlns:a="http://schemas.openxmlformats.org/drawingml/2006/main">
                  <a:graphicData uri="http://schemas.microsoft.com/office/word/2010/wordprocessingShape">
                    <wps:wsp>
                      <wps:cNvSpPr/>
                      <wps:spPr>
                        <a:xfrm>
                          <a:off x="0" y="0"/>
                          <a:ext cx="6591236" cy="1104900"/>
                        </a:xfrm>
                        <a:prstGeom prst="rect">
                          <a:avLst/>
                        </a:prstGeom>
                        <a:noFill/>
                        <a:ln w="6480">
                          <a:noFill/>
                        </a:ln>
                      </wps:spPr>
                      <wps:style>
                        <a:lnRef idx="0">
                          <a:schemeClr val="accent1"/>
                        </a:lnRef>
                        <a:fillRef idx="0">
                          <a:schemeClr val="accent1"/>
                        </a:fillRef>
                        <a:effectRef idx="0">
                          <a:schemeClr val="accent1"/>
                        </a:effectRef>
                        <a:fontRef idx="minor"/>
                      </wps:style>
                      <wps:txbx>
                        <w:txbxContent>
                          <w:p w14:paraId="414634FD" w14:textId="77777777" w:rsidR="00824536" w:rsidRDefault="00A9352B">
                            <w:pPr>
                              <w:pStyle w:val="NoSpacing"/>
                              <w:spacing w:before="40" w:after="40"/>
                              <w:rPr>
                                <w:caps/>
                                <w:color w:val="4472C4" w:themeColor="accent1"/>
                                <w:sz w:val="28"/>
                                <w:szCs w:val="28"/>
                              </w:rPr>
                            </w:pPr>
                            <w:sdt>
                              <w:sdtPr>
                                <w:alias w:val="Subtitle"/>
                                <w:id w:val="1552058660"/>
                              </w:sdtPr>
                              <w:sdtEndPr/>
                              <w:sdtContent>
                                <w:r w:rsidR="003A45AB">
                                  <w:rPr>
                                    <w:caps/>
                                    <w:color w:val="4472C4" w:themeColor="accent1"/>
                                    <w:sz w:val="28"/>
                                    <w:szCs w:val="28"/>
                                  </w:rPr>
                                  <w:t>Critically evaluate the processes and procedures adopted by the First Attending Officer and the methods in practice for the recovery and examination of forensic evidence at crime scenes</w:t>
                                </w:r>
                              </w:sdtContent>
                            </w:sdt>
                          </w:p>
                          <w:sdt>
                            <w:sdtPr>
                              <w:alias w:val="Author"/>
                              <w:id w:val="567863052"/>
                              <w:dataBinding w:prefixMappings="xmlns:ns0='http://purl.org/dc/elements/1.1/' xmlns:ns1='http://schemas.openxmlformats.org/package/2006/metadata/core-properties' " w:xpath="/ns1:coreProperties[1]/ns0:creator[1]" w:storeItemID="{6C3C8BC8-F283-45AE-878A-BAB7291924A1}"/>
                              <w:text/>
                            </w:sdtPr>
                            <w:sdtEndPr/>
                            <w:sdtContent>
                              <w:p w14:paraId="3D6BA02F" w14:textId="24BFD6E1" w:rsidR="00824536" w:rsidRDefault="00811EEA">
                                <w:pPr>
                                  <w:pStyle w:val="NoSpacing"/>
                                  <w:spacing w:before="40" w:after="40"/>
                                </w:pPr>
                                <w:r>
                                  <w:t>Sean Matthews-1801606</w:t>
                                </w:r>
                              </w:p>
                            </w:sdtContent>
                          </w:sdt>
                        </w:txbxContent>
                      </wps:txbx>
                      <wps:bodyPr lIns="914400" tIns="0" rIns="1097280" bIns="0">
                        <a:prstTxWarp prst="textNoShape">
                          <a:avLst/>
                        </a:prstTxWarp>
                        <a:spAutoFit/>
                      </wps:bodyPr>
                    </wps:wsp>
                  </a:graphicData>
                </a:graphic>
                <wp14:sizeRelH relativeFrom="margin">
                  <wp14:pctWidth>115000</wp14:pctWidth>
                </wp14:sizeRelH>
              </wp:anchor>
            </w:drawing>
          </mc:Choice>
          <mc:Fallback>
            <w:pict>
              <v:rect w14:anchorId="7F4040DF" id="Text Box 129" o:spid="_x0000_s1030" style="position:absolute;margin-left:0;margin-top:634.35pt;width:519pt;height:87pt;z-index:251662336;visibility:visible;mso-wrap-style:square;mso-width-percent:1150;mso-wrap-distance-left:9pt;mso-wrap-distance-top:0;mso-wrap-distance-right:9pt;mso-wrap-distance-bottom:0;mso-position-horizontal:center;mso-position-horizontal-relative:margin;mso-position-vertical:absolute;mso-position-vertical-relative:page;mso-width-percent:115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" filled="f" stroked="f" strokeweight=".18mm">
                <v:textbox style="mso-fit-shape-to-text:t" inset="1in,0,86.4pt,0">
                  <w:txbxContent>
                    <w:p w14:paraId="414634FD" w14:textId="77777777" w:rsidR="00824536" w:rsidRDefault="00A9352B">
                      <w:pPr>
                        <w:pStyle w:val="NoSpacing"/>
                        <w:spacing w:before="40" w:after="40"/>
                        <w:rPr>
                          <w:caps/>
                          <w:color w:val="4472C4" w:themeColor="accent1"/>
                          <w:sz w:val="28"/>
                          <w:szCs w:val="28"/>
                        </w:rPr>
                      </w:pPr>
                      <w:sdt>
                        <w:sdtPr>
                          <w:alias w:val="Subtitle"/>
                          <w:id w:val="1552058660"/>
                        </w:sdtPr>
                        <w:sdtEndPr/>
                        <w:sdtContent>
                          <w:r w:rsidR="003A45AB">
                            <w:rPr>
                              <w:caps/>
                              <w:color w:val="4472C4" w:themeColor="accent1"/>
                              <w:sz w:val="28"/>
                              <w:szCs w:val="28"/>
                            </w:rPr>
                            <w:t>Critically evaluate the processes and procedures adopted by the First Attending Officer and the methods in practice for the recovery and examination of forensic evidence at crime scenes</w:t>
                          </w:r>
                        </w:sdtContent>
                      </w:sdt>
                    </w:p>
                    <w:sdt>
                      <w:sdtPr>
                        <w:alias w:val="Author"/>
                        <w:id w:val="567863052"/>
                        <w:dataBinding w:prefixMappings="xmlns:ns0='http://purl.org/dc/elements/1.1/' xmlns:ns1='http://schemas.openxmlformats.org/package/2006/metadata/core-properties' " w:xpath="/ns1:coreProperties[1]/ns0:creator[1]" w:storeItemID="{6C3C8BC8-F283-45AE-878A-BAB7291924A1}"/>
                        <w:text/>
                      </w:sdtPr>
                      <w:sdtEndPr/>
                      <w:sdtContent>
                        <w:p w14:paraId="3D6BA02F" w14:textId="24BFD6E1" w:rsidR="00824536" w:rsidRDefault="00811EEA">
                          <w:pPr>
                            <w:pStyle w:val="NoSpacing"/>
                            <w:spacing w:before="40" w:after="40"/>
                          </w:pPr>
                          <w:r>
                            <w:t>Sean Matthews-1801606</w:t>
                          </w:r>
                        </w:p>
                      </w:sdtContent>
                    </w:sdt>
                  </w:txbxContent>
                </v:textbox>
                <w10:wrap type="square" anchorx="margin" anchory="page"/>
              </v:rect>
            </w:pict>
          </mc:Fallback>
        </mc:AlternateContent>
      </w:r>
      <w:r>
        <w:rPr>
          <w:noProof/>
        </w:rPr>
        <mc:AlternateContent>
          <mc:Choice Requires="wps">
            <w:drawing>
              <wp:anchor distT="0" distB="0" distL="114300" distR="114300" simplePos="0" relativeHeight="251663360" behindDoc="0" locked="0" layoutInCell="1" allowOverlap="1" wp14:anchorId="747E11A4" wp14:editId="2377C773">
                <wp:simplePos x="0" y="0"/>
                <wp:positionH relativeFrom="page">
                  <wp:align>center</wp:align>
                </wp:positionH>
                <wp:positionV relativeFrom="margin">
                  <wp:align>bottom</wp:align>
                </wp:positionV>
                <wp:extent cx="6591236" cy="139065"/>
                <wp:effectExtent l="0" t="0" r="0" b="5715"/>
                <wp:wrapSquare wrapText="bothSides"/>
                <wp:docPr id="6" name="Text Box 128"/>
                <wp:cNvGraphicFramePr/>
                <a:graphic xmlns:a="http://schemas.openxmlformats.org/drawingml/2006/main">
                  <a:graphicData uri="http://schemas.microsoft.com/office/word/2010/wordprocessingShape">
                    <wps:wsp>
                      <wps:cNvSpPr/>
                      <wps:spPr>
                        <a:xfrm>
                          <a:off x="0" y="0"/>
                          <a:ext cx="6591236" cy="139065"/>
                        </a:xfrm>
                        <a:prstGeom prst="rect">
                          <a:avLst/>
                        </a:prstGeom>
                        <a:noFill/>
                        <a:ln w="6480">
                          <a:noFill/>
                        </a:ln>
                      </wps:spPr>
                      <wps:style>
                        <a:lnRef idx="0">
                          <a:schemeClr val="accent1"/>
                        </a:lnRef>
                        <a:fillRef idx="0">
                          <a:schemeClr val="accent1"/>
                        </a:fillRef>
                        <a:effectRef idx="0">
                          <a:schemeClr val="accent1"/>
                        </a:effectRef>
                        <a:fontRef idx="minor"/>
                      </wps:style>
                      <wps:txbx>
                        <w:txbxContent>
                          <w:p w14:paraId="70AC3BAA" w14:textId="77777777" w:rsidR="00824536" w:rsidRDefault="00A9352B">
                            <w:pPr>
                              <w:pStyle w:val="NoSpacing"/>
                            </w:pPr>
                            <w:sdt>
                              <w:sdtPr>
                                <w:alias w:val="Company"/>
                                <w:id w:val="907621679"/>
                              </w:sdtPr>
                              <w:sdtEndPr/>
                              <w:sdtContent>
                                <w:r w:rsidR="003A45AB">
                                  <w:rPr>
                                    <w:caps/>
                                    <w:color w:val="7F7F7F" w:themeColor="text1" w:themeTint="80"/>
                                    <w:sz w:val="18"/>
                                    <w:szCs w:val="18"/>
                                  </w:rPr>
                                  <w:t>WYNNE JONES</w:t>
                                </w:r>
                              </w:sdtContent>
                            </w:sdt>
                            <w:r w:rsidR="003A45AB">
                              <w:rPr>
                                <w:caps/>
                                <w:color w:val="7F7F7F" w:themeColor="text1" w:themeTint="80"/>
                                <w:sz w:val="18"/>
                                <w:szCs w:val="18"/>
                              </w:rPr>
                              <w:t> </w:t>
                            </w:r>
                            <w:r w:rsidR="003A45AB">
                              <w:rPr>
                                <w:color w:val="7F7F7F" w:themeColor="text1" w:themeTint="80"/>
                                <w:sz w:val="18"/>
                                <w:szCs w:val="18"/>
                              </w:rPr>
                              <w:t>| </w:t>
                            </w:r>
                            <w:sdt>
                              <w:sdtPr>
                                <w:alias w:val="Address"/>
                                <w:id w:val="1945589477"/>
                              </w:sdtPr>
                              <w:sdtEndPr/>
                              <w:sdtContent>
                                <w:r w:rsidR="003A45AB">
                                  <w:rPr>
                                    <w:color w:val="7F7F7F" w:themeColor="text1" w:themeTint="80"/>
                                    <w:sz w:val="18"/>
                                    <w:szCs w:val="18"/>
                                  </w:rPr>
                                  <w:t>Forensic Recovery and Examination</w:t>
                                </w:r>
                              </w:sdtContent>
                            </w:sdt>
                          </w:p>
                        </w:txbxContent>
                      </wps:txbx>
                      <wps:bodyPr lIns="914400" tIns="0" rIns="1097280" bIns="0" anchor="b">
                        <a:prstTxWarp prst="textNoShape">
                          <a:avLst/>
                        </a:prstTxWarp>
                        <a:spAutoFit/>
                      </wps:bodyPr>
                    </wps:wsp>
                  </a:graphicData>
                </a:graphic>
                <wp14:sizeRelH relativeFrom="margin">
                  <wp14:pctWidth>115000</wp14:pctWidth>
                </wp14:sizeRelH>
              </wp:anchor>
            </w:drawing>
          </mc:Choice>
          <mc:Fallback>
            <w:pict>
              <v:rect w14:anchorId="747E11A4" id="Text Box 128" o:spid="_x0000_s1031" style="position:absolute;margin-left:0;margin-top:0;width:519pt;height:10.95pt;z-index:251663360;visibility:visible;mso-wrap-style:square;mso-width-percent:1150;mso-wrap-distance-left:9pt;mso-wrap-distance-top:0;mso-wrap-distance-right:9pt;mso-wrap-distance-bottom:0;mso-position-horizontal:center;mso-position-horizontal-relative:page;mso-position-vertical:bottom;mso-position-vertical-relative:margin;mso-width-percent:115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" filled="f" stroked="f" strokeweight=".18mm">
                <v:textbox style="mso-fit-shape-to-text:t" inset="1in,0,86.4pt,0">
                  <w:txbxContent>
                    <w:p w14:paraId="70AC3BAA" w14:textId="77777777" w:rsidR="00824536" w:rsidRDefault="00A9352B">
                      <w:pPr>
                        <w:pStyle w:val="NoSpacing"/>
                      </w:pPr>
                      <w:sdt>
                        <w:sdtPr>
                          <w:alias w:val="Company"/>
                          <w:id w:val="907621679"/>
                        </w:sdtPr>
                        <w:sdtEndPr/>
                        <w:sdtContent>
                          <w:r w:rsidR="003A45AB">
                            <w:rPr>
                              <w:caps/>
                              <w:color w:val="7F7F7F" w:themeColor="text1" w:themeTint="80"/>
                              <w:sz w:val="18"/>
                              <w:szCs w:val="18"/>
                            </w:rPr>
                            <w:t>WYNNE JONES</w:t>
                          </w:r>
                        </w:sdtContent>
                      </w:sdt>
                      <w:r w:rsidR="003A45AB">
                        <w:rPr>
                          <w:caps/>
                          <w:color w:val="7F7F7F" w:themeColor="text1" w:themeTint="80"/>
                          <w:sz w:val="18"/>
                          <w:szCs w:val="18"/>
                        </w:rPr>
                        <w:t> </w:t>
                      </w:r>
                      <w:r w:rsidR="003A45AB">
                        <w:rPr>
                          <w:color w:val="7F7F7F" w:themeColor="text1" w:themeTint="80"/>
                          <w:sz w:val="18"/>
                          <w:szCs w:val="18"/>
                        </w:rPr>
                        <w:t>| </w:t>
                      </w:r>
                      <w:sdt>
                        <w:sdtPr>
                          <w:alias w:val="Address"/>
                          <w:id w:val="1945589477"/>
                        </w:sdtPr>
                        <w:sdtEndPr/>
                        <w:sdtContent>
                          <w:r w:rsidR="003A45AB">
                            <w:rPr>
                              <w:color w:val="7F7F7F" w:themeColor="text1" w:themeTint="80"/>
                              <w:sz w:val="18"/>
                              <w:szCs w:val="18"/>
                            </w:rPr>
                            <w:t>Forensic Recovery and Examination</w:t>
                          </w:r>
                        </w:sdtContent>
                      </w:sdt>
                    </w:p>
                  </w:txbxContent>
                </v:textbox>
                <w10:wrap type="square" anchorx="page" anchory="margin"/>
              </v:rect>
            </w:pict>
          </mc:Fallback>
        </mc:AlternateContent>
      </w:r>
      <w:r>
        <w:br w:type="page"/>
      </w:r>
    </w:p>
    <w:p w14:paraId="7628801F" w14:textId="77777777" w:rsidR="00824536" w:rsidRDefault="003A45AB">
      <w:pPr>
        <w:rPr>
          <w:b/>
          <w:bCs/>
          <w:u w:val="single"/>
        </w:rPr>
      </w:pPr>
      <w:r>
        <w:rPr>
          <w:b/>
          <w:bCs/>
          <w:u w:val="single"/>
        </w:rPr>
        <w:lastRenderedPageBreak/>
        <w:t>PART A</w:t>
      </w:r>
    </w:p>
    <w:p w14:paraId="0AC80E3D" w14:textId="77777777" w:rsidR="00824536" w:rsidRDefault="003A45AB" w:rsidP="003A45AB">
      <w:pPr>
        <w:spacing w:line="480" w:lineRule="auto"/>
        <w:rPr>
          <w:rFonts w:ascii="Arial" w:hAnsi="Arial" w:cs="Arial"/>
          <w:sz w:val="24"/>
          <w:szCs w:val="24"/>
        </w:rPr>
      </w:pPr>
      <w:r>
        <w:rPr>
          <w:rFonts w:ascii="Arial" w:hAnsi="Arial" w:cs="Arial"/>
          <w:sz w:val="24"/>
          <w:szCs w:val="24"/>
        </w:rPr>
        <w:t xml:space="preserve">This part of the assignment will be looking over the </w:t>
      </w:r>
      <w:bookmarkStart w:id="0" w:name="_Hlk53221554"/>
      <w:r>
        <w:rPr>
          <w:rFonts w:ascii="Arial" w:hAnsi="Arial" w:cs="Arial"/>
          <w:sz w:val="24"/>
          <w:szCs w:val="24"/>
        </w:rPr>
        <w:t xml:space="preserve">processes and procedures </w:t>
      </w:r>
      <w:bookmarkEnd w:id="0"/>
      <w:r>
        <w:rPr>
          <w:rFonts w:ascii="Arial" w:hAnsi="Arial" w:cs="Arial"/>
          <w:sz w:val="24"/>
          <w:szCs w:val="24"/>
        </w:rPr>
        <w:t xml:space="preserve">used by </w:t>
      </w:r>
      <w:bookmarkStart w:id="1" w:name="_Hlk53151693"/>
      <w:r>
        <w:rPr>
          <w:rFonts w:ascii="Arial" w:hAnsi="Arial" w:cs="Arial"/>
          <w:sz w:val="24"/>
          <w:szCs w:val="24"/>
        </w:rPr>
        <w:t xml:space="preserve">first attending officers </w:t>
      </w:r>
      <w:bookmarkEnd w:id="1"/>
      <w:r>
        <w:rPr>
          <w:rFonts w:ascii="Arial" w:hAnsi="Arial" w:cs="Arial"/>
          <w:sz w:val="24"/>
          <w:szCs w:val="24"/>
        </w:rPr>
        <w:t xml:space="preserve">or (FAO) when attending a crime scene and the ways they are able to reduce the possibilities of </w:t>
      </w:r>
      <w:bookmarkStart w:id="2" w:name="_Hlk53221728"/>
      <w:r>
        <w:rPr>
          <w:rFonts w:ascii="Arial" w:hAnsi="Arial" w:cs="Arial"/>
          <w:sz w:val="24"/>
          <w:szCs w:val="24"/>
        </w:rPr>
        <w:t>cross-contamination.</w:t>
      </w:r>
      <w:bookmarkEnd w:id="2"/>
    </w:p>
    <w:p w14:paraId="5C008DA8" w14:textId="77777777" w:rsidR="00811EEA" w:rsidRDefault="003A45AB" w:rsidP="003A45AB">
      <w:pPr>
        <w:spacing w:line="480" w:lineRule="auto"/>
        <w:rPr>
          <w:rFonts w:ascii="Arial" w:hAnsi="Arial" w:cs="Arial"/>
          <w:sz w:val="24"/>
          <w:szCs w:val="24"/>
        </w:rPr>
      </w:pPr>
      <w:r>
        <w:rPr>
          <w:rFonts w:ascii="Arial" w:hAnsi="Arial" w:cs="Arial"/>
          <w:sz w:val="24"/>
          <w:szCs w:val="24"/>
        </w:rPr>
        <w:t>When an officer first arrives at a crime scene they first priority being to Preserve Life this means they will need to make an immediate assessment of the need for first aid or other medical assistance for any person while also protecting all people that are at the scene form harm or further injury's this will include the victims, witnesses and any other police officers and along with any suspects.</w:t>
      </w:r>
    </w:p>
    <w:p w14:paraId="73E025E3" w14:textId="77777777" w:rsidR="00811EEA" w:rsidRDefault="003A45AB" w:rsidP="003A45AB">
      <w:pPr>
        <w:spacing w:line="480" w:lineRule="auto"/>
        <w:rPr>
          <w:rFonts w:ascii="Arial" w:hAnsi="Arial" w:cs="Arial"/>
          <w:sz w:val="24"/>
          <w:szCs w:val="24"/>
        </w:rPr>
      </w:pPr>
      <w:r>
        <w:rPr>
          <w:rFonts w:ascii="Arial" w:hAnsi="Arial" w:cs="Arial"/>
          <w:sz w:val="24"/>
          <w:szCs w:val="24"/>
        </w:rPr>
        <w:t xml:space="preserve"> (College of Policing, 2015). It may be necessary to ensure that the victim receives medical treatment at a hospital, health centre or sexual assault referral centre (SARC). When this is the case, a police officer will need to accompany the victim to get medical treatment in an attempt to maintain the continuity and the integrity of any evidence that is important to any investigation. </w:t>
      </w:r>
    </w:p>
    <w:p w14:paraId="37D70012" w14:textId="1C473C47" w:rsidR="00824536" w:rsidRDefault="003A45AB" w:rsidP="003A45AB">
      <w:pPr>
        <w:spacing w:line="480" w:lineRule="auto"/>
        <w:rPr>
          <w:rFonts w:ascii="Arial" w:hAnsi="Arial" w:cs="Arial"/>
          <w:sz w:val="24"/>
          <w:szCs w:val="24"/>
        </w:rPr>
      </w:pPr>
      <w:r>
        <w:rPr>
          <w:rFonts w:ascii="Arial" w:hAnsi="Arial" w:cs="Arial"/>
          <w:sz w:val="24"/>
          <w:szCs w:val="24"/>
        </w:rPr>
        <w:t>This first priority works quite well as it allows the first officers on the scene to prevent to an incident from getting worse and will enable them to contain the incident and deal with everyone at the location and make the checks they need such as if anyone has bail conditions or restraining order on them. And give the appropriate treatment to those who need it while still maintaining evidence.</w:t>
      </w:r>
    </w:p>
    <w:p w14:paraId="4E2A7812" w14:textId="77777777" w:rsidR="00824536" w:rsidRDefault="003A45AB" w:rsidP="003A45AB">
      <w:pPr>
        <w:spacing w:line="480" w:lineRule="auto"/>
        <w:rPr>
          <w:rFonts w:ascii="Arial" w:hAnsi="Arial" w:cs="Arial"/>
          <w:sz w:val="24"/>
          <w:szCs w:val="24"/>
        </w:rPr>
      </w:pPr>
      <w:r>
        <w:rPr>
          <w:rFonts w:ascii="Arial" w:hAnsi="Arial" w:cs="Arial"/>
          <w:sz w:val="24"/>
          <w:szCs w:val="24"/>
        </w:rPr>
        <w:t>Another priority of the first attending officers will be to start gathering evidence with their Body-worn video or (BWV) As stated by the college of policing body-worn video must be turned.</w:t>
      </w:r>
    </w:p>
    <w:p w14:paraId="4E4D39F5" w14:textId="14E4190F" w:rsidR="00824536" w:rsidRDefault="003A45AB" w:rsidP="003A45AB">
      <w:pPr>
        <w:spacing w:line="480" w:lineRule="auto"/>
        <w:rPr>
          <w:rFonts w:ascii="Arial" w:hAnsi="Arial" w:cs="Arial"/>
          <w:sz w:val="24"/>
          <w:szCs w:val="24"/>
        </w:rPr>
      </w:pPr>
      <w:r>
        <w:rPr>
          <w:rFonts w:ascii="Arial" w:hAnsi="Arial" w:cs="Arial"/>
          <w:sz w:val="24"/>
          <w:szCs w:val="24"/>
        </w:rPr>
        <w:t xml:space="preserve"> On as soon as on officers arrives at a scene and st</w:t>
      </w:r>
      <w:r w:rsidR="00011C5E">
        <w:rPr>
          <w:rFonts w:ascii="Arial" w:hAnsi="Arial" w:cs="Arial"/>
          <w:sz w:val="24"/>
          <w:szCs w:val="24"/>
        </w:rPr>
        <w:t>arts</w:t>
      </w:r>
      <w:r>
        <w:rPr>
          <w:rFonts w:ascii="Arial" w:hAnsi="Arial" w:cs="Arial"/>
          <w:sz w:val="24"/>
          <w:szCs w:val="24"/>
        </w:rPr>
        <w:t xml:space="preserve"> recording as much of the incident as they can. This would include anyone at the scene while also having to make an accurate record of everything that has been said by the victim and anything else said by witnesses. While even needing to record anything involved at the scene such as any weapons or items of clothes found at the scene along with any damage caused </w:t>
      </w:r>
      <w:r w:rsidR="00011C5E">
        <w:rPr>
          <w:rFonts w:ascii="Arial" w:hAnsi="Arial" w:cs="Arial"/>
          <w:sz w:val="24"/>
          <w:szCs w:val="24"/>
        </w:rPr>
        <w:t xml:space="preserve">to </w:t>
      </w:r>
      <w:r>
        <w:rPr>
          <w:rFonts w:ascii="Arial" w:hAnsi="Arial" w:cs="Arial"/>
          <w:sz w:val="24"/>
          <w:szCs w:val="24"/>
        </w:rPr>
        <w:t>property or person going into more detail such a blood spatters or cuts, bruises.</w:t>
      </w:r>
    </w:p>
    <w:p w14:paraId="03B549AB" w14:textId="77777777" w:rsidR="00824536" w:rsidRDefault="00824536" w:rsidP="003A45AB">
      <w:pPr>
        <w:spacing w:line="480" w:lineRule="auto"/>
        <w:rPr>
          <w:rFonts w:ascii="Arial" w:hAnsi="Arial" w:cs="Arial"/>
          <w:sz w:val="24"/>
          <w:szCs w:val="24"/>
        </w:rPr>
      </w:pPr>
    </w:p>
    <w:p w14:paraId="5CD7DA8B" w14:textId="0C4612F0" w:rsidR="00824536" w:rsidRDefault="003A45AB" w:rsidP="003A45AB">
      <w:pPr>
        <w:spacing w:line="480" w:lineRule="auto"/>
        <w:rPr>
          <w:rFonts w:ascii="Arial" w:hAnsi="Arial" w:cs="Arial"/>
          <w:sz w:val="24"/>
          <w:szCs w:val="24"/>
        </w:rPr>
      </w:pPr>
      <w:r>
        <w:rPr>
          <w:rFonts w:ascii="Arial" w:hAnsi="Arial" w:cs="Arial"/>
          <w:sz w:val="24"/>
          <w:szCs w:val="24"/>
        </w:rPr>
        <w:t xml:space="preserve">(College of Policing. 2014) as the recordings will be able to provide evidence, particularly in criminal proceedings, as they record the scene exactly which will allow officers to go over recordings as many times as they need to when gathering evidence.  And which the use of this procedure it will enable officers also to use BWV when preserving Life and keeping them self-safe in the sense of allegations as any allegations made against an officer can be cross-checked with </w:t>
      </w:r>
      <w:r w:rsidR="00811EEA">
        <w:rPr>
          <w:rFonts w:ascii="Arial" w:hAnsi="Arial" w:cs="Arial"/>
          <w:sz w:val="24"/>
          <w:szCs w:val="24"/>
        </w:rPr>
        <w:t>their</w:t>
      </w:r>
      <w:r>
        <w:rPr>
          <w:rFonts w:ascii="Arial" w:hAnsi="Arial" w:cs="Arial"/>
          <w:sz w:val="24"/>
          <w:szCs w:val="24"/>
        </w:rPr>
        <w:t xml:space="preserve"> body-worn video to see if the allegations are true. (Independent office for police conducts 2016).</w:t>
      </w:r>
    </w:p>
    <w:p w14:paraId="5FE7F3E4" w14:textId="28261FB1" w:rsidR="00824536" w:rsidRDefault="003A45AB" w:rsidP="003A45AB">
      <w:pPr>
        <w:spacing w:line="480" w:lineRule="auto"/>
        <w:rPr>
          <w:rFonts w:ascii="Arial" w:hAnsi="Arial" w:cs="Arial"/>
          <w:sz w:val="24"/>
          <w:szCs w:val="24"/>
        </w:rPr>
      </w:pPr>
      <w:r>
        <w:rPr>
          <w:rFonts w:ascii="Arial" w:hAnsi="Arial" w:cs="Arial"/>
          <w:sz w:val="24"/>
          <w:szCs w:val="24"/>
        </w:rPr>
        <w:t>After the first attending officers have carried out their initial assessment, they can then start to the investigator the crime scene as at times. The first responder is can often be the only investigative, especially in cases which are thought to identify as a standard risk when it comes to the first attending officers securing the scene there is a checklist that officers can follow to help them when securing a scene and ways of preserving evidence, for example, the victim is often the primary source of evidence and should have</w:t>
      </w:r>
      <w:r w:rsidR="00011C5E">
        <w:rPr>
          <w:rFonts w:ascii="Arial" w:hAnsi="Arial" w:cs="Arial"/>
          <w:sz w:val="24"/>
          <w:szCs w:val="24"/>
        </w:rPr>
        <w:t xml:space="preserve"> been </w:t>
      </w:r>
      <w:r>
        <w:rPr>
          <w:rFonts w:ascii="Arial" w:hAnsi="Arial" w:cs="Arial"/>
          <w:sz w:val="24"/>
          <w:szCs w:val="24"/>
        </w:rPr>
        <w:t>treated as such, with due regard to their safety, state of mind and ability to cope with forensic testing of them and their items (Hess, k  Orthmann , C 2010)</w:t>
      </w:r>
    </w:p>
    <w:p w14:paraId="07F5A94D" w14:textId="0C08C4BA" w:rsidR="00811EEA" w:rsidRDefault="003A45AB" w:rsidP="003A45AB">
      <w:pPr>
        <w:spacing w:line="480" w:lineRule="auto"/>
        <w:rPr>
          <w:rFonts w:ascii="Arial" w:hAnsi="Arial" w:cs="Arial"/>
          <w:sz w:val="24"/>
          <w:szCs w:val="24"/>
        </w:rPr>
      </w:pPr>
      <w:r>
        <w:rPr>
          <w:rFonts w:ascii="Arial" w:hAnsi="Arial" w:cs="Arial"/>
          <w:sz w:val="24"/>
          <w:szCs w:val="24"/>
        </w:rPr>
        <w:t>while the officers also need to keep in mind that the suspect and any children or people at the scene may also be sources of evidence. Once they have dealt with the people there they such as arrest the suspect and deal with the victim and witness their next procedures would be to preserve control and even secure the scene to limit any unnecessary access to the scene as this may introduce outside forensic evidence from third parties such as other people’s pets walking through the scene of the crime and leave fur or any other DNA</w:t>
      </w:r>
      <w:r w:rsidR="00811EEA">
        <w:rPr>
          <w:rFonts w:ascii="Arial" w:hAnsi="Arial" w:cs="Arial"/>
          <w:sz w:val="24"/>
          <w:szCs w:val="24"/>
        </w:rPr>
        <w:t>.</w:t>
      </w:r>
    </w:p>
    <w:p w14:paraId="21EE98CE" w14:textId="05284C64" w:rsidR="00811EEA" w:rsidRDefault="00811EEA" w:rsidP="003A45AB">
      <w:pPr>
        <w:spacing w:line="480" w:lineRule="auto"/>
        <w:rPr>
          <w:rFonts w:ascii="Arial" w:hAnsi="Arial" w:cs="Arial"/>
          <w:sz w:val="24"/>
          <w:szCs w:val="24"/>
        </w:rPr>
      </w:pPr>
      <w:r>
        <w:rPr>
          <w:rFonts w:ascii="Arial" w:hAnsi="Arial" w:cs="Arial"/>
          <w:sz w:val="24"/>
          <w:szCs w:val="24"/>
        </w:rPr>
        <w:t>E</w:t>
      </w:r>
      <w:r w:rsidR="003A45AB">
        <w:rPr>
          <w:rFonts w:ascii="Arial" w:hAnsi="Arial" w:cs="Arial"/>
          <w:sz w:val="24"/>
          <w:szCs w:val="24"/>
        </w:rPr>
        <w:t>ven vehicles driving around can disrupt evidence, for example, leaving tyre marks. And other people are unintentionally w</w:t>
      </w:r>
      <w:r w:rsidR="00011C5E">
        <w:rPr>
          <w:rFonts w:ascii="Arial" w:hAnsi="Arial" w:cs="Arial"/>
          <w:sz w:val="24"/>
          <w:szCs w:val="24"/>
        </w:rPr>
        <w:t>alking</w:t>
      </w:r>
      <w:r w:rsidR="003A45AB">
        <w:rPr>
          <w:rFonts w:ascii="Arial" w:hAnsi="Arial" w:cs="Arial"/>
          <w:sz w:val="24"/>
          <w:szCs w:val="24"/>
        </w:rPr>
        <w:t xml:space="preserve"> through the crime scene and also leaving their DNA around the area which has the effect of mixing with the suspect and victim's DNA along, causing cross-contamination.</w:t>
      </w:r>
    </w:p>
    <w:p w14:paraId="60845329" w14:textId="47E11BA6" w:rsidR="00824536" w:rsidRDefault="003A45AB" w:rsidP="003A45AB">
      <w:pPr>
        <w:spacing w:line="480" w:lineRule="auto"/>
        <w:rPr>
          <w:rFonts w:ascii="Arial" w:hAnsi="Arial" w:cs="Arial"/>
          <w:sz w:val="24"/>
          <w:szCs w:val="24"/>
        </w:rPr>
      </w:pPr>
      <w:r>
        <w:rPr>
          <w:rFonts w:ascii="Arial" w:hAnsi="Arial" w:cs="Arial"/>
          <w:sz w:val="24"/>
          <w:szCs w:val="24"/>
        </w:rPr>
        <w:t xml:space="preserve"> (Herfield, C, 2009). To prevent this from taking place, the first attending officers will need to remove people and animals from the immediate scene of the incident, and, ideally, from the whole area. This is an excellent way of trying to reduce the chance that cross-contamination can take place as by removing all potential third parties form the area can prevent unwanted DNA. Another way that a first attending officer is able to secure a scene is.</w:t>
      </w:r>
    </w:p>
    <w:p w14:paraId="2875FF13" w14:textId="35916771" w:rsidR="00811EEA" w:rsidRDefault="003A45AB" w:rsidP="003A45AB">
      <w:pPr>
        <w:spacing w:line="480" w:lineRule="auto"/>
        <w:rPr>
          <w:rFonts w:ascii="Arial" w:hAnsi="Arial" w:cs="Arial"/>
          <w:sz w:val="24"/>
          <w:szCs w:val="24"/>
        </w:rPr>
      </w:pPr>
      <w:r>
        <w:rPr>
          <w:rFonts w:ascii="Arial" w:hAnsi="Arial" w:cs="Arial"/>
          <w:sz w:val="24"/>
          <w:szCs w:val="24"/>
        </w:rPr>
        <w:t>The use of cordon can be used as a way of keeping the scene as fresh as possible the police can place cordons around the area with the option to set up all three types of cordons with these being an inner cordon and an outer cordon followed by a traffic cordon</w:t>
      </w:r>
      <w:r w:rsidR="00011C5E">
        <w:rPr>
          <w:rFonts w:ascii="Arial" w:hAnsi="Arial" w:cs="Arial"/>
          <w:sz w:val="24"/>
          <w:szCs w:val="24"/>
        </w:rPr>
        <w:t xml:space="preserve"> if needed </w:t>
      </w:r>
      <w:r>
        <w:rPr>
          <w:rFonts w:ascii="Arial" w:hAnsi="Arial" w:cs="Arial"/>
          <w:sz w:val="24"/>
          <w:szCs w:val="24"/>
        </w:rPr>
        <w:t xml:space="preserve"> (College of policing 2013). </w:t>
      </w:r>
    </w:p>
    <w:p w14:paraId="4F7723DC" w14:textId="5968E715" w:rsidR="00824536" w:rsidRDefault="003A45AB" w:rsidP="003A45AB">
      <w:pPr>
        <w:spacing w:line="480" w:lineRule="auto"/>
        <w:rPr>
          <w:rFonts w:ascii="Arial" w:hAnsi="Arial" w:cs="Arial"/>
          <w:sz w:val="24"/>
          <w:szCs w:val="24"/>
        </w:rPr>
      </w:pPr>
      <w:r>
        <w:rPr>
          <w:rFonts w:ascii="Arial" w:hAnsi="Arial" w:cs="Arial"/>
          <w:sz w:val="24"/>
          <w:szCs w:val="24"/>
        </w:rPr>
        <w:t>When it comes to the purposes of placing up cordons they have the inner cordon will be placed closer to the crime scene as this cordon will give immediate security around the crime scene with the police controlling the entry and exit this way they can limit the number of people in the scene at one time and adopting a one-way system that controls the route round the scene, therefore, reducing the possibility of cross-contamination. (London Emergency services liaison panel, 2007).</w:t>
      </w:r>
    </w:p>
    <w:p w14:paraId="28A79234" w14:textId="77777777" w:rsidR="00824536" w:rsidRDefault="003A45AB" w:rsidP="003A45AB">
      <w:pPr>
        <w:spacing w:line="480" w:lineRule="auto"/>
        <w:rPr>
          <w:rFonts w:ascii="Arial" w:hAnsi="Arial" w:cs="Arial"/>
          <w:sz w:val="24"/>
          <w:szCs w:val="24"/>
        </w:rPr>
      </w:pPr>
      <w:r>
        <w:rPr>
          <w:rFonts w:ascii="Arial" w:hAnsi="Arial" w:cs="Arial"/>
          <w:sz w:val="24"/>
          <w:szCs w:val="24"/>
        </w:rPr>
        <w:t>The downside of using cordon is that can help protect and evidence but also destroy and lose evidence with an example being the use of police vehicles which can disrupt evidence, for example, parking to closer to the scene this can have the effect of leaving tyre marks around the scene destroy any DNA left by the victim, suspect such as blood trails. Or even tyre marks left behind from the suspects or victims' vehicles can become contaminated or even lost by the use of other vehicles at the scene.</w:t>
      </w:r>
    </w:p>
    <w:p w14:paraId="3FA0A238" w14:textId="00348B7F" w:rsidR="00824536" w:rsidRDefault="003A45AB" w:rsidP="003A45AB">
      <w:pPr>
        <w:spacing w:line="480" w:lineRule="auto"/>
        <w:rPr>
          <w:rFonts w:ascii="Arial" w:hAnsi="Arial" w:cs="Arial"/>
          <w:sz w:val="24"/>
          <w:szCs w:val="24"/>
        </w:rPr>
      </w:pPr>
      <w:r>
        <w:rPr>
          <w:rFonts w:ascii="Arial" w:hAnsi="Arial" w:cs="Arial"/>
          <w:sz w:val="24"/>
          <w:szCs w:val="24"/>
        </w:rPr>
        <w:t xml:space="preserve">Another way that a </w:t>
      </w:r>
      <w:bookmarkStart w:id="3" w:name="_Hlk53152612"/>
      <w:r>
        <w:rPr>
          <w:rFonts w:ascii="Arial" w:hAnsi="Arial" w:cs="Arial"/>
          <w:sz w:val="24"/>
          <w:szCs w:val="24"/>
        </w:rPr>
        <w:t xml:space="preserve">first attending officer </w:t>
      </w:r>
      <w:bookmarkEnd w:id="3"/>
      <w:r>
        <w:rPr>
          <w:rFonts w:ascii="Arial" w:hAnsi="Arial" w:cs="Arial"/>
          <w:sz w:val="24"/>
          <w:szCs w:val="24"/>
        </w:rPr>
        <w:t>can limit the problem of cross-contamination is through proper evidence preserving and using the golden hour for example if officers are called to a severe domestic abuse and are the first to the scene they become the first attending officer and within the first hour of being at the scene have the best chance of getting good quality evidence before it becomes contaminated or destroyed. (Rogers, C Lewis, R 2007). The first attending officer will be able to start gathering evidence with their body-worn cameras. But will also need to</w:t>
      </w:r>
      <w:r w:rsidR="00011C5E">
        <w:rPr>
          <w:rFonts w:ascii="Arial" w:hAnsi="Arial" w:cs="Arial"/>
          <w:sz w:val="24"/>
          <w:szCs w:val="24"/>
        </w:rPr>
        <w:t xml:space="preserve"> take</w:t>
      </w:r>
      <w:r>
        <w:rPr>
          <w:rFonts w:ascii="Arial" w:hAnsi="Arial" w:cs="Arial"/>
          <w:sz w:val="24"/>
          <w:szCs w:val="24"/>
        </w:rPr>
        <w:t xml:space="preserve"> positive actions to help preserve pieces of evidence.</w:t>
      </w:r>
    </w:p>
    <w:p w14:paraId="107C0335" w14:textId="77777777" w:rsidR="00824536" w:rsidRDefault="003A45AB" w:rsidP="003A45AB">
      <w:pPr>
        <w:spacing w:line="480" w:lineRule="auto"/>
        <w:rPr>
          <w:rFonts w:ascii="Arial" w:hAnsi="Arial" w:cs="Arial"/>
          <w:sz w:val="24"/>
          <w:szCs w:val="24"/>
        </w:rPr>
      </w:pPr>
      <w:r>
        <w:rPr>
          <w:rFonts w:ascii="Arial" w:hAnsi="Arial" w:cs="Arial"/>
          <w:sz w:val="24"/>
          <w:szCs w:val="24"/>
        </w:rPr>
        <w:t>One example of this can be how the officers try and preserve blood splatters, or any items that have blood on them as these pieces of evidence may be located outside and if the weather is bad that day and it is raining heavily or the wind is especially bad the first attending officers will need to take steps to ensure that the evidence s is not washed or blown away such as placing bins or anything that is able to keep the weather such as rain or wind from destroying it. But this may backfire and actually cause damage or destroy the evidence as the items used to cover the blood splatter can have other Forensic particles as whatever was in the bin will leave behind some trace of what the bins content was mixing or destroying the evidence.</w:t>
      </w:r>
    </w:p>
    <w:p w14:paraId="0093B8F6" w14:textId="77777777" w:rsidR="00824536" w:rsidRDefault="003A45AB" w:rsidP="003A45AB">
      <w:pPr>
        <w:spacing w:line="480" w:lineRule="auto"/>
        <w:rPr>
          <w:rFonts w:ascii="Arial" w:hAnsi="Arial" w:cs="Arial"/>
          <w:sz w:val="24"/>
          <w:szCs w:val="24"/>
        </w:rPr>
      </w:pPr>
      <w:r>
        <w:rPr>
          <w:rFonts w:ascii="Arial" w:hAnsi="Arial" w:cs="Arial"/>
          <w:sz w:val="24"/>
          <w:szCs w:val="24"/>
        </w:rPr>
        <w:t>Another way that first attending officers can limit the possibility of cross-contamination. Is through the use of a crime scene investigator (CSI) (Nottinghamshire Police  2017)  when at a scene, the first attending officers can request a crime scene investigator. And having a CSI on the scene within the golden hour will significantly help with the gathering of forensic evidence that will ultimately help lead to the detection and prosecution of criminals. And as the CSI is trained to identify and record all types of forensic evidence form a wide range of crimes. This will give them a clear advantage when at a scene when it comes to finding forensic evidence such as blood splatters and hair.</w:t>
      </w:r>
    </w:p>
    <w:p w14:paraId="3E2B6B64" w14:textId="77777777" w:rsidR="00824536" w:rsidRDefault="003A45AB" w:rsidP="003A45AB">
      <w:pPr>
        <w:spacing w:line="480" w:lineRule="auto"/>
        <w:rPr>
          <w:rFonts w:ascii="Arial" w:hAnsi="Arial" w:cs="Arial"/>
          <w:sz w:val="24"/>
          <w:szCs w:val="24"/>
        </w:rPr>
      </w:pPr>
      <w:r>
        <w:rPr>
          <w:rFonts w:ascii="Arial" w:hAnsi="Arial" w:cs="Arial"/>
          <w:sz w:val="24"/>
          <w:szCs w:val="24"/>
        </w:rPr>
        <w:t>(Jacqueline T. et al. 2014 )  . And knowing what the best possible way is of preserving the evidence so that it does not become contaminated. And can be used to its best to lead to the detection and prosecution of a suspect. For example, one way that a CSI would go about gathering forensic evidence would be by powdering items or objects that the suspect would have touched and then looking for fingers prints or footprints of the suspect that have been left behind.</w:t>
      </w:r>
    </w:p>
    <w:p w14:paraId="22C3B3BF" w14:textId="77777777" w:rsidR="00824536" w:rsidRDefault="003A45AB" w:rsidP="003A45AB">
      <w:pPr>
        <w:spacing w:line="480" w:lineRule="auto"/>
        <w:rPr>
          <w:rFonts w:ascii="Arial" w:hAnsi="Arial" w:cs="Arial"/>
          <w:sz w:val="24"/>
          <w:szCs w:val="24"/>
        </w:rPr>
      </w:pPr>
      <w:r>
        <w:rPr>
          <w:rFonts w:ascii="Arial" w:hAnsi="Arial" w:cs="Arial"/>
          <w:sz w:val="24"/>
          <w:szCs w:val="24"/>
        </w:rPr>
        <w:t>This is the best processes and procedures that a first attending officer can use when at a scene as by bringing in a specialist with experience who knows how to handle forensic recoveries and preserve the evidence would greatly help with the problem of cross-contamination. With one downside being that if a CSI cannot get to the scene, the FAO will be at a disadvantage at the scene due to a lack of experience specialist to help.</w:t>
      </w:r>
    </w:p>
    <w:p w14:paraId="48D37237" w14:textId="77777777" w:rsidR="00824536" w:rsidRDefault="00824536">
      <w:pPr>
        <w:rPr>
          <w:rFonts w:ascii="Arial" w:hAnsi="Arial" w:cs="Arial"/>
          <w:sz w:val="24"/>
          <w:szCs w:val="24"/>
        </w:rPr>
      </w:pPr>
    </w:p>
    <w:p w14:paraId="72D17AEC" w14:textId="77777777" w:rsidR="00824536" w:rsidRDefault="003A45AB">
      <w:pPr>
        <w:rPr>
          <w:rFonts w:ascii="Arial" w:hAnsi="Arial" w:cs="Arial"/>
          <w:b/>
          <w:bCs/>
          <w:sz w:val="24"/>
          <w:szCs w:val="24"/>
          <w:u w:val="single"/>
        </w:rPr>
      </w:pPr>
      <w:r>
        <w:rPr>
          <w:rFonts w:ascii="Arial" w:hAnsi="Arial" w:cs="Arial"/>
          <w:b/>
          <w:bCs/>
          <w:sz w:val="24"/>
          <w:szCs w:val="24"/>
          <w:u w:val="single"/>
        </w:rPr>
        <w:t>PART B</w:t>
      </w:r>
    </w:p>
    <w:p w14:paraId="6965B2DB" w14:textId="0471CC00"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 xml:space="preserve">This part of the assignment will look closer and Critically </w:t>
      </w:r>
      <w:r w:rsidR="00811EEA" w:rsidRPr="00601039">
        <w:rPr>
          <w:rFonts w:ascii="Arial" w:hAnsi="Arial" w:cs="Arial"/>
          <w:sz w:val="24"/>
          <w:szCs w:val="24"/>
        </w:rPr>
        <w:t>analyse</w:t>
      </w:r>
      <w:r w:rsidRPr="00601039">
        <w:rPr>
          <w:rFonts w:ascii="Arial" w:hAnsi="Arial" w:cs="Arial"/>
          <w:sz w:val="24"/>
          <w:szCs w:val="24"/>
        </w:rPr>
        <w:t xml:space="preserve"> the methods in practice for the recovery and examination of forensic evidence at a  crime scene evaluating the legislation, strategies, policies and procedures with regard to forensic recovery and examination.</w:t>
      </w:r>
    </w:p>
    <w:p w14:paraId="7D8B76F6"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Firstly, be looking at the policies and procedures used with regard to forensic recovery and examination. For example, Scene preservation is a policy used all the time as by keeping a crime all types of crimes forensically secure will bring the best chance recovering forensic evidence as stated by the European network of science institute (ENFSI) all scenes which include indoor-outdoor and vehicles should try and be protected at the earliest possible time in an attempt to lower the risk of any forensic material such as fingerprints or blood particles from coming into contact with anything that could course contamination. Or post-incident movement (European Network of Forensic Science Institutes. 2015).</w:t>
      </w:r>
    </w:p>
    <w:p w14:paraId="6A5FC1C9"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With scene preservation being of high importance, there is also a particular large emphasis on procedures for the preservation of evidence and the avoidance of contamination as being able to cordon off a scene and keep it secure all well and good but the preservation of evidence is just as crucial with one procedure used in the recovery of forensic evidence is the use of Wearing appropriate barrier clothing this would ensure that when a crime scene investigator is recovering evidence from the scene.</w:t>
      </w:r>
    </w:p>
    <w:p w14:paraId="769A3720" w14:textId="09019891"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 xml:space="preserve">They will have a far lower possibility of causing </w:t>
      </w:r>
      <w:bookmarkStart w:id="4" w:name="_Hlk53495328"/>
      <w:r w:rsidRPr="00601039">
        <w:rPr>
          <w:rFonts w:ascii="Arial" w:hAnsi="Arial" w:cs="Arial"/>
          <w:sz w:val="24"/>
          <w:szCs w:val="24"/>
        </w:rPr>
        <w:t xml:space="preserve">cross-contamination </w:t>
      </w:r>
      <w:bookmarkEnd w:id="4"/>
      <w:r w:rsidRPr="00601039">
        <w:rPr>
          <w:rFonts w:ascii="Arial" w:hAnsi="Arial" w:cs="Arial"/>
          <w:sz w:val="24"/>
          <w:szCs w:val="24"/>
        </w:rPr>
        <w:t>(Police services of Northern Ireland 2016) as to enter the crime scene a CSI would being wearing the full barrier clothing which would include a full overall two-layer of blue latex gloves the reason for two layers of gloves is so that there is a lower chance for the CSI fingerprint being left on any evidence as there is the chance of fingers going through the first set of gloves. Along with this, a CSI will also wear Disposable overshoes/boots. when in the crime scene as this will stop them from leaving footprints at the scene while even stopping them for bringing in outside materials which could course contamination and along with face dust masks</w:t>
      </w:r>
      <w:r w:rsidR="00A9352B">
        <w:rPr>
          <w:rFonts w:ascii="Arial" w:hAnsi="Arial" w:cs="Arial"/>
          <w:sz w:val="24"/>
          <w:szCs w:val="24"/>
        </w:rPr>
        <w:t>.</w:t>
      </w:r>
    </w:p>
    <w:p w14:paraId="1541B12D"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When first at a scene The CSI should always</w:t>
      </w:r>
      <w:bookmarkStart w:id="5" w:name="_Hlk53497673"/>
      <w:r w:rsidRPr="00601039">
        <w:rPr>
          <w:rFonts w:ascii="Arial" w:hAnsi="Arial" w:cs="Arial"/>
          <w:sz w:val="24"/>
          <w:szCs w:val="24"/>
        </w:rPr>
        <w:t xml:space="preserve"> photograph </w:t>
      </w:r>
      <w:bookmarkEnd w:id="5"/>
      <w:r w:rsidRPr="00601039">
        <w:rPr>
          <w:rFonts w:ascii="Arial" w:hAnsi="Arial" w:cs="Arial"/>
          <w:sz w:val="24"/>
          <w:szCs w:val="24"/>
        </w:rPr>
        <w:t>footprint,  marks discovered at crime scenes before any other recovery techniques are used and additionally at each stage as footprint marks are the easiest the damage or have cross-contamination take place (European Network of Forensic Science Institutes. 2015). For example, if the footprints are indoor, the suspect's footprints could of coming into contact with other footprints such as the ones of the first attending officers or the victims which can cause the footprint to be unusable as evidence.</w:t>
      </w:r>
    </w:p>
    <w:p w14:paraId="1436CA37"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And when it comes, the footprints being found outside the crime scene investigator would need to take a series of photographs before the footprints become damaged from the weather with an example being heavy rainfall or other outside elements.</w:t>
      </w:r>
    </w:p>
    <w:p w14:paraId="14F862AB"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To establish the location of footwear marks and place them within the context of the crime each print should be recorded in long view, mid view and close-up view to give a good representation of what the crime scene looks like indoors or outdoors and while in relation the footprints have been found (William, B 1999).</w:t>
      </w:r>
    </w:p>
    <w:p w14:paraId="17EE06ED"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When a CSI is taking or making a photograph of footprints that have a measurable depth, one strategy that would be the use of scales this would occur to help get a better photograph of the footprints as it becomes essential that the depth of the footprint is sharply represented in its entirety. To help achieve the required sharpness, it is usually necessary for the crime scene investigator to take a series of photographs with the scale positioned at several different depths.</w:t>
      </w:r>
    </w:p>
    <w:p w14:paraId="218C6C8B"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When it comes to photographs of the series should be taken. The first photograph of the series should be taken with the scale conforming to the area of the mark which is closest to the lens. The last photograph of the series should be taken with the scale conforming to the depth of the mark, which is furthest from the lens. (Horswell, J (2004)</w:t>
      </w:r>
    </w:p>
    <w:p w14:paraId="232CDE0D" w14:textId="77777777" w:rsidR="00824536" w:rsidRPr="00601039" w:rsidRDefault="00824536" w:rsidP="00601039">
      <w:pPr>
        <w:spacing w:line="480" w:lineRule="auto"/>
        <w:rPr>
          <w:rFonts w:ascii="Arial" w:hAnsi="Arial" w:cs="Arial"/>
          <w:sz w:val="24"/>
          <w:szCs w:val="24"/>
        </w:rPr>
      </w:pPr>
    </w:p>
    <w:p w14:paraId="0B4F4C21" w14:textId="77777777" w:rsidR="00824536" w:rsidRPr="00601039" w:rsidRDefault="00824536" w:rsidP="00601039">
      <w:pPr>
        <w:spacing w:line="480" w:lineRule="auto"/>
        <w:rPr>
          <w:rFonts w:ascii="Arial" w:hAnsi="Arial" w:cs="Arial"/>
          <w:sz w:val="24"/>
          <w:szCs w:val="24"/>
        </w:rPr>
      </w:pPr>
    </w:p>
    <w:p w14:paraId="7C283253"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It will be necessary to dig the scale into the ground during this process. Three-dimensional footwear marks are seldom on an even flat surface, making it difficult to set the camera square to the mark. However, the scale must be square to the lens at all times to produce a series of sharp photographs that represent the entire depth of the mark. (Siegel, J et al. (2000).</w:t>
      </w:r>
    </w:p>
    <w:p w14:paraId="2D1F9E07"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When it comes to the recovery of forensic evidence, another example would be when Fingerprint impressions are found at a crime scene, everything that has the fingerprint on them will need to be seized and correctly packaged. One Precaution that would be used to ensure that the integrity of the evidence is not corrupted and reduce the risk of contamination and minimize degradation. Would be the used of packaging, for example, there are many strategies used to correctly secure evidence as all items would need to be packaged and sealed as soon as they are taken (Lee, H . Pagliaro, E. 2013).</w:t>
      </w:r>
    </w:p>
    <w:p w14:paraId="337DE1A9" w14:textId="77777777" w:rsidR="00811EEA" w:rsidRPr="00601039" w:rsidRDefault="003A45AB" w:rsidP="00601039">
      <w:pPr>
        <w:spacing w:line="480" w:lineRule="auto"/>
        <w:rPr>
          <w:rFonts w:ascii="Arial" w:hAnsi="Arial" w:cs="Arial"/>
          <w:sz w:val="24"/>
          <w:szCs w:val="24"/>
        </w:rPr>
      </w:pPr>
      <w:r w:rsidRPr="00601039">
        <w:rPr>
          <w:rFonts w:ascii="Arial" w:hAnsi="Arial" w:cs="Arial"/>
          <w:sz w:val="24"/>
          <w:szCs w:val="24"/>
        </w:rPr>
        <w:t xml:space="preserve">When sealing evidence whether </w:t>
      </w:r>
      <w:r w:rsidR="00811EEA" w:rsidRPr="00601039">
        <w:rPr>
          <w:rFonts w:ascii="Arial" w:hAnsi="Arial" w:cs="Arial"/>
          <w:sz w:val="24"/>
          <w:szCs w:val="24"/>
        </w:rPr>
        <w:t>it</w:t>
      </w:r>
      <w:r w:rsidRPr="00601039">
        <w:rPr>
          <w:rFonts w:ascii="Arial" w:hAnsi="Arial" w:cs="Arial"/>
          <w:sz w:val="24"/>
          <w:szCs w:val="24"/>
        </w:rPr>
        <w:t xml:space="preserve"> be items of clothing or any cups, phones or house/car keys when it comes to maintaining the integrity of the evidence items like cups bottle and cans will be placed into secure boxes that have small cardboard in the bag this would be to hold the forensic evidence in place as this would providing adequate protection during transportation this way. </w:t>
      </w:r>
    </w:p>
    <w:p w14:paraId="30FE4065" w14:textId="289D3EC5"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And the same can be said for footprints recovered at a scene as the footprints would have been recovered on a mylar foil sheet and should be secured in a shallow cardboard box while also using adhesive tape this is used to make sure that the package is free from dust before it is placed inside . after this the box would be sealed with adhesive tape and fix a fully completed exhibit label to the outside of the box. (Pepper, I 2005).</w:t>
      </w:r>
    </w:p>
    <w:p w14:paraId="24F931F8"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When items have been recovered and have been packaged correctly and placed into storage, some items recovered from a crime scene may be submitted to a force fingerprint or FEL enhancement laboratory (FEL) for processing to recover fingerprint evidence. FEL practitioners subject the items to a range of visual, physical and chemical processes to visualize and recover further fingerprint evidence. When warranted by the investigation, FEL practitioners may attend crime scenes to carry out a limited range of functions. (Tully, G. 2020)</w:t>
      </w:r>
    </w:p>
    <w:p w14:paraId="06FEB151"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When it comes to the legislation used around forensic recovery, for example, Digital Forensics as the use of digital forensics can be used to gather evidence in many different crimes and investigations with examples being county lines as phones that have been legally seized can be used to retrieve phones numbers and messages related to the crime and help link other crimes. With parliament currently considering the Investigatory Powers Bill.25 (Houses of Parliament. 2016)</w:t>
      </w:r>
    </w:p>
    <w:p w14:paraId="73E52912" w14:textId="77777777"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The Government intends the Bill to consolidate the powers available to security, intelligence and law enforcement agencies to obtain communications and data about communications. It aims to provide a more transparent basis for seeking the warrants required for interception and equipment interference and to enhance safeguards by introducing judicial oversight.</w:t>
      </w:r>
    </w:p>
    <w:p w14:paraId="39657DAB" w14:textId="77777777" w:rsidR="00824536" w:rsidRPr="00601039" w:rsidRDefault="00824536" w:rsidP="00601039">
      <w:pPr>
        <w:spacing w:line="480" w:lineRule="auto"/>
        <w:rPr>
          <w:rFonts w:ascii="Arial" w:hAnsi="Arial" w:cs="Arial"/>
          <w:sz w:val="24"/>
          <w:szCs w:val="24"/>
        </w:rPr>
      </w:pPr>
    </w:p>
    <w:p w14:paraId="0592D2C8" w14:textId="7DBA92C4"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Evidence is subject to the Criminal Procedure Rules with there are also being practice guidelines for law enforcement personnel dealing with digital evidence these include the principles that data should not be changed by an investigation and that records should be kept of all of the processes applied to data. With it being stated in the house of lords that</w:t>
      </w:r>
      <w:r w:rsidR="00A9352B">
        <w:rPr>
          <w:rFonts w:ascii="Arial" w:hAnsi="Arial" w:cs="Arial"/>
          <w:sz w:val="24"/>
          <w:szCs w:val="24"/>
        </w:rPr>
        <w:t xml:space="preserve"> the.</w:t>
      </w:r>
    </w:p>
    <w:p w14:paraId="6CACE4F9" w14:textId="77777777" w:rsidR="00824536" w:rsidRPr="00601039" w:rsidRDefault="00824536" w:rsidP="00601039">
      <w:pPr>
        <w:spacing w:line="480" w:lineRule="auto"/>
        <w:rPr>
          <w:rFonts w:ascii="Arial" w:hAnsi="Arial" w:cs="Arial"/>
          <w:sz w:val="24"/>
          <w:szCs w:val="24"/>
        </w:rPr>
      </w:pPr>
    </w:p>
    <w:p w14:paraId="3FD905A4" w14:textId="38FC87E1"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“provenance and integrity of material obtained from digital devices is a key area … Expert evidence should therefore have some form of regulation or a mechanism by which agreed criteria or standards are adhered to.”-House of lord 2017</w:t>
      </w:r>
    </w:p>
    <w:p w14:paraId="03BA2EB0" w14:textId="7B425D24" w:rsidR="00824536" w:rsidRPr="00601039" w:rsidRDefault="003A45AB" w:rsidP="00601039">
      <w:pPr>
        <w:spacing w:line="480" w:lineRule="auto"/>
        <w:rPr>
          <w:rFonts w:ascii="Arial" w:hAnsi="Arial" w:cs="Arial"/>
          <w:sz w:val="24"/>
          <w:szCs w:val="24"/>
        </w:rPr>
      </w:pPr>
      <w:r w:rsidRPr="00601039">
        <w:rPr>
          <w:rFonts w:ascii="Arial" w:hAnsi="Arial" w:cs="Arial"/>
          <w:sz w:val="24"/>
          <w:szCs w:val="24"/>
        </w:rPr>
        <w:t>The United Kingdom Accreditation Service</w:t>
      </w:r>
      <w:r w:rsidR="002506FD">
        <w:rPr>
          <w:rFonts w:ascii="Arial" w:hAnsi="Arial" w:cs="Arial"/>
          <w:sz w:val="24"/>
          <w:szCs w:val="24"/>
        </w:rPr>
        <w:t xml:space="preserve"> or also known as </w:t>
      </w:r>
      <w:r w:rsidRPr="00601039">
        <w:rPr>
          <w:rFonts w:ascii="Arial" w:hAnsi="Arial" w:cs="Arial"/>
          <w:sz w:val="24"/>
          <w:szCs w:val="24"/>
        </w:rPr>
        <w:t xml:space="preserve"> (UKAS) is the </w:t>
      </w:r>
      <w:r w:rsidR="002506FD">
        <w:rPr>
          <w:rFonts w:ascii="Arial" w:hAnsi="Arial" w:cs="Arial"/>
          <w:sz w:val="24"/>
          <w:szCs w:val="24"/>
        </w:rPr>
        <w:t xml:space="preserve">main </w:t>
      </w:r>
      <w:r w:rsidRPr="00601039">
        <w:rPr>
          <w:rFonts w:ascii="Arial" w:hAnsi="Arial" w:cs="Arial"/>
          <w:sz w:val="24"/>
          <w:szCs w:val="24"/>
        </w:rPr>
        <w:t xml:space="preserve">accreditation body for forensic services in England and Wales. It is responsible for overseeing the process of a forensic science provider applying for accreditation to ISO 17020 and ISO 17025 standards, the standards that apply to forensic science. UKAS is also responsible for ensuring that accredited providers continue to operate to the expected standards. </w:t>
      </w:r>
    </w:p>
    <w:p w14:paraId="189DBBB4" w14:textId="5E12F72B" w:rsidR="00824536" w:rsidRDefault="003A45AB" w:rsidP="00601039">
      <w:pPr>
        <w:spacing w:line="480" w:lineRule="auto"/>
      </w:pPr>
      <w:r w:rsidRPr="00601039">
        <w:rPr>
          <w:rFonts w:ascii="Arial" w:hAnsi="Arial" w:cs="Arial"/>
          <w:sz w:val="24"/>
          <w:szCs w:val="24"/>
        </w:rPr>
        <w:t xml:space="preserve">The Forensic Science Regulator (FSR) is responsible for upholding the quality of digital forensic services within the U.K. Criminal Justice System with  The Forensic Science Regulator being the primary regulator of forensic science activities within the united </w:t>
      </w:r>
      <w:r w:rsidR="00811EEA" w:rsidRPr="00601039">
        <w:rPr>
          <w:rFonts w:ascii="Arial" w:hAnsi="Arial" w:cs="Arial"/>
          <w:sz w:val="24"/>
          <w:szCs w:val="24"/>
        </w:rPr>
        <w:t>kingdom’s</w:t>
      </w:r>
      <w:r w:rsidRPr="00601039">
        <w:rPr>
          <w:rFonts w:ascii="Arial" w:hAnsi="Arial" w:cs="Arial"/>
          <w:sz w:val="24"/>
          <w:szCs w:val="24"/>
        </w:rPr>
        <w:t xml:space="preserve"> legal system and with one of the critical legal requirement being that they follow the necessary framework set out by the CJS with an example being Accreditation with Government transposing this framework decision into domestic</w:t>
      </w:r>
      <w:r>
        <w:rPr>
          <w:rFonts w:ascii="Arial" w:hAnsi="Arial" w:cs="Arial"/>
          <w:sz w:val="24"/>
          <w:szCs w:val="24"/>
        </w:rPr>
        <w:t xml:space="preserve"> legislation through The Accreditation of Forensic Service Providers Regulations 2018 (S.I. 1276 of 2018)  (</w:t>
      </w:r>
      <w:r w:rsidRPr="00811EEA">
        <w:rPr>
          <w:rFonts w:ascii="Arial" w:hAnsi="Arial" w:cs="Arial"/>
          <w:color w:val="000000"/>
          <w:sz w:val="24"/>
          <w:szCs w:val="24"/>
        </w:rPr>
        <w:t>Forensic Science Regulator</w:t>
      </w:r>
      <w:r>
        <w:rPr>
          <w:rFonts w:ascii="verdana;sans-serif" w:hAnsi="verdana;sans-serif" w:cs="Arial"/>
          <w:color w:val="000000"/>
          <w:sz w:val="20"/>
          <w:szCs w:val="24"/>
        </w:rPr>
        <w:t>.</w:t>
      </w:r>
      <w:r w:rsidR="00811EEA">
        <w:rPr>
          <w:rFonts w:ascii="verdana;sans-serif" w:hAnsi="verdana;sans-serif" w:cs="Arial"/>
          <w:color w:val="000000"/>
          <w:sz w:val="20"/>
          <w:szCs w:val="24"/>
        </w:rPr>
        <w:t xml:space="preserve"> </w:t>
      </w:r>
      <w:r w:rsidRPr="00811EEA">
        <w:rPr>
          <w:rFonts w:ascii="Arial" w:hAnsi="Arial" w:cs="Arial"/>
          <w:color w:val="000000"/>
          <w:sz w:val="24"/>
          <w:szCs w:val="24"/>
        </w:rPr>
        <w:t>2020)</w:t>
      </w:r>
      <w:r>
        <w:rPr>
          <w:rFonts w:ascii="Arial" w:hAnsi="Arial" w:cs="Arial"/>
          <w:sz w:val="24"/>
          <w:szCs w:val="24"/>
        </w:rPr>
        <w:t xml:space="preserve"> </w:t>
      </w:r>
    </w:p>
    <w:p w14:paraId="7636B0D8" w14:textId="77777777" w:rsidR="00824536" w:rsidRDefault="00824536">
      <w:pPr>
        <w:rPr>
          <w:rFonts w:ascii="Arial" w:hAnsi="Arial" w:cs="Arial"/>
          <w:sz w:val="24"/>
          <w:szCs w:val="24"/>
        </w:rPr>
      </w:pPr>
    </w:p>
    <w:p w14:paraId="2B2B411C" w14:textId="77777777" w:rsidR="00824536" w:rsidRDefault="003A45AB">
      <w:r>
        <w:rPr>
          <w:rFonts w:ascii="Arial" w:hAnsi="Arial" w:cs="Arial"/>
          <w:sz w:val="24"/>
          <w:szCs w:val="24"/>
        </w:rPr>
        <w:t xml:space="preserve"> </w:t>
      </w:r>
    </w:p>
    <w:p w14:paraId="356DA5B7" w14:textId="77777777" w:rsidR="00824536" w:rsidRDefault="00824536">
      <w:pPr>
        <w:rPr>
          <w:rFonts w:ascii="Arial" w:hAnsi="Arial" w:cs="Arial"/>
          <w:sz w:val="24"/>
          <w:szCs w:val="24"/>
        </w:rPr>
      </w:pPr>
    </w:p>
    <w:p w14:paraId="4A7B2F74" w14:textId="77777777" w:rsidR="00824536" w:rsidRDefault="00824536">
      <w:pPr>
        <w:rPr>
          <w:rFonts w:ascii="Arial" w:hAnsi="Arial" w:cs="Arial"/>
          <w:sz w:val="24"/>
          <w:szCs w:val="24"/>
        </w:rPr>
      </w:pPr>
    </w:p>
    <w:p w14:paraId="72D8440A" w14:textId="77777777" w:rsidR="00824536" w:rsidRDefault="003A45AB">
      <w:pPr>
        <w:rPr>
          <w:b/>
          <w:bCs/>
          <w:u w:val="single"/>
        </w:rPr>
      </w:pPr>
      <w:r>
        <w:rPr>
          <w:b/>
          <w:bCs/>
          <w:u w:val="single"/>
        </w:rPr>
        <w:t>Bibliography</w:t>
      </w:r>
    </w:p>
    <w:p w14:paraId="6DB717BC" w14:textId="77777777" w:rsidR="00824536" w:rsidRDefault="003A45AB">
      <w:pPr>
        <w:rPr>
          <w:b/>
          <w:bCs/>
          <w:u w:val="single"/>
        </w:rPr>
      </w:pPr>
      <w:r>
        <w:rPr>
          <w:b/>
          <w:bCs/>
          <w:u w:val="single"/>
        </w:rPr>
        <w:t>PART A</w:t>
      </w:r>
    </w:p>
    <w:p w14:paraId="32C0D6E6" w14:textId="77777777" w:rsidR="00A9352B" w:rsidRDefault="00A9352B">
      <w:r>
        <w:rPr>
          <w:rFonts w:ascii="Arial" w:hAnsi="Arial" w:cs="Arial"/>
          <w:sz w:val="24"/>
          <w:szCs w:val="24"/>
        </w:rPr>
        <w:t>Collage of Policing. (, 2015). First response. Available: https://</w:t>
      </w:r>
      <w:hyperlink r:id="rId5" w:anchor="actions-on-arrival-at-the-scene" w:history="1">
        <w:r>
          <w:rPr>
            <w:rStyle w:val="InternetLink"/>
            <w:rFonts w:ascii="Arial" w:hAnsi="Arial" w:cs="Arial"/>
            <w:sz w:val="24"/>
            <w:szCs w:val="24"/>
          </w:rPr>
          <w:t>www.app.college.police.uk/app-content/major-investigation-and-public-protection/domestic-abuse/first-response/#actions-on-arrival-at-the-scene.</w:t>
        </w:r>
      </w:hyperlink>
      <w:r>
        <w:rPr>
          <w:rFonts w:ascii="Arial" w:hAnsi="Arial" w:cs="Arial"/>
          <w:sz w:val="24"/>
          <w:szCs w:val="24"/>
        </w:rPr>
        <w:t xml:space="preserve"> Last accessed 06/10/2020.</w:t>
      </w:r>
    </w:p>
    <w:p w14:paraId="2B01050E" w14:textId="77777777" w:rsidR="00A9352B" w:rsidRDefault="00A9352B">
      <w:bookmarkStart w:id="6" w:name="_Hlk52974545"/>
      <w:r>
        <w:rPr>
          <w:rFonts w:ascii="Arial" w:hAnsi="Arial" w:cs="Arial"/>
          <w:sz w:val="24"/>
          <w:szCs w:val="24"/>
        </w:rPr>
        <w:t>College of policing. (, 2013).</w:t>
      </w:r>
      <w:bookmarkEnd w:id="6"/>
      <w:r>
        <w:rPr>
          <w:rFonts w:ascii="Arial" w:hAnsi="Arial" w:cs="Arial"/>
          <w:sz w:val="24"/>
          <w:szCs w:val="24"/>
        </w:rPr>
        <w:t xml:space="preserve"> Response and recovery. Available: </w:t>
      </w:r>
      <w:hyperlink r:id="rId6" w:anchor="inner-cordon" w:history="1">
        <w:r>
          <w:rPr>
            <w:rStyle w:val="InternetLink"/>
            <w:rFonts w:ascii="Arial" w:hAnsi="Arial" w:cs="Arial"/>
            <w:sz w:val="24"/>
            <w:szCs w:val="24"/>
          </w:rPr>
          <w:t>https://www.app.college.police.uk/app-content/civil-emergencies/civil-contingencies/response-and-recovery/#inner-cordon</w:t>
        </w:r>
      </w:hyperlink>
      <w:r>
        <w:rPr>
          <w:rFonts w:ascii="Arial" w:hAnsi="Arial" w:cs="Arial"/>
          <w:sz w:val="24"/>
          <w:szCs w:val="24"/>
        </w:rPr>
        <w:t>. Last accessed 07/10/2020.</w:t>
      </w:r>
    </w:p>
    <w:p w14:paraId="612BB935" w14:textId="77777777" w:rsidR="00A9352B" w:rsidRDefault="00A9352B">
      <w:pPr>
        <w:rPr>
          <w:rFonts w:ascii="Arial" w:hAnsi="Arial" w:cs="Arial"/>
          <w:sz w:val="24"/>
          <w:szCs w:val="24"/>
        </w:rPr>
      </w:pPr>
      <w:r>
        <w:rPr>
          <w:rFonts w:ascii="Arial" w:hAnsi="Arial" w:cs="Arial"/>
          <w:sz w:val="24"/>
          <w:szCs w:val="24"/>
        </w:rPr>
        <w:t xml:space="preserve">College of Policing. (, 2014). Recording an incident. </w:t>
      </w:r>
      <w:r>
        <w:rPr>
          <w:rFonts w:ascii="Arial" w:hAnsi="Arial" w:cs="Arial"/>
          <w:i/>
          <w:iCs/>
          <w:sz w:val="24"/>
          <w:szCs w:val="24"/>
        </w:rPr>
        <w:t>Body-Worn Video</w:t>
      </w:r>
      <w:r>
        <w:rPr>
          <w:rFonts w:ascii="Arial" w:hAnsi="Arial" w:cs="Arial"/>
          <w:sz w:val="24"/>
          <w:szCs w:val="24"/>
        </w:rPr>
        <w:t>. 1 (1), p23-27.</w:t>
      </w:r>
    </w:p>
    <w:p w14:paraId="656D1F43" w14:textId="77777777" w:rsidR="00A9352B" w:rsidRDefault="00A9352B">
      <w:pPr>
        <w:rPr>
          <w:rFonts w:ascii="Arial" w:hAnsi="Arial" w:cs="Arial"/>
          <w:sz w:val="24"/>
          <w:szCs w:val="24"/>
        </w:rPr>
      </w:pPr>
      <w:bookmarkStart w:id="7" w:name="_Hlk53063795"/>
      <w:r>
        <w:rPr>
          <w:rFonts w:ascii="Arial" w:hAnsi="Arial" w:cs="Arial"/>
          <w:sz w:val="24"/>
          <w:szCs w:val="24"/>
        </w:rPr>
        <w:t xml:space="preserve">Herfield, C (2009). </w:t>
      </w:r>
      <w:bookmarkEnd w:id="7"/>
      <w:r>
        <w:rPr>
          <w:rFonts w:ascii="Arial" w:hAnsi="Arial" w:cs="Arial"/>
          <w:i/>
          <w:iCs/>
          <w:sz w:val="24"/>
          <w:szCs w:val="24"/>
        </w:rPr>
        <w:t>Blackstones police operational handbook</w:t>
      </w:r>
      <w:r>
        <w:rPr>
          <w:rFonts w:ascii="Arial" w:hAnsi="Arial" w:cs="Arial"/>
          <w:sz w:val="24"/>
          <w:szCs w:val="24"/>
        </w:rPr>
        <w:t>. New York: Oxford University Press. p27-30.</w:t>
      </w:r>
    </w:p>
    <w:p w14:paraId="26553498" w14:textId="77777777" w:rsidR="00A9352B" w:rsidRDefault="00A9352B">
      <w:pPr>
        <w:rPr>
          <w:rFonts w:ascii="Arial" w:hAnsi="Arial" w:cs="Arial"/>
          <w:sz w:val="24"/>
          <w:szCs w:val="24"/>
        </w:rPr>
      </w:pPr>
      <w:r>
        <w:rPr>
          <w:rFonts w:ascii="Arial" w:hAnsi="Arial" w:cs="Arial"/>
          <w:sz w:val="24"/>
          <w:szCs w:val="24"/>
        </w:rPr>
        <w:t xml:space="preserve">Hess, k  Orthmann ,C (2010). </w:t>
      </w:r>
      <w:r>
        <w:rPr>
          <w:rFonts w:ascii="Arial" w:hAnsi="Arial" w:cs="Arial"/>
          <w:i/>
          <w:iCs/>
          <w:sz w:val="24"/>
          <w:szCs w:val="24"/>
        </w:rPr>
        <w:t>Police Operations Theory and Practice</w:t>
      </w:r>
      <w:r>
        <w:rPr>
          <w:rFonts w:ascii="Arial" w:hAnsi="Arial" w:cs="Arial"/>
          <w:sz w:val="24"/>
          <w:szCs w:val="24"/>
        </w:rPr>
        <w:t>. 5th ed. New York: Cengage Learning. p183-201.</w:t>
      </w:r>
    </w:p>
    <w:p w14:paraId="2DCF6A3C" w14:textId="77777777" w:rsidR="00A9352B" w:rsidRDefault="00A9352B">
      <w:pPr>
        <w:rPr>
          <w:rFonts w:ascii="Arial" w:hAnsi="Arial" w:cs="Arial"/>
          <w:sz w:val="24"/>
          <w:szCs w:val="24"/>
        </w:rPr>
      </w:pPr>
      <w:r>
        <w:rPr>
          <w:rFonts w:ascii="Arial" w:hAnsi="Arial" w:cs="Arial"/>
          <w:sz w:val="24"/>
          <w:szCs w:val="24"/>
        </w:rPr>
        <w:t xml:space="preserve">Independent office for police conduct. (2016). IPCC position statement on body-worn video. </w:t>
      </w:r>
      <w:r>
        <w:rPr>
          <w:rFonts w:ascii="Arial" w:hAnsi="Arial" w:cs="Arial"/>
          <w:i/>
          <w:iCs/>
          <w:sz w:val="24"/>
          <w:szCs w:val="24"/>
        </w:rPr>
        <w:t>Independent office for police conduct</w:t>
      </w:r>
      <w:r>
        <w:rPr>
          <w:rFonts w:ascii="Arial" w:hAnsi="Arial" w:cs="Arial"/>
          <w:sz w:val="24"/>
          <w:szCs w:val="24"/>
        </w:rPr>
        <w:t>. 1 (1), p1-4.</w:t>
      </w:r>
    </w:p>
    <w:p w14:paraId="092B506C" w14:textId="77777777" w:rsidR="00A9352B" w:rsidRDefault="00A9352B">
      <w:pPr>
        <w:rPr>
          <w:rFonts w:ascii="Arial" w:hAnsi="Arial" w:cs="Arial"/>
          <w:sz w:val="24"/>
          <w:szCs w:val="24"/>
        </w:rPr>
      </w:pPr>
      <w:bookmarkStart w:id="8" w:name="_Hlk53222220"/>
      <w:r>
        <w:rPr>
          <w:rFonts w:ascii="Arial" w:hAnsi="Arial" w:cs="Arial"/>
          <w:sz w:val="24"/>
          <w:szCs w:val="24"/>
        </w:rPr>
        <w:t xml:space="preserve">Jacqueline T. </w:t>
      </w:r>
      <w:bookmarkEnd w:id="8"/>
      <w:r>
        <w:rPr>
          <w:rFonts w:ascii="Arial" w:hAnsi="Arial" w:cs="Arial"/>
          <w:sz w:val="24"/>
          <w:szCs w:val="24"/>
        </w:rPr>
        <w:t xml:space="preserve">Fish, Larry S. Miller, Michael C. Braswell, Edward W Wallace (2014). </w:t>
      </w:r>
      <w:r>
        <w:rPr>
          <w:rFonts w:ascii="Arial" w:hAnsi="Arial" w:cs="Arial"/>
          <w:i/>
          <w:iCs/>
          <w:sz w:val="24"/>
          <w:szCs w:val="24"/>
        </w:rPr>
        <w:t>Crime Scene investigation</w:t>
      </w:r>
      <w:r>
        <w:rPr>
          <w:rFonts w:ascii="Arial" w:hAnsi="Arial" w:cs="Arial"/>
          <w:sz w:val="24"/>
          <w:szCs w:val="24"/>
        </w:rPr>
        <w:t xml:space="preserve"> . 3rd ed. Oxford: Anderson publishing. p1-12.</w:t>
      </w:r>
    </w:p>
    <w:p w14:paraId="5DB903CB" w14:textId="77777777" w:rsidR="00A9352B" w:rsidRDefault="00A9352B">
      <w:pPr>
        <w:rPr>
          <w:rFonts w:ascii="Arial" w:hAnsi="Arial" w:cs="Arial"/>
          <w:sz w:val="24"/>
          <w:szCs w:val="24"/>
        </w:rPr>
      </w:pPr>
      <w:r>
        <w:rPr>
          <w:rFonts w:ascii="Arial" w:hAnsi="Arial" w:cs="Arial"/>
          <w:sz w:val="24"/>
          <w:szCs w:val="24"/>
        </w:rPr>
        <w:t xml:space="preserve">London Emergency services liaison panel (2007). </w:t>
      </w:r>
      <w:r>
        <w:rPr>
          <w:rFonts w:ascii="Arial" w:hAnsi="Arial" w:cs="Arial"/>
          <w:i/>
          <w:iCs/>
          <w:sz w:val="24"/>
          <w:szCs w:val="24"/>
        </w:rPr>
        <w:t>Major Incident Procedure Manual</w:t>
      </w:r>
      <w:r>
        <w:rPr>
          <w:rFonts w:ascii="Arial" w:hAnsi="Arial" w:cs="Arial"/>
          <w:sz w:val="24"/>
          <w:szCs w:val="24"/>
        </w:rPr>
        <w:t xml:space="preserve"> . 7th ed. London: TSO. p2-18.</w:t>
      </w:r>
    </w:p>
    <w:p w14:paraId="1DD3644E" w14:textId="77777777" w:rsidR="00A9352B" w:rsidRDefault="00A9352B">
      <w:bookmarkStart w:id="9" w:name="_Hlk53220058"/>
      <w:r>
        <w:rPr>
          <w:rFonts w:ascii="Arial" w:hAnsi="Arial" w:cs="Arial"/>
          <w:sz w:val="24"/>
          <w:szCs w:val="24"/>
        </w:rPr>
        <w:t>Nottinghamshire Police . (2017).</w:t>
      </w:r>
      <w:bookmarkEnd w:id="9"/>
      <w:r>
        <w:rPr>
          <w:rFonts w:ascii="Arial" w:hAnsi="Arial" w:cs="Arial"/>
          <w:sz w:val="24"/>
          <w:szCs w:val="24"/>
        </w:rPr>
        <w:t xml:space="preserve"> </w:t>
      </w:r>
      <w:r>
        <w:rPr>
          <w:rFonts w:ascii="Arial" w:hAnsi="Arial" w:cs="Arial"/>
          <w:i/>
          <w:iCs/>
          <w:sz w:val="24"/>
          <w:szCs w:val="24"/>
        </w:rPr>
        <w:t>What is a Crime Scene Investigator?</w:t>
      </w:r>
      <w:r>
        <w:rPr>
          <w:rFonts w:ascii="Arial" w:hAnsi="Arial" w:cs="Arial"/>
          <w:sz w:val="24"/>
          <w:szCs w:val="24"/>
        </w:rPr>
        <w:t xml:space="preserve"> . Available: </w:t>
      </w:r>
      <w:hyperlink r:id="rId7" w:history="1">
        <w:r>
          <w:rPr>
            <w:rStyle w:val="InternetLink"/>
            <w:rFonts w:ascii="Arial" w:hAnsi="Arial" w:cs="Arial"/>
            <w:sz w:val="24"/>
            <w:szCs w:val="24"/>
          </w:rPr>
          <w:t>https://www.nottinghamshire.police.uk/site-page/what-crime-scene-investigator</w:t>
        </w:r>
      </w:hyperlink>
      <w:r>
        <w:rPr>
          <w:rFonts w:ascii="Arial" w:hAnsi="Arial" w:cs="Arial"/>
          <w:sz w:val="24"/>
          <w:szCs w:val="24"/>
        </w:rPr>
        <w:t>. Last accessed 10/10/2020.</w:t>
      </w:r>
    </w:p>
    <w:p w14:paraId="51BBCAD8" w14:textId="77777777" w:rsidR="00A9352B" w:rsidRDefault="00A9352B">
      <w:pPr>
        <w:rPr>
          <w:rFonts w:ascii="Arial" w:hAnsi="Arial" w:cs="Arial"/>
          <w:sz w:val="24"/>
          <w:szCs w:val="24"/>
        </w:rPr>
      </w:pPr>
      <w:r>
        <w:rPr>
          <w:rFonts w:ascii="Arial" w:hAnsi="Arial" w:cs="Arial"/>
          <w:sz w:val="24"/>
          <w:szCs w:val="24"/>
        </w:rPr>
        <w:t xml:space="preserve">Rogers, C Lewis, R (2007). </w:t>
      </w:r>
      <w:r>
        <w:rPr>
          <w:rFonts w:ascii="Arial" w:hAnsi="Arial" w:cs="Arial"/>
          <w:i/>
          <w:iCs/>
          <w:sz w:val="24"/>
          <w:szCs w:val="24"/>
        </w:rPr>
        <w:t>Introduction to police work</w:t>
      </w:r>
      <w:r>
        <w:rPr>
          <w:rFonts w:ascii="Arial" w:hAnsi="Arial" w:cs="Arial"/>
          <w:sz w:val="24"/>
          <w:szCs w:val="24"/>
        </w:rPr>
        <w:t xml:space="preserve"> . Devon: Willan Publishing. p161-165.</w:t>
      </w:r>
    </w:p>
    <w:p w14:paraId="66910101" w14:textId="77777777" w:rsidR="00824536" w:rsidRDefault="003A45AB">
      <w:pPr>
        <w:rPr>
          <w:rFonts w:ascii="Arial" w:hAnsi="Arial" w:cs="Arial"/>
          <w:b/>
          <w:bCs/>
          <w:sz w:val="24"/>
          <w:szCs w:val="24"/>
          <w:u w:val="single"/>
        </w:rPr>
      </w:pPr>
      <w:r>
        <w:rPr>
          <w:rFonts w:ascii="Arial" w:hAnsi="Arial" w:cs="Arial"/>
          <w:b/>
          <w:bCs/>
          <w:sz w:val="24"/>
          <w:szCs w:val="24"/>
          <w:u w:val="single"/>
        </w:rPr>
        <w:t>PART B</w:t>
      </w:r>
    </w:p>
    <w:p w14:paraId="6C054D46" w14:textId="77777777" w:rsidR="00A9352B" w:rsidRDefault="00A9352B">
      <w:pPr>
        <w:rPr>
          <w:rFonts w:ascii="Arial" w:hAnsi="Arial" w:cs="Arial"/>
          <w:sz w:val="24"/>
          <w:szCs w:val="24"/>
        </w:rPr>
      </w:pPr>
      <w:r>
        <w:rPr>
          <w:rFonts w:ascii="Arial" w:hAnsi="Arial" w:cs="Arial"/>
          <w:sz w:val="24"/>
          <w:szCs w:val="24"/>
        </w:rPr>
        <w:t xml:space="preserve">European Network of Forensic Science Institutes. (2015). </w:t>
      </w:r>
      <w:r>
        <w:rPr>
          <w:rFonts w:ascii="Arial" w:hAnsi="Arial" w:cs="Arial"/>
          <w:i/>
          <w:iCs/>
          <w:sz w:val="24"/>
          <w:szCs w:val="24"/>
        </w:rPr>
        <w:t>Undertaking the scene examination</w:t>
      </w:r>
      <w:r>
        <w:rPr>
          <w:rFonts w:ascii="Arial" w:hAnsi="Arial" w:cs="Arial"/>
          <w:sz w:val="24"/>
          <w:szCs w:val="24"/>
        </w:rPr>
        <w:t xml:space="preserve"> . Scenes of Crime Examination Best Practice Manual . 1 (1), p11-16.</w:t>
      </w:r>
    </w:p>
    <w:p w14:paraId="2272762F" w14:textId="77777777" w:rsidR="00A9352B" w:rsidRDefault="00A9352B">
      <w:pPr>
        <w:rPr>
          <w:rFonts w:ascii="Arial" w:hAnsi="Arial" w:cs="Arial"/>
          <w:sz w:val="24"/>
          <w:szCs w:val="24"/>
        </w:rPr>
      </w:pPr>
      <w:r>
        <w:rPr>
          <w:rFonts w:ascii="Arial" w:hAnsi="Arial" w:cs="Arial"/>
          <w:sz w:val="24"/>
          <w:szCs w:val="24"/>
        </w:rPr>
        <w:t>European Network of Forensic Science Institutes. (2015). Undertaking the scene examination . Scenes of Crime Examination Best Practice Manual . 1 (1), p19-24.</w:t>
      </w:r>
    </w:p>
    <w:p w14:paraId="1C2CB760" w14:textId="77777777" w:rsidR="00A9352B" w:rsidRPr="00811EEA" w:rsidRDefault="00A9352B">
      <w:pPr>
        <w:rPr>
          <w:rFonts w:ascii="Arial" w:hAnsi="Arial" w:cs="Arial"/>
          <w:sz w:val="24"/>
          <w:szCs w:val="24"/>
        </w:rPr>
      </w:pPr>
      <w:r w:rsidRPr="00811EEA">
        <w:rPr>
          <w:rFonts w:ascii="Arial" w:hAnsi="Arial" w:cs="Arial"/>
          <w:color w:val="000000"/>
          <w:sz w:val="24"/>
          <w:szCs w:val="24"/>
        </w:rPr>
        <w:t xml:space="preserve">Forensic Science Regulator . (2020). Legal Obligations. </w:t>
      </w:r>
      <w:r w:rsidRPr="00811EEA">
        <w:rPr>
          <w:rFonts w:ascii="Arial" w:hAnsi="Arial" w:cs="Arial"/>
          <w:i/>
          <w:color w:val="000000"/>
          <w:sz w:val="24"/>
          <w:szCs w:val="24"/>
        </w:rPr>
        <w:t>Forensic Science Regulator.</w:t>
      </w:r>
      <w:r w:rsidRPr="00811EEA">
        <w:rPr>
          <w:rFonts w:ascii="Arial" w:hAnsi="Arial" w:cs="Arial"/>
          <w:color w:val="000000"/>
          <w:sz w:val="24"/>
          <w:szCs w:val="24"/>
        </w:rPr>
        <w:t xml:space="preserve"> 8 (1),  p80-81.</w:t>
      </w:r>
      <w:r w:rsidRPr="00811EEA">
        <w:rPr>
          <w:rFonts w:ascii="Arial" w:hAnsi="Arial" w:cs="Arial"/>
          <w:sz w:val="24"/>
          <w:szCs w:val="24"/>
        </w:rPr>
        <w:t xml:space="preserve"> </w:t>
      </w:r>
    </w:p>
    <w:p w14:paraId="7A83B098" w14:textId="77777777" w:rsidR="00A9352B" w:rsidRDefault="00A9352B">
      <w:r w:rsidRPr="00811EEA">
        <w:rPr>
          <w:rFonts w:ascii="Arial" w:hAnsi="Arial" w:cs="Arial"/>
          <w:color w:val="000000"/>
          <w:sz w:val="24"/>
          <w:szCs w:val="24"/>
        </w:rPr>
        <w:t xml:space="preserve">Home Office. (2018). </w:t>
      </w:r>
      <w:r w:rsidRPr="00811EEA">
        <w:rPr>
          <w:rFonts w:ascii="Arial" w:hAnsi="Arial" w:cs="Arial"/>
          <w:i/>
          <w:color w:val="000000"/>
          <w:sz w:val="24"/>
          <w:szCs w:val="24"/>
        </w:rPr>
        <w:t xml:space="preserve">The Accreditation of Forensic Service Providers Regulations 2018. </w:t>
      </w:r>
      <w:r w:rsidRPr="00811EEA">
        <w:rPr>
          <w:rFonts w:ascii="Arial" w:hAnsi="Arial" w:cs="Arial"/>
          <w:color w:val="000000"/>
          <w:sz w:val="24"/>
          <w:szCs w:val="24"/>
        </w:rPr>
        <w:t>Available: https://www.legislation.gov.uk/uksi/2018/1276/made. Last accessed 20/10/2020</w:t>
      </w:r>
      <w:r>
        <w:rPr>
          <w:rFonts w:ascii="verdana;sans-serif" w:hAnsi="verdana;sans-serif" w:cs="Arial"/>
          <w:color w:val="000000"/>
          <w:sz w:val="20"/>
          <w:szCs w:val="24"/>
        </w:rPr>
        <w:t>.</w:t>
      </w:r>
      <w:r>
        <w:rPr>
          <w:rFonts w:ascii="Arial" w:hAnsi="Arial" w:cs="Arial"/>
          <w:sz w:val="24"/>
          <w:szCs w:val="24"/>
        </w:rPr>
        <w:t xml:space="preserve"> </w:t>
      </w:r>
    </w:p>
    <w:p w14:paraId="291AA571" w14:textId="77777777" w:rsidR="00A9352B" w:rsidRDefault="00A9352B">
      <w:pPr>
        <w:rPr>
          <w:rFonts w:ascii="Arial" w:hAnsi="Arial" w:cs="Arial"/>
          <w:sz w:val="24"/>
          <w:szCs w:val="24"/>
        </w:rPr>
      </w:pPr>
      <w:r>
        <w:rPr>
          <w:rFonts w:ascii="Arial" w:hAnsi="Arial" w:cs="Arial"/>
          <w:sz w:val="24"/>
          <w:szCs w:val="24"/>
        </w:rPr>
        <w:t xml:space="preserve">Horswell, J (2004). </w:t>
      </w:r>
      <w:r>
        <w:rPr>
          <w:rFonts w:ascii="Arial" w:hAnsi="Arial" w:cs="Arial"/>
          <w:i/>
          <w:iCs/>
          <w:sz w:val="24"/>
          <w:szCs w:val="24"/>
        </w:rPr>
        <w:t>The Practice of Crime Scene Investigation</w:t>
      </w:r>
      <w:r>
        <w:rPr>
          <w:rFonts w:ascii="Arial" w:hAnsi="Arial" w:cs="Arial"/>
          <w:sz w:val="24"/>
          <w:szCs w:val="24"/>
        </w:rPr>
        <w:t>. Washington: CRC Press. p112-114.</w:t>
      </w:r>
    </w:p>
    <w:p w14:paraId="7E499B04" w14:textId="77777777" w:rsidR="00A9352B" w:rsidRDefault="00A9352B">
      <w:pPr>
        <w:rPr>
          <w:rFonts w:ascii="Arial" w:hAnsi="Arial" w:cs="Arial"/>
          <w:sz w:val="24"/>
          <w:szCs w:val="24"/>
        </w:rPr>
      </w:pPr>
      <w:r w:rsidRPr="00811EEA">
        <w:rPr>
          <w:rFonts w:ascii="Arial" w:hAnsi="Arial" w:cs="Arial"/>
          <w:color w:val="000000"/>
          <w:sz w:val="24"/>
          <w:szCs w:val="24"/>
        </w:rPr>
        <w:t>House of lords. (2019). Forensic science and the criminal justice system: a blueprint for change. </w:t>
      </w:r>
      <w:r w:rsidRPr="00811EEA">
        <w:rPr>
          <w:rFonts w:ascii="Arial" w:hAnsi="Arial" w:cs="Arial"/>
          <w:i/>
          <w:color w:val="000000"/>
          <w:sz w:val="24"/>
          <w:szCs w:val="24"/>
        </w:rPr>
        <w:t>Science and Technology Select Committee</w:t>
      </w:r>
      <w:r w:rsidRPr="00811EEA">
        <w:rPr>
          <w:rFonts w:ascii="Arial" w:hAnsi="Arial" w:cs="Arial"/>
          <w:color w:val="000000"/>
          <w:sz w:val="24"/>
          <w:szCs w:val="24"/>
        </w:rPr>
        <w:t>. 3 (1), p21-23</w:t>
      </w:r>
      <w:r>
        <w:rPr>
          <w:rFonts w:ascii="verdana;sans-serif" w:hAnsi="verdana;sans-serif" w:cs="Arial"/>
          <w:color w:val="000000"/>
          <w:sz w:val="20"/>
          <w:szCs w:val="24"/>
        </w:rPr>
        <w:t>.</w:t>
      </w:r>
      <w:r>
        <w:rPr>
          <w:rFonts w:ascii="Arial" w:hAnsi="Arial" w:cs="Arial"/>
          <w:sz w:val="24"/>
          <w:szCs w:val="24"/>
        </w:rPr>
        <w:t xml:space="preserve"> </w:t>
      </w:r>
    </w:p>
    <w:p w14:paraId="68CCE6C8" w14:textId="77777777" w:rsidR="00A9352B" w:rsidRDefault="00A9352B">
      <w:r>
        <w:rPr>
          <w:rFonts w:ascii="Arial" w:hAnsi="Arial" w:cs="Arial"/>
          <w:sz w:val="24"/>
          <w:szCs w:val="24"/>
        </w:rPr>
        <w:t>Houses of Parliament. (2016). parliamentary office of science and technology. Postnote . 1 (1), p1-5.</w:t>
      </w:r>
    </w:p>
    <w:p w14:paraId="17BE6A17" w14:textId="77777777" w:rsidR="00A9352B" w:rsidRDefault="00A9352B">
      <w:pPr>
        <w:rPr>
          <w:rFonts w:ascii="Arial" w:hAnsi="Arial" w:cs="Arial"/>
          <w:sz w:val="24"/>
          <w:szCs w:val="24"/>
        </w:rPr>
      </w:pPr>
      <w:bookmarkStart w:id="10" w:name="_Hlk53424477"/>
      <w:r>
        <w:rPr>
          <w:rFonts w:ascii="Arial" w:hAnsi="Arial" w:cs="Arial"/>
          <w:sz w:val="24"/>
          <w:szCs w:val="24"/>
        </w:rPr>
        <w:t xml:space="preserve">Lee, H . Pagliaro, E. (2013). </w:t>
      </w:r>
      <w:bookmarkEnd w:id="10"/>
      <w:r>
        <w:rPr>
          <w:rFonts w:ascii="Arial" w:hAnsi="Arial" w:cs="Arial"/>
          <w:sz w:val="24"/>
          <w:szCs w:val="24"/>
        </w:rPr>
        <w:t>Forensic Evidence and Crime Scene Investigation . Journal of Forensic Investigation. 2 (1), p1-5.</w:t>
      </w:r>
    </w:p>
    <w:p w14:paraId="7EF8A940" w14:textId="77777777" w:rsidR="00A9352B" w:rsidRDefault="00A9352B">
      <w:pPr>
        <w:rPr>
          <w:rFonts w:ascii="Arial" w:hAnsi="Arial" w:cs="Arial"/>
          <w:sz w:val="24"/>
          <w:szCs w:val="24"/>
        </w:rPr>
      </w:pPr>
      <w:r>
        <w:rPr>
          <w:rFonts w:ascii="Arial" w:hAnsi="Arial" w:cs="Arial"/>
          <w:sz w:val="24"/>
          <w:szCs w:val="24"/>
        </w:rPr>
        <w:t>Pepper, I (2005). Crime Scene Investigation</w:t>
      </w:r>
      <w:r>
        <w:rPr>
          <w:rFonts w:ascii="Arial" w:hAnsi="Arial" w:cs="Arial"/>
          <w:i/>
          <w:iCs/>
          <w:sz w:val="24"/>
          <w:szCs w:val="24"/>
        </w:rPr>
        <w:t>: Methods and Procedures</w:t>
      </w:r>
      <w:r>
        <w:rPr>
          <w:rFonts w:ascii="Arial" w:hAnsi="Arial" w:cs="Arial"/>
          <w:sz w:val="24"/>
          <w:szCs w:val="24"/>
        </w:rPr>
        <w:t>. 2nd ed. New York: Open University Press. P45-40.</w:t>
      </w:r>
    </w:p>
    <w:p w14:paraId="24820598" w14:textId="77777777" w:rsidR="00A9352B" w:rsidRDefault="00A9352B">
      <w:pPr>
        <w:rPr>
          <w:rFonts w:ascii="Arial" w:hAnsi="Arial" w:cs="Arial"/>
          <w:sz w:val="24"/>
          <w:szCs w:val="24"/>
        </w:rPr>
      </w:pPr>
      <w:r>
        <w:rPr>
          <w:rFonts w:ascii="Arial" w:hAnsi="Arial" w:cs="Arial"/>
          <w:sz w:val="24"/>
          <w:szCs w:val="24"/>
        </w:rPr>
        <w:t xml:space="preserve">Police services of Northern Ireland . (2016). Serious Crime Scenes . </w:t>
      </w:r>
      <w:r>
        <w:rPr>
          <w:rFonts w:ascii="Arial" w:hAnsi="Arial" w:cs="Arial"/>
          <w:i/>
          <w:iCs/>
          <w:sz w:val="24"/>
          <w:szCs w:val="24"/>
        </w:rPr>
        <w:t>Corporate policy service instruction</w:t>
      </w:r>
      <w:r>
        <w:rPr>
          <w:rFonts w:ascii="Arial" w:hAnsi="Arial" w:cs="Arial"/>
          <w:sz w:val="24"/>
          <w:szCs w:val="24"/>
        </w:rPr>
        <w:t xml:space="preserve"> . 1 (1), p5-7.</w:t>
      </w:r>
    </w:p>
    <w:p w14:paraId="2B1D701C" w14:textId="77777777" w:rsidR="00A9352B" w:rsidRDefault="00A9352B">
      <w:pPr>
        <w:rPr>
          <w:rFonts w:ascii="Arial" w:hAnsi="Arial" w:cs="Arial"/>
          <w:sz w:val="24"/>
          <w:szCs w:val="24"/>
        </w:rPr>
      </w:pPr>
      <w:r>
        <w:rPr>
          <w:rFonts w:ascii="Arial" w:hAnsi="Arial" w:cs="Arial"/>
          <w:sz w:val="24"/>
          <w:szCs w:val="24"/>
        </w:rPr>
        <w:t xml:space="preserve">Siegel, J Pekka, J Houck, M (2000). </w:t>
      </w:r>
      <w:r>
        <w:rPr>
          <w:rFonts w:ascii="Arial" w:hAnsi="Arial" w:cs="Arial"/>
          <w:i/>
          <w:iCs/>
          <w:sz w:val="24"/>
          <w:szCs w:val="24"/>
        </w:rPr>
        <w:t>Encyclopaedia of Forensic Sciences</w:t>
      </w:r>
      <w:r>
        <w:rPr>
          <w:rFonts w:ascii="Arial" w:hAnsi="Arial" w:cs="Arial"/>
          <w:sz w:val="24"/>
          <w:szCs w:val="24"/>
        </w:rPr>
        <w:t>. Washington: Academic press. p18-30.</w:t>
      </w:r>
    </w:p>
    <w:p w14:paraId="2362BE7C" w14:textId="77777777" w:rsidR="00A9352B" w:rsidRDefault="00A9352B">
      <w:pPr>
        <w:rPr>
          <w:rFonts w:ascii="Arial" w:hAnsi="Arial" w:cs="Arial"/>
          <w:sz w:val="24"/>
          <w:szCs w:val="24"/>
        </w:rPr>
      </w:pPr>
      <w:r>
        <w:rPr>
          <w:rFonts w:ascii="Arial" w:hAnsi="Arial" w:cs="Arial"/>
          <w:sz w:val="24"/>
          <w:szCs w:val="24"/>
        </w:rPr>
        <w:t xml:space="preserve">Tully, G. (2020). Codes of Practice and Conduct for forensic science providers and practitioners in the Criminal Justice System . </w:t>
      </w:r>
      <w:r>
        <w:rPr>
          <w:rFonts w:ascii="Arial" w:hAnsi="Arial" w:cs="Arial"/>
          <w:i/>
          <w:iCs/>
          <w:sz w:val="24"/>
          <w:szCs w:val="24"/>
        </w:rPr>
        <w:t>Forensic Science Regulator</w:t>
      </w:r>
      <w:r>
        <w:rPr>
          <w:rFonts w:ascii="Arial" w:hAnsi="Arial" w:cs="Arial"/>
          <w:sz w:val="24"/>
          <w:szCs w:val="24"/>
        </w:rPr>
        <w:t>. 5 (1), p6-15</w:t>
      </w:r>
    </w:p>
    <w:p w14:paraId="1E326C7F" w14:textId="77777777" w:rsidR="00A9352B" w:rsidRDefault="00A9352B">
      <w:pPr>
        <w:rPr>
          <w:rFonts w:ascii="Arial" w:hAnsi="Arial" w:cs="Arial"/>
          <w:sz w:val="24"/>
          <w:szCs w:val="24"/>
        </w:rPr>
      </w:pPr>
      <w:r>
        <w:rPr>
          <w:rFonts w:ascii="Arial" w:hAnsi="Arial" w:cs="Arial"/>
          <w:sz w:val="24"/>
          <w:szCs w:val="24"/>
        </w:rPr>
        <w:t xml:space="preserve">William, B (1999). </w:t>
      </w:r>
      <w:r>
        <w:rPr>
          <w:rFonts w:ascii="Arial" w:hAnsi="Arial" w:cs="Arial"/>
          <w:i/>
          <w:iCs/>
          <w:sz w:val="24"/>
          <w:szCs w:val="24"/>
        </w:rPr>
        <w:t>Footwear Impression Evidence</w:t>
      </w:r>
      <w:r>
        <w:rPr>
          <w:rFonts w:ascii="Arial" w:hAnsi="Arial" w:cs="Arial"/>
          <w:sz w:val="24"/>
          <w:szCs w:val="24"/>
        </w:rPr>
        <w:t>. 2nd ed. Washington: CRC Press. p99-104</w:t>
      </w:r>
    </w:p>
    <w:sectPr w:rsidR="00A9352B">
      <w:pgSz w:w="11906" w:h="16838"/>
      <w:pgMar w:top="1440" w:right="1440" w:bottom="1440" w:left="1440" w:header="0" w:footer="0" w:gutter="0"/>
      <w:pgNumType w:start="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verdana;sans-serif">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536"/>
    <w:rsid w:val="00011C5E"/>
    <w:rsid w:val="002506FD"/>
    <w:rsid w:val="003A45AB"/>
    <w:rsid w:val="00601039"/>
    <w:rsid w:val="00811EEA"/>
    <w:rsid w:val="00824536"/>
    <w:rsid w:val="00A93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9044A"/>
  <w15:docId w15:val="{BD8CAE20-863C-41C4-9459-BA9E2F32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qFormat/>
    <w:rsid w:val="00946A87"/>
    <w:rPr>
      <w:rFonts w:eastAsiaTheme="minorEastAsia"/>
      <w:lang w:val="en-US"/>
    </w:rPr>
  </w:style>
  <w:style w:type="character" w:customStyle="1" w:styleId="InternetLink">
    <w:name w:val="Internet Link"/>
    <w:basedOn w:val="DefaultParagraphFont"/>
    <w:uiPriority w:val="99"/>
    <w:unhideWhenUsed/>
    <w:rsid w:val="00300779"/>
    <w:rPr>
      <w:color w:val="0563C1" w:themeColor="hyperlink"/>
      <w:u w:val="single"/>
    </w:rPr>
  </w:style>
  <w:style w:type="character" w:customStyle="1" w:styleId="UnresolvedMention1">
    <w:name w:val="Unresolved Mention1"/>
    <w:basedOn w:val="DefaultParagraphFont"/>
    <w:uiPriority w:val="99"/>
    <w:semiHidden/>
    <w:unhideWhenUsed/>
    <w:qFormat/>
    <w:rsid w:val="00300779"/>
    <w:rPr>
      <w:color w:val="605E5C"/>
      <w:shd w:val="clear" w:color="auto" w:fill="E1DFDD"/>
    </w:rPr>
  </w:style>
  <w:style w:type="character" w:customStyle="1" w:styleId="ListLabel1">
    <w:name w:val="ListLabel 1"/>
    <w:qFormat/>
    <w:rPr>
      <w:rFonts w:ascii="Arial" w:hAnsi="Arial" w:cs="Arial"/>
      <w:sz w:val="24"/>
      <w:szCs w:val="24"/>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customStyle="1" w:styleId="Caption1">
    <w:name w:val="Caption1"/>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NoSpacing">
    <w:name w:val="No Spacing"/>
    <w:link w:val="NoSpacingChar"/>
    <w:uiPriority w:val="1"/>
    <w:qFormat/>
    <w:rsid w:val="00946A87"/>
    <w:rPr>
      <w:rFonts w:ascii="Calibri" w:eastAsiaTheme="minorEastAsia" w:hAnsi="Calibri"/>
      <w:lang w:val="en-US"/>
    </w:r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ottinghamshire.police.uk/site-page/what-crime-scene-investigat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pp.college.police.uk/app-content/civil-emergencies/civil-contingencies/response-and-recovery/" TargetMode="External"/><Relationship Id="rId5" Type="http://schemas.openxmlformats.org/officeDocument/2006/relationships/hyperlink" Target="https://www.app.college.police.uk/app-content/major-investigation-and-public-protection/domestic-abuse/first-respons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020</PublishDate>
  <Abstract/>
  <CompanyAddress>Forensic Recovery and Examination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3217</Words>
  <Characters>18340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WYNNE JONES</Company>
  <LinksUpToDate>false</LinksUpToDate>
  <CharactersWithSpaces>21514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Critically evaluate the processes and procedures adopted by the First Attending Officer and the methods in practice for the recovery and examination of forensic evidence at crime scenes</dc:subject>
  <dc:creator>Sean Matthews-1801606</dc:creator>
  <cp:lastModifiedBy>Sean</cp:lastModifiedBy>
  <cp:revision>2</cp:revision>
  <dcterms:created xsi:type="dcterms:W3CDTF">2020-11-05T16:30:00Z</dcterms:created>
  <dcterms:modified xsi:type="dcterms:W3CDTF">2020-11-05T16:30:00Z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WYNNE JONES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