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A2F2B" w:rsidRDefault="00E43518">
      <w:pPr>
        <w:pStyle w:val="normal0"/>
        <w:pBdr>
          <w:top w:val="nil"/>
          <w:left w:val="nil"/>
          <w:bottom w:val="nil"/>
          <w:right w:val="nil"/>
          <w:between w:val="nil"/>
        </w:pBdr>
        <w:spacing w:line="360" w:lineRule="auto"/>
        <w:jc w:val="center"/>
        <w:rPr>
          <w:color w:val="000000"/>
          <w:sz w:val="24"/>
          <w:szCs w:val="24"/>
        </w:rPr>
      </w:pPr>
      <w:r>
        <w:rPr>
          <w:noProof/>
          <w:color w:val="000000"/>
          <w:sz w:val="24"/>
          <w:szCs w:val="24"/>
        </w:rPr>
        <w:drawing>
          <wp:inline distT="114300" distB="114300" distL="114300" distR="114300">
            <wp:extent cx="2019300" cy="73342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019300" cy="733425"/>
                    </a:xfrm>
                    <a:prstGeom prst="rect">
                      <a:avLst/>
                    </a:prstGeom>
                    <a:ln/>
                  </pic:spPr>
                </pic:pic>
              </a:graphicData>
            </a:graphic>
          </wp:inline>
        </w:drawing>
      </w:r>
    </w:p>
    <w:p w:rsidR="002A2F2B" w:rsidRDefault="002A2F2B">
      <w:pPr>
        <w:pStyle w:val="normal0"/>
        <w:pBdr>
          <w:top w:val="nil"/>
          <w:left w:val="nil"/>
          <w:bottom w:val="nil"/>
          <w:right w:val="nil"/>
          <w:between w:val="nil"/>
        </w:pBdr>
        <w:spacing w:line="360" w:lineRule="auto"/>
        <w:jc w:val="center"/>
        <w:rPr>
          <w:b/>
          <w:bCs/>
          <w:color w:val="000000"/>
          <w:sz w:val="28"/>
          <w:szCs w:val="28"/>
        </w:rPr>
      </w:pPr>
    </w:p>
    <w:p w:rsidR="002A2F2B" w:rsidRDefault="00E43518">
      <w:pPr>
        <w:pStyle w:val="normal0"/>
        <w:pBdr>
          <w:top w:val="nil"/>
          <w:left w:val="nil"/>
          <w:bottom w:val="nil"/>
          <w:right w:val="nil"/>
          <w:between w:val="nil"/>
        </w:pBdr>
        <w:spacing w:line="360" w:lineRule="auto"/>
        <w:jc w:val="center"/>
        <w:rPr>
          <w:b/>
          <w:bCs/>
          <w:color w:val="000000"/>
          <w:sz w:val="28"/>
          <w:szCs w:val="28"/>
        </w:rPr>
      </w:pPr>
      <w:r>
        <w:rPr>
          <w:b/>
          <w:bCs/>
          <w:color w:val="000000"/>
          <w:sz w:val="28"/>
          <w:szCs w:val="28"/>
        </w:rPr>
        <w:t>Master of Business Administration</w:t>
      </w:r>
    </w:p>
    <w:p w:rsidR="002A2F2B" w:rsidRDefault="00E43518">
      <w:pPr>
        <w:pStyle w:val="normal0"/>
        <w:pBdr>
          <w:top w:val="nil"/>
          <w:left w:val="nil"/>
          <w:bottom w:val="nil"/>
          <w:right w:val="nil"/>
          <w:between w:val="nil"/>
        </w:pBdr>
        <w:spacing w:line="360" w:lineRule="auto"/>
        <w:jc w:val="center"/>
        <w:rPr>
          <w:b/>
          <w:bCs/>
          <w:color w:val="000000"/>
          <w:sz w:val="28"/>
          <w:szCs w:val="28"/>
        </w:rPr>
      </w:pPr>
      <w:r>
        <w:rPr>
          <w:b/>
          <w:bCs/>
          <w:color w:val="000000"/>
          <w:sz w:val="28"/>
          <w:szCs w:val="28"/>
        </w:rPr>
        <w:t>Marketing Management</w:t>
      </w:r>
    </w:p>
    <w:p w:rsidR="002A2F2B" w:rsidRDefault="00E43518">
      <w:pPr>
        <w:pStyle w:val="normal0"/>
        <w:pBdr>
          <w:top w:val="nil"/>
          <w:left w:val="nil"/>
          <w:bottom w:val="nil"/>
          <w:right w:val="nil"/>
          <w:between w:val="nil"/>
        </w:pBdr>
        <w:spacing w:line="360" w:lineRule="auto"/>
        <w:jc w:val="center"/>
        <w:rPr>
          <w:b/>
          <w:bCs/>
          <w:color w:val="000000"/>
          <w:sz w:val="28"/>
          <w:szCs w:val="28"/>
        </w:rPr>
      </w:pPr>
      <w:r>
        <w:rPr>
          <w:b/>
          <w:bCs/>
          <w:color w:val="000000"/>
          <w:sz w:val="28"/>
          <w:szCs w:val="28"/>
        </w:rPr>
        <w:t>LCMB7024</w:t>
      </w:r>
    </w:p>
    <w:p w:rsidR="002A2F2B" w:rsidRDefault="002A2F2B">
      <w:pPr>
        <w:pStyle w:val="normal0"/>
        <w:pBdr>
          <w:top w:val="nil"/>
          <w:left w:val="nil"/>
          <w:bottom w:val="nil"/>
          <w:right w:val="nil"/>
          <w:between w:val="nil"/>
        </w:pBdr>
        <w:spacing w:line="360" w:lineRule="auto"/>
        <w:jc w:val="center"/>
        <w:rPr>
          <w:b/>
          <w:bCs/>
          <w:color w:val="000000"/>
          <w:sz w:val="36"/>
          <w:szCs w:val="36"/>
        </w:rPr>
      </w:pPr>
    </w:p>
    <w:p w:rsidR="002A2F2B" w:rsidRDefault="002A2F2B">
      <w:pPr>
        <w:pStyle w:val="normal0"/>
        <w:pBdr>
          <w:top w:val="nil"/>
          <w:left w:val="nil"/>
          <w:bottom w:val="nil"/>
          <w:right w:val="nil"/>
          <w:between w:val="nil"/>
        </w:pBdr>
        <w:spacing w:line="360" w:lineRule="auto"/>
        <w:jc w:val="center"/>
        <w:rPr>
          <w:b/>
          <w:bCs/>
          <w:color w:val="000000"/>
          <w:sz w:val="36"/>
          <w:szCs w:val="36"/>
        </w:rPr>
      </w:pPr>
    </w:p>
    <w:p w:rsidR="002A2F2B" w:rsidRDefault="00E43518">
      <w:pPr>
        <w:pStyle w:val="normal0"/>
        <w:pBdr>
          <w:top w:val="nil"/>
          <w:left w:val="nil"/>
          <w:bottom w:val="nil"/>
          <w:right w:val="nil"/>
          <w:between w:val="nil"/>
        </w:pBdr>
        <w:spacing w:line="360" w:lineRule="auto"/>
        <w:jc w:val="center"/>
        <w:rPr>
          <w:b/>
          <w:bCs/>
          <w:color w:val="000000"/>
          <w:sz w:val="36"/>
          <w:szCs w:val="36"/>
        </w:rPr>
      </w:pPr>
      <w:r>
        <w:rPr>
          <w:b/>
          <w:bCs/>
          <w:color w:val="000000"/>
          <w:sz w:val="36"/>
          <w:szCs w:val="36"/>
        </w:rPr>
        <w:t>Assessment component 1: Marketing Environment Analysis</w:t>
      </w:r>
    </w:p>
    <w:p w:rsidR="002A2F2B" w:rsidRDefault="002A2F2B">
      <w:pPr>
        <w:pStyle w:val="normal0"/>
        <w:pBdr>
          <w:top w:val="nil"/>
          <w:left w:val="nil"/>
          <w:bottom w:val="nil"/>
          <w:right w:val="nil"/>
          <w:between w:val="nil"/>
        </w:pBdr>
        <w:spacing w:line="360" w:lineRule="auto"/>
        <w:jc w:val="center"/>
        <w:rPr>
          <w:color w:val="000000"/>
          <w:sz w:val="24"/>
          <w:szCs w:val="24"/>
        </w:rPr>
      </w:pPr>
    </w:p>
    <w:p w:rsidR="002A2F2B" w:rsidRDefault="002A2F2B">
      <w:pPr>
        <w:pStyle w:val="normal0"/>
        <w:pBdr>
          <w:top w:val="nil"/>
          <w:left w:val="nil"/>
          <w:bottom w:val="nil"/>
          <w:right w:val="nil"/>
          <w:between w:val="nil"/>
        </w:pBdr>
        <w:spacing w:line="360" w:lineRule="auto"/>
        <w:jc w:val="center"/>
        <w:rPr>
          <w:color w:val="000000"/>
          <w:sz w:val="24"/>
          <w:szCs w:val="24"/>
        </w:rPr>
      </w:pPr>
    </w:p>
    <w:p w:rsidR="002A2F2B" w:rsidRDefault="00E43518">
      <w:pPr>
        <w:pStyle w:val="normal0"/>
        <w:pBdr>
          <w:top w:val="nil"/>
          <w:left w:val="nil"/>
          <w:bottom w:val="nil"/>
          <w:right w:val="nil"/>
          <w:between w:val="nil"/>
        </w:pBdr>
        <w:spacing w:line="360" w:lineRule="auto"/>
        <w:jc w:val="center"/>
        <w:rPr>
          <w:sz w:val="24"/>
          <w:szCs w:val="24"/>
        </w:rPr>
      </w:pPr>
      <w:r>
        <w:rPr>
          <w:color w:val="000000"/>
          <w:sz w:val="24"/>
          <w:szCs w:val="24"/>
        </w:rPr>
        <w:t xml:space="preserve">Lecturer: </w:t>
      </w:r>
      <w:r>
        <w:rPr>
          <w:sz w:val="24"/>
          <w:szCs w:val="24"/>
        </w:rPr>
        <w:t>Taonga Kaonga Sobere-Snithers</w:t>
      </w:r>
    </w:p>
    <w:p w:rsidR="002A2F2B" w:rsidRDefault="00E43518">
      <w:pPr>
        <w:pStyle w:val="normal0"/>
        <w:pBdr>
          <w:top w:val="nil"/>
          <w:left w:val="nil"/>
          <w:bottom w:val="nil"/>
          <w:right w:val="nil"/>
          <w:between w:val="nil"/>
        </w:pBdr>
        <w:spacing w:line="360" w:lineRule="auto"/>
        <w:jc w:val="center"/>
        <w:rPr>
          <w:color w:val="000000"/>
          <w:sz w:val="24"/>
          <w:szCs w:val="24"/>
        </w:rPr>
      </w:pPr>
      <w:r>
        <w:rPr>
          <w:color w:val="000000"/>
          <w:sz w:val="24"/>
          <w:szCs w:val="24"/>
        </w:rPr>
        <w:t>Student name: Rohit Kumar yadav</w:t>
      </w:r>
    </w:p>
    <w:p w:rsidR="002A2F2B" w:rsidRDefault="00E43518">
      <w:pPr>
        <w:pStyle w:val="normal0"/>
        <w:pBdr>
          <w:top w:val="nil"/>
          <w:left w:val="nil"/>
          <w:bottom w:val="nil"/>
          <w:right w:val="nil"/>
          <w:between w:val="nil"/>
        </w:pBdr>
        <w:spacing w:line="360" w:lineRule="auto"/>
        <w:jc w:val="center"/>
        <w:rPr>
          <w:color w:val="000000"/>
          <w:sz w:val="24"/>
          <w:szCs w:val="24"/>
        </w:rPr>
      </w:pPr>
      <w:r>
        <w:rPr>
          <w:color w:val="000000"/>
          <w:sz w:val="24"/>
          <w:szCs w:val="24"/>
        </w:rPr>
        <w:t>Student ID:2608512</w:t>
      </w:r>
    </w:p>
    <w:p w:rsidR="002A2F2B" w:rsidRDefault="00A4482D">
      <w:pPr>
        <w:pStyle w:val="normal0"/>
        <w:pBdr>
          <w:top w:val="nil"/>
          <w:left w:val="nil"/>
          <w:bottom w:val="nil"/>
          <w:right w:val="nil"/>
          <w:between w:val="nil"/>
        </w:pBdr>
        <w:spacing w:line="360" w:lineRule="auto"/>
        <w:jc w:val="center"/>
        <w:rPr>
          <w:color w:val="000000"/>
          <w:sz w:val="24"/>
          <w:szCs w:val="24"/>
        </w:rPr>
      </w:pPr>
      <w:r>
        <w:rPr>
          <w:color w:val="000000"/>
          <w:sz w:val="24"/>
          <w:szCs w:val="24"/>
        </w:rPr>
        <w:t>Word count: 2631</w:t>
      </w:r>
    </w:p>
    <w:p w:rsidR="002A2F2B" w:rsidRDefault="00E43518">
      <w:pPr>
        <w:pStyle w:val="normal0"/>
        <w:pBdr>
          <w:top w:val="nil"/>
          <w:left w:val="nil"/>
          <w:bottom w:val="nil"/>
          <w:right w:val="nil"/>
          <w:between w:val="nil"/>
        </w:pBdr>
        <w:spacing w:line="360" w:lineRule="auto"/>
        <w:jc w:val="center"/>
        <w:rPr>
          <w:color w:val="000000"/>
          <w:sz w:val="24"/>
          <w:szCs w:val="24"/>
        </w:rPr>
      </w:pPr>
      <w:r>
        <w:rPr>
          <w:color w:val="000000"/>
          <w:sz w:val="24"/>
          <w:szCs w:val="24"/>
        </w:rPr>
        <w:t>Submission date:</w:t>
      </w:r>
    </w:p>
    <w:p w:rsidR="002A2F2B" w:rsidRDefault="00E43518">
      <w:pPr>
        <w:pStyle w:val="normal0"/>
        <w:pBdr>
          <w:top w:val="nil"/>
          <w:left w:val="nil"/>
          <w:bottom w:val="nil"/>
          <w:right w:val="nil"/>
          <w:between w:val="nil"/>
        </w:pBdr>
        <w:spacing w:line="360" w:lineRule="auto"/>
        <w:jc w:val="center"/>
        <w:rPr>
          <w:b/>
          <w:bCs/>
          <w:color w:val="000000"/>
          <w:sz w:val="28"/>
          <w:szCs w:val="28"/>
        </w:rPr>
      </w:pPr>
      <w:r>
        <w:br w:type="page"/>
      </w:r>
    </w:p>
    <w:p w:rsidR="002A2F2B" w:rsidRDefault="00E43518">
      <w:pPr>
        <w:pStyle w:val="normal0"/>
        <w:pBdr>
          <w:top w:val="nil"/>
          <w:left w:val="nil"/>
          <w:bottom w:val="nil"/>
          <w:right w:val="nil"/>
          <w:between w:val="nil"/>
        </w:pBdr>
        <w:spacing w:line="360" w:lineRule="auto"/>
        <w:jc w:val="center"/>
        <w:rPr>
          <w:b/>
          <w:bCs/>
          <w:color w:val="000000"/>
          <w:sz w:val="28"/>
          <w:szCs w:val="28"/>
        </w:rPr>
      </w:pPr>
      <w:r>
        <w:rPr>
          <w:b/>
          <w:bCs/>
          <w:color w:val="000000"/>
          <w:sz w:val="28"/>
          <w:szCs w:val="28"/>
        </w:rPr>
        <w:lastRenderedPageBreak/>
        <w:t>Executive Summary</w:t>
      </w:r>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This report is centered on analysing the marketing environment of Tata Steel and pinpoints potential strategic opportunities linked with transitioning to a low-carbon business model. The most significant external actors revealed in the an</w:t>
      </w:r>
      <w:r>
        <w:rPr>
          <w:color w:val="000000"/>
          <w:sz w:val="24"/>
          <w:szCs w:val="24"/>
        </w:rPr>
        <w:t xml:space="preserve">alysis are environmental pressures, changing legal requirements, and </w:t>
      </w:r>
      <w:r w:rsidR="007E7C8D">
        <w:rPr>
          <w:color w:val="000000"/>
          <w:sz w:val="24"/>
          <w:szCs w:val="24"/>
        </w:rPr>
        <w:t>social</w:t>
      </w:r>
      <w:r>
        <w:rPr>
          <w:color w:val="000000"/>
          <w:sz w:val="24"/>
          <w:szCs w:val="24"/>
        </w:rPr>
        <w:t xml:space="preserve"> expectations. These pressures are manifest in the need for investment, technological uncertainty, and customers’ willingness to pay, but also bring opportunities for differentiat</w:t>
      </w:r>
      <w:r>
        <w:rPr>
          <w:color w:val="000000"/>
          <w:sz w:val="24"/>
          <w:szCs w:val="24"/>
        </w:rPr>
        <w:t>ed lower-carbon products. The analysis with the Ansoff Matrix shows that product development is the best growth strategy for Tata Steel, as it can build on the existing capacity and customer base, while also creating new lower-carbon and circular steel off</w:t>
      </w:r>
      <w:r>
        <w:rPr>
          <w:color w:val="000000"/>
          <w:sz w:val="24"/>
          <w:szCs w:val="24"/>
        </w:rPr>
        <w:t>erings. It can be a way to reinforce the competitive advantage through product innovation, credible carbon information, circularity, and customer-specific value. The lower-carbon product development can bridge Tata Steel's sustainability transition and com</w:t>
      </w:r>
      <w:r>
        <w:rPr>
          <w:color w:val="000000"/>
          <w:sz w:val="24"/>
          <w:szCs w:val="24"/>
        </w:rPr>
        <w:t xml:space="preserve">mercial growth with longer-term competitiveness. </w:t>
      </w:r>
    </w:p>
    <w:p w:rsidR="002A2F2B" w:rsidRDefault="00E43518">
      <w:pPr>
        <w:pStyle w:val="normal0"/>
        <w:rPr>
          <w:sz w:val="24"/>
          <w:szCs w:val="24"/>
        </w:rPr>
      </w:pPr>
      <w:r>
        <w:br w:type="page"/>
      </w:r>
    </w:p>
    <w:p w:rsidR="002A2F2B" w:rsidRDefault="00E43518">
      <w:pPr>
        <w:pStyle w:val="normal0"/>
        <w:keepNext/>
        <w:keepLines/>
        <w:pBdr>
          <w:top w:val="nil"/>
          <w:left w:val="nil"/>
          <w:bottom w:val="nil"/>
          <w:right w:val="nil"/>
          <w:between w:val="nil"/>
        </w:pBdr>
        <w:spacing w:before="480" w:after="240" w:line="360" w:lineRule="auto"/>
        <w:jc w:val="center"/>
        <w:rPr>
          <w:b/>
          <w:bCs/>
          <w:color w:val="000000"/>
          <w:sz w:val="28"/>
          <w:szCs w:val="28"/>
        </w:rPr>
      </w:pPr>
      <w:r>
        <w:rPr>
          <w:b/>
          <w:bCs/>
          <w:color w:val="000000"/>
          <w:sz w:val="28"/>
          <w:szCs w:val="28"/>
        </w:rPr>
        <w:lastRenderedPageBreak/>
        <w:t>Table of Contents</w:t>
      </w:r>
    </w:p>
    <w:sdt>
      <w:sdtPr>
        <w:id w:val="838549397"/>
        <w:docPartObj>
          <w:docPartGallery w:val="Table of Contents"/>
          <w:docPartUnique/>
        </w:docPartObj>
      </w:sdtPr>
      <w:sdtContent>
        <w:p w:rsidR="00BB72CD" w:rsidRPr="00BB72CD" w:rsidRDefault="002A2F2B" w:rsidP="00BB72CD">
          <w:pPr>
            <w:pStyle w:val="TOC1"/>
            <w:tabs>
              <w:tab w:val="right" w:leader="dot" w:pos="9350"/>
            </w:tabs>
            <w:spacing w:line="360" w:lineRule="auto"/>
            <w:jc w:val="both"/>
            <w:rPr>
              <w:rFonts w:asciiTheme="minorHAnsi" w:eastAsiaTheme="minorEastAsia" w:hAnsiTheme="minorHAnsi" w:cstheme="minorBidi"/>
              <w:noProof/>
              <w:sz w:val="24"/>
            </w:rPr>
          </w:pPr>
          <w:r w:rsidRPr="00BB72CD">
            <w:rPr>
              <w:sz w:val="24"/>
            </w:rPr>
            <w:fldChar w:fldCharType="begin"/>
          </w:r>
          <w:r w:rsidR="00E43518" w:rsidRPr="00BB72CD">
            <w:rPr>
              <w:sz w:val="24"/>
            </w:rPr>
            <w:instrText xml:space="preserve"> TOC \h \u \z \t "Heading 1,1,Heading 2,2,Heading 3,3,"</w:instrText>
          </w:r>
          <w:r w:rsidRPr="00BB72CD">
            <w:rPr>
              <w:sz w:val="24"/>
            </w:rPr>
            <w:fldChar w:fldCharType="separate"/>
          </w:r>
          <w:hyperlink w:anchor="_Toc243485074" w:history="1">
            <w:r w:rsidR="00BB72CD" w:rsidRPr="00BB72CD">
              <w:rPr>
                <w:rStyle w:val="Hyperlink"/>
                <w:noProof/>
                <w:sz w:val="24"/>
              </w:rPr>
              <w:t>Introduction</w:t>
            </w:r>
            <w:r w:rsidR="00BB72CD" w:rsidRPr="00BB72CD">
              <w:rPr>
                <w:noProof/>
                <w:webHidden/>
                <w:sz w:val="24"/>
              </w:rPr>
              <w:tab/>
            </w:r>
            <w:r w:rsidR="00BB72CD" w:rsidRPr="00BB72CD">
              <w:rPr>
                <w:noProof/>
                <w:webHidden/>
                <w:sz w:val="24"/>
              </w:rPr>
              <w:fldChar w:fldCharType="begin"/>
            </w:r>
            <w:r w:rsidR="00BB72CD" w:rsidRPr="00BB72CD">
              <w:rPr>
                <w:noProof/>
                <w:webHidden/>
                <w:sz w:val="24"/>
              </w:rPr>
              <w:instrText xml:space="preserve"> PAGEREF _Toc243485074 \h </w:instrText>
            </w:r>
            <w:r w:rsidR="00BB72CD" w:rsidRPr="00BB72CD">
              <w:rPr>
                <w:noProof/>
                <w:webHidden/>
                <w:sz w:val="24"/>
              </w:rPr>
            </w:r>
            <w:r w:rsidR="00BB72CD" w:rsidRPr="00BB72CD">
              <w:rPr>
                <w:noProof/>
                <w:webHidden/>
                <w:sz w:val="24"/>
              </w:rPr>
              <w:fldChar w:fldCharType="separate"/>
            </w:r>
            <w:r w:rsidR="00BB72CD" w:rsidRPr="00BB72CD">
              <w:rPr>
                <w:noProof/>
                <w:webHidden/>
                <w:sz w:val="24"/>
              </w:rPr>
              <w:t>4</w:t>
            </w:r>
            <w:r w:rsidR="00BB72CD" w:rsidRPr="00BB72CD">
              <w:rPr>
                <w:noProof/>
                <w:webHidden/>
                <w:sz w:val="24"/>
              </w:rPr>
              <w:fldChar w:fldCharType="end"/>
            </w:r>
          </w:hyperlink>
        </w:p>
        <w:p w:rsidR="00BB72CD" w:rsidRPr="00BB72CD" w:rsidRDefault="00BB72CD" w:rsidP="00BB72CD">
          <w:pPr>
            <w:pStyle w:val="TOC1"/>
            <w:tabs>
              <w:tab w:val="right" w:leader="dot" w:pos="9350"/>
            </w:tabs>
            <w:spacing w:line="360" w:lineRule="auto"/>
            <w:jc w:val="both"/>
            <w:rPr>
              <w:rFonts w:asciiTheme="minorHAnsi" w:eastAsiaTheme="minorEastAsia" w:hAnsiTheme="minorHAnsi" w:cstheme="minorBidi"/>
              <w:noProof/>
              <w:sz w:val="24"/>
            </w:rPr>
          </w:pPr>
          <w:hyperlink w:anchor="_Toc243485075" w:history="1">
            <w:r w:rsidRPr="00BB72CD">
              <w:rPr>
                <w:rStyle w:val="Hyperlink"/>
                <w:noProof/>
                <w:sz w:val="24"/>
              </w:rPr>
              <w:t>Task 1: Marketing Environment Analysis</w:t>
            </w:r>
            <w:r w:rsidRPr="00BB72CD">
              <w:rPr>
                <w:noProof/>
                <w:webHidden/>
                <w:sz w:val="24"/>
              </w:rPr>
              <w:tab/>
            </w:r>
            <w:r w:rsidRPr="00BB72CD">
              <w:rPr>
                <w:noProof/>
                <w:webHidden/>
                <w:sz w:val="24"/>
              </w:rPr>
              <w:fldChar w:fldCharType="begin"/>
            </w:r>
            <w:r w:rsidRPr="00BB72CD">
              <w:rPr>
                <w:noProof/>
                <w:webHidden/>
                <w:sz w:val="24"/>
              </w:rPr>
              <w:instrText xml:space="preserve"> PAGEREF _Toc243485075 \h </w:instrText>
            </w:r>
            <w:r w:rsidRPr="00BB72CD">
              <w:rPr>
                <w:noProof/>
                <w:webHidden/>
                <w:sz w:val="24"/>
              </w:rPr>
            </w:r>
            <w:r w:rsidRPr="00BB72CD">
              <w:rPr>
                <w:noProof/>
                <w:webHidden/>
                <w:sz w:val="24"/>
              </w:rPr>
              <w:fldChar w:fldCharType="separate"/>
            </w:r>
            <w:r w:rsidRPr="00BB72CD">
              <w:rPr>
                <w:noProof/>
                <w:webHidden/>
                <w:sz w:val="24"/>
              </w:rPr>
              <w:t>4</w:t>
            </w:r>
            <w:r w:rsidRPr="00BB72CD">
              <w:rPr>
                <w:noProof/>
                <w:webHidden/>
                <w:sz w:val="24"/>
              </w:rPr>
              <w:fldChar w:fldCharType="end"/>
            </w:r>
          </w:hyperlink>
        </w:p>
        <w:p w:rsidR="00BB72CD" w:rsidRPr="00BB72CD" w:rsidRDefault="00BB72CD" w:rsidP="00BB72CD">
          <w:pPr>
            <w:pStyle w:val="TOC2"/>
            <w:tabs>
              <w:tab w:val="right" w:leader="dot" w:pos="9350"/>
            </w:tabs>
            <w:spacing w:line="360" w:lineRule="auto"/>
            <w:jc w:val="both"/>
            <w:rPr>
              <w:rFonts w:asciiTheme="minorHAnsi" w:eastAsiaTheme="minorEastAsia" w:hAnsiTheme="minorHAnsi" w:cstheme="minorBidi"/>
              <w:noProof/>
              <w:sz w:val="24"/>
            </w:rPr>
          </w:pPr>
          <w:hyperlink w:anchor="_Toc243485076" w:history="1">
            <w:r w:rsidRPr="00BB72CD">
              <w:rPr>
                <w:rStyle w:val="Hyperlink"/>
                <w:noProof/>
                <w:sz w:val="24"/>
              </w:rPr>
              <w:t>Marketing environment analysis</w:t>
            </w:r>
            <w:r w:rsidRPr="00BB72CD">
              <w:rPr>
                <w:noProof/>
                <w:webHidden/>
                <w:sz w:val="24"/>
              </w:rPr>
              <w:tab/>
            </w:r>
            <w:r w:rsidRPr="00BB72CD">
              <w:rPr>
                <w:noProof/>
                <w:webHidden/>
                <w:sz w:val="24"/>
              </w:rPr>
              <w:fldChar w:fldCharType="begin"/>
            </w:r>
            <w:r w:rsidRPr="00BB72CD">
              <w:rPr>
                <w:noProof/>
                <w:webHidden/>
                <w:sz w:val="24"/>
              </w:rPr>
              <w:instrText xml:space="preserve"> PAGEREF _Toc243485076 \h </w:instrText>
            </w:r>
            <w:r w:rsidRPr="00BB72CD">
              <w:rPr>
                <w:noProof/>
                <w:webHidden/>
                <w:sz w:val="24"/>
              </w:rPr>
            </w:r>
            <w:r w:rsidRPr="00BB72CD">
              <w:rPr>
                <w:noProof/>
                <w:webHidden/>
                <w:sz w:val="24"/>
              </w:rPr>
              <w:fldChar w:fldCharType="separate"/>
            </w:r>
            <w:r w:rsidRPr="00BB72CD">
              <w:rPr>
                <w:noProof/>
                <w:webHidden/>
                <w:sz w:val="24"/>
              </w:rPr>
              <w:t>4</w:t>
            </w:r>
            <w:r w:rsidRPr="00BB72CD">
              <w:rPr>
                <w:noProof/>
                <w:webHidden/>
                <w:sz w:val="24"/>
              </w:rPr>
              <w:fldChar w:fldCharType="end"/>
            </w:r>
          </w:hyperlink>
        </w:p>
        <w:p w:rsidR="00BB72CD" w:rsidRPr="00BB72CD" w:rsidRDefault="00BB72CD" w:rsidP="00BB72CD">
          <w:pPr>
            <w:pStyle w:val="TOC2"/>
            <w:tabs>
              <w:tab w:val="right" w:leader="dot" w:pos="9350"/>
            </w:tabs>
            <w:spacing w:line="360" w:lineRule="auto"/>
            <w:jc w:val="both"/>
            <w:rPr>
              <w:rFonts w:asciiTheme="minorHAnsi" w:eastAsiaTheme="minorEastAsia" w:hAnsiTheme="minorHAnsi" w:cstheme="minorBidi"/>
              <w:noProof/>
              <w:sz w:val="24"/>
            </w:rPr>
          </w:pPr>
          <w:hyperlink w:anchor="_Toc243485077" w:history="1">
            <w:r w:rsidRPr="00BB72CD">
              <w:rPr>
                <w:rStyle w:val="Hyperlink"/>
                <w:noProof/>
                <w:sz w:val="24"/>
              </w:rPr>
              <w:t>Actor 1: Environment</w:t>
            </w:r>
            <w:r w:rsidRPr="00BB72CD">
              <w:rPr>
                <w:noProof/>
                <w:webHidden/>
                <w:sz w:val="24"/>
              </w:rPr>
              <w:tab/>
            </w:r>
            <w:r w:rsidRPr="00BB72CD">
              <w:rPr>
                <w:noProof/>
                <w:webHidden/>
                <w:sz w:val="24"/>
              </w:rPr>
              <w:fldChar w:fldCharType="begin"/>
            </w:r>
            <w:r w:rsidRPr="00BB72CD">
              <w:rPr>
                <w:noProof/>
                <w:webHidden/>
                <w:sz w:val="24"/>
              </w:rPr>
              <w:instrText xml:space="preserve"> PAGEREF _Toc243485077 \h </w:instrText>
            </w:r>
            <w:r w:rsidRPr="00BB72CD">
              <w:rPr>
                <w:noProof/>
                <w:webHidden/>
                <w:sz w:val="24"/>
              </w:rPr>
            </w:r>
            <w:r w:rsidRPr="00BB72CD">
              <w:rPr>
                <w:noProof/>
                <w:webHidden/>
                <w:sz w:val="24"/>
              </w:rPr>
              <w:fldChar w:fldCharType="separate"/>
            </w:r>
            <w:r w:rsidRPr="00BB72CD">
              <w:rPr>
                <w:noProof/>
                <w:webHidden/>
                <w:sz w:val="24"/>
              </w:rPr>
              <w:t>4</w:t>
            </w:r>
            <w:r w:rsidRPr="00BB72CD">
              <w:rPr>
                <w:noProof/>
                <w:webHidden/>
                <w:sz w:val="24"/>
              </w:rPr>
              <w:fldChar w:fldCharType="end"/>
            </w:r>
          </w:hyperlink>
        </w:p>
        <w:p w:rsidR="00BB72CD" w:rsidRPr="00BB72CD" w:rsidRDefault="00BB72CD" w:rsidP="00BB72CD">
          <w:pPr>
            <w:pStyle w:val="TOC2"/>
            <w:tabs>
              <w:tab w:val="right" w:leader="dot" w:pos="9350"/>
            </w:tabs>
            <w:spacing w:line="360" w:lineRule="auto"/>
            <w:jc w:val="both"/>
            <w:rPr>
              <w:rFonts w:asciiTheme="minorHAnsi" w:eastAsiaTheme="minorEastAsia" w:hAnsiTheme="minorHAnsi" w:cstheme="minorBidi"/>
              <w:noProof/>
              <w:sz w:val="24"/>
            </w:rPr>
          </w:pPr>
          <w:hyperlink w:anchor="_Toc243485078" w:history="1">
            <w:r w:rsidRPr="00BB72CD">
              <w:rPr>
                <w:rStyle w:val="Hyperlink"/>
                <w:noProof/>
                <w:sz w:val="24"/>
              </w:rPr>
              <w:t>Actor 2: Legal environment</w:t>
            </w:r>
            <w:r w:rsidRPr="00BB72CD">
              <w:rPr>
                <w:noProof/>
                <w:webHidden/>
                <w:sz w:val="24"/>
              </w:rPr>
              <w:tab/>
            </w:r>
            <w:r w:rsidRPr="00BB72CD">
              <w:rPr>
                <w:noProof/>
                <w:webHidden/>
                <w:sz w:val="24"/>
              </w:rPr>
              <w:fldChar w:fldCharType="begin"/>
            </w:r>
            <w:r w:rsidRPr="00BB72CD">
              <w:rPr>
                <w:noProof/>
                <w:webHidden/>
                <w:sz w:val="24"/>
              </w:rPr>
              <w:instrText xml:space="preserve"> PAGEREF _Toc243485078 \h </w:instrText>
            </w:r>
            <w:r w:rsidRPr="00BB72CD">
              <w:rPr>
                <w:noProof/>
                <w:webHidden/>
                <w:sz w:val="24"/>
              </w:rPr>
            </w:r>
            <w:r w:rsidRPr="00BB72CD">
              <w:rPr>
                <w:noProof/>
                <w:webHidden/>
                <w:sz w:val="24"/>
              </w:rPr>
              <w:fldChar w:fldCharType="separate"/>
            </w:r>
            <w:r w:rsidRPr="00BB72CD">
              <w:rPr>
                <w:noProof/>
                <w:webHidden/>
                <w:sz w:val="24"/>
              </w:rPr>
              <w:t>6</w:t>
            </w:r>
            <w:r w:rsidRPr="00BB72CD">
              <w:rPr>
                <w:noProof/>
                <w:webHidden/>
                <w:sz w:val="24"/>
              </w:rPr>
              <w:fldChar w:fldCharType="end"/>
            </w:r>
          </w:hyperlink>
        </w:p>
        <w:p w:rsidR="00BB72CD" w:rsidRPr="00BB72CD" w:rsidRDefault="00BB72CD" w:rsidP="00BB72CD">
          <w:pPr>
            <w:pStyle w:val="TOC2"/>
            <w:tabs>
              <w:tab w:val="right" w:leader="dot" w:pos="9350"/>
            </w:tabs>
            <w:spacing w:line="360" w:lineRule="auto"/>
            <w:jc w:val="both"/>
            <w:rPr>
              <w:rFonts w:asciiTheme="minorHAnsi" w:eastAsiaTheme="minorEastAsia" w:hAnsiTheme="minorHAnsi" w:cstheme="minorBidi"/>
              <w:noProof/>
              <w:sz w:val="24"/>
            </w:rPr>
          </w:pPr>
          <w:hyperlink w:anchor="_Toc243485079" w:history="1">
            <w:r w:rsidRPr="00BB72CD">
              <w:rPr>
                <w:rStyle w:val="Hyperlink"/>
                <w:noProof/>
                <w:sz w:val="24"/>
              </w:rPr>
              <w:t>Actor 3: Social</w:t>
            </w:r>
            <w:r w:rsidRPr="00BB72CD">
              <w:rPr>
                <w:noProof/>
                <w:webHidden/>
                <w:sz w:val="24"/>
              </w:rPr>
              <w:tab/>
            </w:r>
            <w:r w:rsidRPr="00BB72CD">
              <w:rPr>
                <w:noProof/>
                <w:webHidden/>
                <w:sz w:val="24"/>
              </w:rPr>
              <w:fldChar w:fldCharType="begin"/>
            </w:r>
            <w:r w:rsidRPr="00BB72CD">
              <w:rPr>
                <w:noProof/>
                <w:webHidden/>
                <w:sz w:val="24"/>
              </w:rPr>
              <w:instrText xml:space="preserve"> PAGEREF _Toc243485079 \h </w:instrText>
            </w:r>
            <w:r w:rsidRPr="00BB72CD">
              <w:rPr>
                <w:noProof/>
                <w:webHidden/>
                <w:sz w:val="24"/>
              </w:rPr>
            </w:r>
            <w:r w:rsidRPr="00BB72CD">
              <w:rPr>
                <w:noProof/>
                <w:webHidden/>
                <w:sz w:val="24"/>
              </w:rPr>
              <w:fldChar w:fldCharType="separate"/>
            </w:r>
            <w:r w:rsidRPr="00BB72CD">
              <w:rPr>
                <w:noProof/>
                <w:webHidden/>
                <w:sz w:val="24"/>
              </w:rPr>
              <w:t>7</w:t>
            </w:r>
            <w:r w:rsidRPr="00BB72CD">
              <w:rPr>
                <w:noProof/>
                <w:webHidden/>
                <w:sz w:val="24"/>
              </w:rPr>
              <w:fldChar w:fldCharType="end"/>
            </w:r>
          </w:hyperlink>
        </w:p>
        <w:p w:rsidR="00BB72CD" w:rsidRPr="00BB72CD" w:rsidRDefault="00BB72CD" w:rsidP="00BB72CD">
          <w:pPr>
            <w:pStyle w:val="TOC1"/>
            <w:tabs>
              <w:tab w:val="right" w:leader="dot" w:pos="9350"/>
            </w:tabs>
            <w:spacing w:line="360" w:lineRule="auto"/>
            <w:jc w:val="both"/>
            <w:rPr>
              <w:rFonts w:asciiTheme="minorHAnsi" w:eastAsiaTheme="minorEastAsia" w:hAnsiTheme="minorHAnsi" w:cstheme="minorBidi"/>
              <w:noProof/>
              <w:sz w:val="24"/>
            </w:rPr>
          </w:pPr>
          <w:hyperlink w:anchor="_Toc243485080" w:history="1">
            <w:r w:rsidRPr="00BB72CD">
              <w:rPr>
                <w:rStyle w:val="Hyperlink"/>
                <w:noProof/>
                <w:sz w:val="24"/>
              </w:rPr>
              <w:t>Task 2: Strategic Growth and Competitive Positioning</w:t>
            </w:r>
            <w:r w:rsidRPr="00BB72CD">
              <w:rPr>
                <w:noProof/>
                <w:webHidden/>
                <w:sz w:val="24"/>
              </w:rPr>
              <w:tab/>
            </w:r>
            <w:r w:rsidRPr="00BB72CD">
              <w:rPr>
                <w:noProof/>
                <w:webHidden/>
                <w:sz w:val="24"/>
              </w:rPr>
              <w:fldChar w:fldCharType="begin"/>
            </w:r>
            <w:r w:rsidRPr="00BB72CD">
              <w:rPr>
                <w:noProof/>
                <w:webHidden/>
                <w:sz w:val="24"/>
              </w:rPr>
              <w:instrText xml:space="preserve"> PAGEREF _Toc243485080 \h </w:instrText>
            </w:r>
            <w:r w:rsidRPr="00BB72CD">
              <w:rPr>
                <w:noProof/>
                <w:webHidden/>
                <w:sz w:val="24"/>
              </w:rPr>
            </w:r>
            <w:r w:rsidRPr="00BB72CD">
              <w:rPr>
                <w:noProof/>
                <w:webHidden/>
                <w:sz w:val="24"/>
              </w:rPr>
              <w:fldChar w:fldCharType="separate"/>
            </w:r>
            <w:r w:rsidRPr="00BB72CD">
              <w:rPr>
                <w:noProof/>
                <w:webHidden/>
                <w:sz w:val="24"/>
              </w:rPr>
              <w:t>8</w:t>
            </w:r>
            <w:r w:rsidRPr="00BB72CD">
              <w:rPr>
                <w:noProof/>
                <w:webHidden/>
                <w:sz w:val="24"/>
              </w:rPr>
              <w:fldChar w:fldCharType="end"/>
            </w:r>
          </w:hyperlink>
        </w:p>
        <w:p w:rsidR="00BB72CD" w:rsidRPr="00BB72CD" w:rsidRDefault="00BB72CD" w:rsidP="00BB72CD">
          <w:pPr>
            <w:pStyle w:val="TOC2"/>
            <w:tabs>
              <w:tab w:val="right" w:leader="dot" w:pos="9350"/>
            </w:tabs>
            <w:spacing w:line="360" w:lineRule="auto"/>
            <w:jc w:val="both"/>
            <w:rPr>
              <w:rFonts w:asciiTheme="minorHAnsi" w:eastAsiaTheme="minorEastAsia" w:hAnsiTheme="minorHAnsi" w:cstheme="minorBidi"/>
              <w:noProof/>
              <w:sz w:val="24"/>
            </w:rPr>
          </w:pPr>
          <w:hyperlink w:anchor="_Toc243485081" w:history="1">
            <w:r w:rsidRPr="00BB72CD">
              <w:rPr>
                <w:rStyle w:val="Hyperlink"/>
                <w:noProof/>
                <w:sz w:val="24"/>
              </w:rPr>
              <w:t>Strategic growth option</w:t>
            </w:r>
            <w:r w:rsidRPr="00BB72CD">
              <w:rPr>
                <w:noProof/>
                <w:webHidden/>
                <w:sz w:val="24"/>
              </w:rPr>
              <w:tab/>
            </w:r>
            <w:r w:rsidRPr="00BB72CD">
              <w:rPr>
                <w:noProof/>
                <w:webHidden/>
                <w:sz w:val="24"/>
              </w:rPr>
              <w:fldChar w:fldCharType="begin"/>
            </w:r>
            <w:r w:rsidRPr="00BB72CD">
              <w:rPr>
                <w:noProof/>
                <w:webHidden/>
                <w:sz w:val="24"/>
              </w:rPr>
              <w:instrText xml:space="preserve"> PAGEREF _Toc243485081 \h </w:instrText>
            </w:r>
            <w:r w:rsidRPr="00BB72CD">
              <w:rPr>
                <w:noProof/>
                <w:webHidden/>
                <w:sz w:val="24"/>
              </w:rPr>
            </w:r>
            <w:r w:rsidRPr="00BB72CD">
              <w:rPr>
                <w:noProof/>
                <w:webHidden/>
                <w:sz w:val="24"/>
              </w:rPr>
              <w:fldChar w:fldCharType="separate"/>
            </w:r>
            <w:r w:rsidRPr="00BB72CD">
              <w:rPr>
                <w:noProof/>
                <w:webHidden/>
                <w:sz w:val="24"/>
              </w:rPr>
              <w:t>8</w:t>
            </w:r>
            <w:r w:rsidRPr="00BB72CD">
              <w:rPr>
                <w:noProof/>
                <w:webHidden/>
                <w:sz w:val="24"/>
              </w:rPr>
              <w:fldChar w:fldCharType="end"/>
            </w:r>
          </w:hyperlink>
        </w:p>
        <w:p w:rsidR="00BB72CD" w:rsidRPr="00BB72CD" w:rsidRDefault="00BB72CD" w:rsidP="00BB72CD">
          <w:pPr>
            <w:pStyle w:val="TOC2"/>
            <w:tabs>
              <w:tab w:val="right" w:leader="dot" w:pos="9350"/>
            </w:tabs>
            <w:spacing w:line="360" w:lineRule="auto"/>
            <w:jc w:val="both"/>
            <w:rPr>
              <w:rFonts w:asciiTheme="minorHAnsi" w:eastAsiaTheme="minorEastAsia" w:hAnsiTheme="minorHAnsi" w:cstheme="minorBidi"/>
              <w:noProof/>
              <w:sz w:val="24"/>
            </w:rPr>
          </w:pPr>
          <w:hyperlink w:anchor="_Toc243485082" w:history="1">
            <w:r w:rsidRPr="00BB72CD">
              <w:rPr>
                <w:rStyle w:val="Hyperlink"/>
                <w:noProof/>
                <w:sz w:val="24"/>
              </w:rPr>
              <w:t>Competitive advantage through lower-carbon product development</w:t>
            </w:r>
            <w:r w:rsidRPr="00BB72CD">
              <w:rPr>
                <w:noProof/>
                <w:webHidden/>
                <w:sz w:val="24"/>
              </w:rPr>
              <w:tab/>
            </w:r>
            <w:r w:rsidRPr="00BB72CD">
              <w:rPr>
                <w:noProof/>
                <w:webHidden/>
                <w:sz w:val="24"/>
              </w:rPr>
              <w:fldChar w:fldCharType="begin"/>
            </w:r>
            <w:r w:rsidRPr="00BB72CD">
              <w:rPr>
                <w:noProof/>
                <w:webHidden/>
                <w:sz w:val="24"/>
              </w:rPr>
              <w:instrText xml:space="preserve"> PAGEREF _Toc243485082 \h </w:instrText>
            </w:r>
            <w:r w:rsidRPr="00BB72CD">
              <w:rPr>
                <w:noProof/>
                <w:webHidden/>
                <w:sz w:val="24"/>
              </w:rPr>
            </w:r>
            <w:r w:rsidRPr="00BB72CD">
              <w:rPr>
                <w:noProof/>
                <w:webHidden/>
                <w:sz w:val="24"/>
              </w:rPr>
              <w:fldChar w:fldCharType="separate"/>
            </w:r>
            <w:r w:rsidRPr="00BB72CD">
              <w:rPr>
                <w:noProof/>
                <w:webHidden/>
                <w:sz w:val="24"/>
              </w:rPr>
              <w:t>11</w:t>
            </w:r>
            <w:r w:rsidRPr="00BB72CD">
              <w:rPr>
                <w:noProof/>
                <w:webHidden/>
                <w:sz w:val="24"/>
              </w:rPr>
              <w:fldChar w:fldCharType="end"/>
            </w:r>
          </w:hyperlink>
        </w:p>
        <w:p w:rsidR="00BB72CD" w:rsidRPr="00BB72CD" w:rsidRDefault="00BB72CD" w:rsidP="00BB72CD">
          <w:pPr>
            <w:pStyle w:val="TOC1"/>
            <w:tabs>
              <w:tab w:val="right" w:leader="dot" w:pos="9350"/>
            </w:tabs>
            <w:spacing w:line="360" w:lineRule="auto"/>
            <w:jc w:val="both"/>
            <w:rPr>
              <w:rFonts w:asciiTheme="minorHAnsi" w:eastAsiaTheme="minorEastAsia" w:hAnsiTheme="minorHAnsi" w:cstheme="minorBidi"/>
              <w:noProof/>
              <w:sz w:val="24"/>
            </w:rPr>
          </w:pPr>
          <w:hyperlink w:anchor="_Toc243485083" w:history="1">
            <w:r w:rsidRPr="00BB72CD">
              <w:rPr>
                <w:rStyle w:val="Hyperlink"/>
                <w:noProof/>
                <w:sz w:val="24"/>
              </w:rPr>
              <w:t>Task 3: Managerial and Professional Reflection</w:t>
            </w:r>
            <w:r w:rsidRPr="00BB72CD">
              <w:rPr>
                <w:noProof/>
                <w:webHidden/>
                <w:sz w:val="24"/>
              </w:rPr>
              <w:tab/>
            </w:r>
            <w:r w:rsidRPr="00BB72CD">
              <w:rPr>
                <w:noProof/>
                <w:webHidden/>
                <w:sz w:val="24"/>
              </w:rPr>
              <w:fldChar w:fldCharType="begin"/>
            </w:r>
            <w:r w:rsidRPr="00BB72CD">
              <w:rPr>
                <w:noProof/>
                <w:webHidden/>
                <w:sz w:val="24"/>
              </w:rPr>
              <w:instrText xml:space="preserve"> PAGEREF _Toc243485083 \h </w:instrText>
            </w:r>
            <w:r w:rsidRPr="00BB72CD">
              <w:rPr>
                <w:noProof/>
                <w:webHidden/>
                <w:sz w:val="24"/>
              </w:rPr>
            </w:r>
            <w:r w:rsidRPr="00BB72CD">
              <w:rPr>
                <w:noProof/>
                <w:webHidden/>
                <w:sz w:val="24"/>
              </w:rPr>
              <w:fldChar w:fldCharType="separate"/>
            </w:r>
            <w:r w:rsidRPr="00BB72CD">
              <w:rPr>
                <w:noProof/>
                <w:webHidden/>
                <w:sz w:val="24"/>
              </w:rPr>
              <w:t>11</w:t>
            </w:r>
            <w:r w:rsidRPr="00BB72CD">
              <w:rPr>
                <w:noProof/>
                <w:webHidden/>
                <w:sz w:val="24"/>
              </w:rPr>
              <w:fldChar w:fldCharType="end"/>
            </w:r>
          </w:hyperlink>
        </w:p>
        <w:p w:rsidR="00BB72CD" w:rsidRPr="00BB72CD" w:rsidRDefault="00BB72CD" w:rsidP="00BB72CD">
          <w:pPr>
            <w:pStyle w:val="TOC1"/>
            <w:tabs>
              <w:tab w:val="right" w:leader="dot" w:pos="9350"/>
            </w:tabs>
            <w:spacing w:line="360" w:lineRule="auto"/>
            <w:jc w:val="both"/>
            <w:rPr>
              <w:rFonts w:asciiTheme="minorHAnsi" w:eastAsiaTheme="minorEastAsia" w:hAnsiTheme="minorHAnsi" w:cstheme="minorBidi"/>
              <w:noProof/>
              <w:sz w:val="24"/>
            </w:rPr>
          </w:pPr>
          <w:hyperlink w:anchor="_Toc243485084" w:history="1">
            <w:r w:rsidRPr="00BB72CD">
              <w:rPr>
                <w:rStyle w:val="Hyperlink"/>
                <w:noProof/>
                <w:sz w:val="24"/>
              </w:rPr>
              <w:t>Conclusion</w:t>
            </w:r>
            <w:r w:rsidRPr="00BB72CD">
              <w:rPr>
                <w:noProof/>
                <w:webHidden/>
                <w:sz w:val="24"/>
              </w:rPr>
              <w:tab/>
            </w:r>
            <w:r w:rsidRPr="00BB72CD">
              <w:rPr>
                <w:noProof/>
                <w:webHidden/>
                <w:sz w:val="24"/>
              </w:rPr>
              <w:fldChar w:fldCharType="begin"/>
            </w:r>
            <w:r w:rsidRPr="00BB72CD">
              <w:rPr>
                <w:noProof/>
                <w:webHidden/>
                <w:sz w:val="24"/>
              </w:rPr>
              <w:instrText xml:space="preserve"> PAGEREF _Toc243485084 \h </w:instrText>
            </w:r>
            <w:r w:rsidRPr="00BB72CD">
              <w:rPr>
                <w:noProof/>
                <w:webHidden/>
                <w:sz w:val="24"/>
              </w:rPr>
            </w:r>
            <w:r w:rsidRPr="00BB72CD">
              <w:rPr>
                <w:noProof/>
                <w:webHidden/>
                <w:sz w:val="24"/>
              </w:rPr>
              <w:fldChar w:fldCharType="separate"/>
            </w:r>
            <w:r w:rsidRPr="00BB72CD">
              <w:rPr>
                <w:noProof/>
                <w:webHidden/>
                <w:sz w:val="24"/>
              </w:rPr>
              <w:t>13</w:t>
            </w:r>
            <w:r w:rsidRPr="00BB72CD">
              <w:rPr>
                <w:noProof/>
                <w:webHidden/>
                <w:sz w:val="24"/>
              </w:rPr>
              <w:fldChar w:fldCharType="end"/>
            </w:r>
          </w:hyperlink>
        </w:p>
        <w:p w:rsidR="00BB72CD" w:rsidRPr="00BB72CD" w:rsidRDefault="00BB72CD" w:rsidP="00BB72CD">
          <w:pPr>
            <w:pStyle w:val="TOC1"/>
            <w:tabs>
              <w:tab w:val="right" w:leader="dot" w:pos="9350"/>
            </w:tabs>
            <w:spacing w:line="360" w:lineRule="auto"/>
            <w:jc w:val="both"/>
            <w:rPr>
              <w:rFonts w:asciiTheme="minorHAnsi" w:eastAsiaTheme="minorEastAsia" w:hAnsiTheme="minorHAnsi" w:cstheme="minorBidi"/>
              <w:noProof/>
              <w:sz w:val="24"/>
            </w:rPr>
          </w:pPr>
          <w:hyperlink w:anchor="_Toc243485085" w:history="1">
            <w:r w:rsidRPr="00BB72CD">
              <w:rPr>
                <w:rStyle w:val="Hyperlink"/>
                <w:noProof/>
                <w:sz w:val="24"/>
              </w:rPr>
              <w:t>References</w:t>
            </w:r>
            <w:r w:rsidRPr="00BB72CD">
              <w:rPr>
                <w:noProof/>
                <w:webHidden/>
                <w:sz w:val="24"/>
              </w:rPr>
              <w:tab/>
            </w:r>
            <w:r w:rsidRPr="00BB72CD">
              <w:rPr>
                <w:noProof/>
                <w:webHidden/>
                <w:sz w:val="24"/>
              </w:rPr>
              <w:fldChar w:fldCharType="begin"/>
            </w:r>
            <w:r w:rsidRPr="00BB72CD">
              <w:rPr>
                <w:noProof/>
                <w:webHidden/>
                <w:sz w:val="24"/>
              </w:rPr>
              <w:instrText xml:space="preserve"> PAGEREF _Toc243485085 \h </w:instrText>
            </w:r>
            <w:r w:rsidRPr="00BB72CD">
              <w:rPr>
                <w:noProof/>
                <w:webHidden/>
                <w:sz w:val="24"/>
              </w:rPr>
            </w:r>
            <w:r w:rsidRPr="00BB72CD">
              <w:rPr>
                <w:noProof/>
                <w:webHidden/>
                <w:sz w:val="24"/>
              </w:rPr>
              <w:fldChar w:fldCharType="separate"/>
            </w:r>
            <w:r w:rsidRPr="00BB72CD">
              <w:rPr>
                <w:noProof/>
                <w:webHidden/>
                <w:sz w:val="24"/>
              </w:rPr>
              <w:t>14</w:t>
            </w:r>
            <w:r w:rsidRPr="00BB72CD">
              <w:rPr>
                <w:noProof/>
                <w:webHidden/>
                <w:sz w:val="24"/>
              </w:rPr>
              <w:fldChar w:fldCharType="end"/>
            </w:r>
          </w:hyperlink>
        </w:p>
        <w:p w:rsidR="00BB72CD" w:rsidRPr="00BB72CD" w:rsidRDefault="00BB72CD" w:rsidP="00BB72CD">
          <w:pPr>
            <w:pStyle w:val="TOC1"/>
            <w:tabs>
              <w:tab w:val="right" w:leader="dot" w:pos="9350"/>
            </w:tabs>
            <w:spacing w:line="360" w:lineRule="auto"/>
            <w:jc w:val="both"/>
            <w:rPr>
              <w:rFonts w:asciiTheme="minorHAnsi" w:eastAsiaTheme="minorEastAsia" w:hAnsiTheme="minorHAnsi" w:cstheme="minorBidi"/>
              <w:noProof/>
              <w:sz w:val="24"/>
            </w:rPr>
          </w:pPr>
          <w:hyperlink w:anchor="_Toc243485086" w:history="1">
            <w:r w:rsidRPr="00BB72CD">
              <w:rPr>
                <w:rStyle w:val="Hyperlink"/>
                <w:noProof/>
                <w:sz w:val="24"/>
              </w:rPr>
              <w:t>Appendix 1: PESTLE analysis</w:t>
            </w:r>
            <w:r w:rsidRPr="00BB72CD">
              <w:rPr>
                <w:noProof/>
                <w:webHidden/>
                <w:sz w:val="24"/>
              </w:rPr>
              <w:tab/>
            </w:r>
            <w:r w:rsidRPr="00BB72CD">
              <w:rPr>
                <w:noProof/>
                <w:webHidden/>
                <w:sz w:val="24"/>
              </w:rPr>
              <w:fldChar w:fldCharType="begin"/>
            </w:r>
            <w:r w:rsidRPr="00BB72CD">
              <w:rPr>
                <w:noProof/>
                <w:webHidden/>
                <w:sz w:val="24"/>
              </w:rPr>
              <w:instrText xml:space="preserve"> PAGEREF _Toc243485086 \h </w:instrText>
            </w:r>
            <w:r w:rsidRPr="00BB72CD">
              <w:rPr>
                <w:noProof/>
                <w:webHidden/>
                <w:sz w:val="24"/>
              </w:rPr>
            </w:r>
            <w:r w:rsidRPr="00BB72CD">
              <w:rPr>
                <w:noProof/>
                <w:webHidden/>
                <w:sz w:val="24"/>
              </w:rPr>
              <w:fldChar w:fldCharType="separate"/>
            </w:r>
            <w:r w:rsidRPr="00BB72CD">
              <w:rPr>
                <w:noProof/>
                <w:webHidden/>
                <w:sz w:val="24"/>
              </w:rPr>
              <w:t>16</w:t>
            </w:r>
            <w:r w:rsidRPr="00BB72CD">
              <w:rPr>
                <w:noProof/>
                <w:webHidden/>
                <w:sz w:val="24"/>
              </w:rPr>
              <w:fldChar w:fldCharType="end"/>
            </w:r>
          </w:hyperlink>
        </w:p>
        <w:p w:rsidR="002A2F2B" w:rsidRDefault="002A2F2B" w:rsidP="00BB72CD">
          <w:pPr>
            <w:pStyle w:val="normal0"/>
            <w:spacing w:line="360" w:lineRule="auto"/>
            <w:jc w:val="both"/>
          </w:pPr>
          <w:r w:rsidRPr="00BB72CD">
            <w:rPr>
              <w:sz w:val="24"/>
            </w:rPr>
            <w:fldChar w:fldCharType="end"/>
          </w:r>
        </w:p>
      </w:sdtContent>
    </w:sdt>
    <w:p w:rsidR="002A2F2B" w:rsidRDefault="002A2F2B">
      <w:pPr>
        <w:pStyle w:val="normal0"/>
        <w:pBdr>
          <w:top w:val="nil"/>
          <w:left w:val="nil"/>
          <w:bottom w:val="nil"/>
          <w:right w:val="nil"/>
          <w:between w:val="nil"/>
        </w:pBdr>
        <w:spacing w:line="360" w:lineRule="auto"/>
        <w:jc w:val="both"/>
        <w:rPr>
          <w:color w:val="000000"/>
          <w:sz w:val="24"/>
          <w:szCs w:val="24"/>
        </w:rPr>
      </w:pPr>
    </w:p>
    <w:p w:rsidR="002A2F2B" w:rsidRDefault="002A2F2B">
      <w:pPr>
        <w:pStyle w:val="normal0"/>
        <w:pBdr>
          <w:top w:val="nil"/>
          <w:left w:val="nil"/>
          <w:bottom w:val="nil"/>
          <w:right w:val="nil"/>
          <w:between w:val="nil"/>
        </w:pBdr>
        <w:spacing w:line="360" w:lineRule="auto"/>
        <w:jc w:val="both"/>
        <w:rPr>
          <w:color w:val="000000"/>
          <w:sz w:val="24"/>
          <w:szCs w:val="24"/>
        </w:rPr>
      </w:pPr>
    </w:p>
    <w:p w:rsidR="002A2F2B" w:rsidRDefault="00E43518">
      <w:pPr>
        <w:pStyle w:val="Heading1"/>
        <w:rPr>
          <w:rFonts w:ascii="Arial" w:eastAsia="Arial" w:hAnsi="Arial" w:cs="Arial"/>
        </w:rPr>
      </w:pPr>
      <w:bookmarkStart w:id="0" w:name="_heading=h.tya3lx1phonc" w:colFirst="0" w:colLast="0"/>
      <w:bookmarkEnd w:id="0"/>
      <w:r>
        <w:br w:type="page"/>
      </w:r>
    </w:p>
    <w:p w:rsidR="002A2F2B" w:rsidRDefault="00E43518">
      <w:pPr>
        <w:pStyle w:val="Heading1"/>
        <w:rPr>
          <w:rFonts w:ascii="Arial" w:eastAsia="Arial" w:hAnsi="Arial" w:cs="Arial"/>
        </w:rPr>
      </w:pPr>
      <w:bookmarkStart w:id="1" w:name="_Toc243485074"/>
      <w:r>
        <w:rPr>
          <w:rFonts w:ascii="Arial" w:eastAsia="Arial" w:hAnsi="Arial" w:cs="Arial"/>
        </w:rPr>
        <w:lastRenderedPageBreak/>
        <w:t>Introduction</w:t>
      </w:r>
      <w:bookmarkEnd w:id="1"/>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Tata Steel is one of the world's largest steel manufacturers, having operations in India, Southeast Asia, and North America (Tata, 2026). The company is working towards lower-carbon solutions in production and products as the industry places increasing dem</w:t>
      </w:r>
      <w:r>
        <w:rPr>
          <w:color w:val="000000"/>
          <w:sz w:val="24"/>
          <w:szCs w:val="24"/>
        </w:rPr>
        <w:t>and on carbon emission reduction (Tata Steel, 2024). This report examines the external marketing environment that will impact Tata Steel’s transformation and future.</w:t>
      </w:r>
    </w:p>
    <w:p w:rsidR="002A2F2B" w:rsidRDefault="00E43518">
      <w:pPr>
        <w:pStyle w:val="Heading1"/>
        <w:rPr>
          <w:rFonts w:ascii="Arial" w:eastAsia="Arial" w:hAnsi="Arial" w:cs="Arial"/>
        </w:rPr>
      </w:pPr>
      <w:bookmarkStart w:id="2" w:name="_Toc243485075"/>
      <w:r>
        <w:rPr>
          <w:rFonts w:ascii="Arial" w:eastAsia="Arial" w:hAnsi="Arial" w:cs="Arial"/>
        </w:rPr>
        <w:t>Task 1: Marketing Environment Analysis</w:t>
      </w:r>
      <w:bookmarkEnd w:id="2"/>
    </w:p>
    <w:p w:rsidR="002A2F2B" w:rsidRDefault="00E43518">
      <w:pPr>
        <w:pStyle w:val="Heading2"/>
        <w:rPr>
          <w:rFonts w:ascii="Arial" w:eastAsia="Arial" w:hAnsi="Arial" w:cs="Arial"/>
        </w:rPr>
      </w:pPr>
      <w:bookmarkStart w:id="3" w:name="_Toc243485076"/>
      <w:r>
        <w:rPr>
          <w:rFonts w:ascii="Arial" w:eastAsia="Arial" w:hAnsi="Arial" w:cs="Arial"/>
        </w:rPr>
        <w:t>Marketing environment analysis</w:t>
      </w:r>
      <w:bookmarkEnd w:id="3"/>
    </w:p>
    <w:p w:rsidR="002A2F2B" w:rsidRDefault="00E43518">
      <w:pPr>
        <w:pStyle w:val="normal0"/>
        <w:pBdr>
          <w:top w:val="nil"/>
          <w:left w:val="nil"/>
          <w:bottom w:val="nil"/>
          <w:right w:val="nil"/>
          <w:between w:val="nil"/>
        </w:pBdr>
        <w:spacing w:line="360" w:lineRule="auto"/>
        <w:jc w:val="both"/>
        <w:rPr>
          <w:color w:val="FF0000"/>
          <w:sz w:val="24"/>
          <w:szCs w:val="24"/>
        </w:rPr>
      </w:pPr>
      <w:r>
        <w:rPr>
          <w:color w:val="000000"/>
          <w:sz w:val="24"/>
          <w:szCs w:val="24"/>
        </w:rPr>
        <w:t>PESTLE shows that th</w:t>
      </w:r>
      <w:r>
        <w:rPr>
          <w:color w:val="000000"/>
          <w:sz w:val="24"/>
          <w:szCs w:val="24"/>
        </w:rPr>
        <w:t xml:space="preserve">e transition of Tata Steel is driven by intertwined external pressures </w:t>
      </w:r>
      <w:r>
        <w:rPr>
          <w:b/>
          <w:bCs/>
          <w:i/>
          <w:iCs/>
          <w:color w:val="000000"/>
          <w:sz w:val="24"/>
          <w:szCs w:val="24"/>
        </w:rPr>
        <w:t>[Refer to Appendix 1]</w:t>
      </w:r>
      <w:r>
        <w:rPr>
          <w:color w:val="000000"/>
          <w:sz w:val="24"/>
          <w:szCs w:val="24"/>
        </w:rPr>
        <w:t>. Technological solutions involve heavy investments and require low-carbon energy, and environmental pressures are also high as steel is a carbon-intensive, hard-to</w:t>
      </w:r>
      <w:r>
        <w:rPr>
          <w:color w:val="000000"/>
          <w:sz w:val="24"/>
          <w:szCs w:val="24"/>
        </w:rPr>
        <w:t xml:space="preserve">-abate industry (Li </w:t>
      </w:r>
      <w:r>
        <w:rPr>
          <w:i/>
          <w:iCs/>
          <w:color w:val="000000"/>
          <w:sz w:val="24"/>
          <w:szCs w:val="24"/>
        </w:rPr>
        <w:t xml:space="preserve">et al. </w:t>
      </w:r>
      <w:r>
        <w:rPr>
          <w:color w:val="000000"/>
          <w:sz w:val="24"/>
          <w:szCs w:val="24"/>
        </w:rPr>
        <w:t>2025). The steel sector can be decarbonised through electrification, recycling, and alternative production technologies, but each one of these technologies comes with high costs and infrastructure challenges (Teixeira, 2025). Tat</w:t>
      </w:r>
      <w:r>
        <w:rPr>
          <w:color w:val="000000"/>
          <w:sz w:val="24"/>
          <w:szCs w:val="24"/>
        </w:rPr>
        <w:t xml:space="preserve">a Steel acknowledges that local regulation and incentives, green energy availability, and customer willingness to pay for lower-emission steel have an influence on decarbonisation (Tata Steel, 2026). </w:t>
      </w:r>
      <w:r>
        <w:rPr>
          <w:color w:val="FF0000"/>
          <w:sz w:val="24"/>
          <w:szCs w:val="24"/>
        </w:rPr>
        <w:t>Therefore, the three most strategically significant acto</w:t>
      </w:r>
      <w:r>
        <w:rPr>
          <w:color w:val="FF0000"/>
          <w:sz w:val="24"/>
          <w:szCs w:val="24"/>
        </w:rPr>
        <w:t xml:space="preserve">rs are the </w:t>
      </w:r>
      <w:r>
        <w:rPr>
          <w:i/>
          <w:iCs/>
          <w:color w:val="FF0000"/>
          <w:sz w:val="24"/>
          <w:szCs w:val="24"/>
        </w:rPr>
        <w:t>Environment</w:t>
      </w:r>
      <w:r>
        <w:rPr>
          <w:color w:val="FF0000"/>
          <w:sz w:val="24"/>
          <w:szCs w:val="24"/>
        </w:rPr>
        <w:t xml:space="preserve">, the </w:t>
      </w:r>
      <w:r>
        <w:rPr>
          <w:i/>
          <w:iCs/>
          <w:color w:val="FF0000"/>
          <w:sz w:val="24"/>
          <w:szCs w:val="24"/>
        </w:rPr>
        <w:t>Legal Environment</w:t>
      </w:r>
      <w:r>
        <w:rPr>
          <w:color w:val="FF0000"/>
          <w:sz w:val="24"/>
          <w:szCs w:val="24"/>
        </w:rPr>
        <w:t xml:space="preserve">, and </w:t>
      </w:r>
      <w:r>
        <w:rPr>
          <w:i/>
          <w:iCs/>
          <w:color w:val="FF0000"/>
          <w:sz w:val="24"/>
          <w:szCs w:val="24"/>
        </w:rPr>
        <w:t xml:space="preserve">Social </w:t>
      </w:r>
      <w:r>
        <w:rPr>
          <w:color w:val="FF0000"/>
          <w:sz w:val="24"/>
          <w:szCs w:val="24"/>
        </w:rPr>
        <w:t xml:space="preserve">in this analysis. </w:t>
      </w:r>
    </w:p>
    <w:p w:rsidR="002A2F2B" w:rsidRDefault="00E43518">
      <w:pPr>
        <w:pStyle w:val="Heading2"/>
        <w:rPr>
          <w:rFonts w:ascii="Arial" w:eastAsia="Arial" w:hAnsi="Arial" w:cs="Arial"/>
        </w:rPr>
      </w:pPr>
      <w:bookmarkStart w:id="4" w:name="_Toc243485077"/>
      <w:r>
        <w:rPr>
          <w:rFonts w:ascii="Arial" w:eastAsia="Arial" w:hAnsi="Arial" w:cs="Arial"/>
        </w:rPr>
        <w:t>Actor 1: Environment</w:t>
      </w:r>
      <w:bookmarkEnd w:id="4"/>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The environmental actor is considered to be the most detrimental external force impacting Tata Steel’s transition to low-carbon products due to the changing c</w:t>
      </w:r>
      <w:r>
        <w:rPr>
          <w:color w:val="000000"/>
          <w:sz w:val="24"/>
          <w:szCs w:val="24"/>
        </w:rPr>
        <w:t xml:space="preserve">ompetitive landscape in the steel industry by climate change. The conventional blast furnace-basic oxygen furnace (BF-BOF) steel production process is heavily dependent on coal and is regarded as a hard-to-abate activity (Li </w:t>
      </w:r>
      <w:r>
        <w:rPr>
          <w:i/>
          <w:iCs/>
          <w:color w:val="000000"/>
          <w:sz w:val="24"/>
          <w:szCs w:val="24"/>
        </w:rPr>
        <w:t xml:space="preserve">et al. </w:t>
      </w:r>
      <w:r>
        <w:rPr>
          <w:color w:val="000000"/>
          <w:sz w:val="24"/>
          <w:szCs w:val="24"/>
        </w:rPr>
        <w:t>2025). Likewise, emissions from steel and iron remained relatively stable, at near 2.8 GtCO2 through 2024 (IEA, 2025). Recycling, electrification, hydrogen, and carbon-capture technologies are key solutions to help the sector lower its emissions. Thus, env</w:t>
      </w:r>
      <w:r>
        <w:rPr>
          <w:color w:val="000000"/>
          <w:sz w:val="24"/>
          <w:szCs w:val="24"/>
        </w:rPr>
        <w:t xml:space="preserve">ironmental pressure is no longer just a reputational </w:t>
      </w:r>
      <w:r>
        <w:rPr>
          <w:color w:val="000000"/>
          <w:sz w:val="24"/>
          <w:szCs w:val="24"/>
        </w:rPr>
        <w:lastRenderedPageBreak/>
        <w:t>challenge for Tata Steel, but a challenge to the production technologies, product development, investment decisions, and market positioning as well.</w:t>
      </w:r>
    </w:p>
    <w:p w:rsidR="002A2F2B" w:rsidRDefault="00E43518">
      <w:pPr>
        <w:pStyle w:val="normal0"/>
        <w:pBdr>
          <w:top w:val="nil"/>
          <w:left w:val="nil"/>
          <w:bottom w:val="nil"/>
          <w:right w:val="nil"/>
          <w:between w:val="nil"/>
        </w:pBdr>
        <w:spacing w:before="240" w:line="360" w:lineRule="auto"/>
        <w:jc w:val="center"/>
        <w:rPr>
          <w:color w:val="000000"/>
          <w:sz w:val="24"/>
          <w:szCs w:val="24"/>
        </w:rPr>
      </w:pPr>
      <w:r>
        <w:rPr>
          <w:noProof/>
          <w:color w:val="000000"/>
          <w:sz w:val="24"/>
          <w:szCs w:val="24"/>
        </w:rPr>
        <w:drawing>
          <wp:inline distT="114300" distB="114300" distL="114300" distR="114300">
            <wp:extent cx="5783580" cy="351282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83580" cy="3512820"/>
                    </a:xfrm>
                    <a:prstGeom prst="rect">
                      <a:avLst/>
                    </a:prstGeom>
                    <a:ln/>
                  </pic:spPr>
                </pic:pic>
              </a:graphicData>
            </a:graphic>
          </wp:inline>
        </w:drawing>
      </w:r>
    </w:p>
    <w:p w:rsidR="002A2F2B" w:rsidRDefault="00E43518">
      <w:pPr>
        <w:pStyle w:val="normal0"/>
        <w:pBdr>
          <w:top w:val="nil"/>
          <w:left w:val="nil"/>
          <w:bottom w:val="nil"/>
          <w:right w:val="nil"/>
          <w:between w:val="nil"/>
        </w:pBdr>
        <w:spacing w:line="360" w:lineRule="auto"/>
        <w:jc w:val="center"/>
        <w:rPr>
          <w:b/>
          <w:bCs/>
          <w:color w:val="000000"/>
          <w:sz w:val="24"/>
          <w:szCs w:val="24"/>
        </w:rPr>
      </w:pPr>
      <w:r>
        <w:rPr>
          <w:b/>
          <w:bCs/>
          <w:color w:val="000000"/>
          <w:sz w:val="24"/>
          <w:szCs w:val="24"/>
        </w:rPr>
        <w:t>Figure 1: CO</w:t>
      </w:r>
      <w:r>
        <w:rPr>
          <w:b/>
          <w:bCs/>
          <w:color w:val="000000"/>
          <w:sz w:val="24"/>
          <w:szCs w:val="24"/>
          <w:vertAlign w:val="subscript"/>
        </w:rPr>
        <w:t>2</w:t>
      </w:r>
      <w:r>
        <w:rPr>
          <w:b/>
          <w:bCs/>
          <w:color w:val="000000"/>
          <w:sz w:val="24"/>
          <w:szCs w:val="24"/>
        </w:rPr>
        <w:t xml:space="preserve"> emissions from iron and steel, 2015-20</w:t>
      </w:r>
      <w:r>
        <w:rPr>
          <w:b/>
          <w:bCs/>
          <w:color w:val="000000"/>
          <w:sz w:val="24"/>
          <w:szCs w:val="24"/>
        </w:rPr>
        <w:t>24</w:t>
      </w:r>
    </w:p>
    <w:p w:rsidR="002A2F2B" w:rsidRDefault="00E43518">
      <w:pPr>
        <w:pStyle w:val="normal0"/>
        <w:pBdr>
          <w:top w:val="nil"/>
          <w:left w:val="nil"/>
          <w:bottom w:val="nil"/>
          <w:right w:val="nil"/>
          <w:between w:val="nil"/>
        </w:pBdr>
        <w:spacing w:after="240" w:line="360" w:lineRule="auto"/>
        <w:jc w:val="center"/>
        <w:rPr>
          <w:color w:val="000000"/>
          <w:sz w:val="24"/>
          <w:szCs w:val="24"/>
        </w:rPr>
      </w:pPr>
      <w:r>
        <w:rPr>
          <w:color w:val="000000"/>
          <w:sz w:val="24"/>
          <w:szCs w:val="24"/>
        </w:rPr>
        <w:t>(Source: IEA, 2025)</w:t>
      </w:r>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Likewise, Tata Steel has taken several steps towards decarbonisation. In its path to transition, it lists scrap-based EAF, renewable energy, higher scrap consumption, bioenergy, process efficiency, and emerging technologies like HIsarna and EASyMelt. In In</w:t>
      </w:r>
      <w:r>
        <w:rPr>
          <w:color w:val="000000"/>
          <w:sz w:val="24"/>
          <w:szCs w:val="24"/>
        </w:rPr>
        <w:t>dia, the company has planned a modular Scrap-based EAF in Ludhiana and has a strategy to expand renewable energy usage and cut down on coal usage using alternative reductants (Tata Steel, 2026). This presents an important marketing opportunity as environme</w:t>
      </w:r>
      <w:r>
        <w:rPr>
          <w:color w:val="000000"/>
          <w:sz w:val="24"/>
          <w:szCs w:val="24"/>
        </w:rPr>
        <w:t xml:space="preserve">ntal improvement can be translated into differentiated market product propositions, not just cost. Furthermore, opportunities on the demand side are especially significant. </w:t>
      </w:r>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Low-carbon supply chains are gaining increasing importance among global customers,</w:t>
      </w:r>
      <w:r>
        <w:rPr>
          <w:color w:val="000000"/>
          <w:sz w:val="24"/>
          <w:szCs w:val="24"/>
        </w:rPr>
        <w:t xml:space="preserve"> notably in Europe and in some sectors, such as automotive and engineering (Tata Steel, 2026). Its current Zeremis® Carbon Lite and Optemis® Carbon Lite solutions are </w:t>
      </w:r>
      <w:r>
        <w:rPr>
          <w:color w:val="000000"/>
          <w:sz w:val="24"/>
          <w:szCs w:val="24"/>
        </w:rPr>
        <w:lastRenderedPageBreak/>
        <w:t xml:space="preserve">a testament to the concept of reducing emissions as part of customer value propositions. </w:t>
      </w:r>
      <w:r>
        <w:rPr>
          <w:color w:val="000000"/>
          <w:sz w:val="24"/>
          <w:szCs w:val="24"/>
        </w:rPr>
        <w:t>Zeremis® Carbon Lite offered an allocated carbon-footprint reduction of up to 90%, and it was adopted by customers in the automotive, construction, and new-mobility sectors (Tata Steel, 2024).</w:t>
      </w:r>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However, decarbonisation demands investment in the technologica</w:t>
      </w:r>
      <w:r>
        <w:rPr>
          <w:color w:val="000000"/>
          <w:sz w:val="24"/>
          <w:szCs w:val="24"/>
        </w:rPr>
        <w:t xml:space="preserve">l transition, but low-cost renewable electricity, scrap, and suitable infrastructure may hinder the transition (Teixeira, 2025) </w:t>
      </w:r>
      <w:r>
        <w:rPr>
          <w:b/>
          <w:bCs/>
          <w:i/>
          <w:iCs/>
          <w:color w:val="000000"/>
          <w:sz w:val="24"/>
          <w:szCs w:val="24"/>
        </w:rPr>
        <w:t>[Refer to Appendix 1]</w:t>
      </w:r>
      <w:r>
        <w:rPr>
          <w:color w:val="000000"/>
          <w:sz w:val="24"/>
          <w:szCs w:val="24"/>
        </w:rPr>
        <w:t>. Moreover, the demand for green steel might be constrained initially, as research indicates that the deman</w:t>
      </w:r>
      <w:r>
        <w:rPr>
          <w:color w:val="000000"/>
          <w:sz w:val="24"/>
          <w:szCs w:val="24"/>
        </w:rPr>
        <w:t>d for hydrogen-based green steel is estimated to be around 35 million tonnes by 2030 and could potentially grow significantly, around 660 million tonnes, towards 2050 (Watari and McLellan, 2024). Likewise, Tata Steel faces both a challenge and an opportuni</w:t>
      </w:r>
      <w:r>
        <w:rPr>
          <w:color w:val="000000"/>
          <w:sz w:val="24"/>
          <w:szCs w:val="24"/>
        </w:rPr>
        <w:t>ty, as the transition to decarbonisation can give it new product differentiation, a new market segment that cares about sustainability</w:t>
      </w:r>
      <w:r>
        <w:rPr>
          <w:sz w:val="24"/>
          <w:szCs w:val="24"/>
        </w:rPr>
        <w:t>,</w:t>
      </w:r>
      <w:r>
        <w:rPr>
          <w:color w:val="000000"/>
          <w:sz w:val="24"/>
          <w:szCs w:val="24"/>
        </w:rPr>
        <w:t xml:space="preserve"> and a better corporate image, but it will also come with investment costs, risk of technology failures and a lack of mar</w:t>
      </w:r>
      <w:r>
        <w:rPr>
          <w:color w:val="000000"/>
          <w:sz w:val="24"/>
          <w:szCs w:val="24"/>
        </w:rPr>
        <w:t>ket certainty.</w:t>
      </w:r>
    </w:p>
    <w:p w:rsidR="002A2F2B" w:rsidRDefault="00E43518">
      <w:pPr>
        <w:pStyle w:val="Heading2"/>
        <w:rPr>
          <w:rFonts w:ascii="Arial" w:eastAsia="Arial" w:hAnsi="Arial" w:cs="Arial"/>
        </w:rPr>
      </w:pPr>
      <w:bookmarkStart w:id="5" w:name="_Toc243485078"/>
      <w:r>
        <w:rPr>
          <w:rFonts w:ascii="Arial" w:eastAsia="Arial" w:hAnsi="Arial" w:cs="Arial"/>
        </w:rPr>
        <w:t>Actor 2: Legal environment</w:t>
      </w:r>
      <w:bookmarkEnd w:id="5"/>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 xml:space="preserve">Governments are turning climate goals into laws, carbon pricing systems, and industrial policies (Li </w:t>
      </w:r>
      <w:r>
        <w:rPr>
          <w:i/>
          <w:iCs/>
          <w:color w:val="000000"/>
          <w:sz w:val="24"/>
          <w:szCs w:val="24"/>
        </w:rPr>
        <w:t xml:space="preserve">et al. </w:t>
      </w:r>
      <w:r>
        <w:rPr>
          <w:color w:val="000000"/>
          <w:sz w:val="24"/>
          <w:szCs w:val="24"/>
        </w:rPr>
        <w:t>2025). This makes the legal landscape a more important factor in shaping Tata Steel’s future. These can raise compliance costs for carbon-intensive production, but also have the potential to incentivise investment in less carbon-intensive technologies. Thu</w:t>
      </w:r>
      <w:r>
        <w:rPr>
          <w:color w:val="000000"/>
          <w:sz w:val="24"/>
          <w:szCs w:val="24"/>
        </w:rPr>
        <w:t xml:space="preserve">s, regulation imposes both </w:t>
      </w:r>
      <w:r>
        <w:rPr>
          <w:sz w:val="24"/>
          <w:szCs w:val="24"/>
        </w:rPr>
        <w:t>restrictions</w:t>
      </w:r>
      <w:r>
        <w:rPr>
          <w:color w:val="000000"/>
          <w:sz w:val="24"/>
          <w:szCs w:val="24"/>
        </w:rPr>
        <w:t xml:space="preserve"> and an opportunity for Tata Steel to gain competitive advantage. A notable development for Tata Steel’s European business is the CBAM (European Union Carbon Border Adjustment Mechanism). CBAM also covers imports of i</w:t>
      </w:r>
      <w:r>
        <w:rPr>
          <w:color w:val="000000"/>
          <w:sz w:val="24"/>
          <w:szCs w:val="24"/>
        </w:rPr>
        <w:t>ron and steel and necessitates the inclusion of carbon costs for embedded emissions in imported goods (European Commission, 2026). Additionally, this can make carbon performance even more relevant for Tata Steel in international competition. Thus, low-carb</w:t>
      </w:r>
      <w:r>
        <w:rPr>
          <w:color w:val="000000"/>
          <w:sz w:val="24"/>
          <w:szCs w:val="24"/>
        </w:rPr>
        <w:t>on steel products are not just a compliance obligation, but also a way of enhancing Tata Steel’s position in international markets.</w:t>
      </w:r>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Furthermore, it is notable that the government can also directly help Tata Steel to transform. For evidence, the UK governme</w:t>
      </w:r>
      <w:r>
        <w:rPr>
          <w:color w:val="000000"/>
          <w:sz w:val="24"/>
          <w:szCs w:val="24"/>
        </w:rPr>
        <w:t xml:space="preserve">nt allocated £500 million for Tata Steel’s £1.25 billion investment in the transformation of its Port Talbot plant, which includes an investment in an EAF to replace blast furnace capacity (GOV, 2026). The project </w:t>
      </w:r>
      <w:r>
        <w:rPr>
          <w:color w:val="000000"/>
          <w:sz w:val="24"/>
          <w:szCs w:val="24"/>
        </w:rPr>
        <w:lastRenderedPageBreak/>
        <w:t>illustrates the way the legal and policy f</w:t>
      </w:r>
      <w:r>
        <w:rPr>
          <w:color w:val="000000"/>
          <w:sz w:val="24"/>
          <w:szCs w:val="24"/>
        </w:rPr>
        <w:t>ramework can aid in easing the cost of decarbonisation and pave the way for industrial transformation. However, environmental compliance with carbon reporting, emissions standards, and environmental requirements for trade-related activities adds an adminis</w:t>
      </w:r>
      <w:r>
        <w:rPr>
          <w:color w:val="000000"/>
          <w:sz w:val="24"/>
          <w:szCs w:val="24"/>
        </w:rPr>
        <w:t xml:space="preserve">trative and financial burden (Yu </w:t>
      </w:r>
      <w:r>
        <w:rPr>
          <w:i/>
          <w:iCs/>
          <w:color w:val="000000"/>
          <w:sz w:val="24"/>
          <w:szCs w:val="24"/>
        </w:rPr>
        <w:t xml:space="preserve">et al. </w:t>
      </w:r>
      <w:r>
        <w:rPr>
          <w:color w:val="000000"/>
          <w:sz w:val="24"/>
          <w:szCs w:val="24"/>
        </w:rPr>
        <w:t>2024). The varying regulatory frameworks could also create hurdles in Tata Steel’s global business operations. Thus, the regulatory landscape offers Tata Steel a chance to leverage compliance as a competitive advanta</w:t>
      </w:r>
      <w:r>
        <w:rPr>
          <w:color w:val="000000"/>
          <w:sz w:val="24"/>
          <w:szCs w:val="24"/>
        </w:rPr>
        <w:t xml:space="preserve">ge. However, it needs investment in reliable emissions measurement, transparent emissions reporting, and technology that can provide proven carbon reductions. </w:t>
      </w:r>
    </w:p>
    <w:p w:rsidR="002A2F2B" w:rsidRDefault="00E43518">
      <w:pPr>
        <w:pStyle w:val="Heading2"/>
        <w:rPr>
          <w:rFonts w:ascii="Arial" w:eastAsia="Arial" w:hAnsi="Arial" w:cs="Arial"/>
        </w:rPr>
      </w:pPr>
      <w:bookmarkStart w:id="6" w:name="_Toc243485079"/>
      <w:r>
        <w:rPr>
          <w:rFonts w:ascii="Arial" w:eastAsia="Arial" w:hAnsi="Arial" w:cs="Arial"/>
        </w:rPr>
        <w:t>Actor 3: Social</w:t>
      </w:r>
      <w:bookmarkEnd w:id="6"/>
    </w:p>
    <w:p w:rsidR="002A2F2B" w:rsidRDefault="00E43518">
      <w:pPr>
        <w:pStyle w:val="normal0"/>
        <w:pBdr>
          <w:top w:val="nil"/>
          <w:left w:val="nil"/>
          <w:bottom w:val="nil"/>
          <w:right w:val="nil"/>
          <w:between w:val="nil"/>
        </w:pBdr>
        <w:spacing w:line="360" w:lineRule="auto"/>
        <w:jc w:val="both"/>
        <w:rPr>
          <w:color w:val="000000"/>
          <w:sz w:val="24"/>
          <w:szCs w:val="24"/>
        </w:rPr>
      </w:pPr>
      <w:r>
        <w:rPr>
          <w:color w:val="FF0000"/>
          <w:sz w:val="24"/>
          <w:szCs w:val="24"/>
        </w:rPr>
        <w:t>Social factors, specifically, growing knowledge of sustainability and shifting e</w:t>
      </w:r>
      <w:r>
        <w:rPr>
          <w:color w:val="FF0000"/>
          <w:sz w:val="24"/>
          <w:szCs w:val="24"/>
        </w:rPr>
        <w:t xml:space="preserve">xpectations across supply chains are among the social issues gaining more importance in the steel sector </w:t>
      </w:r>
      <w:r>
        <w:rPr>
          <w:b/>
          <w:bCs/>
          <w:i/>
          <w:iCs/>
          <w:color w:val="000000"/>
          <w:sz w:val="24"/>
          <w:szCs w:val="24"/>
        </w:rPr>
        <w:t>[Refer to Appendix 1]</w:t>
      </w:r>
      <w:r>
        <w:rPr>
          <w:color w:val="000000"/>
          <w:sz w:val="24"/>
          <w:szCs w:val="24"/>
        </w:rPr>
        <w:t>. While steel products are largely B2B, Tata Steel’s customers work in industries where companies are mandated to reduce their car</w:t>
      </w:r>
      <w:r>
        <w:rPr>
          <w:color w:val="000000"/>
          <w:sz w:val="24"/>
          <w:szCs w:val="24"/>
        </w:rPr>
        <w:t>bon footprints themselves, including the automotive industry, construction, engineering, and infrastructure (Tata Steel, 2026). As a result, Tata Steel has already taken action by creating lower-emission products and solutions for its customers. Car and en</w:t>
      </w:r>
      <w:r>
        <w:rPr>
          <w:color w:val="000000"/>
          <w:sz w:val="24"/>
          <w:szCs w:val="24"/>
        </w:rPr>
        <w:t xml:space="preserve">gineering customers are specifically stated as being one of the areas where the shift to green steel can enable differentiated growth for its 2025-26 reporting (Tata Steel, 2026).  </w:t>
      </w:r>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 xml:space="preserve">It offers its Zeremis® Carbon Lite proposition that enables its customers </w:t>
      </w:r>
      <w:r>
        <w:rPr>
          <w:color w:val="000000"/>
          <w:sz w:val="24"/>
          <w:szCs w:val="24"/>
        </w:rPr>
        <w:t>to engage in emissions reduction, and Zeremis® Delivered for those customers looking for lower-emission logistics (Tata Steel, 2024). Additionally, it has created steel solutions for the automotive sector, as well as the hydrogen and renewable energy secto</w:t>
      </w:r>
      <w:r>
        <w:rPr>
          <w:color w:val="000000"/>
          <w:sz w:val="24"/>
          <w:szCs w:val="24"/>
        </w:rPr>
        <w:t>rs, indicating that sustainability is not just a CSR (Corporate Social Responsibility) program, but also a technological innovation. This contributed to its financial performance; the company is the world's 1058th most valuable business, with around a $22.</w:t>
      </w:r>
      <w:r>
        <w:rPr>
          <w:color w:val="000000"/>
          <w:sz w:val="24"/>
          <w:szCs w:val="24"/>
        </w:rPr>
        <w:t xml:space="preserve">2 billion market capitalisation (Companies Market Cap, 2026). </w:t>
      </w:r>
    </w:p>
    <w:p w:rsidR="002A2F2B" w:rsidRDefault="00E43518">
      <w:pPr>
        <w:pStyle w:val="normal0"/>
        <w:pBdr>
          <w:top w:val="nil"/>
          <w:left w:val="nil"/>
          <w:bottom w:val="nil"/>
          <w:right w:val="nil"/>
          <w:between w:val="nil"/>
        </w:pBdr>
        <w:spacing w:before="240" w:line="360" w:lineRule="auto"/>
        <w:jc w:val="center"/>
        <w:rPr>
          <w:color w:val="000000"/>
          <w:sz w:val="24"/>
          <w:szCs w:val="24"/>
        </w:rPr>
      </w:pPr>
      <w:r>
        <w:rPr>
          <w:noProof/>
          <w:color w:val="000000"/>
          <w:sz w:val="24"/>
          <w:szCs w:val="24"/>
        </w:rPr>
        <w:lastRenderedPageBreak/>
        <w:drawing>
          <wp:inline distT="114300" distB="114300" distL="114300" distR="114300">
            <wp:extent cx="5943600" cy="238506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2385060"/>
                    </a:xfrm>
                    <a:prstGeom prst="rect">
                      <a:avLst/>
                    </a:prstGeom>
                    <a:ln/>
                  </pic:spPr>
                </pic:pic>
              </a:graphicData>
            </a:graphic>
          </wp:inline>
        </w:drawing>
      </w:r>
    </w:p>
    <w:p w:rsidR="002A2F2B" w:rsidRDefault="00E43518">
      <w:pPr>
        <w:pStyle w:val="normal0"/>
        <w:pBdr>
          <w:top w:val="nil"/>
          <w:left w:val="nil"/>
          <w:bottom w:val="nil"/>
          <w:right w:val="nil"/>
          <w:between w:val="nil"/>
        </w:pBdr>
        <w:spacing w:line="360" w:lineRule="auto"/>
        <w:jc w:val="center"/>
        <w:rPr>
          <w:b/>
          <w:bCs/>
          <w:color w:val="000000"/>
          <w:sz w:val="24"/>
          <w:szCs w:val="24"/>
        </w:rPr>
      </w:pPr>
      <w:r>
        <w:rPr>
          <w:b/>
          <w:bCs/>
          <w:color w:val="000000"/>
          <w:sz w:val="24"/>
          <w:szCs w:val="24"/>
        </w:rPr>
        <w:t>Figure 2: Market capitalisation of Tata Steel</w:t>
      </w:r>
    </w:p>
    <w:p w:rsidR="002A2F2B" w:rsidRDefault="00E43518">
      <w:pPr>
        <w:pStyle w:val="normal0"/>
        <w:pBdr>
          <w:top w:val="nil"/>
          <w:left w:val="nil"/>
          <w:bottom w:val="nil"/>
          <w:right w:val="nil"/>
          <w:between w:val="nil"/>
        </w:pBdr>
        <w:spacing w:after="240" w:line="360" w:lineRule="auto"/>
        <w:jc w:val="center"/>
        <w:rPr>
          <w:color w:val="000000"/>
          <w:sz w:val="24"/>
          <w:szCs w:val="24"/>
        </w:rPr>
      </w:pPr>
      <w:r>
        <w:rPr>
          <w:color w:val="000000"/>
          <w:sz w:val="24"/>
          <w:szCs w:val="24"/>
        </w:rPr>
        <w:t>(Source: Companies Market Cap, 2026)</w:t>
      </w:r>
    </w:p>
    <w:p w:rsidR="002A2F2B" w:rsidRDefault="00E43518">
      <w:pPr>
        <w:pStyle w:val="normal0"/>
        <w:pBdr>
          <w:top w:val="nil"/>
          <w:left w:val="nil"/>
          <w:bottom w:val="nil"/>
          <w:right w:val="nil"/>
          <w:between w:val="nil"/>
        </w:pBdr>
        <w:spacing w:line="360" w:lineRule="auto"/>
        <w:jc w:val="both"/>
        <w:rPr>
          <w:color w:val="FF0000"/>
          <w:sz w:val="24"/>
          <w:szCs w:val="24"/>
        </w:rPr>
      </w:pPr>
      <w:r>
        <w:rPr>
          <w:color w:val="FF0000"/>
          <w:sz w:val="24"/>
          <w:szCs w:val="24"/>
        </w:rPr>
        <w:t xml:space="preserve">However, there are also challenges to cope with because of </w:t>
      </w:r>
      <w:r>
        <w:rPr>
          <w:color w:val="FF0000"/>
          <w:sz w:val="24"/>
          <w:szCs w:val="24"/>
        </w:rPr>
        <w:t xml:space="preserve">social </w:t>
      </w:r>
      <w:r>
        <w:rPr>
          <w:color w:val="FF0000"/>
          <w:sz w:val="24"/>
          <w:szCs w:val="24"/>
        </w:rPr>
        <w:t>pressure.</w:t>
      </w:r>
      <w:r>
        <w:rPr>
          <w:color w:val="000000"/>
          <w:sz w:val="24"/>
          <w:szCs w:val="24"/>
        </w:rPr>
        <w:t xml:space="preserve"> Specifically, it should not be assumed that sustainability equals willingness to pay a higher premium. The rate of decarbonisation is also determined partly by the willingness of customers to pay for low-emission steel (Tata Steel, 2026). This poses a com</w:t>
      </w:r>
      <w:r>
        <w:rPr>
          <w:color w:val="000000"/>
          <w:sz w:val="24"/>
          <w:szCs w:val="24"/>
        </w:rPr>
        <w:t xml:space="preserve">mercial challenge for the organisation, as it has to compensate for the additional expenses incurred in cleaner steel production without losing competitiveness with other steel producers. Moreover, there is a risk to the brand image if carbon reduction is </w:t>
      </w:r>
      <w:r>
        <w:rPr>
          <w:color w:val="000000"/>
          <w:sz w:val="24"/>
          <w:szCs w:val="24"/>
        </w:rPr>
        <w:t xml:space="preserve">not clear or verifiable. </w:t>
      </w:r>
      <w:r>
        <w:rPr>
          <w:color w:val="FF0000"/>
          <w:sz w:val="24"/>
          <w:szCs w:val="24"/>
        </w:rPr>
        <w:t xml:space="preserve">Thus, </w:t>
      </w:r>
      <w:r>
        <w:rPr>
          <w:color w:val="FF0000"/>
          <w:sz w:val="24"/>
          <w:szCs w:val="24"/>
        </w:rPr>
        <w:t>social pressure presents</w:t>
      </w:r>
      <w:r>
        <w:rPr>
          <w:color w:val="FF0000"/>
          <w:sz w:val="24"/>
          <w:szCs w:val="24"/>
        </w:rPr>
        <w:t xml:space="preserve"> a notable market opportunity for Tata Steel to work on developing premium, differentiated lower-carbon products, especially for the automotive and engineering segments</w:t>
      </w:r>
      <w:r>
        <w:rPr>
          <w:color w:val="FF0000"/>
          <w:sz w:val="24"/>
          <w:szCs w:val="24"/>
        </w:rPr>
        <w:t>. However</w:t>
      </w:r>
      <w:r>
        <w:rPr>
          <w:color w:val="FF0000"/>
          <w:sz w:val="24"/>
          <w:szCs w:val="24"/>
        </w:rPr>
        <w:t xml:space="preserve">, it needs to integrate </w:t>
      </w:r>
      <w:r>
        <w:rPr>
          <w:color w:val="FF0000"/>
          <w:sz w:val="24"/>
          <w:szCs w:val="24"/>
        </w:rPr>
        <w:t xml:space="preserve">sustainability with price competitiveness, technical excellence, traceability, and credible environmental proof to transform </w:t>
      </w:r>
      <w:r>
        <w:rPr>
          <w:color w:val="FF0000"/>
          <w:sz w:val="24"/>
          <w:szCs w:val="24"/>
        </w:rPr>
        <w:t xml:space="preserve">social </w:t>
      </w:r>
      <w:r>
        <w:rPr>
          <w:color w:val="FF0000"/>
          <w:sz w:val="24"/>
          <w:szCs w:val="24"/>
        </w:rPr>
        <w:t>expectations into sustainable revenues.</w:t>
      </w:r>
    </w:p>
    <w:p w:rsidR="002A2F2B" w:rsidRDefault="00E43518">
      <w:pPr>
        <w:pStyle w:val="Heading1"/>
        <w:rPr>
          <w:rFonts w:ascii="Arial" w:eastAsia="Arial" w:hAnsi="Arial" w:cs="Arial"/>
        </w:rPr>
      </w:pPr>
      <w:bookmarkStart w:id="7" w:name="_Toc243485080"/>
      <w:r>
        <w:rPr>
          <w:rFonts w:ascii="Arial" w:eastAsia="Arial" w:hAnsi="Arial" w:cs="Arial"/>
        </w:rPr>
        <w:t>Task 2: Strategic Growth and Competitive Positioning</w:t>
      </w:r>
      <w:bookmarkEnd w:id="7"/>
    </w:p>
    <w:p w:rsidR="002A2F2B" w:rsidRDefault="00E43518">
      <w:pPr>
        <w:pStyle w:val="Heading2"/>
        <w:rPr>
          <w:rFonts w:ascii="Arial" w:eastAsia="Arial" w:hAnsi="Arial" w:cs="Arial"/>
        </w:rPr>
      </w:pPr>
      <w:bookmarkStart w:id="8" w:name="_Toc243485081"/>
      <w:r>
        <w:rPr>
          <w:rFonts w:ascii="Arial" w:eastAsia="Arial" w:hAnsi="Arial" w:cs="Arial"/>
        </w:rPr>
        <w:t>Strategic growth option</w:t>
      </w:r>
      <w:bookmarkEnd w:id="8"/>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The Ans</w:t>
      </w:r>
      <w:r>
        <w:rPr>
          <w:color w:val="000000"/>
          <w:sz w:val="24"/>
          <w:szCs w:val="24"/>
        </w:rPr>
        <w:t xml:space="preserve">off Matrix offers four growth strategies depending on the organisation's existing or new product in existing or new markets (Ferreira and de Sá, 2024). The framework can be used to determine the most appropriate path to growth for Tata Steel. Based on </w:t>
      </w:r>
      <w:r>
        <w:rPr>
          <w:color w:val="000000"/>
          <w:sz w:val="24"/>
          <w:szCs w:val="24"/>
        </w:rPr>
        <w:lastRenderedPageBreak/>
        <w:t>this</w:t>
      </w:r>
      <w:r>
        <w:rPr>
          <w:color w:val="000000"/>
          <w:sz w:val="24"/>
          <w:szCs w:val="24"/>
        </w:rPr>
        <w:t xml:space="preserve"> matrix, market penetration would be relatively predictable and recognised for Tata Steel, as it has established brands, distribution networks and customer relationships. </w:t>
      </w:r>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However, in the event of continued reliance on conventional steel, it would not effe</w:t>
      </w:r>
      <w:r>
        <w:rPr>
          <w:color w:val="000000"/>
          <w:sz w:val="24"/>
          <w:szCs w:val="24"/>
        </w:rPr>
        <w:t>ctively mitigate the environmental pressures identified in Task 1. Besides, the growing need for low-carbon supply chains is viewed as a strategic opportunity by Tata Steel, especially for automotive and engineering customers (Tata Steel, 2026). Thus, ther</w:t>
      </w:r>
      <w:r>
        <w:rPr>
          <w:color w:val="000000"/>
          <w:sz w:val="24"/>
          <w:szCs w:val="24"/>
        </w:rPr>
        <w:t xml:space="preserve">e is more potential for market development, as lower-carbon steel could be sold in new markets and to new customers, especially Europe’s automotive and engineering industries, which are increasingly requiring higher sustainability levels. </w:t>
      </w:r>
    </w:p>
    <w:p w:rsidR="002A2F2B" w:rsidRDefault="00E43518">
      <w:pPr>
        <w:pStyle w:val="normal0"/>
        <w:pBdr>
          <w:top w:val="nil"/>
          <w:left w:val="nil"/>
          <w:bottom w:val="nil"/>
          <w:right w:val="nil"/>
          <w:between w:val="nil"/>
        </w:pBdr>
        <w:spacing w:before="240" w:line="360" w:lineRule="auto"/>
        <w:jc w:val="center"/>
        <w:rPr>
          <w:color w:val="000000"/>
          <w:sz w:val="24"/>
          <w:szCs w:val="24"/>
        </w:rPr>
      </w:pPr>
      <w:r>
        <w:rPr>
          <w:noProof/>
          <w:color w:val="000000"/>
          <w:sz w:val="24"/>
          <w:szCs w:val="24"/>
        </w:rPr>
        <w:drawing>
          <wp:inline distT="114300" distB="114300" distL="114300" distR="114300">
            <wp:extent cx="4427639" cy="3932292"/>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427639" cy="3932292"/>
                    </a:xfrm>
                    <a:prstGeom prst="rect">
                      <a:avLst/>
                    </a:prstGeom>
                    <a:ln/>
                  </pic:spPr>
                </pic:pic>
              </a:graphicData>
            </a:graphic>
          </wp:inline>
        </w:drawing>
      </w:r>
    </w:p>
    <w:p w:rsidR="002A2F2B" w:rsidRDefault="00E43518">
      <w:pPr>
        <w:pStyle w:val="normal0"/>
        <w:pBdr>
          <w:top w:val="nil"/>
          <w:left w:val="nil"/>
          <w:bottom w:val="nil"/>
          <w:right w:val="nil"/>
          <w:between w:val="nil"/>
        </w:pBdr>
        <w:spacing w:line="360" w:lineRule="auto"/>
        <w:jc w:val="center"/>
        <w:rPr>
          <w:b/>
          <w:bCs/>
          <w:color w:val="000000"/>
          <w:sz w:val="24"/>
          <w:szCs w:val="24"/>
        </w:rPr>
      </w:pPr>
      <w:r>
        <w:rPr>
          <w:b/>
          <w:bCs/>
          <w:color w:val="000000"/>
          <w:sz w:val="24"/>
          <w:szCs w:val="24"/>
        </w:rPr>
        <w:t>Figure 3: Ansoff Matrix</w:t>
      </w:r>
    </w:p>
    <w:p w:rsidR="002A2F2B" w:rsidRDefault="00E43518">
      <w:pPr>
        <w:pStyle w:val="normal0"/>
        <w:pBdr>
          <w:top w:val="nil"/>
          <w:left w:val="nil"/>
          <w:bottom w:val="nil"/>
          <w:right w:val="nil"/>
          <w:between w:val="nil"/>
        </w:pBdr>
        <w:spacing w:after="240" w:line="360" w:lineRule="auto"/>
        <w:jc w:val="center"/>
        <w:rPr>
          <w:color w:val="000000"/>
          <w:sz w:val="24"/>
          <w:szCs w:val="24"/>
        </w:rPr>
      </w:pPr>
      <w:r>
        <w:rPr>
          <w:color w:val="000000"/>
          <w:sz w:val="24"/>
          <w:szCs w:val="24"/>
        </w:rPr>
        <w:t>(Source: Ferreira and de Sá, 2024)</w:t>
      </w:r>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Furthermore, the matrix indicates that as diversification allows companies entry into a new market with new products, it is a risky strategy (Ferreira and de Sá, 2024). This strategy might be usefu</w:t>
      </w:r>
      <w:r>
        <w:rPr>
          <w:color w:val="000000"/>
          <w:sz w:val="24"/>
          <w:szCs w:val="24"/>
        </w:rPr>
        <w:t xml:space="preserve">l, as it can enable Tata Steel to be a part of the emerging clean-energy or green-technology sectors, but it would also increase the risks for the firm. The </w:t>
      </w:r>
      <w:r>
        <w:rPr>
          <w:color w:val="000000"/>
          <w:sz w:val="24"/>
          <w:szCs w:val="24"/>
        </w:rPr>
        <w:lastRenderedPageBreak/>
        <w:t>green-steel transformation is facing major technological, infrastructural, and funding issues (Teix</w:t>
      </w:r>
      <w:r>
        <w:rPr>
          <w:color w:val="000000"/>
          <w:sz w:val="24"/>
          <w:szCs w:val="24"/>
        </w:rPr>
        <w:t xml:space="preserve">eira, 2025; Li </w:t>
      </w:r>
      <w:r>
        <w:rPr>
          <w:i/>
          <w:iCs/>
          <w:color w:val="000000"/>
          <w:sz w:val="24"/>
          <w:szCs w:val="24"/>
        </w:rPr>
        <w:t xml:space="preserve">et al. </w:t>
      </w:r>
      <w:r>
        <w:rPr>
          <w:color w:val="000000"/>
          <w:sz w:val="24"/>
          <w:szCs w:val="24"/>
        </w:rPr>
        <w:t>2025). Product development strategy involves introducing new products to an existing market and is relatively low-risk in comparison to diversification (Cullen, 2024). Hence, the product development strategy is recommended as Tata Steel’s main growth strat</w:t>
      </w:r>
      <w:r>
        <w:rPr>
          <w:color w:val="000000"/>
          <w:sz w:val="24"/>
          <w:szCs w:val="24"/>
        </w:rPr>
        <w:t xml:space="preserve">egy. </w:t>
      </w:r>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Specifically, the product development strategy for the company must include the creation of new lower-carbon and circular steel products and the ability to engage and leverage existing customer relationships and market knowledge. Importantly, Tata St</w:t>
      </w:r>
      <w:r>
        <w:rPr>
          <w:color w:val="000000"/>
          <w:sz w:val="24"/>
          <w:szCs w:val="24"/>
        </w:rPr>
        <w:t>eel already has some products to support this strategy, namely Zeremis® Carbon Lite and Zeremis® Recycled, as well as the integration of renewable energy into the decarbonisation programme and the use of electric arc furnaces (Tata Steel, 2024). Therefore,</w:t>
      </w:r>
      <w:r>
        <w:rPr>
          <w:color w:val="000000"/>
          <w:sz w:val="24"/>
          <w:szCs w:val="24"/>
        </w:rPr>
        <w:t xml:space="preserve"> the company should strive to go beyond individual lower-carbon solutions to a portfolio of validated low-emission steel products, accompanied by clear carbon information and LCA (Life Cycle Assessment). Additionally, this is commercially viable as the gre</w:t>
      </w:r>
      <w:r>
        <w:rPr>
          <w:color w:val="000000"/>
          <w:sz w:val="24"/>
          <w:szCs w:val="24"/>
        </w:rPr>
        <w:t>en-steel transition is seen as an opportunity for differentiated growth in 2025-26 among Tata Steel’s customers in automotive and engineering segments in Europe (Tata Steel, 2026).</w:t>
      </w:r>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Besides, while concerning the implementation of the product development strategy, Tata Steel should aim to have a tiered product mix, with lower-carbon products across the tiers catering to different levels of customer sustainability preferences and willin</w:t>
      </w:r>
      <w:r>
        <w:rPr>
          <w:color w:val="000000"/>
          <w:sz w:val="24"/>
          <w:szCs w:val="24"/>
        </w:rPr>
        <w:t>gness to pay. For instance, automotive customers might receive low-emission steel with independently verified carbon data, and construction and infrastructure customers might receive products with higher recycled content. Another aspect of the strategy sho</w:t>
      </w:r>
      <w:r>
        <w:rPr>
          <w:color w:val="000000"/>
          <w:sz w:val="24"/>
          <w:szCs w:val="24"/>
        </w:rPr>
        <w:t>uld be co-development with important customers. OEMs (Original Equipment Manufacturers) and project developers are already being worked with by Tata Steel, in applications like automotive lightweighting, construction and specialised steel (Tata Steel, 2024</w:t>
      </w:r>
      <w:r>
        <w:rPr>
          <w:color w:val="000000"/>
          <w:sz w:val="24"/>
          <w:szCs w:val="24"/>
        </w:rPr>
        <w:t xml:space="preserve">). </w:t>
      </w:r>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This co-operation can aid in improving the customer relationship and raise the chance of new products being technically and environmentally suitable. Importantly, there must be credible environmental evidence to support product development. For example</w:t>
      </w:r>
      <w:r>
        <w:rPr>
          <w:color w:val="000000"/>
          <w:sz w:val="24"/>
          <w:szCs w:val="24"/>
        </w:rPr>
        <w:t xml:space="preserve">, this can be related to Tata Steel’s commitment to achieve over 80% of its finished Indian </w:t>
      </w:r>
      <w:r>
        <w:rPr>
          <w:color w:val="000000"/>
          <w:sz w:val="24"/>
          <w:szCs w:val="24"/>
        </w:rPr>
        <w:lastRenderedPageBreak/>
        <w:t>products to be under lifecycle assessment and environmental performance for all its Indian products to be made public by 2030 (Tata Steel, 2024). This can help to b</w:t>
      </w:r>
      <w:r>
        <w:rPr>
          <w:color w:val="000000"/>
          <w:sz w:val="24"/>
          <w:szCs w:val="24"/>
        </w:rPr>
        <w:t>uild trust with customers and reinforce sustainability claims.</w:t>
      </w:r>
    </w:p>
    <w:p w:rsidR="002A2F2B" w:rsidRDefault="00E43518">
      <w:pPr>
        <w:pStyle w:val="Heading2"/>
        <w:rPr>
          <w:rFonts w:ascii="Arial" w:eastAsia="Arial" w:hAnsi="Arial" w:cs="Arial"/>
        </w:rPr>
      </w:pPr>
      <w:bookmarkStart w:id="9" w:name="_Toc243485082"/>
      <w:r>
        <w:rPr>
          <w:rFonts w:ascii="Arial" w:eastAsia="Arial" w:hAnsi="Arial" w:cs="Arial"/>
        </w:rPr>
        <w:t>Competitive advantage through lower-carbon product development</w:t>
      </w:r>
      <w:bookmarkEnd w:id="9"/>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Lower-carbon products can be differentiated in terms of verified emissions reductions, product quality, circularity, traceability,</w:t>
      </w:r>
      <w:r>
        <w:rPr>
          <w:color w:val="000000"/>
          <w:sz w:val="24"/>
          <w:szCs w:val="24"/>
        </w:rPr>
        <w:t xml:space="preserve"> and customer-specific solutions to ensure competitive advantage. This is especially significant, as Tata Steel has viewed the transition to green steel as an opportunity to grow differently, particularly with its European automotive and engineering custom</w:t>
      </w:r>
      <w:r>
        <w:rPr>
          <w:color w:val="000000"/>
          <w:sz w:val="24"/>
          <w:szCs w:val="24"/>
        </w:rPr>
        <w:t xml:space="preserve">ers (Tata Steel, 2026). Its relationship with OEMs and project developers can also help fuel innovation in the product and help build customer relationships and long-term customer retention (Tata Steel, 2026). </w:t>
      </w:r>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Not just based on green steel, the competitiv</w:t>
      </w:r>
      <w:r>
        <w:rPr>
          <w:color w:val="000000"/>
          <w:sz w:val="24"/>
          <w:szCs w:val="24"/>
        </w:rPr>
        <w:t>e edge would come from reducing carbon intensity, technical performance, and credible environmental evidence being combined. The positioning is already reflected in Tata Steel’s current products, Optemis® and Zeremis®, and will benefit from the investments</w:t>
      </w:r>
      <w:r>
        <w:rPr>
          <w:color w:val="000000"/>
          <w:sz w:val="24"/>
          <w:szCs w:val="24"/>
        </w:rPr>
        <w:t xml:space="preserve"> made in the EAF technology, renewable energy, and circularity. </w:t>
      </w:r>
      <w:r>
        <w:rPr>
          <w:color w:val="FF0000"/>
          <w:sz w:val="24"/>
          <w:szCs w:val="24"/>
        </w:rPr>
        <w:t xml:space="preserve">This may enable the company to strengthen its </w:t>
      </w:r>
      <w:r>
        <w:rPr>
          <w:color w:val="FF0000"/>
          <w:sz w:val="24"/>
          <w:szCs w:val="24"/>
        </w:rPr>
        <w:t xml:space="preserve">social </w:t>
      </w:r>
      <w:r>
        <w:rPr>
          <w:color w:val="FF0000"/>
          <w:sz w:val="24"/>
          <w:szCs w:val="24"/>
        </w:rPr>
        <w:t xml:space="preserve">connections with customers wanting to minimise their own Scope 3 emissions. </w:t>
      </w:r>
      <w:r>
        <w:rPr>
          <w:color w:val="000000"/>
          <w:sz w:val="24"/>
          <w:szCs w:val="24"/>
        </w:rPr>
        <w:t xml:space="preserve">However, to justify a green premium, the value will need to be </w:t>
      </w:r>
      <w:r>
        <w:rPr>
          <w:color w:val="000000"/>
          <w:sz w:val="24"/>
          <w:szCs w:val="24"/>
        </w:rPr>
        <w:t>perceived by the customers, which can then contribute to competitive advantages. Thus, clear carbon information and LCA, along with good product performance, should be presented with the sustainability message to mitigate credibility and greenwashing conce</w:t>
      </w:r>
      <w:r>
        <w:rPr>
          <w:color w:val="000000"/>
          <w:sz w:val="24"/>
          <w:szCs w:val="24"/>
        </w:rPr>
        <w:t>rns.</w:t>
      </w:r>
    </w:p>
    <w:p w:rsidR="002A2F2B" w:rsidRDefault="00E43518">
      <w:pPr>
        <w:pStyle w:val="Heading1"/>
        <w:rPr>
          <w:rFonts w:ascii="Arial" w:eastAsia="Arial" w:hAnsi="Arial" w:cs="Arial"/>
          <w:i/>
          <w:iCs/>
          <w:sz w:val="24"/>
          <w:szCs w:val="24"/>
        </w:rPr>
      </w:pPr>
      <w:bookmarkStart w:id="10" w:name="_Toc243485083"/>
      <w:r>
        <w:rPr>
          <w:rFonts w:ascii="Arial" w:eastAsia="Arial" w:hAnsi="Arial" w:cs="Arial"/>
        </w:rPr>
        <w:t>Task 3: Managerial and Professional Reflection</w:t>
      </w:r>
      <w:bookmarkEnd w:id="10"/>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On a managerial level, I chose Tata Steel because its size, global footprint, and its active decarbonisation efforts create an appropriate background for discussing the impact of the environment on market</w:t>
      </w:r>
      <w:r>
        <w:rPr>
          <w:color w:val="000000"/>
          <w:sz w:val="24"/>
          <w:szCs w:val="24"/>
        </w:rPr>
        <w:t>ing and strategic development. The company has pledged to reach Net Zero emissions in 2045 and is exploring various technological solutions depending on the region (Tata Steel, 2024). I think this was an ideal fit, as it is a transition that goes beyond en</w:t>
      </w:r>
      <w:r>
        <w:rPr>
          <w:color w:val="000000"/>
          <w:sz w:val="24"/>
          <w:szCs w:val="24"/>
        </w:rPr>
        <w:t xml:space="preserve">vironmental issues and includes customer, regulatory, and commercial issues as well. </w:t>
      </w:r>
    </w:p>
    <w:p w:rsidR="002A2F2B" w:rsidRDefault="00E43518">
      <w:pPr>
        <w:pStyle w:val="normal0"/>
        <w:pBdr>
          <w:top w:val="nil"/>
          <w:left w:val="nil"/>
          <w:bottom w:val="nil"/>
          <w:right w:val="nil"/>
          <w:between w:val="nil"/>
        </w:pBdr>
        <w:spacing w:line="360" w:lineRule="auto"/>
        <w:jc w:val="both"/>
        <w:rPr>
          <w:color w:val="000000"/>
          <w:sz w:val="24"/>
          <w:szCs w:val="24"/>
        </w:rPr>
      </w:pPr>
      <w:r>
        <w:rPr>
          <w:color w:val="FF0000"/>
          <w:sz w:val="24"/>
          <w:szCs w:val="24"/>
        </w:rPr>
        <w:lastRenderedPageBreak/>
        <w:t xml:space="preserve">I chose the environment, legal environment, and </w:t>
      </w:r>
      <w:r>
        <w:rPr>
          <w:color w:val="FF0000"/>
          <w:sz w:val="24"/>
          <w:szCs w:val="24"/>
        </w:rPr>
        <w:t xml:space="preserve">social </w:t>
      </w:r>
      <w:r>
        <w:rPr>
          <w:color w:val="FF0000"/>
          <w:sz w:val="24"/>
          <w:szCs w:val="24"/>
        </w:rPr>
        <w:t>actors, as these actors had the highest level of external pressure on managerial decision-making.</w:t>
      </w:r>
      <w:r>
        <w:rPr>
          <w:color w:val="000000"/>
          <w:sz w:val="24"/>
          <w:szCs w:val="24"/>
        </w:rPr>
        <w:t xml:space="preserve"> In particular, th</w:t>
      </w:r>
      <w:r>
        <w:rPr>
          <w:color w:val="000000"/>
          <w:sz w:val="24"/>
          <w:szCs w:val="24"/>
        </w:rPr>
        <w:t xml:space="preserve">e environment was chosen as a priority, as the traditional steelmaking concept is directly being attacked by the impacts of climate change and carbon reduction (Zhang </w:t>
      </w:r>
      <w:r>
        <w:rPr>
          <w:i/>
          <w:iCs/>
          <w:color w:val="000000"/>
          <w:sz w:val="24"/>
          <w:szCs w:val="24"/>
        </w:rPr>
        <w:t>et al.</w:t>
      </w:r>
      <w:r>
        <w:rPr>
          <w:color w:val="000000"/>
          <w:sz w:val="24"/>
          <w:szCs w:val="24"/>
        </w:rPr>
        <w:t xml:space="preserve"> 2025). The legal factors were chosen as they are increasingly influencing the cost</w:t>
      </w:r>
      <w:r>
        <w:rPr>
          <w:color w:val="000000"/>
          <w:sz w:val="24"/>
          <w:szCs w:val="24"/>
        </w:rPr>
        <w:t xml:space="preserve">s of production and access to markets and investment decisions. Customers were added as demand and willingness to pay make lower-carbon products commercially successful. Notably, Tata Steel has listed factors such as customer readiness to pay, regulation, </w:t>
      </w:r>
      <w:r>
        <w:rPr>
          <w:color w:val="000000"/>
          <w:sz w:val="24"/>
          <w:szCs w:val="24"/>
        </w:rPr>
        <w:t>green energy availability, and infrastructure as impacting its transition (Tata Steel, 2026).</w:t>
      </w:r>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 xml:space="preserve">Regarding strategic growth decisions, I looked into all four options of the Ansoff Matrix before choosing product development. I observed that Tata Steel has the </w:t>
      </w:r>
      <w:r>
        <w:rPr>
          <w:color w:val="000000"/>
          <w:sz w:val="24"/>
          <w:szCs w:val="24"/>
        </w:rPr>
        <w:t>opportunity to leverage its footprint with customers and technical expertise to create new lower-carbon and circular steel solutions. From a management standpoint, this recommendation is more attainable than a growth approach that would contribute to organ</w:t>
      </w:r>
      <w:r>
        <w:rPr>
          <w:color w:val="000000"/>
          <w:sz w:val="24"/>
          <w:szCs w:val="24"/>
        </w:rPr>
        <w:t>isational competitive advantage.</w:t>
      </w:r>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However, I am aware that the recommendation has some limitations. Specifically, the analysis is based on secondary information, which does not directly reflect the perceptions, willingness to pay, or priorities of Tata Stee</w:t>
      </w:r>
      <w:r>
        <w:rPr>
          <w:color w:val="000000"/>
          <w:sz w:val="24"/>
          <w:szCs w:val="24"/>
        </w:rPr>
        <w:t>l’s key customers. The public company reports also offer limited access to confidential product-level information on profitability and returns on investment and customer contracts. Furthermore, the economics of green steel are still not certain, due to var</w:t>
      </w:r>
      <w:r>
        <w:rPr>
          <w:color w:val="000000"/>
          <w:sz w:val="24"/>
          <w:szCs w:val="24"/>
        </w:rPr>
        <w:t>ying geographical markets in terms of technology maturity, energy costs, and scrap availability and infrastructure (Teixeira, 2025; Watari and McLellan, 2024). These factors can affect technology decisions, sequencing of investments, and transformation spe</w:t>
      </w:r>
      <w:r>
        <w:rPr>
          <w:color w:val="000000"/>
          <w:sz w:val="24"/>
          <w:szCs w:val="24"/>
        </w:rPr>
        <w:t>ed.</w:t>
      </w:r>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 xml:space="preserve">As a consultant for Tata Steel, I would want to conduct primary research with the customer, gain evidence of their willingness to pay for green steel, benchmark against competition, and undertake detailed forecasts for green steel demand before making </w:t>
      </w:r>
      <w:r>
        <w:rPr>
          <w:color w:val="000000"/>
          <w:sz w:val="24"/>
          <w:szCs w:val="24"/>
        </w:rPr>
        <w:t xml:space="preserve">a final recommendation. Additionally, I would ask for product-level LCA data, capital expenses, return on investment, technology-readiness data, and sensitivity analysis based on various energy-price and regulatory scenarios. I think interviews with the </w:t>
      </w:r>
      <w:r>
        <w:rPr>
          <w:color w:val="000000"/>
          <w:sz w:val="24"/>
          <w:szCs w:val="24"/>
        </w:rPr>
        <w:lastRenderedPageBreak/>
        <w:t>se</w:t>
      </w:r>
      <w:r>
        <w:rPr>
          <w:color w:val="000000"/>
          <w:sz w:val="24"/>
          <w:szCs w:val="24"/>
        </w:rPr>
        <w:t>nior managers, key customers, and technology partners would also give evidence of the feasibility of implementation. Overall, the analysis has shifted my thinking from decarbonisation as a duty to the environment to seeing it as a marketing and growth oppo</w:t>
      </w:r>
      <w:r>
        <w:rPr>
          <w:color w:val="000000"/>
          <w:sz w:val="24"/>
          <w:szCs w:val="24"/>
        </w:rPr>
        <w:t xml:space="preserve">rtunity. Product Development seems to be a strategic fit as it allows the company to leverage its current skill set with customer needs and demands. </w:t>
      </w:r>
    </w:p>
    <w:p w:rsidR="002A2F2B" w:rsidRDefault="00E43518">
      <w:pPr>
        <w:pStyle w:val="Heading1"/>
        <w:rPr>
          <w:rFonts w:ascii="Arial" w:eastAsia="Arial" w:hAnsi="Arial" w:cs="Arial"/>
        </w:rPr>
      </w:pPr>
      <w:bookmarkStart w:id="11" w:name="_Toc243485084"/>
      <w:r>
        <w:rPr>
          <w:rFonts w:ascii="Arial" w:eastAsia="Arial" w:hAnsi="Arial" w:cs="Arial"/>
        </w:rPr>
        <w:t>Conclusion</w:t>
      </w:r>
      <w:bookmarkEnd w:id="11"/>
    </w:p>
    <w:p w:rsidR="002A2F2B" w:rsidRDefault="00E43518">
      <w:pPr>
        <w:pStyle w:val="normal0"/>
        <w:pBdr>
          <w:top w:val="nil"/>
          <w:left w:val="nil"/>
          <w:bottom w:val="nil"/>
          <w:right w:val="nil"/>
          <w:between w:val="nil"/>
        </w:pBdr>
        <w:spacing w:line="360" w:lineRule="auto"/>
        <w:jc w:val="both"/>
        <w:rPr>
          <w:color w:val="000000"/>
          <w:sz w:val="24"/>
          <w:szCs w:val="24"/>
        </w:rPr>
      </w:pPr>
      <w:r>
        <w:rPr>
          <w:color w:val="000000"/>
          <w:sz w:val="24"/>
          <w:szCs w:val="24"/>
        </w:rPr>
        <w:t>In conclusion, for Tata Steel, a lower-carbon transition is driven by strong environmental pres</w:t>
      </w:r>
      <w:r>
        <w:rPr>
          <w:color w:val="000000"/>
          <w:sz w:val="24"/>
          <w:szCs w:val="24"/>
        </w:rPr>
        <w:t xml:space="preserve">sure, stricter regulation, and shifting customer expectations. The highest growth potential is in product development, where Tata Steel can leverage current strengths and deliver lower-carbon and circular steel solutions. This can enhance differentiation, </w:t>
      </w:r>
      <w:r>
        <w:rPr>
          <w:color w:val="000000"/>
          <w:sz w:val="24"/>
          <w:szCs w:val="24"/>
        </w:rPr>
        <w:t>customer relationships, and future market competitiveness.</w:t>
      </w:r>
      <w:r>
        <w:br w:type="page"/>
      </w:r>
    </w:p>
    <w:p w:rsidR="002A2F2B" w:rsidRDefault="00E43518">
      <w:pPr>
        <w:pStyle w:val="Heading1"/>
        <w:rPr>
          <w:rFonts w:ascii="Arial" w:eastAsia="Arial" w:hAnsi="Arial" w:cs="Arial"/>
        </w:rPr>
      </w:pPr>
      <w:bookmarkStart w:id="12" w:name="_Toc243485085"/>
      <w:r>
        <w:rPr>
          <w:rFonts w:ascii="Arial" w:eastAsia="Arial" w:hAnsi="Arial" w:cs="Arial"/>
        </w:rPr>
        <w:lastRenderedPageBreak/>
        <w:t>References</w:t>
      </w:r>
      <w:bookmarkEnd w:id="12"/>
    </w:p>
    <w:p w:rsidR="002A2F2B" w:rsidRDefault="00E43518">
      <w:pPr>
        <w:pStyle w:val="normal0"/>
        <w:widowControl w:val="0"/>
        <w:pBdr>
          <w:top w:val="nil"/>
          <w:left w:val="nil"/>
          <w:bottom w:val="nil"/>
          <w:right w:val="nil"/>
          <w:between w:val="nil"/>
        </w:pBdr>
        <w:spacing w:before="120" w:line="360" w:lineRule="auto"/>
        <w:jc w:val="both"/>
        <w:rPr>
          <w:color w:val="000000"/>
          <w:sz w:val="24"/>
          <w:szCs w:val="24"/>
          <w:highlight w:val="white"/>
        </w:rPr>
      </w:pPr>
      <w:r>
        <w:rPr>
          <w:color w:val="000000"/>
          <w:sz w:val="24"/>
          <w:szCs w:val="24"/>
        </w:rPr>
        <w:t xml:space="preserve">Companies Market Cap, (2026). </w:t>
      </w:r>
      <w:r>
        <w:rPr>
          <w:i/>
          <w:iCs/>
          <w:color w:val="000000"/>
          <w:sz w:val="24"/>
          <w:szCs w:val="24"/>
        </w:rPr>
        <w:t xml:space="preserve">Market capitalization of Tata Steel. </w:t>
      </w:r>
      <w:r>
        <w:rPr>
          <w:color w:val="000000"/>
          <w:sz w:val="24"/>
          <w:szCs w:val="24"/>
        </w:rPr>
        <w:t xml:space="preserve">[Online]. Available at: </w:t>
      </w:r>
      <w:hyperlink r:id="rId12">
        <w:r>
          <w:rPr>
            <w:color w:val="1155CC"/>
            <w:sz w:val="24"/>
            <w:szCs w:val="24"/>
            <w:u w:val="single"/>
          </w:rPr>
          <w:t>https://companiesmarketcap.com/inr/tata-steel/marketcap/</w:t>
        </w:r>
      </w:hyperlink>
      <w:r>
        <w:rPr>
          <w:color w:val="000000"/>
          <w:sz w:val="24"/>
          <w:szCs w:val="24"/>
        </w:rPr>
        <w:t xml:space="preserve"> [Accessed on 06 October 2026]</w:t>
      </w:r>
    </w:p>
    <w:p w:rsidR="002A2F2B" w:rsidRDefault="00E43518">
      <w:pPr>
        <w:pStyle w:val="normal0"/>
        <w:pBdr>
          <w:top w:val="nil"/>
          <w:left w:val="nil"/>
          <w:bottom w:val="nil"/>
          <w:right w:val="nil"/>
          <w:between w:val="nil"/>
        </w:pBdr>
        <w:spacing w:before="120" w:line="360" w:lineRule="auto"/>
        <w:jc w:val="both"/>
        <w:rPr>
          <w:color w:val="000000"/>
          <w:sz w:val="24"/>
          <w:szCs w:val="24"/>
        </w:rPr>
      </w:pPr>
      <w:r>
        <w:rPr>
          <w:color w:val="000000"/>
          <w:sz w:val="24"/>
          <w:szCs w:val="24"/>
        </w:rPr>
        <w:t xml:space="preserve">Cullen, M., (2024). Exploring the Application of Ansoff's Growth Strategies in the Context of Digital Transformation and Corporate Performance. </w:t>
      </w:r>
      <w:r>
        <w:rPr>
          <w:i/>
          <w:iCs/>
          <w:color w:val="000000"/>
          <w:sz w:val="24"/>
          <w:szCs w:val="24"/>
        </w:rPr>
        <w:t>Available at SSRN 7231900</w:t>
      </w:r>
      <w:r>
        <w:rPr>
          <w:color w:val="000000"/>
          <w:sz w:val="24"/>
          <w:szCs w:val="24"/>
        </w:rPr>
        <w:t xml:space="preserve">. </w:t>
      </w:r>
    </w:p>
    <w:p w:rsidR="002A2F2B" w:rsidRDefault="00E43518">
      <w:pPr>
        <w:pStyle w:val="normal0"/>
        <w:widowControl w:val="0"/>
        <w:pBdr>
          <w:top w:val="nil"/>
          <w:left w:val="nil"/>
          <w:bottom w:val="nil"/>
          <w:right w:val="nil"/>
          <w:between w:val="nil"/>
        </w:pBdr>
        <w:spacing w:before="120" w:line="360" w:lineRule="auto"/>
        <w:jc w:val="both"/>
        <w:rPr>
          <w:color w:val="000000"/>
          <w:sz w:val="24"/>
          <w:szCs w:val="24"/>
        </w:rPr>
      </w:pPr>
      <w:r>
        <w:rPr>
          <w:color w:val="000000"/>
          <w:sz w:val="24"/>
          <w:szCs w:val="24"/>
        </w:rPr>
        <w:t xml:space="preserve">European Commission (2026). </w:t>
      </w:r>
      <w:r>
        <w:rPr>
          <w:i/>
          <w:iCs/>
          <w:color w:val="000000"/>
          <w:sz w:val="24"/>
          <w:szCs w:val="24"/>
        </w:rPr>
        <w:t xml:space="preserve">CBAM definitive regime. </w:t>
      </w:r>
      <w:r>
        <w:rPr>
          <w:color w:val="000000"/>
          <w:sz w:val="24"/>
          <w:szCs w:val="24"/>
        </w:rPr>
        <w:t xml:space="preserve">[Online]. Available at: </w:t>
      </w:r>
      <w:hyperlink r:id="rId13">
        <w:r>
          <w:rPr>
            <w:color w:val="1155CC"/>
            <w:sz w:val="24"/>
            <w:szCs w:val="24"/>
            <w:u w:val="single"/>
          </w:rPr>
          <w:t>https://taxation-customs.ec.europa.eu/carbon-border-adjustmen</w:t>
        </w:r>
        <w:r>
          <w:rPr>
            <w:color w:val="1155CC"/>
            <w:sz w:val="24"/>
            <w:szCs w:val="24"/>
            <w:u w:val="single"/>
          </w:rPr>
          <w:t>t-mechanism/cbam-definitive-regime_en</w:t>
        </w:r>
      </w:hyperlink>
      <w:r>
        <w:rPr>
          <w:color w:val="000000"/>
          <w:sz w:val="24"/>
          <w:szCs w:val="24"/>
        </w:rPr>
        <w:t xml:space="preserve"> [Accessed on 06 October 2026]</w:t>
      </w:r>
    </w:p>
    <w:p w:rsidR="002A2F2B" w:rsidRDefault="00E43518">
      <w:pPr>
        <w:pStyle w:val="normal0"/>
        <w:pBdr>
          <w:top w:val="nil"/>
          <w:left w:val="nil"/>
          <w:bottom w:val="nil"/>
          <w:right w:val="nil"/>
          <w:between w:val="nil"/>
        </w:pBdr>
        <w:spacing w:before="120" w:line="360" w:lineRule="auto"/>
        <w:jc w:val="both"/>
        <w:rPr>
          <w:color w:val="000000"/>
        </w:rPr>
      </w:pPr>
      <w:r>
        <w:rPr>
          <w:color w:val="000000"/>
          <w:sz w:val="24"/>
          <w:szCs w:val="24"/>
        </w:rPr>
        <w:t xml:space="preserve">Ferreira, A.P.P.F.S. and de Sá, M.M.B.P., (2024). The importance of the Ansoff matrix for the study of the information services market. </w:t>
      </w:r>
      <w:r>
        <w:rPr>
          <w:i/>
          <w:iCs/>
          <w:color w:val="000000"/>
          <w:sz w:val="24"/>
          <w:szCs w:val="24"/>
        </w:rPr>
        <w:t>The Canadian Journal of Information and Library Scie</w:t>
      </w:r>
      <w:r>
        <w:rPr>
          <w:i/>
          <w:iCs/>
          <w:color w:val="000000"/>
          <w:sz w:val="24"/>
          <w:szCs w:val="24"/>
        </w:rPr>
        <w:t>nce</w:t>
      </w:r>
      <w:r>
        <w:rPr>
          <w:color w:val="000000"/>
          <w:sz w:val="24"/>
          <w:szCs w:val="24"/>
        </w:rPr>
        <w:t xml:space="preserve">, </w:t>
      </w:r>
      <w:r>
        <w:rPr>
          <w:i/>
          <w:iCs/>
          <w:color w:val="000000"/>
          <w:sz w:val="24"/>
          <w:szCs w:val="24"/>
        </w:rPr>
        <w:t>47</w:t>
      </w:r>
      <w:r>
        <w:rPr>
          <w:color w:val="000000"/>
          <w:sz w:val="24"/>
          <w:szCs w:val="24"/>
        </w:rPr>
        <w:t xml:space="preserve">(2), pp.78-84. </w:t>
      </w:r>
    </w:p>
    <w:p w:rsidR="002A2F2B" w:rsidRDefault="00E43518">
      <w:pPr>
        <w:pStyle w:val="normal0"/>
        <w:pBdr>
          <w:top w:val="nil"/>
          <w:left w:val="nil"/>
          <w:bottom w:val="nil"/>
          <w:right w:val="nil"/>
          <w:between w:val="nil"/>
        </w:pBdr>
        <w:spacing w:before="120" w:line="360" w:lineRule="auto"/>
        <w:jc w:val="both"/>
        <w:rPr>
          <w:color w:val="000000"/>
          <w:sz w:val="24"/>
          <w:szCs w:val="24"/>
        </w:rPr>
      </w:pPr>
      <w:r>
        <w:rPr>
          <w:color w:val="000000"/>
          <w:sz w:val="24"/>
          <w:szCs w:val="24"/>
        </w:rPr>
        <w:t xml:space="preserve">GOV, (2026). </w:t>
      </w:r>
      <w:r>
        <w:rPr>
          <w:i/>
          <w:iCs/>
          <w:color w:val="000000"/>
          <w:sz w:val="24"/>
          <w:szCs w:val="24"/>
        </w:rPr>
        <w:t xml:space="preserve">The UK steel strategy (web version). </w:t>
      </w:r>
      <w:r>
        <w:rPr>
          <w:color w:val="000000"/>
          <w:sz w:val="24"/>
          <w:szCs w:val="24"/>
        </w:rPr>
        <w:t xml:space="preserve">[Online]. Available at: </w:t>
      </w:r>
      <w:hyperlink r:id="rId14">
        <w:r>
          <w:rPr>
            <w:color w:val="1155CC"/>
            <w:sz w:val="24"/>
            <w:szCs w:val="24"/>
            <w:u w:val="single"/>
          </w:rPr>
          <w:t>https://www.gov.uk/government/publications/steel-s</w:t>
        </w:r>
        <w:r>
          <w:rPr>
            <w:color w:val="1155CC"/>
            <w:sz w:val="24"/>
            <w:szCs w:val="24"/>
            <w:u w:val="single"/>
          </w:rPr>
          <w:t>trategy/the-uk-steel-strategy-web-version</w:t>
        </w:r>
      </w:hyperlink>
      <w:r>
        <w:rPr>
          <w:color w:val="000000"/>
          <w:sz w:val="24"/>
          <w:szCs w:val="24"/>
        </w:rPr>
        <w:t xml:space="preserve"> [Accessed on 06 October 2026]</w:t>
      </w:r>
    </w:p>
    <w:p w:rsidR="002A2F2B" w:rsidRDefault="00E43518">
      <w:pPr>
        <w:pStyle w:val="normal0"/>
        <w:widowControl w:val="0"/>
        <w:pBdr>
          <w:top w:val="nil"/>
          <w:left w:val="nil"/>
          <w:bottom w:val="nil"/>
          <w:right w:val="nil"/>
          <w:between w:val="nil"/>
        </w:pBdr>
        <w:spacing w:before="120" w:line="360" w:lineRule="auto"/>
        <w:jc w:val="both"/>
        <w:rPr>
          <w:color w:val="000000"/>
          <w:sz w:val="24"/>
          <w:szCs w:val="24"/>
        </w:rPr>
      </w:pPr>
      <w:r>
        <w:rPr>
          <w:color w:val="000000"/>
          <w:sz w:val="24"/>
          <w:szCs w:val="24"/>
        </w:rPr>
        <w:t xml:space="preserve">IEA, (2025). </w:t>
      </w:r>
      <w:r>
        <w:rPr>
          <w:i/>
          <w:iCs/>
          <w:color w:val="000000"/>
          <w:sz w:val="24"/>
          <w:szCs w:val="24"/>
        </w:rPr>
        <w:t xml:space="preserve">Iron and steel. </w:t>
      </w:r>
      <w:r>
        <w:rPr>
          <w:color w:val="000000"/>
          <w:sz w:val="24"/>
          <w:szCs w:val="24"/>
        </w:rPr>
        <w:t xml:space="preserve">[Online]. Available at: </w:t>
      </w:r>
      <w:hyperlink r:id="rId15">
        <w:r>
          <w:rPr>
            <w:color w:val="1155CC"/>
            <w:sz w:val="24"/>
            <w:szCs w:val="24"/>
            <w:u w:val="single"/>
          </w:rPr>
          <w:t>https://www.iea.org/energy-system/industry/iron-and-stee</w:t>
        </w:r>
        <w:r>
          <w:rPr>
            <w:color w:val="1155CC"/>
            <w:sz w:val="24"/>
            <w:szCs w:val="24"/>
            <w:u w:val="single"/>
          </w:rPr>
          <w:t>l</w:t>
        </w:r>
      </w:hyperlink>
      <w:r>
        <w:rPr>
          <w:color w:val="000000"/>
          <w:sz w:val="24"/>
          <w:szCs w:val="24"/>
        </w:rPr>
        <w:t xml:space="preserve"> [Accessed on 06 October 2026]</w:t>
      </w:r>
    </w:p>
    <w:p w:rsidR="002A2F2B" w:rsidRDefault="00E43518">
      <w:pPr>
        <w:pStyle w:val="normal0"/>
        <w:pBdr>
          <w:top w:val="nil"/>
          <w:left w:val="nil"/>
          <w:bottom w:val="nil"/>
          <w:right w:val="nil"/>
          <w:between w:val="nil"/>
        </w:pBdr>
        <w:spacing w:before="120" w:line="360" w:lineRule="auto"/>
        <w:jc w:val="both"/>
        <w:rPr>
          <w:color w:val="000000"/>
          <w:sz w:val="24"/>
          <w:szCs w:val="24"/>
        </w:rPr>
      </w:pPr>
      <w:r>
        <w:rPr>
          <w:color w:val="000000"/>
          <w:sz w:val="24"/>
          <w:szCs w:val="24"/>
        </w:rPr>
        <w:t xml:space="preserve">Li, Q., Wang, P., Wang, F., Zhang, Y., Wang, H., Xu, Q., Xu, M. and Bai, L., (2025). Low-carbon production in China’s iron and steel industry: technology choices, economic assessment, and policy. </w:t>
      </w:r>
      <w:r>
        <w:rPr>
          <w:i/>
          <w:iCs/>
          <w:color w:val="000000"/>
          <w:sz w:val="24"/>
          <w:szCs w:val="24"/>
        </w:rPr>
        <w:t>Atmosphere</w:t>
      </w:r>
      <w:r>
        <w:rPr>
          <w:color w:val="000000"/>
          <w:sz w:val="24"/>
          <w:szCs w:val="24"/>
        </w:rPr>
        <w:t xml:space="preserve">, </w:t>
      </w:r>
      <w:r>
        <w:rPr>
          <w:i/>
          <w:iCs/>
          <w:color w:val="000000"/>
          <w:sz w:val="24"/>
          <w:szCs w:val="24"/>
        </w:rPr>
        <w:t>16</w:t>
      </w:r>
      <w:r>
        <w:rPr>
          <w:color w:val="000000"/>
          <w:sz w:val="24"/>
          <w:szCs w:val="24"/>
        </w:rPr>
        <w:t xml:space="preserve">(3), p.252. </w:t>
      </w:r>
    </w:p>
    <w:p w:rsidR="002A2F2B" w:rsidRDefault="00E43518">
      <w:pPr>
        <w:pStyle w:val="normal0"/>
        <w:pBdr>
          <w:top w:val="nil"/>
          <w:left w:val="nil"/>
          <w:bottom w:val="nil"/>
          <w:right w:val="nil"/>
          <w:between w:val="nil"/>
        </w:pBdr>
        <w:spacing w:before="120" w:line="360" w:lineRule="auto"/>
        <w:jc w:val="both"/>
        <w:rPr>
          <w:color w:val="000000"/>
          <w:sz w:val="24"/>
          <w:szCs w:val="24"/>
        </w:rPr>
      </w:pPr>
      <w:r>
        <w:rPr>
          <w:color w:val="000000"/>
          <w:sz w:val="24"/>
          <w:szCs w:val="24"/>
        </w:rPr>
        <w:t xml:space="preserve">Souza, L.L.F., Costa, J.A.C., Mascena, K.M.C., Fernandes, A. and Costa, J.S., (2025). Sustainable operations in the steel industry: a study in the business-to-business context. </w:t>
      </w:r>
      <w:r>
        <w:rPr>
          <w:i/>
          <w:iCs/>
          <w:color w:val="000000"/>
          <w:sz w:val="24"/>
          <w:szCs w:val="24"/>
        </w:rPr>
        <w:t>Journal of Business &amp; Industrial Marketing</w:t>
      </w:r>
      <w:r>
        <w:rPr>
          <w:color w:val="000000"/>
          <w:sz w:val="24"/>
          <w:szCs w:val="24"/>
        </w:rPr>
        <w:t xml:space="preserve">, </w:t>
      </w:r>
      <w:r>
        <w:rPr>
          <w:i/>
          <w:iCs/>
          <w:color w:val="000000"/>
          <w:sz w:val="24"/>
          <w:szCs w:val="24"/>
        </w:rPr>
        <w:t>40</w:t>
      </w:r>
      <w:r>
        <w:rPr>
          <w:color w:val="000000"/>
          <w:sz w:val="24"/>
          <w:szCs w:val="24"/>
        </w:rPr>
        <w:t xml:space="preserve">(7), pp.1525-1538. </w:t>
      </w:r>
    </w:p>
    <w:p w:rsidR="002A2F2B" w:rsidRDefault="00E43518">
      <w:pPr>
        <w:pStyle w:val="normal0"/>
        <w:pBdr>
          <w:top w:val="nil"/>
          <w:left w:val="nil"/>
          <w:bottom w:val="nil"/>
          <w:right w:val="nil"/>
          <w:between w:val="nil"/>
        </w:pBdr>
        <w:spacing w:before="120" w:line="360" w:lineRule="auto"/>
        <w:jc w:val="both"/>
        <w:rPr>
          <w:color w:val="000000"/>
          <w:sz w:val="24"/>
          <w:szCs w:val="24"/>
        </w:rPr>
      </w:pPr>
      <w:r>
        <w:rPr>
          <w:color w:val="000000"/>
          <w:sz w:val="24"/>
          <w:szCs w:val="24"/>
        </w:rPr>
        <w:t>Tata Steel, (</w:t>
      </w:r>
      <w:r>
        <w:rPr>
          <w:color w:val="000000"/>
          <w:sz w:val="24"/>
          <w:szCs w:val="24"/>
        </w:rPr>
        <w:t xml:space="preserve">2024). </w:t>
      </w:r>
      <w:r>
        <w:rPr>
          <w:i/>
          <w:iCs/>
          <w:color w:val="000000"/>
          <w:sz w:val="24"/>
          <w:szCs w:val="24"/>
        </w:rPr>
        <w:t xml:space="preserve">TRANSFORMING FOR TOMORROW. </w:t>
      </w:r>
      <w:r>
        <w:rPr>
          <w:color w:val="000000"/>
          <w:sz w:val="24"/>
          <w:szCs w:val="24"/>
        </w:rPr>
        <w:t xml:space="preserve">[Online]. Available at: </w:t>
      </w:r>
      <w:hyperlink r:id="rId16">
        <w:r>
          <w:rPr>
            <w:color w:val="1155CC"/>
            <w:sz w:val="24"/>
            <w:szCs w:val="24"/>
            <w:u w:val="single"/>
          </w:rPr>
          <w:t>https://www.tatasteel.com/investors/integrated-report-2023-24/pdf/tata-steel-limited</w:t>
        </w:r>
        <w:r>
          <w:rPr>
            <w:color w:val="1155CC"/>
            <w:sz w:val="24"/>
            <w:szCs w:val="24"/>
            <w:u w:val="single"/>
          </w:rPr>
          <w:t>-ir-2024.pdf</w:t>
        </w:r>
      </w:hyperlink>
      <w:r>
        <w:rPr>
          <w:color w:val="000000"/>
          <w:sz w:val="24"/>
          <w:szCs w:val="24"/>
        </w:rPr>
        <w:t xml:space="preserve"> [Accessed on 06 October 2026]</w:t>
      </w:r>
    </w:p>
    <w:p w:rsidR="002A2F2B" w:rsidRDefault="00E43518">
      <w:pPr>
        <w:pStyle w:val="normal0"/>
        <w:pBdr>
          <w:top w:val="nil"/>
          <w:left w:val="nil"/>
          <w:bottom w:val="nil"/>
          <w:right w:val="nil"/>
          <w:between w:val="nil"/>
        </w:pBdr>
        <w:spacing w:before="120" w:line="360" w:lineRule="auto"/>
        <w:jc w:val="both"/>
        <w:rPr>
          <w:color w:val="000000"/>
          <w:sz w:val="24"/>
          <w:szCs w:val="24"/>
        </w:rPr>
      </w:pPr>
      <w:r>
        <w:rPr>
          <w:color w:val="000000"/>
          <w:sz w:val="24"/>
          <w:szCs w:val="24"/>
        </w:rPr>
        <w:lastRenderedPageBreak/>
        <w:t xml:space="preserve">Tata Steel, (2026).  </w:t>
      </w:r>
      <w:r>
        <w:rPr>
          <w:i/>
          <w:iCs/>
          <w:color w:val="000000"/>
          <w:sz w:val="24"/>
          <w:szCs w:val="24"/>
        </w:rPr>
        <w:t xml:space="preserve">One Dream Towards A greater future. </w:t>
      </w:r>
      <w:r>
        <w:rPr>
          <w:color w:val="000000"/>
          <w:sz w:val="24"/>
          <w:szCs w:val="24"/>
        </w:rPr>
        <w:t xml:space="preserve">[Online]. Available at: </w:t>
      </w:r>
      <w:hyperlink r:id="rId17">
        <w:r>
          <w:rPr>
            <w:color w:val="1155CC"/>
            <w:sz w:val="24"/>
            <w:szCs w:val="24"/>
            <w:u w:val="single"/>
          </w:rPr>
          <w:t>https://www.tatasteel.c</w:t>
        </w:r>
        <w:r>
          <w:rPr>
            <w:color w:val="1155CC"/>
            <w:sz w:val="24"/>
            <w:szCs w:val="24"/>
            <w:u w:val="single"/>
          </w:rPr>
          <w:t>om/investors/integrated-report-2025-26/pdf/tatasteel-iar-2025-26.pdf</w:t>
        </w:r>
      </w:hyperlink>
      <w:r>
        <w:rPr>
          <w:color w:val="000000"/>
          <w:sz w:val="24"/>
          <w:szCs w:val="24"/>
        </w:rPr>
        <w:t xml:space="preserve"> [Accessed on 06 October 2026]</w:t>
      </w:r>
    </w:p>
    <w:p w:rsidR="002A2F2B" w:rsidRDefault="00E43518">
      <w:pPr>
        <w:pStyle w:val="normal0"/>
        <w:widowControl w:val="0"/>
        <w:pBdr>
          <w:top w:val="nil"/>
          <w:left w:val="nil"/>
          <w:bottom w:val="nil"/>
          <w:right w:val="nil"/>
          <w:between w:val="nil"/>
        </w:pBdr>
        <w:spacing w:before="120" w:line="360" w:lineRule="auto"/>
        <w:jc w:val="both"/>
        <w:rPr>
          <w:color w:val="000000"/>
          <w:sz w:val="24"/>
          <w:szCs w:val="24"/>
          <w:highlight w:val="white"/>
        </w:rPr>
      </w:pPr>
      <w:r>
        <w:rPr>
          <w:color w:val="000000"/>
          <w:sz w:val="24"/>
          <w:szCs w:val="24"/>
        </w:rPr>
        <w:t xml:space="preserve">Tata Steel, (2026). </w:t>
      </w:r>
      <w:r>
        <w:rPr>
          <w:i/>
          <w:iCs/>
          <w:color w:val="000000"/>
          <w:sz w:val="24"/>
          <w:szCs w:val="24"/>
        </w:rPr>
        <w:t xml:space="preserve">Climate Change Report. </w:t>
      </w:r>
      <w:r>
        <w:rPr>
          <w:color w:val="000000"/>
          <w:sz w:val="24"/>
          <w:szCs w:val="24"/>
        </w:rPr>
        <w:t xml:space="preserve">[Online]. Available at: </w:t>
      </w:r>
      <w:hyperlink r:id="rId18">
        <w:r>
          <w:rPr>
            <w:color w:val="1155CC"/>
            <w:sz w:val="24"/>
            <w:szCs w:val="24"/>
            <w:u w:val="single"/>
          </w:rPr>
          <w:t>https://www.tatasteel.com/investors/integrated-report-2025-26/climate-change-report.html</w:t>
        </w:r>
      </w:hyperlink>
      <w:r>
        <w:rPr>
          <w:color w:val="000000"/>
          <w:sz w:val="24"/>
          <w:szCs w:val="24"/>
        </w:rPr>
        <w:t xml:space="preserve"> [Accessed on 06 October 2026]</w:t>
      </w:r>
    </w:p>
    <w:p w:rsidR="002A2F2B" w:rsidRDefault="00E43518">
      <w:pPr>
        <w:pStyle w:val="normal0"/>
        <w:pBdr>
          <w:top w:val="nil"/>
          <w:left w:val="nil"/>
          <w:bottom w:val="nil"/>
          <w:right w:val="nil"/>
          <w:between w:val="nil"/>
        </w:pBdr>
        <w:spacing w:before="120" w:line="360" w:lineRule="auto"/>
        <w:jc w:val="both"/>
        <w:rPr>
          <w:color w:val="000000"/>
          <w:sz w:val="24"/>
          <w:szCs w:val="24"/>
        </w:rPr>
      </w:pPr>
      <w:r>
        <w:rPr>
          <w:color w:val="000000"/>
          <w:sz w:val="24"/>
          <w:szCs w:val="24"/>
        </w:rPr>
        <w:t xml:space="preserve">Tata, (2026). </w:t>
      </w:r>
      <w:r>
        <w:rPr>
          <w:i/>
          <w:iCs/>
          <w:color w:val="000000"/>
          <w:sz w:val="24"/>
          <w:szCs w:val="24"/>
        </w:rPr>
        <w:t xml:space="preserve">Companies Tata Steel. </w:t>
      </w:r>
      <w:r>
        <w:rPr>
          <w:color w:val="000000"/>
          <w:sz w:val="24"/>
          <w:szCs w:val="24"/>
        </w:rPr>
        <w:t xml:space="preserve"> </w:t>
      </w:r>
      <w:hyperlink r:id="rId19">
        <w:r>
          <w:rPr>
            <w:color w:val="1155CC"/>
            <w:sz w:val="24"/>
            <w:szCs w:val="24"/>
            <w:u w:val="single"/>
          </w:rPr>
          <w:t>https://www.tata.com/busin</w:t>
        </w:r>
        <w:r>
          <w:rPr>
            <w:color w:val="1155CC"/>
            <w:sz w:val="24"/>
            <w:szCs w:val="24"/>
            <w:u w:val="single"/>
          </w:rPr>
          <w:t>ess/tata-steel</w:t>
        </w:r>
      </w:hyperlink>
      <w:r>
        <w:rPr>
          <w:color w:val="000000"/>
          <w:sz w:val="24"/>
          <w:szCs w:val="24"/>
        </w:rPr>
        <w:t xml:space="preserve"> [Accessed on 06 October 2026]</w:t>
      </w:r>
    </w:p>
    <w:p w:rsidR="002A2F2B" w:rsidRDefault="00E43518">
      <w:pPr>
        <w:pStyle w:val="normal0"/>
        <w:pBdr>
          <w:top w:val="nil"/>
          <w:left w:val="nil"/>
          <w:bottom w:val="nil"/>
          <w:right w:val="nil"/>
          <w:between w:val="nil"/>
        </w:pBdr>
        <w:spacing w:before="120" w:line="360" w:lineRule="auto"/>
        <w:jc w:val="both"/>
        <w:rPr>
          <w:color w:val="000000"/>
          <w:sz w:val="24"/>
          <w:szCs w:val="24"/>
        </w:rPr>
      </w:pPr>
      <w:r>
        <w:rPr>
          <w:color w:val="000000"/>
          <w:sz w:val="24"/>
          <w:szCs w:val="24"/>
        </w:rPr>
        <w:t xml:space="preserve">Teixeira, R.L.P., (2025). Advancing green steel technologies for sustainable and low-carbon steel production. </w:t>
      </w:r>
      <w:r>
        <w:rPr>
          <w:i/>
          <w:iCs/>
          <w:color w:val="000000"/>
          <w:sz w:val="24"/>
          <w:szCs w:val="24"/>
        </w:rPr>
        <w:t>International Journal of Professional Business Review: Int. J. Prof. Bus. Rev.</w:t>
      </w:r>
      <w:r>
        <w:rPr>
          <w:color w:val="000000"/>
          <w:sz w:val="24"/>
          <w:szCs w:val="24"/>
        </w:rPr>
        <w:t xml:space="preserve">, </w:t>
      </w:r>
      <w:r>
        <w:rPr>
          <w:i/>
          <w:iCs/>
          <w:color w:val="000000"/>
          <w:sz w:val="24"/>
          <w:szCs w:val="24"/>
        </w:rPr>
        <w:t>10</w:t>
      </w:r>
      <w:r>
        <w:rPr>
          <w:color w:val="000000"/>
          <w:sz w:val="24"/>
          <w:szCs w:val="24"/>
        </w:rPr>
        <w:t xml:space="preserve">(10), p.3. </w:t>
      </w:r>
    </w:p>
    <w:p w:rsidR="002A2F2B" w:rsidRDefault="00E43518">
      <w:pPr>
        <w:pStyle w:val="normal0"/>
        <w:pBdr>
          <w:top w:val="nil"/>
          <w:left w:val="nil"/>
          <w:bottom w:val="nil"/>
          <w:right w:val="nil"/>
          <w:between w:val="nil"/>
        </w:pBdr>
        <w:spacing w:before="120" w:line="360" w:lineRule="auto"/>
        <w:jc w:val="both"/>
        <w:rPr>
          <w:color w:val="000000"/>
          <w:sz w:val="24"/>
          <w:szCs w:val="24"/>
        </w:rPr>
      </w:pPr>
      <w:r>
        <w:rPr>
          <w:color w:val="000000"/>
          <w:sz w:val="24"/>
          <w:szCs w:val="24"/>
        </w:rPr>
        <w:t>Watari,</w:t>
      </w:r>
      <w:r>
        <w:rPr>
          <w:color w:val="000000"/>
          <w:sz w:val="24"/>
          <w:szCs w:val="24"/>
        </w:rPr>
        <w:t xml:space="preserve"> T. and McLellan, B., (2024). Global demand for green hydrogen-based steel: Insights from 28 scenarios. </w:t>
      </w:r>
      <w:r>
        <w:rPr>
          <w:i/>
          <w:iCs/>
          <w:color w:val="000000"/>
          <w:sz w:val="24"/>
          <w:szCs w:val="24"/>
        </w:rPr>
        <w:t>International Journal of Hydrogen Energy</w:t>
      </w:r>
      <w:r>
        <w:rPr>
          <w:color w:val="000000"/>
          <w:sz w:val="24"/>
          <w:szCs w:val="24"/>
        </w:rPr>
        <w:t xml:space="preserve">, </w:t>
      </w:r>
      <w:r>
        <w:rPr>
          <w:i/>
          <w:iCs/>
          <w:color w:val="000000"/>
          <w:sz w:val="24"/>
          <w:szCs w:val="24"/>
        </w:rPr>
        <w:t>79</w:t>
      </w:r>
      <w:r>
        <w:rPr>
          <w:color w:val="000000"/>
          <w:sz w:val="24"/>
          <w:szCs w:val="24"/>
        </w:rPr>
        <w:t xml:space="preserve">, pp.630-635. </w:t>
      </w:r>
    </w:p>
    <w:p w:rsidR="002A2F2B" w:rsidRDefault="00E43518">
      <w:pPr>
        <w:pStyle w:val="normal0"/>
        <w:pBdr>
          <w:top w:val="nil"/>
          <w:left w:val="nil"/>
          <w:bottom w:val="nil"/>
          <w:right w:val="nil"/>
          <w:between w:val="nil"/>
        </w:pBdr>
        <w:spacing w:before="120" w:line="360" w:lineRule="auto"/>
        <w:jc w:val="both"/>
        <w:rPr>
          <w:color w:val="000000"/>
          <w:sz w:val="24"/>
          <w:szCs w:val="24"/>
        </w:rPr>
      </w:pPr>
      <w:r>
        <w:rPr>
          <w:color w:val="000000"/>
          <w:sz w:val="24"/>
          <w:szCs w:val="24"/>
        </w:rPr>
        <w:t xml:space="preserve">Yu, F., Yuan, Q., Sheng, X., Liu, M., Chen, L., Yuan, X., Zhang, D., Dai, S., Hou, Z., Wang, Q. and Ma, Q., (2024). Understanding carbon footprint: An evaluation criterion for achieving sustainable development. </w:t>
      </w:r>
      <w:r>
        <w:rPr>
          <w:i/>
          <w:iCs/>
          <w:color w:val="000000"/>
          <w:sz w:val="24"/>
          <w:szCs w:val="24"/>
        </w:rPr>
        <w:t xml:space="preserve">Chinese Journal of Population, Resources and </w:t>
      </w:r>
      <w:r>
        <w:rPr>
          <w:i/>
          <w:iCs/>
          <w:color w:val="000000"/>
          <w:sz w:val="24"/>
          <w:szCs w:val="24"/>
        </w:rPr>
        <w:t>Environment</w:t>
      </w:r>
      <w:r>
        <w:rPr>
          <w:color w:val="000000"/>
          <w:sz w:val="24"/>
          <w:szCs w:val="24"/>
        </w:rPr>
        <w:t xml:space="preserve">, </w:t>
      </w:r>
      <w:r>
        <w:rPr>
          <w:i/>
          <w:iCs/>
          <w:color w:val="000000"/>
          <w:sz w:val="24"/>
          <w:szCs w:val="24"/>
        </w:rPr>
        <w:t>22</w:t>
      </w:r>
      <w:r>
        <w:rPr>
          <w:color w:val="000000"/>
          <w:sz w:val="24"/>
          <w:szCs w:val="24"/>
        </w:rPr>
        <w:t xml:space="preserve">(4), pp.367-375. </w:t>
      </w:r>
    </w:p>
    <w:p w:rsidR="002A2F2B" w:rsidRDefault="00E43518">
      <w:pPr>
        <w:pStyle w:val="normal0"/>
        <w:pBdr>
          <w:top w:val="nil"/>
          <w:left w:val="nil"/>
          <w:bottom w:val="nil"/>
          <w:right w:val="nil"/>
          <w:between w:val="nil"/>
        </w:pBdr>
        <w:spacing w:before="120" w:line="360" w:lineRule="auto"/>
        <w:jc w:val="both"/>
        <w:rPr>
          <w:color w:val="000000"/>
          <w:sz w:val="24"/>
          <w:szCs w:val="24"/>
        </w:rPr>
      </w:pPr>
      <w:r>
        <w:rPr>
          <w:color w:val="000000"/>
          <w:sz w:val="24"/>
          <w:szCs w:val="24"/>
        </w:rPr>
        <w:t xml:space="preserve">Zhang, J., Guo, H., Yang, G., Wang, Y. and Chen, W., (2025). Sustainable transition pathways for steel manufacturing: Low-carbon steelmaking technologies in enterprises. </w:t>
      </w:r>
      <w:r>
        <w:rPr>
          <w:i/>
          <w:iCs/>
          <w:color w:val="000000"/>
          <w:sz w:val="24"/>
          <w:szCs w:val="24"/>
        </w:rPr>
        <w:t>Sustainability</w:t>
      </w:r>
      <w:r>
        <w:rPr>
          <w:color w:val="000000"/>
          <w:sz w:val="24"/>
          <w:szCs w:val="24"/>
        </w:rPr>
        <w:t xml:space="preserve">, </w:t>
      </w:r>
      <w:r>
        <w:rPr>
          <w:i/>
          <w:iCs/>
          <w:color w:val="000000"/>
          <w:sz w:val="24"/>
          <w:szCs w:val="24"/>
        </w:rPr>
        <w:t>17</w:t>
      </w:r>
      <w:r>
        <w:rPr>
          <w:color w:val="000000"/>
          <w:sz w:val="24"/>
          <w:szCs w:val="24"/>
        </w:rPr>
        <w:t xml:space="preserve">(12), p.5329. </w:t>
      </w:r>
    </w:p>
    <w:p w:rsidR="002A2F2B" w:rsidRDefault="00E43518">
      <w:pPr>
        <w:pStyle w:val="normal0"/>
        <w:rPr>
          <w:b/>
          <w:bCs/>
          <w:sz w:val="26"/>
          <w:szCs w:val="26"/>
        </w:rPr>
      </w:pPr>
      <w:bookmarkStart w:id="13" w:name="_heading=h.tol9d5511bvt" w:colFirst="0" w:colLast="0"/>
      <w:bookmarkEnd w:id="13"/>
      <w:r>
        <w:br w:type="page"/>
      </w:r>
    </w:p>
    <w:p w:rsidR="002A2F2B" w:rsidRDefault="00E43518">
      <w:pPr>
        <w:pStyle w:val="Heading1"/>
        <w:rPr>
          <w:rFonts w:ascii="Arial" w:eastAsia="Arial" w:hAnsi="Arial" w:cs="Arial"/>
        </w:rPr>
      </w:pPr>
      <w:bookmarkStart w:id="14" w:name="_Toc243485086"/>
      <w:r>
        <w:rPr>
          <w:rFonts w:ascii="Arial" w:eastAsia="Arial" w:hAnsi="Arial" w:cs="Arial"/>
        </w:rPr>
        <w:lastRenderedPageBreak/>
        <w:t>Appendix 1: PESTLE analysis</w:t>
      </w:r>
      <w:bookmarkEnd w:id="14"/>
    </w:p>
    <w:tbl>
      <w:tblPr>
        <w:tblStyle w:val="a0"/>
        <w:tblW w:w="9220" w:type="dxa"/>
        <w:tblBorders>
          <w:top w:val="nil"/>
          <w:left w:val="nil"/>
          <w:bottom w:val="nil"/>
          <w:right w:val="nil"/>
          <w:insideH w:val="nil"/>
          <w:insideV w:val="nil"/>
        </w:tblBorders>
        <w:tblLayout w:type="fixed"/>
        <w:tblLook w:val="0600"/>
      </w:tblPr>
      <w:tblGrid>
        <w:gridCol w:w="1775"/>
        <w:gridCol w:w="7445"/>
      </w:tblGrid>
      <w:tr w:rsidR="002A2F2B">
        <w:trPr>
          <w:cantSplit/>
          <w:trHeight w:val="500"/>
          <w:tblHeader/>
        </w:trPr>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2F2B" w:rsidRDefault="00E43518">
            <w:pPr>
              <w:pStyle w:val="normal0"/>
              <w:pBdr>
                <w:top w:val="nil"/>
                <w:left w:val="nil"/>
                <w:bottom w:val="nil"/>
                <w:right w:val="nil"/>
                <w:between w:val="nil"/>
              </w:pBdr>
              <w:spacing w:line="360" w:lineRule="auto"/>
              <w:jc w:val="center"/>
              <w:rPr>
                <w:color w:val="000000"/>
                <w:sz w:val="24"/>
                <w:szCs w:val="24"/>
              </w:rPr>
            </w:pPr>
            <w:r>
              <w:rPr>
                <w:b/>
                <w:bCs/>
                <w:color w:val="000000"/>
                <w:sz w:val="24"/>
                <w:szCs w:val="24"/>
              </w:rPr>
              <w:t>Factor</w:t>
            </w:r>
          </w:p>
        </w:tc>
        <w:tc>
          <w:tcPr>
            <w:tcW w:w="7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2F2B" w:rsidRDefault="00E43518">
            <w:pPr>
              <w:pStyle w:val="normal0"/>
              <w:pBdr>
                <w:top w:val="nil"/>
                <w:left w:val="nil"/>
                <w:bottom w:val="nil"/>
                <w:right w:val="nil"/>
                <w:between w:val="nil"/>
              </w:pBdr>
              <w:spacing w:line="360" w:lineRule="auto"/>
              <w:jc w:val="center"/>
              <w:rPr>
                <w:color w:val="000000"/>
                <w:sz w:val="24"/>
                <w:szCs w:val="24"/>
              </w:rPr>
            </w:pPr>
            <w:r>
              <w:rPr>
                <w:b/>
                <w:bCs/>
                <w:color w:val="000000"/>
                <w:sz w:val="24"/>
                <w:szCs w:val="24"/>
              </w:rPr>
              <w:t>Key external influence on Tata Steel</w:t>
            </w:r>
          </w:p>
        </w:tc>
      </w:tr>
      <w:tr w:rsidR="002A2F2B">
        <w:trPr>
          <w:cantSplit/>
          <w:trHeight w:val="1310"/>
          <w:tblHeader/>
        </w:trPr>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2F2B" w:rsidRDefault="00E43518">
            <w:pPr>
              <w:pStyle w:val="normal0"/>
              <w:pBdr>
                <w:top w:val="nil"/>
                <w:left w:val="nil"/>
                <w:bottom w:val="nil"/>
                <w:right w:val="nil"/>
                <w:between w:val="nil"/>
              </w:pBdr>
              <w:spacing w:line="360" w:lineRule="auto"/>
              <w:jc w:val="both"/>
              <w:rPr>
                <w:color w:val="000000"/>
                <w:sz w:val="24"/>
                <w:szCs w:val="24"/>
              </w:rPr>
            </w:pPr>
            <w:r>
              <w:rPr>
                <w:b/>
                <w:bCs/>
                <w:color w:val="000000"/>
                <w:sz w:val="24"/>
                <w:szCs w:val="24"/>
              </w:rPr>
              <w:t>Political</w:t>
            </w:r>
          </w:p>
        </w:tc>
        <w:tc>
          <w:tcPr>
            <w:tcW w:w="7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2F2B" w:rsidRDefault="00E43518">
            <w:pPr>
              <w:pStyle w:val="normal0"/>
              <w:numPr>
                <w:ilvl w:val="0"/>
                <w:numId w:val="6"/>
              </w:numPr>
              <w:pBdr>
                <w:top w:val="nil"/>
                <w:left w:val="nil"/>
                <w:bottom w:val="nil"/>
                <w:right w:val="nil"/>
                <w:between w:val="nil"/>
              </w:pBdr>
              <w:spacing w:line="360" w:lineRule="auto"/>
              <w:jc w:val="both"/>
              <w:rPr>
                <w:color w:val="000000"/>
                <w:sz w:val="24"/>
                <w:szCs w:val="24"/>
              </w:rPr>
            </w:pPr>
            <w:r>
              <w:rPr>
                <w:color w:val="000000"/>
                <w:sz w:val="24"/>
                <w:szCs w:val="24"/>
              </w:rPr>
              <w:t xml:space="preserve">Government decarbonisation policies, industrial strategies, and financial support can accelerate investment in cleaner steelmaking (Li </w:t>
            </w:r>
            <w:r>
              <w:rPr>
                <w:i/>
                <w:iCs/>
                <w:color w:val="000000"/>
                <w:sz w:val="24"/>
                <w:szCs w:val="24"/>
              </w:rPr>
              <w:t xml:space="preserve">et al. </w:t>
            </w:r>
            <w:r>
              <w:rPr>
                <w:color w:val="000000"/>
                <w:sz w:val="24"/>
                <w:szCs w:val="24"/>
              </w:rPr>
              <w:t>2025)</w:t>
            </w:r>
          </w:p>
          <w:p w:rsidR="002A2F2B" w:rsidRDefault="00E43518">
            <w:pPr>
              <w:pStyle w:val="normal0"/>
              <w:numPr>
                <w:ilvl w:val="0"/>
                <w:numId w:val="6"/>
              </w:numPr>
              <w:pBdr>
                <w:top w:val="nil"/>
                <w:left w:val="nil"/>
                <w:bottom w:val="nil"/>
                <w:right w:val="nil"/>
                <w:between w:val="nil"/>
              </w:pBdr>
              <w:spacing w:line="360" w:lineRule="auto"/>
              <w:jc w:val="both"/>
              <w:rPr>
                <w:color w:val="000000"/>
                <w:sz w:val="24"/>
                <w:szCs w:val="24"/>
              </w:rPr>
            </w:pPr>
            <w:r>
              <w:rPr>
                <w:color w:val="000000"/>
                <w:sz w:val="24"/>
                <w:szCs w:val="24"/>
              </w:rPr>
              <w:t>The UK government committed £500 million towards Tata Steel’s £1.25 billion Port Talbot EAF project (GOV, 2026)</w:t>
            </w:r>
          </w:p>
        </w:tc>
      </w:tr>
      <w:tr w:rsidR="002A2F2B">
        <w:trPr>
          <w:cantSplit/>
          <w:trHeight w:val="770"/>
          <w:tblHeader/>
        </w:trPr>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2F2B" w:rsidRDefault="00E43518">
            <w:pPr>
              <w:pStyle w:val="normal0"/>
              <w:pBdr>
                <w:top w:val="nil"/>
                <w:left w:val="nil"/>
                <w:bottom w:val="nil"/>
                <w:right w:val="nil"/>
                <w:between w:val="nil"/>
              </w:pBdr>
              <w:spacing w:line="360" w:lineRule="auto"/>
              <w:jc w:val="both"/>
              <w:rPr>
                <w:color w:val="000000"/>
                <w:sz w:val="24"/>
                <w:szCs w:val="24"/>
              </w:rPr>
            </w:pPr>
            <w:r>
              <w:rPr>
                <w:b/>
                <w:bCs/>
                <w:color w:val="000000"/>
                <w:sz w:val="24"/>
                <w:szCs w:val="24"/>
              </w:rPr>
              <w:t>Economic</w:t>
            </w:r>
          </w:p>
        </w:tc>
        <w:tc>
          <w:tcPr>
            <w:tcW w:w="7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2F2B" w:rsidRDefault="00E43518">
            <w:pPr>
              <w:pStyle w:val="normal0"/>
              <w:numPr>
                <w:ilvl w:val="0"/>
                <w:numId w:val="4"/>
              </w:numPr>
              <w:pBdr>
                <w:top w:val="nil"/>
                <w:left w:val="nil"/>
                <w:bottom w:val="nil"/>
                <w:right w:val="nil"/>
                <w:between w:val="nil"/>
              </w:pBdr>
              <w:spacing w:line="360" w:lineRule="auto"/>
              <w:jc w:val="both"/>
              <w:rPr>
                <w:color w:val="000000"/>
                <w:sz w:val="24"/>
                <w:szCs w:val="24"/>
              </w:rPr>
            </w:pPr>
            <w:r>
              <w:rPr>
                <w:color w:val="000000"/>
                <w:sz w:val="24"/>
                <w:szCs w:val="24"/>
              </w:rPr>
              <w:t xml:space="preserve">High capital requirements </w:t>
            </w:r>
          </w:p>
          <w:p w:rsidR="002A2F2B" w:rsidRDefault="00E43518">
            <w:pPr>
              <w:pStyle w:val="normal0"/>
              <w:numPr>
                <w:ilvl w:val="0"/>
                <w:numId w:val="4"/>
              </w:numPr>
              <w:pBdr>
                <w:top w:val="nil"/>
                <w:left w:val="nil"/>
                <w:bottom w:val="nil"/>
                <w:right w:val="nil"/>
                <w:between w:val="nil"/>
              </w:pBdr>
              <w:spacing w:line="360" w:lineRule="auto"/>
              <w:jc w:val="both"/>
              <w:rPr>
                <w:color w:val="000000"/>
                <w:sz w:val="24"/>
                <w:szCs w:val="24"/>
              </w:rPr>
            </w:pPr>
            <w:r>
              <w:rPr>
                <w:color w:val="000000"/>
                <w:sz w:val="24"/>
                <w:szCs w:val="24"/>
              </w:rPr>
              <w:t xml:space="preserve">Energy prices, steel demand and uncertain green premiums influence the commercial feasibility of low-carbon steel (Li </w:t>
            </w:r>
            <w:r>
              <w:rPr>
                <w:i/>
                <w:iCs/>
                <w:color w:val="000000"/>
                <w:sz w:val="24"/>
                <w:szCs w:val="24"/>
              </w:rPr>
              <w:t xml:space="preserve">et al. </w:t>
            </w:r>
            <w:r>
              <w:rPr>
                <w:color w:val="000000"/>
                <w:sz w:val="24"/>
                <w:szCs w:val="24"/>
              </w:rPr>
              <w:t>2025)</w:t>
            </w:r>
          </w:p>
        </w:tc>
      </w:tr>
      <w:tr w:rsidR="002A2F2B">
        <w:trPr>
          <w:cantSplit/>
          <w:trHeight w:val="1040"/>
          <w:tblHeader/>
        </w:trPr>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2F2B" w:rsidRDefault="00E43518">
            <w:pPr>
              <w:pStyle w:val="normal0"/>
              <w:pBdr>
                <w:top w:val="nil"/>
                <w:left w:val="nil"/>
                <w:bottom w:val="nil"/>
                <w:right w:val="nil"/>
                <w:between w:val="nil"/>
              </w:pBdr>
              <w:spacing w:line="360" w:lineRule="auto"/>
              <w:jc w:val="both"/>
              <w:rPr>
                <w:color w:val="000000"/>
                <w:sz w:val="24"/>
                <w:szCs w:val="24"/>
              </w:rPr>
            </w:pPr>
            <w:r>
              <w:rPr>
                <w:b/>
                <w:bCs/>
                <w:color w:val="000000"/>
                <w:sz w:val="24"/>
                <w:szCs w:val="24"/>
              </w:rPr>
              <w:t>Social</w:t>
            </w:r>
          </w:p>
        </w:tc>
        <w:tc>
          <w:tcPr>
            <w:tcW w:w="7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2F2B" w:rsidRDefault="00E43518">
            <w:pPr>
              <w:pStyle w:val="normal0"/>
              <w:numPr>
                <w:ilvl w:val="0"/>
                <w:numId w:val="1"/>
              </w:numPr>
              <w:pBdr>
                <w:top w:val="nil"/>
                <w:left w:val="nil"/>
                <w:bottom w:val="nil"/>
                <w:right w:val="nil"/>
                <w:between w:val="nil"/>
              </w:pBdr>
              <w:spacing w:line="360" w:lineRule="auto"/>
              <w:jc w:val="both"/>
              <w:rPr>
                <w:color w:val="000000"/>
                <w:sz w:val="24"/>
                <w:szCs w:val="24"/>
              </w:rPr>
            </w:pPr>
            <w:r>
              <w:rPr>
                <w:color w:val="000000"/>
                <w:sz w:val="24"/>
                <w:szCs w:val="24"/>
              </w:rPr>
              <w:t xml:space="preserve">Customers, investors and communities increasingly expect businesses to demonstrate environmental responsibility (Souza </w:t>
            </w:r>
            <w:r>
              <w:rPr>
                <w:i/>
                <w:iCs/>
                <w:color w:val="000000"/>
                <w:sz w:val="24"/>
                <w:szCs w:val="24"/>
              </w:rPr>
              <w:t xml:space="preserve">et al. </w:t>
            </w:r>
            <w:r>
              <w:rPr>
                <w:color w:val="000000"/>
                <w:sz w:val="24"/>
                <w:szCs w:val="24"/>
              </w:rPr>
              <w:t xml:space="preserve">2025; Zhang </w:t>
            </w:r>
            <w:r>
              <w:rPr>
                <w:i/>
                <w:iCs/>
                <w:color w:val="000000"/>
                <w:sz w:val="24"/>
                <w:szCs w:val="24"/>
              </w:rPr>
              <w:t>et al.</w:t>
            </w:r>
            <w:r>
              <w:rPr>
                <w:color w:val="000000"/>
                <w:sz w:val="24"/>
                <w:szCs w:val="24"/>
              </w:rPr>
              <w:t xml:space="preserve"> 2025)</w:t>
            </w:r>
          </w:p>
          <w:p w:rsidR="002A2F2B" w:rsidRDefault="00E43518">
            <w:pPr>
              <w:pStyle w:val="normal0"/>
              <w:numPr>
                <w:ilvl w:val="0"/>
                <w:numId w:val="1"/>
              </w:numPr>
              <w:pBdr>
                <w:top w:val="nil"/>
                <w:left w:val="nil"/>
                <w:bottom w:val="nil"/>
                <w:right w:val="nil"/>
                <w:between w:val="nil"/>
              </w:pBdr>
              <w:spacing w:line="360" w:lineRule="auto"/>
              <w:jc w:val="both"/>
              <w:rPr>
                <w:color w:val="000000"/>
                <w:sz w:val="24"/>
                <w:szCs w:val="24"/>
              </w:rPr>
            </w:pPr>
            <w:r>
              <w:rPr>
                <w:color w:val="000000"/>
                <w:sz w:val="24"/>
                <w:szCs w:val="24"/>
              </w:rPr>
              <w:t xml:space="preserve">Demand for lower-carbon products and transparent sustainability claims </w:t>
            </w:r>
          </w:p>
        </w:tc>
      </w:tr>
      <w:tr w:rsidR="002A2F2B">
        <w:trPr>
          <w:cantSplit/>
          <w:trHeight w:val="1310"/>
          <w:tblHeader/>
        </w:trPr>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2F2B" w:rsidRDefault="00E43518">
            <w:pPr>
              <w:pStyle w:val="normal0"/>
              <w:pBdr>
                <w:top w:val="nil"/>
                <w:left w:val="nil"/>
                <w:bottom w:val="nil"/>
                <w:right w:val="nil"/>
                <w:between w:val="nil"/>
              </w:pBdr>
              <w:spacing w:line="360" w:lineRule="auto"/>
              <w:jc w:val="both"/>
              <w:rPr>
                <w:color w:val="000000"/>
                <w:sz w:val="24"/>
                <w:szCs w:val="24"/>
              </w:rPr>
            </w:pPr>
            <w:r>
              <w:rPr>
                <w:b/>
                <w:bCs/>
                <w:color w:val="000000"/>
                <w:sz w:val="24"/>
                <w:szCs w:val="24"/>
              </w:rPr>
              <w:t>Technological</w:t>
            </w:r>
          </w:p>
        </w:tc>
        <w:tc>
          <w:tcPr>
            <w:tcW w:w="7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2F2B" w:rsidRDefault="00E43518">
            <w:pPr>
              <w:pStyle w:val="normal0"/>
              <w:numPr>
                <w:ilvl w:val="0"/>
                <w:numId w:val="5"/>
              </w:numPr>
              <w:pBdr>
                <w:top w:val="nil"/>
                <w:left w:val="nil"/>
                <w:bottom w:val="nil"/>
                <w:right w:val="nil"/>
                <w:between w:val="nil"/>
              </w:pBdr>
              <w:spacing w:line="360" w:lineRule="auto"/>
              <w:jc w:val="both"/>
              <w:rPr>
                <w:color w:val="000000"/>
                <w:sz w:val="24"/>
                <w:szCs w:val="24"/>
              </w:rPr>
            </w:pPr>
            <w:r>
              <w:rPr>
                <w:color w:val="000000"/>
                <w:sz w:val="24"/>
                <w:szCs w:val="24"/>
              </w:rPr>
              <w:t xml:space="preserve">Electric arc furnaces, hydrogen-based reduction, renewable energy, scrap recycling, and process innovation provide pathways for reducing emissions (Li </w:t>
            </w:r>
            <w:r>
              <w:rPr>
                <w:i/>
                <w:iCs/>
                <w:color w:val="000000"/>
                <w:sz w:val="24"/>
                <w:szCs w:val="24"/>
              </w:rPr>
              <w:t xml:space="preserve">et al. </w:t>
            </w:r>
            <w:r>
              <w:rPr>
                <w:color w:val="000000"/>
                <w:sz w:val="24"/>
                <w:szCs w:val="24"/>
              </w:rPr>
              <w:t>2025)</w:t>
            </w:r>
          </w:p>
          <w:p w:rsidR="002A2F2B" w:rsidRDefault="00E43518">
            <w:pPr>
              <w:pStyle w:val="normal0"/>
              <w:numPr>
                <w:ilvl w:val="0"/>
                <w:numId w:val="5"/>
              </w:numPr>
              <w:pBdr>
                <w:top w:val="nil"/>
                <w:left w:val="nil"/>
                <w:bottom w:val="nil"/>
                <w:right w:val="nil"/>
                <w:between w:val="nil"/>
              </w:pBdr>
              <w:spacing w:line="360" w:lineRule="auto"/>
              <w:jc w:val="both"/>
              <w:rPr>
                <w:color w:val="000000"/>
                <w:sz w:val="24"/>
                <w:szCs w:val="24"/>
              </w:rPr>
            </w:pPr>
            <w:r>
              <w:rPr>
                <w:color w:val="000000"/>
                <w:sz w:val="24"/>
                <w:szCs w:val="24"/>
              </w:rPr>
              <w:t>Technology readiness and infrastructure remain constraints (Teixeira, 2025)</w:t>
            </w:r>
          </w:p>
        </w:tc>
      </w:tr>
      <w:tr w:rsidR="002A2F2B">
        <w:trPr>
          <w:cantSplit/>
          <w:trHeight w:val="1040"/>
          <w:tblHeader/>
        </w:trPr>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2F2B" w:rsidRDefault="00E43518">
            <w:pPr>
              <w:pStyle w:val="normal0"/>
              <w:pBdr>
                <w:top w:val="nil"/>
                <w:left w:val="nil"/>
                <w:bottom w:val="nil"/>
                <w:right w:val="nil"/>
                <w:between w:val="nil"/>
              </w:pBdr>
              <w:spacing w:line="360" w:lineRule="auto"/>
              <w:jc w:val="both"/>
              <w:rPr>
                <w:color w:val="000000"/>
                <w:sz w:val="24"/>
                <w:szCs w:val="24"/>
              </w:rPr>
            </w:pPr>
            <w:r>
              <w:rPr>
                <w:b/>
                <w:bCs/>
                <w:color w:val="000000"/>
                <w:sz w:val="24"/>
                <w:szCs w:val="24"/>
              </w:rPr>
              <w:t>Legal</w:t>
            </w:r>
          </w:p>
        </w:tc>
        <w:tc>
          <w:tcPr>
            <w:tcW w:w="7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2F2B" w:rsidRDefault="00E43518">
            <w:pPr>
              <w:pStyle w:val="normal0"/>
              <w:numPr>
                <w:ilvl w:val="0"/>
                <w:numId w:val="2"/>
              </w:numPr>
              <w:pBdr>
                <w:top w:val="nil"/>
                <w:left w:val="nil"/>
                <w:bottom w:val="nil"/>
                <w:right w:val="nil"/>
                <w:between w:val="nil"/>
              </w:pBdr>
              <w:spacing w:line="360" w:lineRule="auto"/>
              <w:jc w:val="both"/>
              <w:rPr>
                <w:color w:val="000000"/>
                <w:sz w:val="24"/>
                <w:szCs w:val="24"/>
              </w:rPr>
            </w:pPr>
            <w:r>
              <w:rPr>
                <w:color w:val="000000"/>
                <w:sz w:val="24"/>
                <w:szCs w:val="24"/>
              </w:rPr>
              <w:t xml:space="preserve">Carbon regulations and trade mechanisms (Yu </w:t>
            </w:r>
            <w:r>
              <w:rPr>
                <w:i/>
                <w:iCs/>
                <w:color w:val="000000"/>
                <w:sz w:val="24"/>
                <w:szCs w:val="24"/>
              </w:rPr>
              <w:t xml:space="preserve">et al. </w:t>
            </w:r>
            <w:r>
              <w:rPr>
                <w:color w:val="000000"/>
                <w:sz w:val="24"/>
                <w:szCs w:val="24"/>
              </w:rPr>
              <w:t>2024)</w:t>
            </w:r>
          </w:p>
          <w:p w:rsidR="002A2F2B" w:rsidRDefault="00E43518">
            <w:pPr>
              <w:pStyle w:val="normal0"/>
              <w:numPr>
                <w:ilvl w:val="0"/>
                <w:numId w:val="2"/>
              </w:numPr>
              <w:pBdr>
                <w:top w:val="nil"/>
                <w:left w:val="nil"/>
                <w:bottom w:val="nil"/>
                <w:right w:val="nil"/>
                <w:between w:val="nil"/>
              </w:pBdr>
              <w:spacing w:line="360" w:lineRule="auto"/>
              <w:jc w:val="both"/>
              <w:rPr>
                <w:color w:val="000000"/>
                <w:sz w:val="24"/>
                <w:szCs w:val="24"/>
              </w:rPr>
            </w:pPr>
            <w:r>
              <w:rPr>
                <w:color w:val="000000"/>
                <w:sz w:val="24"/>
                <w:szCs w:val="24"/>
              </w:rPr>
              <w:t>The EU Carbon Border Adjustment Mechanism (CBAM) increasingly connects carbon performance with international market access and competitiveness (European Commission, 2026)</w:t>
            </w:r>
          </w:p>
        </w:tc>
      </w:tr>
      <w:tr w:rsidR="002A2F2B">
        <w:trPr>
          <w:cantSplit/>
          <w:trHeight w:val="1040"/>
          <w:tblHeader/>
        </w:trPr>
        <w:tc>
          <w:tcPr>
            <w:tcW w:w="17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2F2B" w:rsidRDefault="00E43518">
            <w:pPr>
              <w:pStyle w:val="normal0"/>
              <w:pBdr>
                <w:top w:val="nil"/>
                <w:left w:val="nil"/>
                <w:bottom w:val="nil"/>
                <w:right w:val="nil"/>
                <w:between w:val="nil"/>
              </w:pBdr>
              <w:spacing w:line="360" w:lineRule="auto"/>
              <w:jc w:val="both"/>
              <w:rPr>
                <w:color w:val="000000"/>
                <w:sz w:val="24"/>
                <w:szCs w:val="24"/>
              </w:rPr>
            </w:pPr>
            <w:r>
              <w:rPr>
                <w:b/>
                <w:bCs/>
                <w:color w:val="000000"/>
                <w:sz w:val="24"/>
                <w:szCs w:val="24"/>
              </w:rPr>
              <w:lastRenderedPageBreak/>
              <w:t>Environmental</w:t>
            </w:r>
          </w:p>
        </w:tc>
        <w:tc>
          <w:tcPr>
            <w:tcW w:w="74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A2F2B" w:rsidRDefault="00E43518">
            <w:pPr>
              <w:pStyle w:val="normal0"/>
              <w:numPr>
                <w:ilvl w:val="0"/>
                <w:numId w:val="3"/>
              </w:numPr>
              <w:pBdr>
                <w:top w:val="nil"/>
                <w:left w:val="nil"/>
                <w:bottom w:val="nil"/>
                <w:right w:val="nil"/>
                <w:between w:val="nil"/>
              </w:pBdr>
              <w:spacing w:line="360" w:lineRule="auto"/>
              <w:jc w:val="both"/>
              <w:rPr>
                <w:color w:val="000000"/>
                <w:sz w:val="24"/>
                <w:szCs w:val="24"/>
              </w:rPr>
            </w:pPr>
            <w:r>
              <w:rPr>
                <w:color w:val="000000"/>
                <w:sz w:val="24"/>
                <w:szCs w:val="24"/>
              </w:rPr>
              <w:t xml:space="preserve">Climate change, emissions reduction and resource efficiency (Zhang </w:t>
            </w:r>
            <w:r>
              <w:rPr>
                <w:i/>
                <w:iCs/>
                <w:color w:val="000000"/>
                <w:sz w:val="24"/>
                <w:szCs w:val="24"/>
              </w:rPr>
              <w:t>et al.</w:t>
            </w:r>
            <w:r>
              <w:rPr>
                <w:color w:val="000000"/>
                <w:sz w:val="24"/>
                <w:szCs w:val="24"/>
              </w:rPr>
              <w:t xml:space="preserve"> 2025)</w:t>
            </w:r>
          </w:p>
          <w:p w:rsidR="002A2F2B" w:rsidRDefault="00E43518">
            <w:pPr>
              <w:pStyle w:val="normal0"/>
              <w:numPr>
                <w:ilvl w:val="0"/>
                <w:numId w:val="3"/>
              </w:numPr>
              <w:pBdr>
                <w:top w:val="nil"/>
                <w:left w:val="nil"/>
                <w:bottom w:val="nil"/>
                <w:right w:val="nil"/>
                <w:between w:val="nil"/>
              </w:pBdr>
              <w:spacing w:line="360" w:lineRule="auto"/>
              <w:jc w:val="both"/>
              <w:rPr>
                <w:color w:val="000000"/>
                <w:sz w:val="24"/>
                <w:szCs w:val="24"/>
              </w:rPr>
            </w:pPr>
            <w:r>
              <w:rPr>
                <w:color w:val="000000"/>
                <w:sz w:val="24"/>
                <w:szCs w:val="24"/>
              </w:rPr>
              <w:t xml:space="preserve">Strong pressure on steel producers to reduce the carbon intensity of production and develop lower-carbon products </w:t>
            </w:r>
          </w:p>
        </w:tc>
      </w:tr>
    </w:tbl>
    <w:p w:rsidR="002A2F2B" w:rsidRDefault="002A2F2B">
      <w:pPr>
        <w:pStyle w:val="Heading3"/>
        <w:keepNext w:val="0"/>
        <w:keepLines w:val="0"/>
        <w:spacing w:before="280" w:line="360" w:lineRule="auto"/>
        <w:jc w:val="both"/>
        <w:rPr>
          <w:sz w:val="24"/>
          <w:szCs w:val="24"/>
        </w:rPr>
      </w:pPr>
      <w:bookmarkStart w:id="15" w:name="_heading=h.ydl2a1op09i7" w:colFirst="0" w:colLast="0"/>
      <w:bookmarkEnd w:id="15"/>
    </w:p>
    <w:p w:rsidR="002A2F2B" w:rsidRDefault="002A2F2B">
      <w:pPr>
        <w:pStyle w:val="normal0"/>
        <w:pBdr>
          <w:top w:val="nil"/>
          <w:left w:val="nil"/>
          <w:bottom w:val="nil"/>
          <w:right w:val="nil"/>
          <w:between w:val="nil"/>
        </w:pBdr>
        <w:spacing w:line="360" w:lineRule="auto"/>
        <w:jc w:val="both"/>
        <w:rPr>
          <w:color w:val="000000"/>
          <w:sz w:val="24"/>
          <w:szCs w:val="24"/>
        </w:rPr>
      </w:pPr>
    </w:p>
    <w:sectPr w:rsidR="002A2F2B" w:rsidSect="002A2F2B">
      <w:footerReference w:type="default" r:id="rId20"/>
      <w:pgSz w:w="12240" w:h="15840"/>
      <w:pgMar w:top="1440" w:right="1440" w:bottom="1440" w:left="1440" w:header="720" w:footer="720" w:gutter="0"/>
      <w:pgNumType w:start="1"/>
      <w:cols w:space="720"/>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43518" w:rsidRDefault="00E43518" w:rsidP="002A2F2B">
      <w:pPr>
        <w:spacing w:line="240" w:lineRule="auto"/>
      </w:pPr>
      <w:r>
        <w:separator/>
      </w:r>
    </w:p>
  </w:endnote>
  <w:endnote w:type="continuationSeparator" w:id="1">
    <w:p w:rsidR="00E43518" w:rsidRDefault="00E43518" w:rsidP="002A2F2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embedRegular r:id="rId1" w:fontKey="{6F222065-9216-494A-AF2B-CFB88F2E1D2F}"/>
    <w:embedBold r:id="rId2" w:fontKey="{5BE4D2DA-30FB-481D-BDF9-102B102E6E90}"/>
  </w:font>
  <w:font w:name="Cambria">
    <w:panose1 w:val="02040503050406030204"/>
    <w:charset w:val="00"/>
    <w:family w:val="roman"/>
    <w:pitch w:val="variable"/>
    <w:sig w:usb0="E00006FF" w:usb1="420024FF" w:usb2="02000000" w:usb3="00000000" w:csb0="0000019F" w:csb1="00000000"/>
    <w:embedRegular r:id="rId3" w:fontKey="{630EF64F-CB00-44E9-998C-2BD610CA9F6C}"/>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A2F2B" w:rsidRDefault="002A2F2B">
    <w:pPr>
      <w:pStyle w:val="normal0"/>
      <w:pBdr>
        <w:top w:val="nil"/>
        <w:left w:val="nil"/>
        <w:bottom w:val="nil"/>
        <w:right w:val="nil"/>
        <w:between w:val="nil"/>
      </w:pBdr>
      <w:tabs>
        <w:tab w:val="center" w:pos="4680"/>
        <w:tab w:val="right" w:pos="9360"/>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sidR="00E43518">
      <w:rPr>
        <w:rFonts w:ascii="Times New Roman" w:eastAsia="Times New Roman" w:hAnsi="Times New Roman" w:cs="Times New Roman"/>
        <w:color w:val="000000"/>
        <w:sz w:val="20"/>
        <w:szCs w:val="20"/>
      </w:rPr>
      <w:instrText>PAGE</w:instrText>
    </w:r>
    <w:r w:rsidR="00A4482D">
      <w:rPr>
        <w:rFonts w:ascii="Times New Roman" w:eastAsia="Times New Roman" w:hAnsi="Times New Roman" w:cs="Times New Roman"/>
        <w:color w:val="000000"/>
        <w:sz w:val="20"/>
        <w:szCs w:val="20"/>
      </w:rPr>
      <w:fldChar w:fldCharType="separate"/>
    </w:r>
    <w:r w:rsidR="007E7C8D">
      <w:rPr>
        <w:rFonts w:ascii="Times New Roman" w:eastAsia="Times New Roman" w:hAnsi="Times New Roman" w:cs="Times New Roman"/>
        <w:noProof/>
        <w:color w:val="000000"/>
        <w:sz w:val="20"/>
        <w:szCs w:val="20"/>
      </w:rPr>
      <w:t>2</w:t>
    </w:r>
    <w:r>
      <w:rPr>
        <w:rFonts w:ascii="Times New Roman" w:eastAsia="Times New Roman" w:hAnsi="Times New Roman" w:cs="Times New Roman"/>
        <w:color w:val="000000"/>
        <w:sz w:val="20"/>
        <w:szCs w:val="20"/>
      </w:rPr>
      <w:fldChar w:fldCharType="end"/>
    </w:r>
  </w:p>
  <w:p w:rsidR="002A2F2B" w:rsidRDefault="002A2F2B">
    <w:pPr>
      <w:pStyle w:val="normal0"/>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43518" w:rsidRDefault="00E43518" w:rsidP="002A2F2B">
      <w:pPr>
        <w:spacing w:line="240" w:lineRule="auto"/>
      </w:pPr>
      <w:r>
        <w:separator/>
      </w:r>
    </w:p>
  </w:footnote>
  <w:footnote w:type="continuationSeparator" w:id="1">
    <w:p w:rsidR="00E43518" w:rsidRDefault="00E43518" w:rsidP="002A2F2B">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200B7F"/>
    <w:multiLevelType w:val="multilevel"/>
    <w:tmpl w:val="5608F0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BDB2647"/>
    <w:multiLevelType w:val="multilevel"/>
    <w:tmpl w:val="7C566A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D4F6E8F"/>
    <w:multiLevelType w:val="multilevel"/>
    <w:tmpl w:val="899CD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9F4539A"/>
    <w:multiLevelType w:val="multilevel"/>
    <w:tmpl w:val="2144B2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64625700"/>
    <w:multiLevelType w:val="multilevel"/>
    <w:tmpl w:val="A35464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C7F12BB"/>
    <w:multiLevelType w:val="multilevel"/>
    <w:tmpl w:val="7D604C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1"/>
  </w:num>
  <w:num w:numId="3">
    <w:abstractNumId w:val="4"/>
  </w:num>
  <w:num w:numId="4">
    <w:abstractNumId w:val="0"/>
  </w:num>
  <w:num w:numId="5">
    <w:abstractNumId w:val="2"/>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embedTrueTypeFonts/>
  <w:defaultTabStop w:val="720"/>
  <w:characterSpacingControl w:val="doNotCompress"/>
  <w:footnotePr>
    <w:footnote w:id="0"/>
    <w:footnote w:id="1"/>
  </w:footnotePr>
  <w:endnotePr>
    <w:endnote w:id="0"/>
    <w:endnote w:id="1"/>
  </w:endnotePr>
  <w:compat/>
  <w:rsids>
    <w:rsidRoot w:val="002A2F2B"/>
    <w:rsid w:val="002A2F2B"/>
    <w:rsid w:val="007E7C8D"/>
    <w:rsid w:val="00A4482D"/>
    <w:rsid w:val="00BB72CD"/>
    <w:rsid w:val="00E4351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2A2F2B"/>
    <w:pPr>
      <w:keepNext/>
      <w:keepLines/>
      <w:pBdr>
        <w:top w:val="nil"/>
        <w:left w:val="nil"/>
        <w:bottom w:val="nil"/>
        <w:right w:val="nil"/>
        <w:between w:val="nil"/>
      </w:pBdr>
      <w:spacing w:before="240" w:after="240" w:line="360" w:lineRule="auto"/>
      <w:jc w:val="both"/>
      <w:outlineLvl w:val="0"/>
    </w:pPr>
    <w:rPr>
      <w:rFonts w:ascii="Times New Roman" w:eastAsia="Times New Roman" w:hAnsi="Times New Roman" w:cs="Times New Roman"/>
      <w:b/>
      <w:bCs/>
      <w:color w:val="000000"/>
      <w:sz w:val="26"/>
      <w:szCs w:val="26"/>
    </w:rPr>
  </w:style>
  <w:style w:type="paragraph" w:styleId="Heading2">
    <w:name w:val="heading 2"/>
    <w:basedOn w:val="normal0"/>
    <w:next w:val="normal0"/>
    <w:rsid w:val="002A2F2B"/>
    <w:pPr>
      <w:keepNext/>
      <w:keepLines/>
      <w:pBdr>
        <w:top w:val="nil"/>
        <w:left w:val="nil"/>
        <w:bottom w:val="nil"/>
        <w:right w:val="nil"/>
        <w:between w:val="nil"/>
      </w:pBdr>
      <w:spacing w:before="120" w:after="120" w:line="360" w:lineRule="auto"/>
      <w:jc w:val="both"/>
      <w:outlineLvl w:val="1"/>
    </w:pPr>
    <w:rPr>
      <w:rFonts w:ascii="Times New Roman" w:eastAsia="Times New Roman" w:hAnsi="Times New Roman" w:cs="Times New Roman"/>
      <w:b/>
      <w:bCs/>
      <w:color w:val="000000"/>
      <w:sz w:val="24"/>
      <w:szCs w:val="24"/>
    </w:rPr>
  </w:style>
  <w:style w:type="paragraph" w:styleId="Heading3">
    <w:name w:val="heading 3"/>
    <w:basedOn w:val="normal0"/>
    <w:next w:val="normal0"/>
    <w:rsid w:val="002A2F2B"/>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0"/>
    <w:next w:val="normal0"/>
    <w:rsid w:val="002A2F2B"/>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0"/>
    <w:next w:val="normal0"/>
    <w:rsid w:val="002A2F2B"/>
    <w:pPr>
      <w:keepNext/>
      <w:keepLines/>
      <w:pBdr>
        <w:top w:val="nil"/>
        <w:left w:val="nil"/>
        <w:bottom w:val="nil"/>
        <w:right w:val="nil"/>
        <w:between w:val="nil"/>
      </w:pBdr>
      <w:spacing w:before="240" w:after="80"/>
      <w:outlineLvl w:val="4"/>
    </w:pPr>
    <w:rPr>
      <w:color w:val="666666"/>
    </w:rPr>
  </w:style>
  <w:style w:type="paragraph" w:styleId="Heading6">
    <w:name w:val="heading 6"/>
    <w:basedOn w:val="normal0"/>
    <w:next w:val="normal0"/>
    <w:rsid w:val="002A2F2B"/>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A2F2B"/>
    <w:tblPr>
      <w:tblCellMar>
        <w:top w:w="100" w:type="dxa"/>
        <w:left w:w="100" w:type="dxa"/>
        <w:bottom w:w="100" w:type="dxa"/>
        <w:right w:w="100" w:type="dxa"/>
      </w:tblCellMar>
    </w:tblPr>
  </w:style>
  <w:style w:type="paragraph" w:customStyle="1" w:styleId="normal0">
    <w:name w:val="normal"/>
    <w:rsid w:val="002A2F2B"/>
  </w:style>
  <w:style w:type="paragraph" w:styleId="Title">
    <w:name w:val="Title"/>
    <w:basedOn w:val="normal0"/>
    <w:next w:val="normal0"/>
    <w:rsid w:val="002A2F2B"/>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420313"/>
    <w:tblPr>
      <w:tblCellMar>
        <w:top w:w="100" w:type="dxa"/>
        <w:left w:w="100" w:type="dxa"/>
        <w:bottom w:w="100" w:type="dxa"/>
        <w:right w:w="100" w:type="dxa"/>
      </w:tblCellMar>
    </w:tblPr>
  </w:style>
  <w:style w:type="paragraph" w:customStyle="1" w:styleId="Normal1">
    <w:name w:val="Normal1"/>
    <w:rsid w:val="00420313"/>
  </w:style>
  <w:style w:type="table" w:customStyle="1" w:styleId="a">
    <w:basedOn w:val="TableNormal1"/>
    <w:rsid w:val="00420313"/>
    <w:tblPr>
      <w:tblStyleRowBandSize w:val="1"/>
      <w:tblStyleColBandSize w:val="1"/>
      <w:tblCellMar>
        <w:top w:w="100" w:type="dxa"/>
        <w:left w:w="100" w:type="dxa"/>
        <w:bottom w:w="100" w:type="dxa"/>
        <w:right w:w="100" w:type="dxa"/>
      </w:tblCellMar>
    </w:tblPr>
  </w:style>
  <w:style w:type="paragraph" w:styleId="BalloonText">
    <w:name w:val="Balloon Text"/>
    <w:basedOn w:val="normal0"/>
    <w:link w:val="BalloonTextChar"/>
    <w:uiPriority w:val="99"/>
    <w:semiHidden/>
    <w:unhideWhenUsed/>
    <w:rsid w:val="009202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02E4"/>
    <w:rPr>
      <w:rFonts w:ascii="Tahoma" w:hAnsi="Tahoma" w:cs="Tahoma"/>
      <w:sz w:val="16"/>
      <w:szCs w:val="16"/>
    </w:rPr>
  </w:style>
  <w:style w:type="paragraph" w:styleId="Header">
    <w:name w:val="header"/>
    <w:basedOn w:val="normal0"/>
    <w:link w:val="HeaderChar"/>
    <w:uiPriority w:val="99"/>
    <w:semiHidden/>
    <w:unhideWhenUsed/>
    <w:rsid w:val="009202E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202E4"/>
  </w:style>
  <w:style w:type="paragraph" w:styleId="Footer">
    <w:name w:val="footer"/>
    <w:basedOn w:val="normal0"/>
    <w:link w:val="FooterChar"/>
    <w:uiPriority w:val="99"/>
    <w:unhideWhenUsed/>
    <w:rsid w:val="009202E4"/>
    <w:pPr>
      <w:tabs>
        <w:tab w:val="center" w:pos="4680"/>
        <w:tab w:val="right" w:pos="9360"/>
      </w:tabs>
      <w:spacing w:line="240" w:lineRule="auto"/>
    </w:pPr>
  </w:style>
  <w:style w:type="character" w:customStyle="1" w:styleId="FooterChar">
    <w:name w:val="Footer Char"/>
    <w:basedOn w:val="DefaultParagraphFont"/>
    <w:link w:val="Footer"/>
    <w:uiPriority w:val="99"/>
    <w:rsid w:val="009202E4"/>
  </w:style>
  <w:style w:type="paragraph" w:styleId="TOCHeading">
    <w:name w:val="TOC Heading"/>
    <w:basedOn w:val="Heading1"/>
    <w:next w:val="normal0"/>
    <w:uiPriority w:val="39"/>
    <w:unhideWhenUsed/>
    <w:qFormat/>
    <w:rsid w:val="00A345E8"/>
    <w:pPr>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0"/>
    <w:next w:val="normal0"/>
    <w:autoRedefine/>
    <w:uiPriority w:val="39"/>
    <w:unhideWhenUsed/>
    <w:rsid w:val="00A345E8"/>
    <w:pPr>
      <w:spacing w:after="100"/>
    </w:pPr>
  </w:style>
  <w:style w:type="paragraph" w:styleId="TOC2">
    <w:name w:val="toc 2"/>
    <w:basedOn w:val="normal0"/>
    <w:next w:val="normal0"/>
    <w:autoRedefine/>
    <w:uiPriority w:val="39"/>
    <w:unhideWhenUsed/>
    <w:rsid w:val="00A345E8"/>
    <w:pPr>
      <w:spacing w:after="100"/>
      <w:ind w:left="220"/>
    </w:pPr>
  </w:style>
  <w:style w:type="character" w:styleId="Hyperlink">
    <w:name w:val="Hyperlink"/>
    <w:basedOn w:val="DefaultParagraphFont"/>
    <w:uiPriority w:val="99"/>
    <w:unhideWhenUsed/>
    <w:rsid w:val="00A345E8"/>
    <w:rPr>
      <w:color w:val="0000FF" w:themeColor="hyperlink"/>
      <w:u w:val="single"/>
    </w:rPr>
  </w:style>
  <w:style w:type="character" w:styleId="CommentReference">
    <w:name w:val="annotation reference"/>
    <w:basedOn w:val="DefaultParagraphFont"/>
    <w:uiPriority w:val="99"/>
    <w:semiHidden/>
    <w:unhideWhenUsed/>
    <w:rsid w:val="00FE136D"/>
    <w:rPr>
      <w:sz w:val="16"/>
      <w:szCs w:val="16"/>
    </w:rPr>
  </w:style>
  <w:style w:type="paragraph" w:styleId="CommentText">
    <w:name w:val="annotation text"/>
    <w:basedOn w:val="normal0"/>
    <w:link w:val="CommentTextChar"/>
    <w:uiPriority w:val="99"/>
    <w:unhideWhenUsed/>
    <w:rsid w:val="00FE136D"/>
    <w:pPr>
      <w:spacing w:line="240" w:lineRule="auto"/>
    </w:pPr>
    <w:rPr>
      <w:sz w:val="20"/>
      <w:szCs w:val="20"/>
    </w:rPr>
  </w:style>
  <w:style w:type="character" w:customStyle="1" w:styleId="CommentTextChar">
    <w:name w:val="Comment Text Char"/>
    <w:basedOn w:val="DefaultParagraphFont"/>
    <w:link w:val="CommentText"/>
    <w:uiPriority w:val="99"/>
    <w:rsid w:val="00FE136D"/>
    <w:rPr>
      <w:sz w:val="20"/>
      <w:szCs w:val="20"/>
    </w:rPr>
  </w:style>
  <w:style w:type="paragraph" w:styleId="CommentSubject">
    <w:name w:val="annotation subject"/>
    <w:basedOn w:val="CommentText"/>
    <w:next w:val="CommentText"/>
    <w:link w:val="CommentSubjectChar"/>
    <w:uiPriority w:val="99"/>
    <w:semiHidden/>
    <w:unhideWhenUsed/>
    <w:rsid w:val="00FE136D"/>
    <w:rPr>
      <w:b/>
      <w:bCs/>
    </w:rPr>
  </w:style>
  <w:style w:type="character" w:customStyle="1" w:styleId="CommentSubjectChar">
    <w:name w:val="Comment Subject Char"/>
    <w:basedOn w:val="CommentTextChar"/>
    <w:link w:val="CommentSubject"/>
    <w:uiPriority w:val="99"/>
    <w:semiHidden/>
    <w:rsid w:val="00FE136D"/>
    <w:rPr>
      <w:b/>
      <w:bCs/>
      <w:sz w:val="20"/>
      <w:szCs w:val="20"/>
    </w:rPr>
  </w:style>
  <w:style w:type="paragraph" w:styleId="Subtitle">
    <w:name w:val="Subtitle"/>
    <w:basedOn w:val="normal0"/>
    <w:next w:val="normal0"/>
    <w:rsid w:val="002A2F2B"/>
    <w:pPr>
      <w:keepNext/>
      <w:keepLines/>
      <w:pBdr>
        <w:top w:val="nil"/>
        <w:left w:val="nil"/>
        <w:bottom w:val="nil"/>
        <w:right w:val="nil"/>
        <w:between w:val="nil"/>
      </w:pBdr>
      <w:spacing w:after="320"/>
    </w:pPr>
    <w:rPr>
      <w:color w:val="666666"/>
      <w:sz w:val="30"/>
      <w:szCs w:val="30"/>
    </w:rPr>
  </w:style>
  <w:style w:type="table" w:customStyle="1" w:styleId="a0">
    <w:basedOn w:val="TableNormal"/>
    <w:rsid w:val="002A2F2B"/>
    <w:tblPr>
      <w:tblStyleRowBandSize w:val="1"/>
      <w:tblStyleColBandSize w:val="1"/>
      <w:tblInd w:w="0" w:type="dxa"/>
      <w:tblCellMar>
        <w:top w:w="100" w:type="dxa"/>
        <w:left w:w="100" w:type="dxa"/>
        <w:bottom w:w="100" w:type="dxa"/>
        <w:right w:w="100"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axation-customs.ec.europa.eu/carbon-border-adjustment-mechanism/cbam-definitive-regime_en" TargetMode="External"/><Relationship Id="rId18" Type="http://schemas.openxmlformats.org/officeDocument/2006/relationships/hyperlink" Target="https://www.tatasteel.com/investors/integrated-report-2025-26/climate-change-report.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ompaniesmarketcap.com/inr/tata-steel/marketcap/" TargetMode="External"/><Relationship Id="rId17" Type="http://schemas.openxmlformats.org/officeDocument/2006/relationships/hyperlink" Target="https://www.tatasteel.com/investors/integrated-report-2025-26/pdf/tatasteel-iar-2025-26.pdf" TargetMode="External"/><Relationship Id="rId2" Type="http://schemas.openxmlformats.org/officeDocument/2006/relationships/numbering" Target="numbering.xml"/><Relationship Id="rId16" Type="http://schemas.openxmlformats.org/officeDocument/2006/relationships/hyperlink" Target="https://www.tatasteel.com/investors/integrated-report-2023-24/pdf/tata-steel-limited-ir-2024.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iea.org/energy-system/industry/iron-and-steel" TargetMode="External"/><Relationship Id="rId10" Type="http://schemas.openxmlformats.org/officeDocument/2006/relationships/image" Target="media/image3.png"/><Relationship Id="rId19" Type="http://schemas.openxmlformats.org/officeDocument/2006/relationships/hyperlink" Target="https://www.tata.com/business/tata-ste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steel-strategy/the-uk-steel-strategy-web-version" TargetMode="External"/><Relationship Id="rId22"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l/Eyf16ZDcehupfnn6UqUst8pA==">CgMxLjAyDmgudHlhM2x4MXBob25jMg5oLmdnaGtiMzI5aXd4dDIOaC5oeWo4M21uNjc1encyDmguMnNpeHRxc3NqcTRhMg5oLjdmdzV5ZXlsMGNzaTIOaC5iNDdvN2g5aWpteHQyDmgua25icmo1emhkdmpsMg5oLnhsM216YjUxbjZrNjIOaC4zaG1vcXZraXJ5OTUyDWgud3J0emdmcXU4dTQyDmgua2N6eGV4ajgyNzlwMg5oLnEzbjJqb3FjemEyMTIOaC5zaHEwZnYxamJuaW8yDmgudG9sOWQ1NTExYnZ0Mg5oLm1iNHdrbXl1NXA3dzIOaC55ZGwyYTFvcDA5aTc4AHIhMTcwM1FIeFF2bnFad1JHQk9tbUFIZWR3bUViRUI4Qkx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3964</Words>
  <Characters>22596</Characters>
  <Application>Microsoft Office Word</Application>
  <DocSecurity>0</DocSecurity>
  <Lines>188</Lines>
  <Paragraphs>53</Paragraphs>
  <ScaleCrop>false</ScaleCrop>
  <Company/>
  <LinksUpToDate>false</LinksUpToDate>
  <CharactersWithSpaces>26507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PC</cp:lastModifiedBy>
  <cp:revision>15</cp:revision>
  <dcterms:created xsi:type="dcterms:W3CDTF">2026-10-17T16:54:00Z</dcterms:created>
  <dcterms:modified xsi:type="dcterms:W3CDTF">2026-10-21T08:55:00Z</dcterms:modified>
</cp:coreProperties>
</file>