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7187C" w14:textId="19DFE555" w:rsidR="00CA3396" w:rsidRDefault="00CA3396" w:rsidP="00CA3396"/>
    <w:p w14:paraId="1A83119C" w14:textId="77777777" w:rsidR="00CA3396" w:rsidRDefault="00CA3396" w:rsidP="00CA3396"/>
    <w:p w14:paraId="314748DE" w14:textId="77777777" w:rsidR="00CA3396" w:rsidRDefault="00CA3396" w:rsidP="00CA3396"/>
    <w:p w14:paraId="16C33329" w14:textId="77777777" w:rsidR="00CA3396" w:rsidRDefault="00CA3396" w:rsidP="00CA3396"/>
    <w:p w14:paraId="598E5C72" w14:textId="77777777" w:rsidR="00CA3396" w:rsidRDefault="00CA3396" w:rsidP="00CA3396"/>
    <w:p w14:paraId="457D763A" w14:textId="77777777" w:rsidR="00CA3396" w:rsidRDefault="00CA3396" w:rsidP="00CA3396"/>
    <w:p w14:paraId="792D6FBA" w14:textId="77777777" w:rsidR="00CA3396" w:rsidRDefault="00CA3396" w:rsidP="00CA3396">
      <w:pPr>
        <w:jc w:val="both"/>
        <w:rPr>
          <w:rFonts w:ascii="Arial" w:hAnsi="Arial" w:cs="Arial"/>
          <w:sz w:val="22"/>
          <w:szCs w:val="22"/>
        </w:rPr>
      </w:pPr>
      <w:r w:rsidRPr="00CA3396">
        <w:rPr>
          <w:rFonts w:ascii="Arial" w:hAnsi="Arial" w:cs="Arial"/>
          <w:sz w:val="22"/>
          <w:szCs w:val="22"/>
        </w:rPr>
        <w:t>Name: CHANTAL MONTILLE</w:t>
      </w:r>
    </w:p>
    <w:p w14:paraId="69F512E7" w14:textId="77777777" w:rsidR="00091DE8" w:rsidRPr="00CA3396" w:rsidRDefault="00091DE8" w:rsidP="00CA3396">
      <w:pPr>
        <w:jc w:val="both"/>
        <w:rPr>
          <w:rFonts w:ascii="Arial" w:hAnsi="Arial" w:cs="Arial"/>
          <w:sz w:val="22"/>
          <w:szCs w:val="22"/>
        </w:rPr>
      </w:pPr>
    </w:p>
    <w:p w14:paraId="5F24188C" w14:textId="77777777" w:rsidR="00CA3396" w:rsidRDefault="00CA3396" w:rsidP="00CA3396">
      <w:pPr>
        <w:jc w:val="both"/>
        <w:rPr>
          <w:rFonts w:ascii="Arial" w:hAnsi="Arial" w:cs="Arial"/>
          <w:sz w:val="22"/>
          <w:szCs w:val="22"/>
        </w:rPr>
      </w:pPr>
      <w:r w:rsidRPr="00CA3396">
        <w:rPr>
          <w:rFonts w:ascii="Arial" w:hAnsi="Arial" w:cs="Arial"/>
          <w:sz w:val="22"/>
          <w:szCs w:val="22"/>
        </w:rPr>
        <w:t>Student ID: 2532540</w:t>
      </w:r>
    </w:p>
    <w:p w14:paraId="1A3C424C" w14:textId="77777777" w:rsidR="00091DE8" w:rsidRPr="00CA3396" w:rsidRDefault="00091DE8" w:rsidP="00CA3396">
      <w:pPr>
        <w:jc w:val="both"/>
        <w:rPr>
          <w:rFonts w:ascii="Arial" w:hAnsi="Arial" w:cs="Arial"/>
          <w:sz w:val="22"/>
          <w:szCs w:val="22"/>
        </w:rPr>
      </w:pPr>
    </w:p>
    <w:p w14:paraId="06CE94F2" w14:textId="02DF2732" w:rsidR="00CA3396" w:rsidRDefault="00CA3396" w:rsidP="00CA3396">
      <w:pPr>
        <w:jc w:val="both"/>
        <w:rPr>
          <w:rFonts w:ascii="Arial" w:hAnsi="Arial" w:cs="Arial"/>
          <w:sz w:val="22"/>
          <w:szCs w:val="22"/>
        </w:rPr>
      </w:pPr>
      <w:r w:rsidRPr="00CA3396">
        <w:rPr>
          <w:rFonts w:ascii="Arial" w:hAnsi="Arial" w:cs="Arial"/>
          <w:sz w:val="22"/>
          <w:szCs w:val="22"/>
        </w:rPr>
        <w:t>Module Code: LCHS 4001</w:t>
      </w:r>
      <w:r w:rsidR="00901AB7">
        <w:rPr>
          <w:rFonts w:ascii="Arial" w:hAnsi="Arial" w:cs="Arial"/>
          <w:sz w:val="22"/>
          <w:szCs w:val="22"/>
        </w:rPr>
        <w:t xml:space="preserve"> -Task 3</w:t>
      </w:r>
    </w:p>
    <w:p w14:paraId="5EC216EF" w14:textId="77777777" w:rsidR="00091DE8" w:rsidRPr="00CA3396" w:rsidRDefault="00091DE8" w:rsidP="00CA3396">
      <w:pPr>
        <w:jc w:val="both"/>
        <w:rPr>
          <w:rFonts w:ascii="Arial" w:hAnsi="Arial" w:cs="Arial"/>
          <w:sz w:val="22"/>
          <w:szCs w:val="22"/>
        </w:rPr>
      </w:pPr>
    </w:p>
    <w:p w14:paraId="3E34B279" w14:textId="77777777" w:rsidR="00CA3396" w:rsidRDefault="00CA3396" w:rsidP="00CA3396">
      <w:pPr>
        <w:jc w:val="both"/>
        <w:rPr>
          <w:rFonts w:ascii="Arial" w:hAnsi="Arial" w:cs="Arial"/>
          <w:sz w:val="22"/>
          <w:szCs w:val="22"/>
        </w:rPr>
      </w:pPr>
      <w:r w:rsidRPr="00CA3396">
        <w:rPr>
          <w:rFonts w:ascii="Arial" w:hAnsi="Arial" w:cs="Arial"/>
          <w:sz w:val="22"/>
          <w:szCs w:val="22"/>
        </w:rPr>
        <w:t>Module: Academic and Employment Skills</w:t>
      </w:r>
    </w:p>
    <w:p w14:paraId="4FCE1223" w14:textId="77777777" w:rsidR="00091DE8" w:rsidRPr="00CA3396" w:rsidRDefault="00091DE8" w:rsidP="00CA3396">
      <w:pPr>
        <w:jc w:val="both"/>
        <w:rPr>
          <w:rFonts w:ascii="Arial" w:hAnsi="Arial" w:cs="Arial"/>
          <w:sz w:val="22"/>
          <w:szCs w:val="22"/>
        </w:rPr>
      </w:pPr>
    </w:p>
    <w:p w14:paraId="06AFAC65" w14:textId="77777777" w:rsidR="00CA3396" w:rsidRPr="00CA3396" w:rsidRDefault="00CA3396" w:rsidP="00CA3396">
      <w:pPr>
        <w:jc w:val="both"/>
        <w:rPr>
          <w:rFonts w:ascii="Arial" w:hAnsi="Arial" w:cs="Arial"/>
          <w:sz w:val="22"/>
          <w:szCs w:val="22"/>
        </w:rPr>
      </w:pPr>
      <w:r w:rsidRPr="00CA3396">
        <w:rPr>
          <w:rFonts w:ascii="Arial" w:hAnsi="Arial" w:cs="Arial"/>
          <w:sz w:val="22"/>
          <w:szCs w:val="22"/>
        </w:rPr>
        <w:t>Lecturer: Brian Mashumba</w:t>
      </w:r>
    </w:p>
    <w:p w14:paraId="1C754967" w14:textId="77777777" w:rsidR="00CA3396" w:rsidRDefault="00CA3396" w:rsidP="00CA3396">
      <w:pPr>
        <w:jc w:val="both"/>
        <w:rPr>
          <w:rFonts w:asciiTheme="minorBidi" w:hAnsiTheme="minorBidi"/>
          <w:sz w:val="28"/>
          <w:szCs w:val="28"/>
        </w:rPr>
      </w:pPr>
    </w:p>
    <w:p w14:paraId="5A8DBC6C" w14:textId="77777777" w:rsidR="00CA3396" w:rsidRDefault="00CA3396" w:rsidP="00CA3396">
      <w:pPr>
        <w:jc w:val="both"/>
        <w:rPr>
          <w:rFonts w:asciiTheme="minorBidi" w:hAnsiTheme="minorBidi"/>
          <w:sz w:val="28"/>
          <w:szCs w:val="28"/>
        </w:rPr>
      </w:pPr>
    </w:p>
    <w:p w14:paraId="0A826A6E" w14:textId="77777777" w:rsidR="00CA3396" w:rsidRDefault="00CA3396" w:rsidP="00CA3396">
      <w:pPr>
        <w:jc w:val="both"/>
        <w:rPr>
          <w:rFonts w:asciiTheme="minorBidi" w:hAnsiTheme="minorBidi"/>
          <w:sz w:val="28"/>
          <w:szCs w:val="28"/>
        </w:rPr>
      </w:pPr>
    </w:p>
    <w:p w14:paraId="4839C6B7" w14:textId="77777777" w:rsidR="00CA3396" w:rsidRDefault="00CA3396" w:rsidP="00CA3396">
      <w:pPr>
        <w:jc w:val="both"/>
        <w:rPr>
          <w:rFonts w:asciiTheme="minorBidi" w:hAnsiTheme="minorBidi"/>
          <w:sz w:val="28"/>
          <w:szCs w:val="28"/>
        </w:rPr>
      </w:pPr>
    </w:p>
    <w:p w14:paraId="6B8942A1" w14:textId="77777777" w:rsidR="00CA3396" w:rsidRDefault="00CA3396" w:rsidP="00CA3396">
      <w:pPr>
        <w:jc w:val="both"/>
        <w:rPr>
          <w:rFonts w:asciiTheme="minorBidi" w:hAnsiTheme="minorBidi"/>
          <w:sz w:val="28"/>
          <w:szCs w:val="28"/>
        </w:rPr>
      </w:pPr>
    </w:p>
    <w:p w14:paraId="0BCE06C3" w14:textId="77777777" w:rsidR="00CA3396" w:rsidRDefault="00CA3396" w:rsidP="00CA3396">
      <w:pPr>
        <w:jc w:val="both"/>
        <w:rPr>
          <w:rFonts w:asciiTheme="minorBidi" w:hAnsiTheme="minorBidi"/>
          <w:sz w:val="28"/>
          <w:szCs w:val="28"/>
        </w:rPr>
      </w:pPr>
    </w:p>
    <w:p w14:paraId="79E62C72" w14:textId="77777777" w:rsidR="00CA3396" w:rsidRDefault="00CA3396" w:rsidP="00CA3396">
      <w:pPr>
        <w:jc w:val="both"/>
        <w:rPr>
          <w:rFonts w:asciiTheme="minorBidi" w:hAnsiTheme="minorBidi"/>
          <w:sz w:val="28"/>
          <w:szCs w:val="28"/>
        </w:rPr>
      </w:pPr>
    </w:p>
    <w:p w14:paraId="0E4407CE" w14:textId="77777777" w:rsidR="00CA3396" w:rsidRDefault="00CA3396" w:rsidP="00CA3396">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Submitted on   re-submit 22/05/2026 </w:t>
      </w:r>
    </w:p>
    <w:p w14:paraId="59E4A3B9" w14:textId="0D4CC8C6" w:rsidR="00B312EC" w:rsidRDefault="00AE4F63" w:rsidP="00ED1544">
      <w:pPr>
        <w:ind w:left="2880"/>
        <w:jc w:val="both"/>
        <w:rPr>
          <w:rFonts w:asciiTheme="minorBidi" w:hAnsiTheme="minorBidi"/>
          <w:sz w:val="28"/>
          <w:szCs w:val="28"/>
        </w:rPr>
      </w:pPr>
      <w:r>
        <w:rPr>
          <w:rFonts w:asciiTheme="minorBidi" w:hAnsiTheme="minorBidi"/>
          <w:sz w:val="28"/>
          <w:szCs w:val="28"/>
        </w:rPr>
        <w:t xml:space="preserve">Resit on </w:t>
      </w:r>
      <w:r w:rsidR="00ED1544">
        <w:rPr>
          <w:rFonts w:asciiTheme="minorBidi" w:hAnsiTheme="minorBidi"/>
          <w:sz w:val="28"/>
          <w:szCs w:val="28"/>
        </w:rPr>
        <w:t>24/07/2026</w:t>
      </w:r>
    </w:p>
    <w:p w14:paraId="1AF2ED59" w14:textId="77777777" w:rsidR="00CA3396" w:rsidRDefault="00CA3396" w:rsidP="00CA3396">
      <w:pPr>
        <w:pStyle w:val="Heading1"/>
        <w:rPr>
          <w:b/>
          <w:bCs/>
        </w:rPr>
      </w:pPr>
    </w:p>
    <w:p w14:paraId="79C40ED3" w14:textId="07BFCE48" w:rsidR="6C8F5E2F" w:rsidRDefault="6C8F5E2F" w:rsidP="6C8F5E2F"/>
    <w:p w14:paraId="40442DF6" w14:textId="6752B5D7" w:rsidR="6C8F5E2F" w:rsidRDefault="6C8F5E2F" w:rsidP="6C8F5E2F"/>
    <w:p w14:paraId="77A9A7CA" w14:textId="4B77669E" w:rsidR="6C8F5E2F" w:rsidRDefault="6C8F5E2F" w:rsidP="6C8F5E2F"/>
    <w:p w14:paraId="298BE441" w14:textId="77777777" w:rsidR="00CA3396" w:rsidRDefault="00CA3396">
      <w:pPr>
        <w:spacing w:after="160" w:line="259" w:lineRule="auto"/>
        <w:rPr>
          <w:rFonts w:asciiTheme="majorHAnsi" w:eastAsiaTheme="majorEastAsia" w:hAnsiTheme="majorHAnsi" w:cstheme="majorBidi"/>
          <w:b/>
          <w:bCs/>
          <w:color w:val="2F5496" w:themeColor="accent1" w:themeShade="BF"/>
          <w:sz w:val="40"/>
          <w:szCs w:val="40"/>
          <w:lang w:eastAsia="en-US"/>
        </w:rPr>
      </w:pPr>
      <w:r>
        <w:rPr>
          <w:b/>
          <w:bCs/>
        </w:rPr>
        <w:br w:type="page"/>
      </w:r>
    </w:p>
    <w:sdt>
      <w:sdtPr>
        <w:rPr>
          <w:rFonts w:ascii="Arial" w:eastAsia="Arial" w:hAnsi="Arial" w:cs="Arial"/>
          <w:b/>
          <w:bCs/>
          <w:noProof/>
          <w:sz w:val="28"/>
          <w:szCs w:val="28"/>
        </w:rPr>
        <w:alias w:val="Table of Contents"/>
        <w:id w:val="-2028707986"/>
      </w:sdtPr>
      <w:sdtEndPr>
        <w:rPr>
          <w:bCs w:val="0"/>
          <w:noProof w:val="0"/>
        </w:rPr>
      </w:sdtEndPr>
      <w:sdtContent>
        <w:p w14:paraId="5E1D29F5" w14:textId="6E7B6B68" w:rsidR="008845E0" w:rsidRDefault="007E1F88" w:rsidP="1CFD61AC">
          <w:pPr>
            <w:pStyle w:val="TOC1"/>
            <w:tabs>
              <w:tab w:val="right" w:leader="dot" w:pos="9016"/>
            </w:tabs>
            <w:rPr>
              <w:rFonts w:ascii="Arial" w:eastAsia="Arial" w:hAnsi="Arial" w:cs="Arial"/>
              <w:noProof/>
              <w:kern w:val="2"/>
              <w:sz w:val="28"/>
              <w:szCs w:val="28"/>
              <w:lang w:val="en-US" w:eastAsia="ja-JP"/>
              <w14:ligatures w14:val="standardContextual"/>
            </w:rPr>
          </w:pPr>
          <w:r>
            <w:fldChar w:fldCharType="begin"/>
          </w:r>
          <w:r>
            <w:instrText>TOC \o "1-4" \z \u</w:instrText>
          </w:r>
          <w:r>
            <w:fldChar w:fldCharType="separate"/>
          </w:r>
          <w:r w:rsidR="008845E0" w:rsidRPr="1CFD61AC">
            <w:rPr>
              <w:rFonts w:ascii="Arial" w:eastAsia="Arial" w:hAnsi="Arial" w:cs="Arial"/>
              <w:b/>
              <w:bCs/>
              <w:noProof/>
              <w:sz w:val="28"/>
              <w:szCs w:val="28"/>
            </w:rPr>
            <w:t>Table of Contents</w:t>
          </w:r>
          <w:r w:rsidR="008845E0">
            <w:rPr>
              <w:noProof/>
              <w:webHidden/>
            </w:rPr>
            <w:tab/>
          </w:r>
          <w:r w:rsidR="008845E0">
            <w:rPr>
              <w:noProof/>
              <w:webHidden/>
            </w:rPr>
            <w:fldChar w:fldCharType="begin"/>
          </w:r>
          <w:r w:rsidR="008845E0">
            <w:rPr>
              <w:noProof/>
              <w:webHidden/>
            </w:rPr>
            <w:instrText xml:space="preserve"> PAGEREF _Toc236883868 \h </w:instrText>
          </w:r>
          <w:r w:rsidR="008845E0">
            <w:rPr>
              <w:noProof/>
              <w:webHidden/>
            </w:rPr>
          </w:r>
          <w:r w:rsidR="008845E0">
            <w:rPr>
              <w:noProof/>
              <w:webHidden/>
            </w:rPr>
            <w:fldChar w:fldCharType="separate"/>
          </w:r>
          <w:r w:rsidR="008845E0">
            <w:rPr>
              <w:noProof/>
              <w:webHidden/>
            </w:rPr>
            <w:t>2</w:t>
          </w:r>
          <w:r w:rsidR="008845E0">
            <w:rPr>
              <w:noProof/>
              <w:webHidden/>
            </w:rPr>
            <w:fldChar w:fldCharType="end"/>
          </w:r>
        </w:p>
        <w:p w14:paraId="1FDF9384" w14:textId="60152D48" w:rsidR="008845E0" w:rsidRDefault="008845E0" w:rsidP="1CFD61AC">
          <w:pPr>
            <w:pStyle w:val="TOC1"/>
            <w:tabs>
              <w:tab w:val="right" w:leader="dot" w:pos="9016"/>
            </w:tabs>
            <w:rPr>
              <w:rFonts w:ascii="Arial" w:eastAsia="Arial" w:hAnsi="Arial" w:cs="Arial"/>
              <w:noProof/>
              <w:kern w:val="2"/>
              <w:sz w:val="28"/>
              <w:szCs w:val="28"/>
              <w:lang w:val="en-US" w:eastAsia="ja-JP"/>
              <w14:ligatures w14:val="standardContextual"/>
            </w:rPr>
          </w:pPr>
          <w:r w:rsidRPr="0021723E">
            <w:rPr>
              <w:rFonts w:ascii="Arial" w:hAnsi="Arial" w:cs="Arial"/>
              <w:b/>
              <w:bCs/>
              <w:noProof/>
            </w:rPr>
            <w:t>1. Introduction</w:t>
          </w:r>
          <w:r>
            <w:rPr>
              <w:noProof/>
              <w:webHidden/>
            </w:rPr>
            <w:tab/>
          </w:r>
          <w:r>
            <w:rPr>
              <w:noProof/>
              <w:webHidden/>
            </w:rPr>
            <w:fldChar w:fldCharType="begin"/>
          </w:r>
          <w:r>
            <w:rPr>
              <w:noProof/>
              <w:webHidden/>
            </w:rPr>
            <w:instrText xml:space="preserve"> PAGEREF _Toc236883869 \h </w:instrText>
          </w:r>
          <w:r>
            <w:rPr>
              <w:noProof/>
              <w:webHidden/>
            </w:rPr>
          </w:r>
          <w:r>
            <w:rPr>
              <w:noProof/>
              <w:webHidden/>
            </w:rPr>
            <w:fldChar w:fldCharType="separate"/>
          </w:r>
          <w:r>
            <w:rPr>
              <w:noProof/>
              <w:webHidden/>
            </w:rPr>
            <w:t>3</w:t>
          </w:r>
          <w:r>
            <w:rPr>
              <w:noProof/>
              <w:webHidden/>
            </w:rPr>
            <w:fldChar w:fldCharType="end"/>
          </w:r>
        </w:p>
        <w:p w14:paraId="5F2AFDED" w14:textId="1CDCDCE7" w:rsidR="008845E0" w:rsidRDefault="008845E0" w:rsidP="1CFD61AC">
          <w:pPr>
            <w:pStyle w:val="TOC1"/>
            <w:tabs>
              <w:tab w:val="right" w:leader="dot" w:pos="9016"/>
            </w:tabs>
            <w:rPr>
              <w:rFonts w:ascii="Arial" w:eastAsia="Arial" w:hAnsi="Arial" w:cs="Arial"/>
              <w:noProof/>
              <w:kern w:val="2"/>
              <w:sz w:val="28"/>
              <w:szCs w:val="28"/>
              <w:lang w:val="en-US" w:eastAsia="ja-JP"/>
              <w14:ligatures w14:val="standardContextual"/>
            </w:rPr>
          </w:pPr>
          <w:r w:rsidRPr="0021723E">
            <w:rPr>
              <w:rFonts w:ascii="Arial" w:hAnsi="Arial" w:cs="Arial"/>
              <w:b/>
              <w:bCs/>
              <w:noProof/>
            </w:rPr>
            <w:t>2. Description and Background of the Health Visitor Role</w:t>
          </w:r>
          <w:r>
            <w:rPr>
              <w:noProof/>
              <w:webHidden/>
            </w:rPr>
            <w:tab/>
          </w:r>
          <w:r>
            <w:rPr>
              <w:noProof/>
              <w:webHidden/>
            </w:rPr>
            <w:fldChar w:fldCharType="begin"/>
          </w:r>
          <w:r>
            <w:rPr>
              <w:noProof/>
              <w:webHidden/>
            </w:rPr>
            <w:instrText xml:space="preserve"> PAGEREF _Toc236883870 \h </w:instrText>
          </w:r>
          <w:r>
            <w:rPr>
              <w:noProof/>
              <w:webHidden/>
            </w:rPr>
          </w:r>
          <w:r>
            <w:rPr>
              <w:noProof/>
              <w:webHidden/>
            </w:rPr>
            <w:fldChar w:fldCharType="separate"/>
          </w:r>
          <w:r>
            <w:rPr>
              <w:noProof/>
              <w:webHidden/>
            </w:rPr>
            <w:t>3</w:t>
          </w:r>
          <w:r>
            <w:rPr>
              <w:noProof/>
              <w:webHidden/>
            </w:rPr>
            <w:fldChar w:fldCharType="end"/>
          </w:r>
        </w:p>
        <w:p w14:paraId="0F5C582C" w14:textId="60491948" w:rsidR="008845E0" w:rsidRDefault="008845E0" w:rsidP="1CFD61AC">
          <w:pPr>
            <w:pStyle w:val="TOC2"/>
            <w:tabs>
              <w:tab w:val="right" w:leader="dot" w:pos="9016"/>
            </w:tabs>
            <w:rPr>
              <w:rFonts w:ascii="Arial" w:eastAsia="Arial" w:hAnsi="Arial" w:cs="Arial"/>
              <w:noProof/>
              <w:kern w:val="2"/>
              <w:sz w:val="28"/>
              <w:szCs w:val="28"/>
              <w:lang w:val="en-US" w:eastAsia="ja-JP"/>
              <w14:ligatures w14:val="standardContextual"/>
            </w:rPr>
          </w:pPr>
          <w:r w:rsidRPr="0021723E">
            <w:rPr>
              <w:rFonts w:ascii="Arial" w:hAnsi="Arial" w:cs="Arial"/>
              <w:b/>
              <w:bCs/>
              <w:noProof/>
            </w:rPr>
            <w:t>2.1 Duties of the Health Visitor</w:t>
          </w:r>
          <w:r>
            <w:rPr>
              <w:noProof/>
              <w:webHidden/>
            </w:rPr>
            <w:tab/>
          </w:r>
          <w:r>
            <w:rPr>
              <w:noProof/>
              <w:webHidden/>
            </w:rPr>
            <w:fldChar w:fldCharType="begin"/>
          </w:r>
          <w:r>
            <w:rPr>
              <w:noProof/>
              <w:webHidden/>
            </w:rPr>
            <w:instrText xml:space="preserve"> PAGEREF _Toc236883871 \h </w:instrText>
          </w:r>
          <w:r>
            <w:rPr>
              <w:noProof/>
              <w:webHidden/>
            </w:rPr>
          </w:r>
          <w:r>
            <w:rPr>
              <w:noProof/>
              <w:webHidden/>
            </w:rPr>
            <w:fldChar w:fldCharType="separate"/>
          </w:r>
          <w:r>
            <w:rPr>
              <w:noProof/>
              <w:webHidden/>
            </w:rPr>
            <w:t>3</w:t>
          </w:r>
          <w:r>
            <w:rPr>
              <w:noProof/>
              <w:webHidden/>
            </w:rPr>
            <w:fldChar w:fldCharType="end"/>
          </w:r>
        </w:p>
        <w:p w14:paraId="64AF591D" w14:textId="2CEEBF25" w:rsidR="008845E0" w:rsidRDefault="008845E0" w:rsidP="1CFD61AC">
          <w:pPr>
            <w:pStyle w:val="TOC1"/>
            <w:tabs>
              <w:tab w:val="right" w:leader="dot" w:pos="9016"/>
            </w:tabs>
            <w:rPr>
              <w:rFonts w:ascii="Arial" w:eastAsia="Arial" w:hAnsi="Arial" w:cs="Arial"/>
              <w:noProof/>
              <w:kern w:val="2"/>
              <w:sz w:val="28"/>
              <w:szCs w:val="28"/>
              <w:lang w:val="en-US" w:eastAsia="ja-JP"/>
              <w14:ligatures w14:val="standardContextual"/>
            </w:rPr>
          </w:pPr>
          <w:r w:rsidRPr="0021723E">
            <w:rPr>
              <w:rFonts w:ascii="Arial" w:hAnsi="Arial" w:cs="Arial"/>
              <w:b/>
              <w:bCs/>
              <w:noProof/>
            </w:rPr>
            <w:t>2.2. Skills Needed for Effective Health Visiting Practice</w:t>
          </w:r>
          <w:r>
            <w:rPr>
              <w:noProof/>
              <w:webHidden/>
            </w:rPr>
            <w:tab/>
          </w:r>
          <w:r>
            <w:rPr>
              <w:noProof/>
              <w:webHidden/>
            </w:rPr>
            <w:fldChar w:fldCharType="begin"/>
          </w:r>
          <w:r>
            <w:rPr>
              <w:noProof/>
              <w:webHidden/>
            </w:rPr>
            <w:instrText xml:space="preserve"> PAGEREF _Toc236883872 \h </w:instrText>
          </w:r>
          <w:r>
            <w:rPr>
              <w:noProof/>
              <w:webHidden/>
            </w:rPr>
          </w:r>
          <w:r>
            <w:rPr>
              <w:noProof/>
              <w:webHidden/>
            </w:rPr>
            <w:fldChar w:fldCharType="separate"/>
          </w:r>
          <w:r>
            <w:rPr>
              <w:noProof/>
              <w:webHidden/>
            </w:rPr>
            <w:t>4</w:t>
          </w:r>
          <w:r>
            <w:rPr>
              <w:noProof/>
              <w:webHidden/>
            </w:rPr>
            <w:fldChar w:fldCharType="end"/>
          </w:r>
        </w:p>
        <w:p w14:paraId="35FA922A" w14:textId="375DC247" w:rsidR="008845E0" w:rsidRDefault="008845E0" w:rsidP="1CFD61AC">
          <w:pPr>
            <w:pStyle w:val="TOC2"/>
            <w:tabs>
              <w:tab w:val="right" w:leader="dot" w:pos="9016"/>
            </w:tabs>
            <w:rPr>
              <w:rFonts w:ascii="Arial" w:eastAsia="Arial" w:hAnsi="Arial" w:cs="Arial"/>
              <w:noProof/>
              <w:kern w:val="2"/>
              <w:sz w:val="28"/>
              <w:szCs w:val="28"/>
              <w:lang w:val="en-US" w:eastAsia="ja-JP"/>
              <w14:ligatures w14:val="standardContextual"/>
            </w:rPr>
          </w:pPr>
          <w:r w:rsidRPr="0021723E">
            <w:rPr>
              <w:rFonts w:ascii="Arial" w:eastAsia="Arial" w:hAnsi="Arial" w:cs="Arial"/>
              <w:b/>
              <w:bCs/>
              <w:noProof/>
              <w:color w:val="4471C4"/>
            </w:rPr>
            <w:t>3.1 Strategies to Improve the Skills for Health Visitor</w:t>
          </w:r>
          <w:r>
            <w:rPr>
              <w:noProof/>
              <w:webHidden/>
            </w:rPr>
            <w:tab/>
          </w:r>
          <w:r>
            <w:rPr>
              <w:noProof/>
              <w:webHidden/>
            </w:rPr>
            <w:fldChar w:fldCharType="begin"/>
          </w:r>
          <w:r>
            <w:rPr>
              <w:noProof/>
              <w:webHidden/>
            </w:rPr>
            <w:instrText xml:space="preserve"> PAGEREF _Toc236883873 \h </w:instrText>
          </w:r>
          <w:r>
            <w:rPr>
              <w:noProof/>
              <w:webHidden/>
            </w:rPr>
          </w:r>
          <w:r>
            <w:rPr>
              <w:noProof/>
              <w:webHidden/>
            </w:rPr>
            <w:fldChar w:fldCharType="separate"/>
          </w:r>
          <w:r>
            <w:rPr>
              <w:noProof/>
              <w:webHidden/>
            </w:rPr>
            <w:t>5</w:t>
          </w:r>
          <w:r>
            <w:rPr>
              <w:noProof/>
              <w:webHidden/>
            </w:rPr>
            <w:fldChar w:fldCharType="end"/>
          </w:r>
        </w:p>
        <w:p w14:paraId="68C62CEC" w14:textId="5C582770" w:rsidR="008845E0" w:rsidRDefault="008845E0" w:rsidP="1CFD61AC">
          <w:pPr>
            <w:pStyle w:val="TOC1"/>
            <w:tabs>
              <w:tab w:val="right" w:leader="dot" w:pos="9016"/>
            </w:tabs>
            <w:rPr>
              <w:rFonts w:ascii="Arial" w:eastAsia="Arial" w:hAnsi="Arial" w:cs="Arial"/>
              <w:noProof/>
              <w:kern w:val="2"/>
              <w:sz w:val="28"/>
              <w:szCs w:val="28"/>
              <w:lang w:val="en-US" w:eastAsia="ja-JP"/>
              <w14:ligatures w14:val="standardContextual"/>
            </w:rPr>
          </w:pPr>
          <w:r w:rsidRPr="0021723E">
            <w:rPr>
              <w:rFonts w:ascii="Arial" w:hAnsi="Arial" w:cs="Arial"/>
              <w:b/>
              <w:bCs/>
              <w:noProof/>
            </w:rPr>
            <w:t>4. Conclusion</w:t>
          </w:r>
          <w:r>
            <w:rPr>
              <w:noProof/>
              <w:webHidden/>
            </w:rPr>
            <w:tab/>
          </w:r>
          <w:r>
            <w:rPr>
              <w:noProof/>
              <w:webHidden/>
            </w:rPr>
            <w:fldChar w:fldCharType="begin"/>
          </w:r>
          <w:r>
            <w:rPr>
              <w:noProof/>
              <w:webHidden/>
            </w:rPr>
            <w:instrText xml:space="preserve"> PAGEREF _Toc236883874 \h </w:instrText>
          </w:r>
          <w:r>
            <w:rPr>
              <w:noProof/>
              <w:webHidden/>
            </w:rPr>
          </w:r>
          <w:r>
            <w:rPr>
              <w:noProof/>
              <w:webHidden/>
            </w:rPr>
            <w:fldChar w:fldCharType="separate"/>
          </w:r>
          <w:r>
            <w:rPr>
              <w:noProof/>
              <w:webHidden/>
            </w:rPr>
            <w:t>6</w:t>
          </w:r>
          <w:r>
            <w:rPr>
              <w:noProof/>
              <w:webHidden/>
            </w:rPr>
            <w:fldChar w:fldCharType="end"/>
          </w:r>
        </w:p>
        <w:p w14:paraId="15B64782" w14:textId="0D00628B" w:rsidR="008845E0" w:rsidRDefault="008845E0" w:rsidP="1CFD61AC">
          <w:pPr>
            <w:pStyle w:val="TOC1"/>
            <w:tabs>
              <w:tab w:val="right" w:leader="dot" w:pos="9016"/>
            </w:tabs>
            <w:rPr>
              <w:rFonts w:ascii="Arial" w:eastAsia="Arial" w:hAnsi="Arial" w:cs="Arial"/>
              <w:noProof/>
              <w:kern w:val="2"/>
              <w:sz w:val="28"/>
              <w:szCs w:val="28"/>
              <w:lang w:val="en-US" w:eastAsia="ja-JP"/>
              <w14:ligatures w14:val="standardContextual"/>
            </w:rPr>
          </w:pPr>
          <w:r w:rsidRPr="1CFD61AC">
            <w:rPr>
              <w:rFonts w:ascii="Arial" w:eastAsia="Arial" w:hAnsi="Arial" w:cs="Arial"/>
              <w:b/>
              <w:bCs/>
              <w:noProof/>
              <w:sz w:val="28"/>
              <w:szCs w:val="28"/>
            </w:rPr>
            <w:t>5. Reference List</w:t>
          </w:r>
          <w:r>
            <w:rPr>
              <w:noProof/>
              <w:webHidden/>
            </w:rPr>
            <w:tab/>
          </w:r>
          <w:r>
            <w:rPr>
              <w:noProof/>
              <w:webHidden/>
            </w:rPr>
            <w:fldChar w:fldCharType="begin"/>
          </w:r>
          <w:r>
            <w:rPr>
              <w:noProof/>
              <w:webHidden/>
            </w:rPr>
            <w:instrText xml:space="preserve"> PAGEREF _Toc236883875 \h </w:instrText>
          </w:r>
          <w:r>
            <w:rPr>
              <w:noProof/>
              <w:webHidden/>
            </w:rPr>
          </w:r>
          <w:r>
            <w:rPr>
              <w:noProof/>
              <w:webHidden/>
            </w:rPr>
            <w:fldChar w:fldCharType="separate"/>
          </w:r>
          <w:r>
            <w:rPr>
              <w:noProof/>
              <w:webHidden/>
            </w:rPr>
            <w:t>7</w:t>
          </w:r>
          <w:r>
            <w:rPr>
              <w:noProof/>
              <w:webHidden/>
            </w:rPr>
            <w:fldChar w:fldCharType="end"/>
          </w:r>
        </w:p>
        <w:p w14:paraId="255E371B" w14:textId="0CE1FDAD" w:rsidR="00CA3396" w:rsidRDefault="007E1F88" w:rsidP="007E1F88">
          <w:pPr>
            <w:pStyle w:val="TOC1"/>
            <w:tabs>
              <w:tab w:val="right" w:leader="dot" w:pos="9016"/>
            </w:tabs>
            <w:rPr>
              <w:rFonts w:ascii="Arial" w:eastAsia="Arial" w:hAnsi="Arial" w:cs="Arial"/>
              <w:sz w:val="28"/>
              <w:szCs w:val="28"/>
            </w:rPr>
          </w:pPr>
          <w:r>
            <w:fldChar w:fldCharType="end"/>
          </w:r>
        </w:p>
      </w:sdtContent>
    </w:sdt>
    <w:p w14:paraId="5E237146" w14:textId="0A37BF06" w:rsidR="00CA3396" w:rsidRDefault="00CA3396" w:rsidP="00CA3396">
      <w:pPr>
        <w:rPr>
          <w:sz w:val="28"/>
          <w:szCs w:val="28"/>
        </w:rPr>
        <w:sectPr w:rsidR="00CA3396" w:rsidSect="00CA3396">
          <w:headerReference w:type="default" r:id="rId7"/>
          <w:footerReference w:type="default" r:id="rId8"/>
          <w:pgSz w:w="11906" w:h="16838"/>
          <w:pgMar w:top="1440" w:right="1440" w:bottom="1440" w:left="1440" w:header="708" w:footer="708" w:gutter="0"/>
          <w:cols w:space="720"/>
          <w:docGrid w:linePitch="360"/>
        </w:sectPr>
      </w:pPr>
    </w:p>
    <w:p w14:paraId="10BD63AC" w14:textId="77777777" w:rsidR="00CA3396" w:rsidRPr="00DD6367" w:rsidRDefault="00CA3396" w:rsidP="00DD6367">
      <w:pPr>
        <w:pStyle w:val="Heading1"/>
        <w:spacing w:before="240" w:after="160" w:line="360" w:lineRule="auto"/>
        <w:jc w:val="both"/>
        <w:rPr>
          <w:rFonts w:ascii="Arial" w:hAnsi="Arial" w:cs="Arial"/>
          <w:sz w:val="22"/>
          <w:szCs w:val="22"/>
        </w:rPr>
      </w:pPr>
      <w:bookmarkStart w:id="0" w:name="_Toc235799479"/>
      <w:bookmarkStart w:id="1" w:name="_Toc236883869"/>
      <w:r w:rsidRPr="00DD6367">
        <w:rPr>
          <w:rFonts w:ascii="Arial" w:hAnsi="Arial" w:cs="Arial"/>
          <w:b/>
          <w:bCs/>
          <w:sz w:val="22"/>
          <w:szCs w:val="22"/>
        </w:rPr>
        <w:t>1. Introduction</w:t>
      </w:r>
      <w:bookmarkEnd w:id="0"/>
      <w:bookmarkEnd w:id="1"/>
    </w:p>
    <w:p w14:paraId="271E4F75" w14:textId="371BD514" w:rsidR="001E42A7" w:rsidRPr="00DD6367" w:rsidRDefault="002B7326" w:rsidP="00DD6367">
      <w:pPr>
        <w:spacing w:after="200" w:line="360" w:lineRule="auto"/>
        <w:jc w:val="both"/>
        <w:rPr>
          <w:rFonts w:ascii="Arial" w:hAnsi="Arial" w:cs="Arial"/>
          <w:sz w:val="22"/>
          <w:szCs w:val="22"/>
        </w:rPr>
      </w:pPr>
      <w:r w:rsidRPr="00DD6367">
        <w:rPr>
          <w:rFonts w:ascii="Arial" w:hAnsi="Arial" w:cs="Arial"/>
          <w:sz w:val="22"/>
          <w:szCs w:val="22"/>
        </w:rPr>
        <w:t>Health and social care roles play a crucial part in supporting public health, protecting vulnerable groups, and promoting long</w:t>
      </w:r>
      <w:r w:rsidRPr="00DD6367">
        <w:rPr>
          <w:rFonts w:ascii="Arial" w:hAnsi="Arial" w:cs="Arial"/>
          <w:sz w:val="22"/>
          <w:szCs w:val="22"/>
        </w:rPr>
        <w:noBreakHyphen/>
        <w:t>term wellbeing. Within this landscape, Health Visitors hold a particularly important position because they work directly with families during the earliest and most formative stages of a child’s life. This report explores what Health Visitors do, the key skills they rely on, and the strategies that can help strengthen those skills in practice. It begins by outlining the main duties of the role before examining three core skills—communication, clinical assessment, and safeguarding—and considering what can happen when these skills are not fully developed. The report then looks at practical approaches that can support skill development, ending with a reflection on why strong professional practice matters for children and families (Rahman, 2024).</w:t>
      </w:r>
    </w:p>
    <w:p w14:paraId="03D6E8EE" w14:textId="77777777" w:rsidR="00CA3396" w:rsidRPr="00DD6367" w:rsidRDefault="00CA3396" w:rsidP="00DD6367">
      <w:pPr>
        <w:pStyle w:val="Heading1"/>
        <w:spacing w:before="240" w:after="160" w:line="360" w:lineRule="auto"/>
        <w:jc w:val="both"/>
        <w:rPr>
          <w:rFonts w:ascii="Arial" w:hAnsi="Arial" w:cs="Arial"/>
          <w:sz w:val="22"/>
          <w:szCs w:val="22"/>
        </w:rPr>
      </w:pPr>
      <w:bookmarkStart w:id="2" w:name="_Toc235799480"/>
      <w:bookmarkStart w:id="3" w:name="_Toc236883870"/>
      <w:r w:rsidRPr="00DD6367">
        <w:rPr>
          <w:rFonts w:ascii="Arial" w:hAnsi="Arial" w:cs="Arial"/>
          <w:b/>
          <w:bCs/>
          <w:sz w:val="22"/>
          <w:szCs w:val="22"/>
        </w:rPr>
        <w:t>2. Description and Background of the Health Visitor Role</w:t>
      </w:r>
      <w:bookmarkEnd w:id="2"/>
      <w:bookmarkEnd w:id="3"/>
    </w:p>
    <w:p w14:paraId="66B29753" w14:textId="77777777" w:rsidR="00CA3396" w:rsidRPr="00DD6367" w:rsidRDefault="00CA3396" w:rsidP="00DD6367">
      <w:pPr>
        <w:pStyle w:val="Heading2"/>
        <w:spacing w:before="240" w:after="160" w:line="360" w:lineRule="auto"/>
        <w:jc w:val="both"/>
        <w:rPr>
          <w:rFonts w:ascii="Arial" w:hAnsi="Arial" w:cs="Arial"/>
          <w:sz w:val="22"/>
          <w:szCs w:val="22"/>
        </w:rPr>
      </w:pPr>
      <w:bookmarkStart w:id="4" w:name="_Toc235799481"/>
      <w:bookmarkStart w:id="5" w:name="_Toc236883871"/>
      <w:r w:rsidRPr="00DD6367">
        <w:rPr>
          <w:rFonts w:ascii="Arial" w:hAnsi="Arial" w:cs="Arial"/>
          <w:b/>
          <w:bCs/>
          <w:sz w:val="22"/>
          <w:szCs w:val="22"/>
        </w:rPr>
        <w:t>2.1 Duties of the Health Visitor</w:t>
      </w:r>
      <w:bookmarkEnd w:id="4"/>
      <w:bookmarkEnd w:id="5"/>
    </w:p>
    <w:p w14:paraId="0FDF3397" w14:textId="6A0B8E69" w:rsidR="004257D5" w:rsidRPr="00DD6367" w:rsidRDefault="5889C8DD" w:rsidP="00DD6367">
      <w:pPr>
        <w:spacing w:after="200" w:line="360" w:lineRule="auto"/>
        <w:jc w:val="both"/>
        <w:rPr>
          <w:rFonts w:ascii="Arial" w:hAnsi="Arial" w:cs="Arial"/>
          <w:sz w:val="22"/>
          <w:szCs w:val="22"/>
        </w:rPr>
      </w:pPr>
      <w:r w:rsidRPr="5889C8DD">
        <w:rPr>
          <w:rFonts w:ascii="Arial" w:hAnsi="Arial" w:cs="Arial"/>
          <w:sz w:val="22"/>
          <w:szCs w:val="22"/>
        </w:rPr>
        <w:t>Health Visitors support families from pregnancy through early childhood, offering guidance and monitoring development during this crucial period. A centra part of their work is delivering the Healthy Child Programme, which includes health assessments, developmental reviews, safeguarding responsibilities, and ongoing parental support (Rahman, 2024). Much of this work takes place during home visits, where Health Visitors can observe children in their everyday environment and respond to emerging needs. For example, during a 6–8</w:t>
      </w:r>
      <w:r w:rsidR="004257D5">
        <w:noBreakHyphen/>
      </w:r>
      <w:r w:rsidRPr="5889C8DD">
        <w:rPr>
          <w:rFonts w:ascii="Arial" w:hAnsi="Arial" w:cs="Arial"/>
          <w:sz w:val="22"/>
          <w:szCs w:val="22"/>
        </w:rPr>
        <w:t>week review, a Health Visitor may check an infant’s feeding, weight gain, and early communication cues. They also help families access wider support by referring them to midwives, GPs, or social workers when needed. These responsibilities matter because early identification of concerns can prevent problems from escalating and improve long</w:t>
      </w:r>
      <w:r w:rsidR="004257D5">
        <w:noBreakHyphen/>
      </w:r>
      <w:r w:rsidRPr="5889C8DD">
        <w:rPr>
          <w:rFonts w:ascii="Arial" w:hAnsi="Arial" w:cs="Arial"/>
          <w:sz w:val="22"/>
          <w:szCs w:val="22"/>
        </w:rPr>
        <w:t>term outcomes for children and communities.</w:t>
      </w:r>
    </w:p>
    <w:p w14:paraId="327194C3" w14:textId="47805320" w:rsidR="00323E6F" w:rsidRPr="00DD6367" w:rsidRDefault="00FE2571" w:rsidP="00DD6367">
      <w:pPr>
        <w:spacing w:line="360" w:lineRule="auto"/>
        <w:jc w:val="both"/>
        <w:rPr>
          <w:rFonts w:ascii="Arial" w:hAnsi="Arial" w:cs="Arial"/>
          <w:sz w:val="22"/>
          <w:szCs w:val="22"/>
          <w:lang w:eastAsia="en-US"/>
        </w:rPr>
      </w:pPr>
      <w:r w:rsidRPr="00DD6367">
        <w:rPr>
          <w:rFonts w:ascii="Arial" w:hAnsi="Arial" w:cs="Arial"/>
          <w:sz w:val="22"/>
          <w:szCs w:val="22"/>
          <w:lang w:eastAsia="en-US"/>
        </w:rPr>
        <w:t>To carry out these duties effectively, Health Visitors rely on a blend of communication, clinical assessment, and safeguarding skills. Communication helps build trust and allows sensitive information to be shared in a way families can understand (Cowley, 2015). Clinical assessment enables Health Visitors to recognise developmental needs and health risks early on. Safeguarding skills ensure that any concerns about neglect, abuse, or parental vulnerability are acted on quickly and appropriately. These skills often work together—for example, when supporting a parent with postnatal depression, a Health Visitor must communicate sensitively while assessing both the parent’s wellbeing and the baby’s development. Together, these skills form the foundation of safe and compassionate practice in community settings.</w:t>
      </w:r>
    </w:p>
    <w:p w14:paraId="02730A6D" w14:textId="41628B36" w:rsidR="00CA3396" w:rsidRPr="00DD6367" w:rsidRDefault="535DF389" w:rsidP="00DD6367">
      <w:pPr>
        <w:pStyle w:val="Heading1"/>
        <w:spacing w:before="240" w:after="160" w:line="360" w:lineRule="auto"/>
        <w:jc w:val="both"/>
      </w:pPr>
      <w:bookmarkStart w:id="6" w:name="_Toc235799483"/>
      <w:bookmarkStart w:id="7" w:name="_Toc236883872"/>
      <w:r w:rsidRPr="535DF389">
        <w:rPr>
          <w:rFonts w:ascii="Arial" w:hAnsi="Arial" w:cs="Arial"/>
          <w:b/>
          <w:bCs/>
          <w:sz w:val="22"/>
          <w:szCs w:val="22"/>
        </w:rPr>
        <w:t>2.2</w:t>
      </w:r>
      <w:r w:rsidR="00CA3396" w:rsidRPr="00DD6367">
        <w:rPr>
          <w:rFonts w:ascii="Arial" w:hAnsi="Arial" w:cs="Arial"/>
          <w:b/>
          <w:bCs/>
          <w:sz w:val="22"/>
          <w:szCs w:val="22"/>
        </w:rPr>
        <w:t>. Skills Needed for Effective Health Visiting Practice</w:t>
      </w:r>
      <w:bookmarkEnd w:id="6"/>
      <w:bookmarkEnd w:id="7"/>
    </w:p>
    <w:p w14:paraId="4428BA1B" w14:textId="44FCAFB4" w:rsidR="003A2266" w:rsidRPr="00DD6367" w:rsidRDefault="00226649" w:rsidP="00DD6367">
      <w:pPr>
        <w:spacing w:line="360" w:lineRule="auto"/>
        <w:jc w:val="both"/>
        <w:rPr>
          <w:rFonts w:ascii="Arial" w:hAnsi="Arial" w:cs="Arial"/>
          <w:sz w:val="22"/>
          <w:szCs w:val="22"/>
          <w:lang w:eastAsia="en-US"/>
        </w:rPr>
      </w:pPr>
      <w:r w:rsidRPr="00DD6367">
        <w:rPr>
          <w:rFonts w:ascii="Arial" w:hAnsi="Arial" w:cs="Arial"/>
          <w:sz w:val="22"/>
          <w:szCs w:val="22"/>
          <w:lang w:eastAsia="en-US"/>
        </w:rPr>
        <w:t>Communication sits at the heart of health visiting because families are more likely to share their worries when they feel listened to and understood. Empathetic, clear communication helps parents make sense of health advice and feel confident engaging with support services (Cowley, 2015). This is especially important when discussing topics that can feel personal or sensitive, such as breastfeeding or mental health. For instance, a Health Visitor might use open</w:t>
      </w:r>
      <w:r>
        <w:noBreakHyphen/>
      </w:r>
      <w:r w:rsidRPr="00DD6367">
        <w:rPr>
          <w:rFonts w:ascii="Arial" w:hAnsi="Arial" w:cs="Arial"/>
          <w:sz w:val="22"/>
          <w:szCs w:val="22"/>
          <w:lang w:eastAsia="en-US"/>
        </w:rPr>
        <w:t>ended questions and active listening to help a parent talk through concerns about their child’s sleep. Approaches like this create space for honest conversation and help families feel respected, which strengthens partnership working throughout their contact with services.</w:t>
      </w:r>
    </w:p>
    <w:p w14:paraId="5D2054F4" w14:textId="7C830055" w:rsidR="00E04CBC" w:rsidRPr="00DD6367" w:rsidRDefault="00E04CBC" w:rsidP="00DD6367">
      <w:pPr>
        <w:spacing w:after="200" w:line="360" w:lineRule="auto"/>
        <w:jc w:val="both"/>
      </w:pPr>
      <w:r w:rsidRPr="00DD6367">
        <w:rPr>
          <w:rFonts w:ascii="Arial" w:hAnsi="Arial" w:cs="Arial"/>
          <w:sz w:val="22"/>
          <w:szCs w:val="22"/>
        </w:rPr>
        <w:t>Clinical assessment allows Health Visitors to build a picture of a child’s development, parental wellbeing, and the wider home environment. By noticing early signs of developmental delay, safeguarding risks, or health inequalities, they can intervene before issues become more serious (Kearney, 2023). During a developmental review, for example, a Health Visitor may observe a child’s motor skills and compare them with expected milestones, referring to a paediatrician if concerns arise. Effective assessment also involves understanding the family’s circumstances—such as housing, finances, or parental mental health—because these factors can shape a child’s development. When carried out well, clinical assessment supports timely intervention and helps families access the right support at the right time.</w:t>
      </w:r>
    </w:p>
    <w:p w14:paraId="27768594" w14:textId="02481725" w:rsidR="00E04CBC" w:rsidRPr="00DD6367" w:rsidRDefault="00E04CBC" w:rsidP="00DD6367">
      <w:pPr>
        <w:spacing w:after="200" w:line="360" w:lineRule="auto"/>
        <w:jc w:val="both"/>
        <w:rPr>
          <w:rFonts w:ascii="Arial" w:hAnsi="Arial" w:cs="Arial"/>
          <w:sz w:val="22"/>
          <w:szCs w:val="22"/>
        </w:rPr>
      </w:pPr>
      <w:r w:rsidRPr="00DD6367">
        <w:rPr>
          <w:rFonts w:ascii="Arial" w:hAnsi="Arial" w:cs="Arial"/>
          <w:sz w:val="22"/>
          <w:szCs w:val="22"/>
        </w:rPr>
        <w:t>Safeguarding is a core part of the Health Visitor role because they are often the first professionals to notice when a child or parent may be at risk. This includes recognising signs of neglect, domestic abuse, or parental mental health difficulties (Cowling and Garstang, 2023). For example, if a Health Visitor receives inconsistent explanations for a child’s injury, they must follow safeguarding procedures and escalate concerns appropriately. Safeguarding also depends on clear record</w:t>
      </w:r>
      <w:r>
        <w:noBreakHyphen/>
      </w:r>
      <w:r w:rsidRPr="00DD6367">
        <w:rPr>
          <w:rFonts w:ascii="Arial" w:hAnsi="Arial" w:cs="Arial"/>
          <w:sz w:val="22"/>
          <w:szCs w:val="22"/>
        </w:rPr>
        <w:t>keeping and strong communication with other professionals, as serious case reviews frequently highlight how poor information</w:t>
      </w:r>
      <w:r>
        <w:noBreakHyphen/>
      </w:r>
      <w:r w:rsidRPr="00DD6367">
        <w:rPr>
          <w:rFonts w:ascii="Arial" w:hAnsi="Arial" w:cs="Arial"/>
          <w:sz w:val="22"/>
          <w:szCs w:val="22"/>
        </w:rPr>
        <w:t>sharing contributes to missed opportunities. Effective safeguarding protects children and ensures legal and ethical responsibilities are met.</w:t>
      </w:r>
    </w:p>
    <w:p w14:paraId="56DE78E0" w14:textId="68D9196F" w:rsidR="00903023" w:rsidRPr="00DD6367" w:rsidRDefault="00903023" w:rsidP="00DD6367">
      <w:pPr>
        <w:spacing w:after="200" w:line="360" w:lineRule="auto"/>
        <w:jc w:val="both"/>
        <w:rPr>
          <w:rFonts w:ascii="Arial" w:hAnsi="Arial" w:cs="Arial"/>
          <w:sz w:val="22"/>
          <w:szCs w:val="22"/>
        </w:rPr>
      </w:pPr>
      <w:r w:rsidRPr="00DD6367">
        <w:rPr>
          <w:rFonts w:ascii="Arial" w:hAnsi="Arial" w:cs="Arial"/>
          <w:sz w:val="22"/>
          <w:szCs w:val="22"/>
        </w:rPr>
        <w:t>When communication, assessment, or safeguarding skills are not fully developed, the impact on families can be significant. Poor communication may lead to misunderstandings about health advice, causing preventable issues or reducing parents’ willingness to engage with services (Cowley, 2015). Weak assessment skills can delay the identification of developmental concerns, making early intervention less effective and increasing pressure on services later on (Kearney, 2023). Safeguarding failures can place children at serious risk, and reviews of child protection cases often show that early warning signs were missed (Cowling and Garstang, 2023). These risks highlight why Health Visitors need ongoing opportunities to strengthen and maintain their professional skills.</w:t>
      </w:r>
    </w:p>
    <w:p w14:paraId="20ADE27D" w14:textId="691CBF7A" w:rsidR="535DF389" w:rsidRDefault="535DF389" w:rsidP="535DF389">
      <w:pPr>
        <w:pStyle w:val="Heading2"/>
        <w:spacing w:before="40" w:after="0" w:line="257" w:lineRule="auto"/>
        <w:rPr>
          <w:rFonts w:ascii="Arial" w:eastAsia="Arial" w:hAnsi="Arial" w:cs="Arial"/>
          <w:b/>
          <w:bCs/>
          <w:color w:val="4471C4"/>
          <w:sz w:val="22"/>
          <w:szCs w:val="22"/>
        </w:rPr>
      </w:pPr>
      <w:bookmarkStart w:id="8" w:name="_Toc236883873"/>
      <w:r w:rsidRPr="535DF389">
        <w:rPr>
          <w:rFonts w:ascii="Arial" w:eastAsia="Arial" w:hAnsi="Arial" w:cs="Arial"/>
          <w:b/>
          <w:bCs/>
          <w:color w:val="4471C4"/>
          <w:sz w:val="22"/>
          <w:szCs w:val="22"/>
        </w:rPr>
        <w:t>3.1 Strategies to Improve the Skills for Health Visitor</w:t>
      </w:r>
      <w:bookmarkEnd w:id="8"/>
    </w:p>
    <w:p w14:paraId="5BB13911" w14:textId="3C8B15CD" w:rsidR="535DF389" w:rsidRDefault="535DF389" w:rsidP="535DF389"/>
    <w:p w14:paraId="281E43CF" w14:textId="6A566EA4" w:rsidR="0003297A" w:rsidRPr="00DD6367" w:rsidRDefault="00685C4B" w:rsidP="00DD6367">
      <w:pPr>
        <w:spacing w:after="200" w:line="360" w:lineRule="auto"/>
        <w:jc w:val="both"/>
        <w:rPr>
          <w:rFonts w:ascii="Arial" w:hAnsi="Arial" w:cs="Arial"/>
          <w:sz w:val="22"/>
          <w:szCs w:val="22"/>
        </w:rPr>
      </w:pPr>
      <w:r w:rsidRPr="00DD6367">
        <w:rPr>
          <w:rFonts w:ascii="Arial" w:hAnsi="Arial" w:cs="Arial"/>
          <w:sz w:val="22"/>
          <w:szCs w:val="22"/>
        </w:rPr>
        <w:t>Motivational Interviewing (MI) offers a practical way to enhance communication by encouraging conversations that are collaborative and centred on the parent’s perspective. Instead of giving direct advice, MI uses open questions, affirmations, and reflective listening to help parents explore their own motivations for change (Miller, 2023). For example, when a parent feels unsure about introducing healthier feeding routines, MI can help them talk through their concerns and identify what matters most to them. This approach reduces defensiveness, builds trust, and strengthens the communication skills needed for effective health visiting.</w:t>
      </w:r>
    </w:p>
    <w:p w14:paraId="671B6946" w14:textId="501CAC6F" w:rsidR="00685C4B" w:rsidRPr="00DD6367" w:rsidRDefault="00685C4B" w:rsidP="00DD6367">
      <w:pPr>
        <w:spacing w:after="200" w:line="360" w:lineRule="auto"/>
        <w:jc w:val="both"/>
        <w:rPr>
          <w:rFonts w:ascii="Arial" w:hAnsi="Arial" w:cs="Arial"/>
          <w:sz w:val="22"/>
          <w:szCs w:val="22"/>
        </w:rPr>
      </w:pPr>
      <w:r w:rsidRPr="00DD6367">
        <w:rPr>
          <w:rFonts w:ascii="Arial" w:hAnsi="Arial" w:cs="Arial"/>
          <w:sz w:val="22"/>
          <w:szCs w:val="22"/>
        </w:rPr>
        <w:t>Reflective practice helps Health Visitors improve their clinical assessment skills by encouraging them to think critically about their decisions and interactions. Models such as Gibbs’ Cycle provide a structured way to explore what happened, how it felt, and what could be done differently next time (Schutz, 2007). After a developmental review, for instance, a Health Visitor might reflect on whether they asked enough questions or observed key behaviours and use these insights to refine future assessments. Over time, reflective practice builds confidence, accuracy, and professional growth.</w:t>
      </w:r>
    </w:p>
    <w:p w14:paraId="3560CAAC" w14:textId="04BC0B8E" w:rsidR="000A5386" w:rsidRPr="00DD6367" w:rsidRDefault="000A5386" w:rsidP="00DD6367">
      <w:pPr>
        <w:spacing w:after="200" w:line="360" w:lineRule="auto"/>
        <w:jc w:val="both"/>
        <w:rPr>
          <w:rFonts w:ascii="Arial" w:hAnsi="Arial" w:cs="Arial"/>
          <w:sz w:val="22"/>
          <w:szCs w:val="22"/>
        </w:rPr>
      </w:pPr>
      <w:r w:rsidRPr="00DD6367">
        <w:rPr>
          <w:rFonts w:ascii="Arial" w:hAnsi="Arial" w:cs="Arial"/>
          <w:sz w:val="22"/>
          <w:szCs w:val="22"/>
        </w:rPr>
        <w:t>Safeguarding is most effective when professionals work together, and multi</w:t>
      </w:r>
      <w:r w:rsidRPr="00DD6367">
        <w:rPr>
          <w:rFonts w:ascii="Arial" w:hAnsi="Arial" w:cs="Arial"/>
          <w:sz w:val="22"/>
          <w:szCs w:val="22"/>
        </w:rPr>
        <w:noBreakHyphen/>
        <w:t>agency training supports this by bringing Health Visitors, social workers, midwives, and police into shared learning environments. This helps practitioners understand each other’s roles, recognise risk factors more confidently, and navigate referral pathways with greater clarity (Cowling and Garstang, 2023). A workshop on coercive control, for example, may help a Health Visitor spot subtle signs during home visits and know how to record and escalate concerns appropriately. Multi</w:t>
      </w:r>
      <w:r w:rsidRPr="00DD6367">
        <w:rPr>
          <w:rFonts w:ascii="Arial" w:hAnsi="Arial" w:cs="Arial"/>
          <w:sz w:val="22"/>
          <w:szCs w:val="22"/>
        </w:rPr>
        <w:noBreakHyphen/>
        <w:t>agency training strengthens safeguarding practice by ensuring responses are coordinated and informed.</w:t>
      </w:r>
    </w:p>
    <w:p w14:paraId="4AE06024" w14:textId="32E7C1EC" w:rsidR="00CA3396" w:rsidRPr="00DD6367" w:rsidRDefault="535DF389" w:rsidP="00DD6367">
      <w:pPr>
        <w:pStyle w:val="Heading1"/>
        <w:spacing w:before="240" w:after="160" w:line="360" w:lineRule="auto"/>
        <w:jc w:val="both"/>
        <w:rPr>
          <w:rFonts w:ascii="Arial" w:hAnsi="Arial" w:cs="Arial"/>
          <w:sz w:val="22"/>
          <w:szCs w:val="22"/>
        </w:rPr>
      </w:pPr>
      <w:bookmarkStart w:id="9" w:name="_Toc235799492"/>
      <w:bookmarkStart w:id="10" w:name="_Toc236883874"/>
      <w:r w:rsidRPr="535DF389">
        <w:rPr>
          <w:rFonts w:ascii="Arial" w:hAnsi="Arial" w:cs="Arial"/>
          <w:b/>
          <w:bCs/>
          <w:sz w:val="22"/>
          <w:szCs w:val="22"/>
        </w:rPr>
        <w:t>4</w:t>
      </w:r>
      <w:r w:rsidR="00CA3396" w:rsidRPr="00DD6367">
        <w:rPr>
          <w:rFonts w:ascii="Arial" w:hAnsi="Arial" w:cs="Arial"/>
          <w:b/>
          <w:bCs/>
          <w:sz w:val="22"/>
          <w:szCs w:val="22"/>
        </w:rPr>
        <w:t>. Conclusion</w:t>
      </w:r>
      <w:bookmarkEnd w:id="9"/>
      <w:bookmarkEnd w:id="10"/>
    </w:p>
    <w:p w14:paraId="750E2796" w14:textId="4BEC68DC" w:rsidR="00B44CDF" w:rsidRPr="00DD6367" w:rsidRDefault="00785E5F" w:rsidP="00DD6367">
      <w:pPr>
        <w:spacing w:after="200" w:line="360" w:lineRule="auto"/>
        <w:jc w:val="both"/>
        <w:rPr>
          <w:rFonts w:ascii="Arial" w:hAnsi="Arial" w:cs="Arial"/>
          <w:sz w:val="22"/>
          <w:szCs w:val="22"/>
        </w:rPr>
      </w:pPr>
      <w:r w:rsidRPr="00DD6367">
        <w:rPr>
          <w:rFonts w:ascii="Arial" w:hAnsi="Arial" w:cs="Arial"/>
          <w:sz w:val="22"/>
          <w:szCs w:val="22"/>
        </w:rPr>
        <w:t>This report has shown how central Health Visitors are in supporting families and promoting healthy development in the early years. Communication, clinical assessment, and safeguarding work together to create safe, compassionate, and reliable care, and the risks of not developing these skills highlight why ongoing learning is so important. The report also explored practical ways to strengthen these skills, including Motivational Interviewing, reflective practice, and multi</w:t>
      </w:r>
      <w:r w:rsidRPr="00DD6367">
        <w:rPr>
          <w:rFonts w:ascii="Arial" w:hAnsi="Arial" w:cs="Arial"/>
          <w:sz w:val="22"/>
          <w:szCs w:val="22"/>
        </w:rPr>
        <w:noBreakHyphen/>
        <w:t>agency training, all of which help Health Visitors feel more confident and effective in their work. Ultimately, strong professional skills make a real difference to the experiences and outcomes of children and families, reinforcing the value of high</w:t>
      </w:r>
      <w:r w:rsidRPr="00DD6367">
        <w:rPr>
          <w:rFonts w:ascii="Arial" w:hAnsi="Arial" w:cs="Arial"/>
          <w:sz w:val="22"/>
          <w:szCs w:val="22"/>
        </w:rPr>
        <w:noBreakHyphen/>
        <w:t>quality practice within community health services (Rahman, 2024).</w:t>
      </w:r>
    </w:p>
    <w:p w14:paraId="0AAC7794" w14:textId="77777777" w:rsidR="00785E5F" w:rsidRPr="00DD6367" w:rsidRDefault="00785E5F" w:rsidP="00DD6367">
      <w:pPr>
        <w:pStyle w:val="Heading1"/>
        <w:spacing w:before="240" w:after="160" w:line="360" w:lineRule="auto"/>
        <w:rPr>
          <w:rFonts w:ascii="Arial" w:hAnsi="Arial" w:cs="Arial"/>
          <w:b/>
          <w:bCs/>
          <w:sz w:val="22"/>
          <w:szCs w:val="22"/>
        </w:rPr>
      </w:pPr>
    </w:p>
    <w:p w14:paraId="252C8883" w14:textId="77777777" w:rsidR="00785E5F" w:rsidRPr="00DD6367" w:rsidRDefault="00785E5F" w:rsidP="00DD6367">
      <w:pPr>
        <w:pStyle w:val="Heading1"/>
        <w:spacing w:before="240" w:after="160" w:line="360" w:lineRule="auto"/>
        <w:rPr>
          <w:rFonts w:ascii="Arial" w:hAnsi="Arial" w:cs="Arial"/>
          <w:b/>
          <w:bCs/>
          <w:sz w:val="22"/>
          <w:szCs w:val="22"/>
        </w:rPr>
      </w:pPr>
    </w:p>
    <w:p w14:paraId="4EA4FA7D" w14:textId="77777777" w:rsidR="00785E5F" w:rsidRPr="00DD6367" w:rsidRDefault="00785E5F" w:rsidP="00DD6367">
      <w:pPr>
        <w:pStyle w:val="Heading1"/>
        <w:spacing w:before="240" w:after="160" w:line="360" w:lineRule="auto"/>
        <w:rPr>
          <w:rFonts w:ascii="Arial" w:hAnsi="Arial" w:cs="Arial"/>
          <w:b/>
          <w:bCs/>
          <w:sz w:val="22"/>
          <w:szCs w:val="22"/>
        </w:rPr>
      </w:pPr>
    </w:p>
    <w:p w14:paraId="5C5539BD" w14:textId="77777777" w:rsidR="00561E62" w:rsidRDefault="00561E62" w:rsidP="00561E62">
      <w:pPr>
        <w:rPr>
          <w:lang w:eastAsia="en-US"/>
        </w:rPr>
      </w:pPr>
    </w:p>
    <w:p w14:paraId="18752DD6" w14:textId="77777777" w:rsidR="00D84F2E" w:rsidRDefault="00D84F2E" w:rsidP="00561E62">
      <w:pPr>
        <w:rPr>
          <w:lang w:eastAsia="en-US"/>
        </w:rPr>
      </w:pPr>
    </w:p>
    <w:p w14:paraId="0900302B" w14:textId="523C9EC2" w:rsidR="535DF389" w:rsidRDefault="535DF389" w:rsidP="535DF389">
      <w:pPr>
        <w:rPr>
          <w:lang w:eastAsia="en-US"/>
        </w:rPr>
      </w:pPr>
    </w:p>
    <w:p w14:paraId="59E37B3B" w14:textId="1D119278" w:rsidR="535DF389" w:rsidRDefault="535DF389" w:rsidP="535DF389">
      <w:pPr>
        <w:rPr>
          <w:lang w:eastAsia="en-US"/>
        </w:rPr>
      </w:pPr>
    </w:p>
    <w:p w14:paraId="0786FECC" w14:textId="699358B2" w:rsidR="535DF389" w:rsidRDefault="535DF389" w:rsidP="535DF389">
      <w:pPr>
        <w:rPr>
          <w:lang w:eastAsia="en-US"/>
        </w:rPr>
      </w:pPr>
    </w:p>
    <w:p w14:paraId="1215776C" w14:textId="6F213A52" w:rsidR="535DF389" w:rsidRDefault="535DF389" w:rsidP="535DF389">
      <w:pPr>
        <w:rPr>
          <w:lang w:eastAsia="en-US"/>
        </w:rPr>
      </w:pPr>
    </w:p>
    <w:p w14:paraId="4648DB93" w14:textId="4BE7FDAD" w:rsidR="535DF389" w:rsidRDefault="535DF389" w:rsidP="535DF389">
      <w:pPr>
        <w:rPr>
          <w:lang w:eastAsia="en-US"/>
        </w:rPr>
      </w:pPr>
    </w:p>
    <w:p w14:paraId="51CC77FA" w14:textId="766E7704" w:rsidR="535DF389" w:rsidRDefault="535DF389" w:rsidP="535DF389">
      <w:pPr>
        <w:rPr>
          <w:lang w:eastAsia="en-US"/>
        </w:rPr>
      </w:pPr>
    </w:p>
    <w:p w14:paraId="5D953529" w14:textId="62FA8D74" w:rsidR="535DF389" w:rsidRDefault="535DF389" w:rsidP="535DF389">
      <w:pPr>
        <w:rPr>
          <w:lang w:eastAsia="en-US"/>
        </w:rPr>
      </w:pPr>
    </w:p>
    <w:p w14:paraId="62EC6D2B" w14:textId="22A12771" w:rsidR="535DF389" w:rsidRDefault="535DF389" w:rsidP="535DF389">
      <w:pPr>
        <w:rPr>
          <w:lang w:eastAsia="en-US"/>
        </w:rPr>
      </w:pPr>
    </w:p>
    <w:p w14:paraId="426362DC" w14:textId="2BCAB519" w:rsidR="535DF389" w:rsidRDefault="535DF389" w:rsidP="535DF389">
      <w:pPr>
        <w:rPr>
          <w:lang w:eastAsia="en-US"/>
        </w:rPr>
      </w:pPr>
    </w:p>
    <w:p w14:paraId="637F91F0" w14:textId="7A5778C1" w:rsidR="535DF389" w:rsidRDefault="535DF389" w:rsidP="535DF389">
      <w:pPr>
        <w:rPr>
          <w:lang w:eastAsia="en-US"/>
        </w:rPr>
      </w:pPr>
    </w:p>
    <w:p w14:paraId="3E3F1980" w14:textId="37220134" w:rsidR="535DF389" w:rsidRDefault="535DF389" w:rsidP="535DF389">
      <w:pPr>
        <w:rPr>
          <w:lang w:eastAsia="en-US"/>
        </w:rPr>
      </w:pPr>
    </w:p>
    <w:p w14:paraId="16DAA8A3" w14:textId="16AAB23E" w:rsidR="535DF389" w:rsidRDefault="535DF389" w:rsidP="535DF389">
      <w:pPr>
        <w:rPr>
          <w:lang w:eastAsia="en-US"/>
        </w:rPr>
      </w:pPr>
    </w:p>
    <w:p w14:paraId="50DEA3F6" w14:textId="3DD4CAD0" w:rsidR="535DF389" w:rsidRDefault="535DF389" w:rsidP="535DF389">
      <w:pPr>
        <w:rPr>
          <w:lang w:eastAsia="en-US"/>
        </w:rPr>
      </w:pPr>
    </w:p>
    <w:p w14:paraId="63299162" w14:textId="4BFFF260" w:rsidR="535DF389" w:rsidRDefault="535DF389" w:rsidP="535DF389">
      <w:pPr>
        <w:rPr>
          <w:lang w:eastAsia="en-US"/>
        </w:rPr>
      </w:pPr>
    </w:p>
    <w:p w14:paraId="4EA51207" w14:textId="4044A030" w:rsidR="535DF389" w:rsidRDefault="535DF389" w:rsidP="535DF389">
      <w:pPr>
        <w:rPr>
          <w:lang w:eastAsia="en-US"/>
        </w:rPr>
      </w:pPr>
    </w:p>
    <w:p w14:paraId="2189C34F" w14:textId="7D50E8FD" w:rsidR="535DF389" w:rsidRDefault="535DF389" w:rsidP="535DF389">
      <w:pPr>
        <w:rPr>
          <w:lang w:eastAsia="en-US"/>
        </w:rPr>
      </w:pPr>
    </w:p>
    <w:p w14:paraId="64AB5E7F" w14:textId="071D6660" w:rsidR="535DF389" w:rsidRDefault="535DF389" w:rsidP="535DF389">
      <w:pPr>
        <w:rPr>
          <w:lang w:eastAsia="en-US"/>
        </w:rPr>
      </w:pPr>
    </w:p>
    <w:p w14:paraId="04AB578E" w14:textId="5C896988" w:rsidR="535DF389" w:rsidRDefault="535DF389" w:rsidP="535DF389">
      <w:pPr>
        <w:rPr>
          <w:lang w:eastAsia="en-US"/>
        </w:rPr>
      </w:pPr>
    </w:p>
    <w:p w14:paraId="046D4CB3" w14:textId="26D6E250" w:rsidR="535DF389" w:rsidRDefault="535DF389" w:rsidP="535DF389">
      <w:pPr>
        <w:rPr>
          <w:lang w:eastAsia="en-US"/>
        </w:rPr>
      </w:pPr>
    </w:p>
    <w:p w14:paraId="20064355" w14:textId="5ACF1B76" w:rsidR="535DF389" w:rsidRDefault="535DF389" w:rsidP="535DF389">
      <w:pPr>
        <w:rPr>
          <w:lang w:eastAsia="en-US"/>
        </w:rPr>
      </w:pPr>
    </w:p>
    <w:p w14:paraId="6A500AD2" w14:textId="7F33F830" w:rsidR="535DF389" w:rsidRDefault="535DF389" w:rsidP="535DF389">
      <w:pPr>
        <w:rPr>
          <w:lang w:eastAsia="en-US"/>
        </w:rPr>
      </w:pPr>
    </w:p>
    <w:p w14:paraId="24DEFCD6" w14:textId="26747413" w:rsidR="535DF389" w:rsidRDefault="535DF389" w:rsidP="535DF389">
      <w:pPr>
        <w:rPr>
          <w:lang w:eastAsia="en-US"/>
        </w:rPr>
      </w:pPr>
    </w:p>
    <w:p w14:paraId="723FDBB4" w14:textId="6F7E1FAA" w:rsidR="535DF389" w:rsidRDefault="535DF389" w:rsidP="535DF389">
      <w:pPr>
        <w:rPr>
          <w:lang w:eastAsia="en-US"/>
        </w:rPr>
      </w:pPr>
    </w:p>
    <w:p w14:paraId="4F2D722B" w14:textId="701FD18A" w:rsidR="535DF389" w:rsidRDefault="535DF389" w:rsidP="535DF389">
      <w:pPr>
        <w:rPr>
          <w:lang w:eastAsia="en-US"/>
        </w:rPr>
      </w:pPr>
    </w:p>
    <w:p w14:paraId="669F7F97" w14:textId="4AACA73B" w:rsidR="535DF389" w:rsidRDefault="535DF389" w:rsidP="535DF389">
      <w:pPr>
        <w:rPr>
          <w:lang w:eastAsia="en-US"/>
        </w:rPr>
      </w:pPr>
    </w:p>
    <w:p w14:paraId="3B363903" w14:textId="5D94F6D5" w:rsidR="535DF389" w:rsidRDefault="535DF389" w:rsidP="535DF389">
      <w:pPr>
        <w:rPr>
          <w:lang w:eastAsia="en-US"/>
        </w:rPr>
      </w:pPr>
    </w:p>
    <w:p w14:paraId="2349F375" w14:textId="176BFB55" w:rsidR="535DF389" w:rsidRDefault="535DF389" w:rsidP="535DF389">
      <w:pPr>
        <w:rPr>
          <w:lang w:eastAsia="en-US"/>
        </w:rPr>
      </w:pPr>
    </w:p>
    <w:p w14:paraId="021349F9" w14:textId="73998A0C" w:rsidR="535DF389" w:rsidRDefault="535DF389" w:rsidP="535DF389">
      <w:pPr>
        <w:rPr>
          <w:lang w:eastAsia="en-US"/>
        </w:rPr>
      </w:pPr>
    </w:p>
    <w:p w14:paraId="0735A518" w14:textId="18788C8F" w:rsidR="535DF389" w:rsidRDefault="535DF389" w:rsidP="535DF389">
      <w:pPr>
        <w:rPr>
          <w:lang w:eastAsia="en-US"/>
        </w:rPr>
      </w:pPr>
    </w:p>
    <w:p w14:paraId="0A686482" w14:textId="4FD97C90" w:rsidR="535DF389" w:rsidRDefault="535DF389" w:rsidP="535DF389">
      <w:pPr>
        <w:rPr>
          <w:lang w:eastAsia="en-US"/>
        </w:rPr>
      </w:pPr>
    </w:p>
    <w:p w14:paraId="5BC508D4" w14:textId="581EEFFC" w:rsidR="535DF389" w:rsidRDefault="535DF389" w:rsidP="535DF389">
      <w:pPr>
        <w:rPr>
          <w:lang w:eastAsia="en-US"/>
        </w:rPr>
      </w:pPr>
    </w:p>
    <w:p w14:paraId="6BB89A85" w14:textId="77777777" w:rsidR="00D84F2E" w:rsidRPr="00561E62" w:rsidRDefault="00D84F2E" w:rsidP="00561E62">
      <w:pPr>
        <w:rPr>
          <w:lang w:eastAsia="en-US"/>
        </w:rPr>
      </w:pPr>
    </w:p>
    <w:p w14:paraId="1C682749" w14:textId="6DC2F680" w:rsidR="00CA3396" w:rsidRDefault="535DF389" w:rsidP="00CA3396">
      <w:pPr>
        <w:pStyle w:val="Heading1"/>
        <w:spacing w:before="240" w:after="160"/>
      </w:pPr>
      <w:bookmarkStart w:id="11" w:name="_Toc235799493"/>
      <w:bookmarkStart w:id="12" w:name="_Toc236883875"/>
      <w:r w:rsidRPr="535DF389">
        <w:rPr>
          <w:b/>
          <w:bCs/>
        </w:rPr>
        <w:t>5</w:t>
      </w:r>
      <w:r w:rsidR="00CA3396">
        <w:rPr>
          <w:b/>
          <w:bCs/>
        </w:rPr>
        <w:t>. Reference List</w:t>
      </w:r>
      <w:bookmarkEnd w:id="11"/>
      <w:bookmarkEnd w:id="12"/>
    </w:p>
    <w:p w14:paraId="62B7E552" w14:textId="76C8C497" w:rsidR="00CA3396" w:rsidRDefault="00CA3396" w:rsidP="00CA3396">
      <w:pPr>
        <w:spacing w:after="160"/>
        <w:rPr>
          <w:rFonts w:ascii="Arial" w:eastAsia="Arial" w:hAnsi="Arial" w:cs="Arial"/>
          <w:sz w:val="22"/>
          <w:szCs w:val="22"/>
        </w:rPr>
      </w:pPr>
      <w:r w:rsidRPr="535DF389">
        <w:rPr>
          <w:rFonts w:ascii="Arial" w:eastAsia="Arial" w:hAnsi="Arial" w:cs="Arial"/>
          <w:sz w:val="22"/>
          <w:szCs w:val="22"/>
        </w:rPr>
        <w:t xml:space="preserve">Cowley, S. et al. (2015) ‘Why health visiting? Examining the potential public health benefits from health visiting practice within a universal service: A narrative review of the literature’, International Journal of Nursing Studies, 52(1), pp. 465–480. </w:t>
      </w:r>
      <w:r w:rsidR="535DF389" w:rsidRPr="535DF389">
        <w:rPr>
          <w:rFonts w:ascii="Arial" w:eastAsia="Arial" w:hAnsi="Arial" w:cs="Arial"/>
          <w:sz w:val="22"/>
          <w:szCs w:val="22"/>
        </w:rPr>
        <w:t xml:space="preserve">Available at: </w:t>
      </w:r>
      <w:hyperlink r:id="rId9">
        <w:r w:rsidR="535DF389" w:rsidRPr="535DF389">
          <w:rPr>
            <w:rStyle w:val="Hyperlink"/>
            <w:rFonts w:ascii="Arial" w:eastAsia="Arial" w:hAnsi="Arial" w:cs="Arial"/>
            <w:sz w:val="22"/>
            <w:szCs w:val="22"/>
          </w:rPr>
          <w:t>https://doi.org/10.1016/j.ijnurstu.2014.07.013</w:t>
        </w:r>
      </w:hyperlink>
      <w:r w:rsidR="535DF389" w:rsidRPr="535DF389">
        <w:rPr>
          <w:rFonts w:ascii="Arial" w:eastAsia="Arial" w:hAnsi="Arial" w:cs="Arial"/>
          <w:sz w:val="22"/>
          <w:szCs w:val="22"/>
        </w:rPr>
        <w:t xml:space="preserve">. </w:t>
      </w:r>
    </w:p>
    <w:p w14:paraId="43E577C5" w14:textId="0E824B4E" w:rsidR="00CA3396" w:rsidRDefault="00CA3396" w:rsidP="00CA3396">
      <w:pPr>
        <w:spacing w:after="160"/>
        <w:rPr>
          <w:rFonts w:ascii="Arial" w:eastAsia="Arial" w:hAnsi="Arial" w:cs="Arial"/>
          <w:sz w:val="22"/>
          <w:szCs w:val="22"/>
        </w:rPr>
      </w:pPr>
      <w:r w:rsidRPr="535DF389">
        <w:rPr>
          <w:rFonts w:ascii="Arial" w:eastAsia="Arial" w:hAnsi="Arial" w:cs="Arial"/>
          <w:sz w:val="22"/>
          <w:szCs w:val="22"/>
        </w:rPr>
        <w:t xml:space="preserve">Cowling, I. and Garstang, J. (2023) ‘Key messages from reviews of serious child protection cases 2017–2021’, Paediatrics and Child Health, 33(12), pp. 406–411. </w:t>
      </w:r>
      <w:r w:rsidR="535DF389" w:rsidRPr="535DF389">
        <w:rPr>
          <w:rFonts w:ascii="Arial" w:eastAsia="Arial" w:hAnsi="Arial" w:cs="Arial"/>
          <w:sz w:val="22"/>
          <w:szCs w:val="22"/>
        </w:rPr>
        <w:t xml:space="preserve">Available at: </w:t>
      </w:r>
      <w:hyperlink r:id="rId10">
        <w:r w:rsidR="535DF389" w:rsidRPr="535DF389">
          <w:rPr>
            <w:rStyle w:val="Hyperlink"/>
            <w:rFonts w:ascii="Arial" w:eastAsia="Arial" w:hAnsi="Arial" w:cs="Arial"/>
            <w:sz w:val="22"/>
            <w:szCs w:val="22"/>
          </w:rPr>
          <w:t>https://doi.org/10.1016/j.paed.2023.09.005</w:t>
        </w:r>
      </w:hyperlink>
      <w:r w:rsidR="535DF389" w:rsidRPr="535DF389">
        <w:rPr>
          <w:rFonts w:ascii="Arial" w:eastAsia="Arial" w:hAnsi="Arial" w:cs="Arial"/>
          <w:sz w:val="22"/>
          <w:szCs w:val="22"/>
        </w:rPr>
        <w:t xml:space="preserve">. </w:t>
      </w:r>
    </w:p>
    <w:p w14:paraId="55309981" w14:textId="77777777" w:rsidR="00CA3396" w:rsidRDefault="00CA3396" w:rsidP="00CA3396">
      <w:pPr>
        <w:spacing w:after="160"/>
        <w:rPr>
          <w:rFonts w:ascii="Arial" w:eastAsia="Arial" w:hAnsi="Arial" w:cs="Arial"/>
          <w:sz w:val="22"/>
          <w:szCs w:val="22"/>
        </w:rPr>
      </w:pPr>
      <w:r w:rsidRPr="535DF389">
        <w:rPr>
          <w:rFonts w:ascii="Arial" w:eastAsia="Arial" w:hAnsi="Arial" w:cs="Arial"/>
          <w:sz w:val="22"/>
          <w:szCs w:val="22"/>
        </w:rPr>
        <w:t>Kearney, C. (2023) ‘Supporting staff wellbeing with a focus on health visitors’, Nursing Times, 119(2), p. 22.</w:t>
      </w:r>
    </w:p>
    <w:p w14:paraId="447DDB01" w14:textId="4C5E10D3" w:rsidR="00CA3396" w:rsidRDefault="00CA3396" w:rsidP="00CA3396">
      <w:pPr>
        <w:spacing w:after="160"/>
        <w:rPr>
          <w:rFonts w:ascii="Arial" w:eastAsia="Arial" w:hAnsi="Arial" w:cs="Arial"/>
          <w:sz w:val="22"/>
          <w:szCs w:val="22"/>
        </w:rPr>
      </w:pPr>
      <w:r w:rsidRPr="535DF389">
        <w:rPr>
          <w:rFonts w:ascii="Arial" w:eastAsia="Arial" w:hAnsi="Arial" w:cs="Arial"/>
          <w:sz w:val="22"/>
          <w:szCs w:val="22"/>
        </w:rPr>
        <w:t xml:space="preserve">Miller, W.R. (2023) ‘The evolution of motivational interviewing’, Behavioural and Cognitive Psychotherapy, 51(6), pp. 616–632. </w:t>
      </w:r>
      <w:r w:rsidR="535DF389" w:rsidRPr="535DF389">
        <w:rPr>
          <w:rFonts w:ascii="Arial" w:eastAsia="Arial" w:hAnsi="Arial" w:cs="Arial"/>
          <w:sz w:val="22"/>
          <w:szCs w:val="22"/>
        </w:rPr>
        <w:t xml:space="preserve">Available at: </w:t>
      </w:r>
      <w:hyperlink r:id="rId11">
        <w:r w:rsidR="535DF389" w:rsidRPr="535DF389">
          <w:rPr>
            <w:rStyle w:val="Hyperlink"/>
            <w:rFonts w:ascii="Arial" w:eastAsia="Arial" w:hAnsi="Arial" w:cs="Arial"/>
            <w:sz w:val="22"/>
            <w:szCs w:val="22"/>
          </w:rPr>
          <w:t>https://doi.org/10.1017/S1352465822000431</w:t>
        </w:r>
      </w:hyperlink>
      <w:r w:rsidR="535DF389" w:rsidRPr="535DF389">
        <w:rPr>
          <w:rFonts w:ascii="Arial" w:eastAsia="Arial" w:hAnsi="Arial" w:cs="Arial"/>
          <w:sz w:val="22"/>
          <w:szCs w:val="22"/>
        </w:rPr>
        <w:t xml:space="preserve">. </w:t>
      </w:r>
    </w:p>
    <w:p w14:paraId="2B4799D8" w14:textId="4F7A30D6" w:rsidR="00CA3396" w:rsidRDefault="00CA3396" w:rsidP="00CA3396">
      <w:pPr>
        <w:spacing w:after="160"/>
        <w:rPr>
          <w:rFonts w:ascii="Arial" w:eastAsia="Arial" w:hAnsi="Arial" w:cs="Arial"/>
          <w:sz w:val="22"/>
          <w:szCs w:val="22"/>
        </w:rPr>
      </w:pPr>
      <w:r w:rsidRPr="535DF389">
        <w:rPr>
          <w:rFonts w:ascii="Arial" w:eastAsia="Arial" w:hAnsi="Arial" w:cs="Arial"/>
          <w:sz w:val="22"/>
          <w:szCs w:val="22"/>
        </w:rPr>
        <w:t xml:space="preserve">Rahman, T. et al. (2024) ‘Parental and healthcare provider attitudes towards the Healthy Child Programme in England: a qualitative analysis’, BMC Public Health, 24(1). </w:t>
      </w:r>
      <w:r w:rsidR="535DF389" w:rsidRPr="535DF389">
        <w:rPr>
          <w:rFonts w:ascii="Arial" w:eastAsia="Arial" w:hAnsi="Arial" w:cs="Arial"/>
          <w:sz w:val="22"/>
          <w:szCs w:val="22"/>
        </w:rPr>
        <w:t xml:space="preserve">Available at: </w:t>
      </w:r>
      <w:hyperlink r:id="rId12">
        <w:r w:rsidR="535DF389" w:rsidRPr="535DF389">
          <w:rPr>
            <w:rStyle w:val="Hyperlink"/>
            <w:rFonts w:ascii="Arial" w:eastAsia="Arial" w:hAnsi="Arial" w:cs="Arial"/>
            <w:sz w:val="22"/>
            <w:szCs w:val="22"/>
          </w:rPr>
          <w:t>https://doi.org/10.1186/s12889-024-19515-5</w:t>
        </w:r>
      </w:hyperlink>
      <w:r w:rsidR="535DF389" w:rsidRPr="535DF389">
        <w:rPr>
          <w:rFonts w:ascii="Arial" w:eastAsia="Arial" w:hAnsi="Arial" w:cs="Arial"/>
          <w:sz w:val="22"/>
          <w:szCs w:val="22"/>
        </w:rPr>
        <w:t xml:space="preserve">. </w:t>
      </w:r>
    </w:p>
    <w:p w14:paraId="74E5BD32" w14:textId="77777777" w:rsidR="00CA3396" w:rsidRDefault="00CA3396" w:rsidP="00CA3396">
      <w:pPr>
        <w:spacing w:after="160"/>
        <w:rPr>
          <w:rFonts w:ascii="Arial" w:eastAsia="Arial" w:hAnsi="Arial" w:cs="Arial"/>
          <w:sz w:val="22"/>
          <w:szCs w:val="22"/>
        </w:rPr>
      </w:pPr>
      <w:r w:rsidRPr="535DF389">
        <w:rPr>
          <w:rFonts w:ascii="Arial" w:eastAsia="Arial" w:hAnsi="Arial" w:cs="Arial"/>
          <w:sz w:val="22"/>
          <w:szCs w:val="22"/>
        </w:rPr>
        <w:t>Schutz, S. (2007) ‘Reflection and reflective practice’, Community Practitioner, 80(9).</w:t>
      </w:r>
    </w:p>
    <w:p w14:paraId="306A19C2" w14:textId="2D4D6DD1" w:rsidR="008628DE" w:rsidRDefault="002572AB">
      <w:r>
        <w:t xml:space="preserve"> </w:t>
      </w:r>
    </w:p>
    <w:sectPr w:rsidR="008628DE" w:rsidSect="00CA339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A27D6" w14:textId="77777777" w:rsidR="00F81E54" w:rsidRDefault="00F81E54" w:rsidP="00CA3396">
      <w:r>
        <w:separator/>
      </w:r>
    </w:p>
  </w:endnote>
  <w:endnote w:type="continuationSeparator" w:id="0">
    <w:p w14:paraId="426044F7" w14:textId="77777777" w:rsidR="00F81E54" w:rsidRDefault="00F81E54" w:rsidP="00CA3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087163"/>
      <w:docPartObj>
        <w:docPartGallery w:val="Page Numbers (Bottom of Page)"/>
        <w:docPartUnique/>
      </w:docPartObj>
    </w:sdtPr>
    <w:sdtContent>
      <w:p w14:paraId="770F6F73" w14:textId="22714B66" w:rsidR="00CA3396" w:rsidRDefault="00CA3396">
        <w:pPr>
          <w:pStyle w:val="Footer"/>
          <w:jc w:val="right"/>
        </w:pPr>
        <w:r>
          <w:fldChar w:fldCharType="begin"/>
        </w:r>
        <w:r>
          <w:instrText>PAGE   \* MERGEFORMAT</w:instrText>
        </w:r>
        <w:r>
          <w:fldChar w:fldCharType="separate"/>
        </w:r>
        <w:r>
          <w:t>2</w:t>
        </w:r>
        <w:r>
          <w:fldChar w:fldCharType="end"/>
        </w:r>
      </w:p>
    </w:sdtContent>
  </w:sdt>
  <w:p w14:paraId="7F8ADE54" w14:textId="77777777" w:rsidR="00CA3396" w:rsidRDefault="00CA3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6A5B9" w14:textId="77777777" w:rsidR="00F81E54" w:rsidRDefault="00F81E54" w:rsidP="00CA3396">
      <w:r>
        <w:separator/>
      </w:r>
    </w:p>
  </w:footnote>
  <w:footnote w:type="continuationSeparator" w:id="0">
    <w:p w14:paraId="7A29C2C4" w14:textId="77777777" w:rsidR="00F81E54" w:rsidRDefault="00F81E54" w:rsidP="00CA33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202B" w14:textId="2FCD03D6" w:rsidR="00CA3396" w:rsidRDefault="00CA3396" w:rsidP="00CA3396">
    <w:r>
      <w:rPr>
        <w:noProof/>
      </w:rPr>
      <w:drawing>
        <wp:inline distT="0" distB="0" distL="0" distR="0" wp14:anchorId="33A5E00C" wp14:editId="5BB4CF33">
          <wp:extent cx="888226" cy="372110"/>
          <wp:effectExtent l="0" t="0" r="7620" b="8890"/>
          <wp:docPr id="2092013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2383" cy="382230"/>
                  </a:xfrm>
                  <a:prstGeom prst="rect">
                    <a:avLst/>
                  </a:prstGeom>
                  <a:noFill/>
                </pic:spPr>
              </pic:pic>
            </a:graphicData>
          </a:graphic>
        </wp:inline>
      </w:drawing>
    </w:r>
  </w:p>
  <w:p w14:paraId="5CF9FB32" w14:textId="77777777" w:rsidR="00CA3396" w:rsidRPr="00CA3396" w:rsidRDefault="00CA3396" w:rsidP="00CA3396">
    <w:pPr>
      <w:jc w:val="both"/>
      <w:rPr>
        <w:rFonts w:ascii="Arial" w:hAnsi="Arial" w:cs="Arial"/>
        <w:sz w:val="16"/>
        <w:szCs w:val="16"/>
      </w:rPr>
    </w:pPr>
    <w:r w:rsidRPr="00CA3396">
      <w:rPr>
        <w:rFonts w:ascii="Arial" w:hAnsi="Arial" w:cs="Arial"/>
        <w:sz w:val="16"/>
        <w:szCs w:val="16"/>
      </w:rPr>
      <w:t>Name: CHANTAL MONTILLE</w:t>
    </w:r>
  </w:p>
  <w:p w14:paraId="7D268461" w14:textId="77777777" w:rsidR="00CA3396" w:rsidRPr="00CA3396" w:rsidRDefault="00CA3396" w:rsidP="00CA3396">
    <w:pPr>
      <w:jc w:val="both"/>
      <w:rPr>
        <w:rFonts w:ascii="Arial" w:hAnsi="Arial" w:cs="Arial"/>
        <w:sz w:val="16"/>
        <w:szCs w:val="16"/>
      </w:rPr>
    </w:pPr>
    <w:r w:rsidRPr="00CA3396">
      <w:rPr>
        <w:rFonts w:ascii="Arial" w:hAnsi="Arial" w:cs="Arial"/>
        <w:sz w:val="16"/>
        <w:szCs w:val="16"/>
      </w:rPr>
      <w:t>Student ID: 2532540</w:t>
    </w:r>
  </w:p>
  <w:p w14:paraId="49B16790" w14:textId="77777777" w:rsidR="00CA3396" w:rsidRPr="00CA3396" w:rsidRDefault="00CA3396" w:rsidP="00CA3396">
    <w:pPr>
      <w:jc w:val="both"/>
      <w:rPr>
        <w:rFonts w:ascii="Arial" w:hAnsi="Arial" w:cs="Arial"/>
        <w:sz w:val="16"/>
        <w:szCs w:val="16"/>
      </w:rPr>
    </w:pPr>
    <w:r w:rsidRPr="00CA3396">
      <w:rPr>
        <w:rFonts w:ascii="Arial" w:hAnsi="Arial" w:cs="Arial"/>
        <w:sz w:val="16"/>
        <w:szCs w:val="16"/>
      </w:rPr>
      <w:t>Module Code: LCHS 4001</w:t>
    </w:r>
  </w:p>
  <w:p w14:paraId="35DECF90" w14:textId="77777777" w:rsidR="00CA3396" w:rsidRPr="00CA3396" w:rsidRDefault="00CA3396" w:rsidP="00CA3396">
    <w:pPr>
      <w:jc w:val="both"/>
      <w:rPr>
        <w:rFonts w:ascii="Arial" w:hAnsi="Arial" w:cs="Arial"/>
        <w:sz w:val="16"/>
        <w:szCs w:val="16"/>
      </w:rPr>
    </w:pPr>
    <w:r w:rsidRPr="00CA3396">
      <w:rPr>
        <w:rFonts w:ascii="Arial" w:hAnsi="Arial" w:cs="Arial"/>
        <w:sz w:val="16"/>
        <w:szCs w:val="16"/>
      </w:rPr>
      <w:t>Module: Academic and Employment Skills</w:t>
    </w:r>
  </w:p>
  <w:p w14:paraId="3FE447DE" w14:textId="0274682B" w:rsidR="00CA3396" w:rsidRPr="00CA3396" w:rsidRDefault="00CA3396" w:rsidP="00CA3396">
    <w:pPr>
      <w:jc w:val="both"/>
      <w:rPr>
        <w:rFonts w:ascii="Arial" w:hAnsi="Arial" w:cs="Arial"/>
        <w:sz w:val="16"/>
        <w:szCs w:val="16"/>
      </w:rPr>
    </w:pPr>
    <w:r w:rsidRPr="00CA3396">
      <w:rPr>
        <w:rFonts w:ascii="Arial" w:hAnsi="Arial" w:cs="Arial"/>
        <w:sz w:val="16"/>
        <w:szCs w:val="16"/>
      </w:rPr>
      <w:t xml:space="preserve">Lecturer: Brian Mashumba </w:t>
    </w:r>
  </w:p>
  <w:p w14:paraId="4E2802AE" w14:textId="77777777" w:rsidR="00CA3396" w:rsidRDefault="00CA33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396"/>
    <w:rsid w:val="0003297A"/>
    <w:rsid w:val="00091DE8"/>
    <w:rsid w:val="000A1A48"/>
    <w:rsid w:val="000A5386"/>
    <w:rsid w:val="00136277"/>
    <w:rsid w:val="0014567C"/>
    <w:rsid w:val="001941C7"/>
    <w:rsid w:val="001B27A6"/>
    <w:rsid w:val="001C6A40"/>
    <w:rsid w:val="001E42A7"/>
    <w:rsid w:val="002035F2"/>
    <w:rsid w:val="00221687"/>
    <w:rsid w:val="00226649"/>
    <w:rsid w:val="00227E5E"/>
    <w:rsid w:val="002572AB"/>
    <w:rsid w:val="00263B71"/>
    <w:rsid w:val="00277CEF"/>
    <w:rsid w:val="00281B35"/>
    <w:rsid w:val="002A6A7B"/>
    <w:rsid w:val="002A72A6"/>
    <w:rsid w:val="002B7326"/>
    <w:rsid w:val="002C62D1"/>
    <w:rsid w:val="002D16A5"/>
    <w:rsid w:val="00305B14"/>
    <w:rsid w:val="00323E6F"/>
    <w:rsid w:val="0033327C"/>
    <w:rsid w:val="0038624D"/>
    <w:rsid w:val="003A2266"/>
    <w:rsid w:val="003B063A"/>
    <w:rsid w:val="003F2BB8"/>
    <w:rsid w:val="003F4297"/>
    <w:rsid w:val="003F4437"/>
    <w:rsid w:val="004257D5"/>
    <w:rsid w:val="00447327"/>
    <w:rsid w:val="004506F0"/>
    <w:rsid w:val="004571CD"/>
    <w:rsid w:val="00463663"/>
    <w:rsid w:val="00475260"/>
    <w:rsid w:val="00486471"/>
    <w:rsid w:val="004C3ECB"/>
    <w:rsid w:val="004F5E28"/>
    <w:rsid w:val="005166C9"/>
    <w:rsid w:val="005173B3"/>
    <w:rsid w:val="00517F0D"/>
    <w:rsid w:val="00525512"/>
    <w:rsid w:val="00525E37"/>
    <w:rsid w:val="00561E62"/>
    <w:rsid w:val="00574715"/>
    <w:rsid w:val="005D42AB"/>
    <w:rsid w:val="00612B4F"/>
    <w:rsid w:val="006845D0"/>
    <w:rsid w:val="00684C6E"/>
    <w:rsid w:val="00685C4B"/>
    <w:rsid w:val="007273D6"/>
    <w:rsid w:val="00737EFA"/>
    <w:rsid w:val="00785E5F"/>
    <w:rsid w:val="00792FEE"/>
    <w:rsid w:val="007A6A73"/>
    <w:rsid w:val="007C2685"/>
    <w:rsid w:val="007E1F88"/>
    <w:rsid w:val="007F2735"/>
    <w:rsid w:val="00862607"/>
    <w:rsid w:val="008628DE"/>
    <w:rsid w:val="00877049"/>
    <w:rsid w:val="008845E0"/>
    <w:rsid w:val="008C6F1C"/>
    <w:rsid w:val="008D38C6"/>
    <w:rsid w:val="008D534F"/>
    <w:rsid w:val="00901AB7"/>
    <w:rsid w:val="00903023"/>
    <w:rsid w:val="0090576C"/>
    <w:rsid w:val="00922BA6"/>
    <w:rsid w:val="00973B8A"/>
    <w:rsid w:val="009B7CE7"/>
    <w:rsid w:val="00A04288"/>
    <w:rsid w:val="00A066AF"/>
    <w:rsid w:val="00A25954"/>
    <w:rsid w:val="00A606A7"/>
    <w:rsid w:val="00AE4F63"/>
    <w:rsid w:val="00AF6958"/>
    <w:rsid w:val="00AF7AA9"/>
    <w:rsid w:val="00B04231"/>
    <w:rsid w:val="00B116F6"/>
    <w:rsid w:val="00B17B07"/>
    <w:rsid w:val="00B2192E"/>
    <w:rsid w:val="00B24D15"/>
    <w:rsid w:val="00B312EC"/>
    <w:rsid w:val="00B330DE"/>
    <w:rsid w:val="00B352B9"/>
    <w:rsid w:val="00B43D17"/>
    <w:rsid w:val="00B44CDF"/>
    <w:rsid w:val="00B52A82"/>
    <w:rsid w:val="00B53F0C"/>
    <w:rsid w:val="00B60749"/>
    <w:rsid w:val="00B866F4"/>
    <w:rsid w:val="00BE4460"/>
    <w:rsid w:val="00C3136D"/>
    <w:rsid w:val="00C36E14"/>
    <w:rsid w:val="00C4606A"/>
    <w:rsid w:val="00C670FA"/>
    <w:rsid w:val="00C8489B"/>
    <w:rsid w:val="00CA3396"/>
    <w:rsid w:val="00D423A9"/>
    <w:rsid w:val="00D84F2E"/>
    <w:rsid w:val="00D87621"/>
    <w:rsid w:val="00DB532A"/>
    <w:rsid w:val="00DD6367"/>
    <w:rsid w:val="00E04CBC"/>
    <w:rsid w:val="00E47844"/>
    <w:rsid w:val="00E663C6"/>
    <w:rsid w:val="00EB6818"/>
    <w:rsid w:val="00ED1544"/>
    <w:rsid w:val="00EF07F9"/>
    <w:rsid w:val="00F01525"/>
    <w:rsid w:val="00F15310"/>
    <w:rsid w:val="00F73C05"/>
    <w:rsid w:val="00F81E54"/>
    <w:rsid w:val="00F97489"/>
    <w:rsid w:val="00FD735B"/>
    <w:rsid w:val="00FE2571"/>
    <w:rsid w:val="00FE3BBA"/>
    <w:rsid w:val="1CFD61AC"/>
    <w:rsid w:val="535DF389"/>
    <w:rsid w:val="5392CA1B"/>
    <w:rsid w:val="5889C8DD"/>
    <w:rsid w:val="6C8F5E2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1F370"/>
  <w15:chartTrackingRefBased/>
  <w15:docId w15:val="{1F55C368-AD63-4060-8B7B-F01E94035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39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A3396"/>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eastAsia="en-US"/>
    </w:rPr>
  </w:style>
  <w:style w:type="paragraph" w:styleId="Heading2">
    <w:name w:val="heading 2"/>
    <w:basedOn w:val="Normal"/>
    <w:next w:val="Normal"/>
    <w:link w:val="Heading2Char"/>
    <w:uiPriority w:val="9"/>
    <w:unhideWhenUsed/>
    <w:qFormat/>
    <w:rsid w:val="00CA3396"/>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CA3396"/>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CA3396"/>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eastAsia="en-US"/>
    </w:rPr>
  </w:style>
  <w:style w:type="paragraph" w:styleId="Heading5">
    <w:name w:val="heading 5"/>
    <w:basedOn w:val="Normal"/>
    <w:next w:val="Normal"/>
    <w:link w:val="Heading5Char"/>
    <w:uiPriority w:val="9"/>
    <w:semiHidden/>
    <w:unhideWhenUsed/>
    <w:qFormat/>
    <w:rsid w:val="00CA3396"/>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CA3396"/>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CA3396"/>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CA3396"/>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CA3396"/>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3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33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33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33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33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33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33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33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3396"/>
    <w:rPr>
      <w:rFonts w:eastAsiaTheme="majorEastAsia" w:cstheme="majorBidi"/>
      <w:color w:val="272727" w:themeColor="text1" w:themeTint="D8"/>
    </w:rPr>
  </w:style>
  <w:style w:type="paragraph" w:styleId="Title">
    <w:name w:val="Title"/>
    <w:basedOn w:val="Normal"/>
    <w:next w:val="Normal"/>
    <w:link w:val="TitleChar"/>
    <w:uiPriority w:val="10"/>
    <w:qFormat/>
    <w:rsid w:val="00CA3396"/>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CA33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3396"/>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CA33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3396"/>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CA3396"/>
    <w:rPr>
      <w:i/>
      <w:iCs/>
      <w:color w:val="404040" w:themeColor="text1" w:themeTint="BF"/>
    </w:rPr>
  </w:style>
  <w:style w:type="paragraph" w:styleId="ListParagraph">
    <w:name w:val="List Paragraph"/>
    <w:basedOn w:val="Normal"/>
    <w:uiPriority w:val="34"/>
    <w:qFormat/>
    <w:rsid w:val="00CA3396"/>
    <w:pPr>
      <w:spacing w:after="160" w:line="259" w:lineRule="auto"/>
      <w:ind w:left="720"/>
      <w:contextualSpacing/>
    </w:pPr>
    <w:rPr>
      <w:rFonts w:asciiTheme="minorHAnsi" w:eastAsiaTheme="minorHAnsi" w:hAnsiTheme="minorHAnsi" w:cstheme="minorBidi"/>
      <w:sz w:val="22"/>
      <w:szCs w:val="22"/>
      <w:lang w:eastAsia="en-US"/>
    </w:rPr>
  </w:style>
  <w:style w:type="character" w:styleId="IntenseEmphasis">
    <w:name w:val="Intense Emphasis"/>
    <w:basedOn w:val="DefaultParagraphFont"/>
    <w:uiPriority w:val="21"/>
    <w:qFormat/>
    <w:rsid w:val="00CA3396"/>
    <w:rPr>
      <w:i/>
      <w:iCs/>
      <w:color w:val="2F5496" w:themeColor="accent1" w:themeShade="BF"/>
    </w:rPr>
  </w:style>
  <w:style w:type="paragraph" w:styleId="IntenseQuote">
    <w:name w:val="Intense Quote"/>
    <w:basedOn w:val="Normal"/>
    <w:next w:val="Normal"/>
    <w:link w:val="IntenseQuoteChar"/>
    <w:uiPriority w:val="30"/>
    <w:qFormat/>
    <w:rsid w:val="00CA339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eastAsia="en-US"/>
    </w:rPr>
  </w:style>
  <w:style w:type="character" w:customStyle="1" w:styleId="IntenseQuoteChar">
    <w:name w:val="Intense Quote Char"/>
    <w:basedOn w:val="DefaultParagraphFont"/>
    <w:link w:val="IntenseQuote"/>
    <w:uiPriority w:val="30"/>
    <w:rsid w:val="00CA3396"/>
    <w:rPr>
      <w:i/>
      <w:iCs/>
      <w:color w:val="2F5496" w:themeColor="accent1" w:themeShade="BF"/>
    </w:rPr>
  </w:style>
  <w:style w:type="character" w:styleId="IntenseReference">
    <w:name w:val="Intense Reference"/>
    <w:basedOn w:val="DefaultParagraphFont"/>
    <w:uiPriority w:val="32"/>
    <w:qFormat/>
    <w:rsid w:val="00CA3396"/>
    <w:rPr>
      <w:b/>
      <w:bCs/>
      <w:smallCaps/>
      <w:color w:val="2F5496" w:themeColor="accent1" w:themeShade="BF"/>
      <w:spacing w:val="5"/>
    </w:rPr>
  </w:style>
  <w:style w:type="character" w:styleId="Hyperlink">
    <w:name w:val="Hyperlink"/>
    <w:uiPriority w:val="99"/>
    <w:unhideWhenUsed/>
    <w:rsid w:val="00CA3396"/>
    <w:rPr>
      <w:color w:val="0563C1"/>
      <w:u w:val="single"/>
    </w:rPr>
  </w:style>
  <w:style w:type="paragraph" w:styleId="TOC1">
    <w:name w:val="toc 1"/>
    <w:basedOn w:val="Normal"/>
    <w:next w:val="Normal"/>
    <w:autoRedefine/>
    <w:uiPriority w:val="39"/>
    <w:unhideWhenUsed/>
    <w:rsid w:val="00CA3396"/>
    <w:pPr>
      <w:spacing w:after="100"/>
    </w:pPr>
  </w:style>
  <w:style w:type="paragraph" w:styleId="TOC2">
    <w:name w:val="toc 2"/>
    <w:basedOn w:val="Normal"/>
    <w:next w:val="Normal"/>
    <w:autoRedefine/>
    <w:uiPriority w:val="39"/>
    <w:unhideWhenUsed/>
    <w:rsid w:val="00CA3396"/>
    <w:pPr>
      <w:spacing w:after="100"/>
      <w:ind w:left="200"/>
    </w:pPr>
  </w:style>
  <w:style w:type="paragraph" w:styleId="TOCHeading">
    <w:name w:val="TOC Heading"/>
    <w:basedOn w:val="Heading1"/>
    <w:next w:val="Normal"/>
    <w:uiPriority w:val="39"/>
    <w:unhideWhenUsed/>
    <w:qFormat/>
    <w:rsid w:val="00CA3396"/>
    <w:pPr>
      <w:spacing w:before="240" w:after="0"/>
      <w:outlineLvl w:val="9"/>
    </w:pPr>
    <w:rPr>
      <w:sz w:val="32"/>
      <w:szCs w:val="32"/>
      <w:lang w:eastAsia="en-GB"/>
    </w:rPr>
  </w:style>
  <w:style w:type="paragraph" w:styleId="TOC3">
    <w:name w:val="toc 3"/>
    <w:basedOn w:val="Normal"/>
    <w:next w:val="Normal"/>
    <w:autoRedefine/>
    <w:uiPriority w:val="39"/>
    <w:unhideWhenUsed/>
    <w:rsid w:val="00CA3396"/>
    <w:pPr>
      <w:spacing w:after="100" w:line="259" w:lineRule="auto"/>
      <w:ind w:left="440"/>
    </w:pPr>
    <w:rPr>
      <w:rFonts w:asciiTheme="minorHAnsi" w:eastAsiaTheme="minorEastAsia" w:hAnsiTheme="minorHAnsi"/>
      <w:sz w:val="22"/>
      <w:szCs w:val="22"/>
    </w:rPr>
  </w:style>
  <w:style w:type="paragraph" w:styleId="Header">
    <w:name w:val="header"/>
    <w:basedOn w:val="Normal"/>
    <w:link w:val="HeaderChar"/>
    <w:uiPriority w:val="99"/>
    <w:unhideWhenUsed/>
    <w:rsid w:val="00CA3396"/>
    <w:pPr>
      <w:tabs>
        <w:tab w:val="center" w:pos="4513"/>
        <w:tab w:val="right" w:pos="9026"/>
      </w:tabs>
    </w:pPr>
  </w:style>
  <w:style w:type="character" w:customStyle="1" w:styleId="HeaderChar">
    <w:name w:val="Header Char"/>
    <w:basedOn w:val="DefaultParagraphFont"/>
    <w:link w:val="Header"/>
    <w:uiPriority w:val="99"/>
    <w:rsid w:val="00CA339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A3396"/>
    <w:pPr>
      <w:tabs>
        <w:tab w:val="center" w:pos="4513"/>
        <w:tab w:val="right" w:pos="9026"/>
      </w:tabs>
    </w:pPr>
  </w:style>
  <w:style w:type="character" w:customStyle="1" w:styleId="FooterChar">
    <w:name w:val="Footer Char"/>
    <w:basedOn w:val="DefaultParagraphFont"/>
    <w:link w:val="Footer"/>
    <w:uiPriority w:val="99"/>
    <w:rsid w:val="00CA339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doi.org/10.1186/s12889-024-1951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7/S1352465822000431" TargetMode="External"/><Relationship Id="rId5" Type="http://schemas.openxmlformats.org/officeDocument/2006/relationships/footnotes" Target="footnotes.xml"/><Relationship Id="rId10" Type="http://schemas.openxmlformats.org/officeDocument/2006/relationships/hyperlink" Target="https://doi.org/10.1016/j.paed.2023.09.005" TargetMode="External"/><Relationship Id="rId4" Type="http://schemas.openxmlformats.org/officeDocument/2006/relationships/webSettings" Target="webSettings.xml"/><Relationship Id="rId9" Type="http://schemas.openxmlformats.org/officeDocument/2006/relationships/hyperlink" Target="https://doi.org/10.1016/j.ijnurstu.2014.07.013"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1617</Words>
  <Characters>9217</Characters>
  <Application>Microsoft Office Word</Application>
  <DocSecurity>4</DocSecurity>
  <Lines>76</Lines>
  <Paragraphs>21</Paragraphs>
  <ScaleCrop>false</ScaleCrop>
  <Company/>
  <LinksUpToDate>false</LinksUpToDate>
  <CharactersWithSpaces>10813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Chantal Montille</dc:creator>
  <cp:keywords/>
  <dc:description/>
  <cp:lastModifiedBy>Guest User</cp:lastModifiedBy>
  <cp:revision>80</cp:revision>
  <dcterms:created xsi:type="dcterms:W3CDTF">2026-07-23T21:50:00Z</dcterms:created>
  <dcterms:modified xsi:type="dcterms:W3CDTF">2026-08-09T21:18:00Z</dcterms:modified>
</cp:coreProperties>
</file>