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7595F" w14:textId="77777777" w:rsidR="00517F60" w:rsidRPr="00F15BBE" w:rsidRDefault="00517F60" w:rsidP="00F15BBE">
      <w:pPr>
        <w:spacing w:line="360" w:lineRule="auto"/>
        <w:jc w:val="both"/>
        <w:rPr>
          <w:rFonts w:ascii="Arial" w:hAnsi="Arial" w:cs="Arial"/>
          <w:b/>
          <w:bCs/>
          <w:sz w:val="22"/>
          <w:szCs w:val="22"/>
        </w:rPr>
      </w:pPr>
    </w:p>
    <w:p w14:paraId="0D71F870" w14:textId="77777777" w:rsidR="00517F60" w:rsidRPr="00F15BBE" w:rsidRDefault="00517F60" w:rsidP="00F15BBE">
      <w:pPr>
        <w:spacing w:line="360" w:lineRule="auto"/>
        <w:jc w:val="both"/>
        <w:rPr>
          <w:rFonts w:ascii="Arial" w:hAnsi="Arial" w:cs="Arial"/>
          <w:b/>
          <w:bCs/>
          <w:sz w:val="22"/>
          <w:szCs w:val="22"/>
        </w:rPr>
      </w:pPr>
    </w:p>
    <w:p w14:paraId="0E6350D7" w14:textId="77777777" w:rsidR="00517F60" w:rsidRPr="00E306D3" w:rsidRDefault="00517F60" w:rsidP="00F15BBE">
      <w:pPr>
        <w:spacing w:line="360" w:lineRule="auto"/>
        <w:jc w:val="both"/>
        <w:rPr>
          <w:rFonts w:ascii="Arial" w:hAnsi="Arial" w:cs="Arial"/>
          <w:b/>
          <w:bCs/>
          <w:sz w:val="40"/>
          <w:szCs w:val="40"/>
        </w:rPr>
      </w:pPr>
    </w:p>
    <w:p w14:paraId="678D0C24" w14:textId="77777777" w:rsidR="00517F60" w:rsidRPr="00E306D3" w:rsidRDefault="00517F60" w:rsidP="00F15BBE">
      <w:pPr>
        <w:spacing w:line="360" w:lineRule="auto"/>
        <w:jc w:val="both"/>
        <w:rPr>
          <w:rFonts w:ascii="Arial" w:hAnsi="Arial" w:cs="Arial"/>
          <w:b/>
          <w:bCs/>
          <w:sz w:val="40"/>
          <w:szCs w:val="40"/>
        </w:rPr>
      </w:pPr>
      <w:r w:rsidRPr="00E306D3">
        <w:rPr>
          <w:rFonts w:ascii="Arial" w:hAnsi="Arial" w:cs="Arial"/>
          <w:b/>
          <w:bCs/>
          <w:sz w:val="40"/>
          <w:szCs w:val="40"/>
        </w:rPr>
        <w:t xml:space="preserve">Programme: BSc Health and Social Care Module: </w:t>
      </w:r>
    </w:p>
    <w:p w14:paraId="09D59897" w14:textId="77777777" w:rsidR="00517F60" w:rsidRPr="00E306D3" w:rsidRDefault="00517F60" w:rsidP="00F15BBE">
      <w:pPr>
        <w:spacing w:line="360" w:lineRule="auto"/>
        <w:jc w:val="both"/>
        <w:rPr>
          <w:rFonts w:ascii="Arial" w:hAnsi="Arial" w:cs="Arial"/>
          <w:b/>
          <w:bCs/>
          <w:sz w:val="40"/>
          <w:szCs w:val="40"/>
        </w:rPr>
      </w:pPr>
      <w:r w:rsidRPr="00E306D3">
        <w:rPr>
          <w:rFonts w:ascii="Arial" w:hAnsi="Arial" w:cs="Arial"/>
          <w:b/>
          <w:bCs/>
          <w:sz w:val="40"/>
          <w:szCs w:val="40"/>
        </w:rPr>
        <w:t xml:space="preserve">Introduction to Physiology </w:t>
      </w:r>
    </w:p>
    <w:p w14:paraId="7488677A" w14:textId="29179C58" w:rsidR="00517F60" w:rsidRPr="00E306D3" w:rsidRDefault="00517F60" w:rsidP="00F15BBE">
      <w:pPr>
        <w:spacing w:line="360" w:lineRule="auto"/>
        <w:jc w:val="both"/>
        <w:rPr>
          <w:rFonts w:ascii="Arial" w:hAnsi="Arial" w:cs="Arial"/>
          <w:b/>
          <w:bCs/>
          <w:sz w:val="40"/>
          <w:szCs w:val="40"/>
        </w:rPr>
      </w:pPr>
      <w:r w:rsidRPr="00E306D3">
        <w:rPr>
          <w:rFonts w:ascii="Arial" w:hAnsi="Arial" w:cs="Arial"/>
          <w:b/>
          <w:bCs/>
          <w:sz w:val="40"/>
          <w:szCs w:val="40"/>
        </w:rPr>
        <w:t>Module code: BMHP5023</w:t>
      </w:r>
    </w:p>
    <w:p w14:paraId="25E1D266" w14:textId="561D2DAD" w:rsidR="00517F60" w:rsidRPr="00E306D3" w:rsidRDefault="00E306D3" w:rsidP="00F15BBE">
      <w:pPr>
        <w:spacing w:line="360" w:lineRule="auto"/>
        <w:jc w:val="both"/>
        <w:rPr>
          <w:rFonts w:ascii="Arial" w:hAnsi="Arial" w:cs="Arial"/>
          <w:b/>
          <w:bCs/>
          <w:sz w:val="40"/>
          <w:szCs w:val="40"/>
        </w:rPr>
      </w:pPr>
      <w:r w:rsidRPr="00E306D3">
        <w:rPr>
          <w:rFonts w:ascii="Arial" w:hAnsi="Arial" w:cs="Arial"/>
          <w:b/>
          <w:bCs/>
          <w:sz w:val="40"/>
          <w:szCs w:val="40"/>
        </w:rPr>
        <w:t>Student Name: Kingsley Adu Brefo</w:t>
      </w:r>
    </w:p>
    <w:p w14:paraId="4111354F" w14:textId="77777777" w:rsidR="00517F60" w:rsidRPr="00F15BBE" w:rsidRDefault="00517F60" w:rsidP="00F15BBE">
      <w:pPr>
        <w:spacing w:line="360" w:lineRule="auto"/>
        <w:jc w:val="both"/>
        <w:rPr>
          <w:rFonts w:ascii="Arial" w:hAnsi="Arial" w:cs="Arial"/>
          <w:b/>
          <w:bCs/>
          <w:sz w:val="22"/>
          <w:szCs w:val="22"/>
        </w:rPr>
      </w:pPr>
    </w:p>
    <w:p w14:paraId="74165EB5" w14:textId="77777777" w:rsidR="00517F60" w:rsidRPr="00F15BBE" w:rsidRDefault="00517F60" w:rsidP="00F15BBE">
      <w:pPr>
        <w:spacing w:line="360" w:lineRule="auto"/>
        <w:jc w:val="both"/>
        <w:rPr>
          <w:rFonts w:ascii="Arial" w:hAnsi="Arial" w:cs="Arial"/>
          <w:b/>
          <w:bCs/>
          <w:sz w:val="22"/>
          <w:szCs w:val="22"/>
        </w:rPr>
      </w:pPr>
    </w:p>
    <w:p w14:paraId="342FE98C" w14:textId="77777777" w:rsidR="00517F60" w:rsidRPr="00F15BBE" w:rsidRDefault="00517F60" w:rsidP="00F15BBE">
      <w:pPr>
        <w:spacing w:line="360" w:lineRule="auto"/>
        <w:jc w:val="both"/>
        <w:rPr>
          <w:rFonts w:ascii="Arial" w:hAnsi="Arial" w:cs="Arial"/>
          <w:b/>
          <w:bCs/>
          <w:sz w:val="22"/>
          <w:szCs w:val="22"/>
        </w:rPr>
      </w:pPr>
    </w:p>
    <w:p w14:paraId="2B7E3A59" w14:textId="77777777" w:rsidR="00517F60" w:rsidRPr="00F15BBE" w:rsidRDefault="00517F60" w:rsidP="00F15BBE">
      <w:pPr>
        <w:spacing w:line="360" w:lineRule="auto"/>
        <w:jc w:val="both"/>
        <w:rPr>
          <w:rFonts w:ascii="Arial" w:hAnsi="Arial" w:cs="Arial"/>
          <w:b/>
          <w:bCs/>
          <w:sz w:val="22"/>
          <w:szCs w:val="22"/>
        </w:rPr>
      </w:pPr>
    </w:p>
    <w:p w14:paraId="70E9E314" w14:textId="77777777" w:rsidR="00517F60" w:rsidRPr="00F15BBE" w:rsidRDefault="00517F60" w:rsidP="00F15BBE">
      <w:pPr>
        <w:spacing w:line="360" w:lineRule="auto"/>
        <w:jc w:val="both"/>
        <w:rPr>
          <w:rFonts w:ascii="Arial" w:hAnsi="Arial" w:cs="Arial"/>
          <w:b/>
          <w:bCs/>
          <w:sz w:val="22"/>
          <w:szCs w:val="22"/>
        </w:rPr>
      </w:pPr>
    </w:p>
    <w:p w14:paraId="0189C557" w14:textId="77777777" w:rsidR="00517F60" w:rsidRPr="00F15BBE" w:rsidRDefault="00517F60" w:rsidP="00F15BBE">
      <w:pPr>
        <w:spacing w:line="360" w:lineRule="auto"/>
        <w:jc w:val="both"/>
        <w:rPr>
          <w:rFonts w:ascii="Arial" w:hAnsi="Arial" w:cs="Arial"/>
          <w:b/>
          <w:bCs/>
          <w:sz w:val="22"/>
          <w:szCs w:val="22"/>
        </w:rPr>
      </w:pPr>
    </w:p>
    <w:p w14:paraId="2DD1D942" w14:textId="77777777" w:rsidR="00517F60" w:rsidRPr="00F15BBE" w:rsidRDefault="00517F60" w:rsidP="00F15BBE">
      <w:pPr>
        <w:spacing w:line="360" w:lineRule="auto"/>
        <w:jc w:val="both"/>
        <w:rPr>
          <w:rFonts w:ascii="Arial" w:hAnsi="Arial" w:cs="Arial"/>
          <w:b/>
          <w:bCs/>
          <w:sz w:val="22"/>
          <w:szCs w:val="22"/>
        </w:rPr>
      </w:pPr>
    </w:p>
    <w:p w14:paraId="1E5FF597" w14:textId="77777777" w:rsidR="00517F60" w:rsidRPr="00F15BBE" w:rsidRDefault="00517F60" w:rsidP="00F15BBE">
      <w:pPr>
        <w:spacing w:line="360" w:lineRule="auto"/>
        <w:jc w:val="both"/>
        <w:rPr>
          <w:rFonts w:ascii="Arial" w:hAnsi="Arial" w:cs="Arial"/>
          <w:b/>
          <w:bCs/>
          <w:sz w:val="22"/>
          <w:szCs w:val="22"/>
        </w:rPr>
      </w:pPr>
    </w:p>
    <w:p w14:paraId="3403B401" w14:textId="77777777" w:rsidR="00517F60" w:rsidRPr="00F15BBE" w:rsidRDefault="00517F60" w:rsidP="00F15BBE">
      <w:pPr>
        <w:spacing w:line="360" w:lineRule="auto"/>
        <w:jc w:val="both"/>
        <w:rPr>
          <w:rFonts w:ascii="Arial" w:hAnsi="Arial" w:cs="Arial"/>
          <w:b/>
          <w:bCs/>
          <w:sz w:val="22"/>
          <w:szCs w:val="22"/>
        </w:rPr>
      </w:pPr>
    </w:p>
    <w:p w14:paraId="3C380973" w14:textId="77777777" w:rsidR="00517F60" w:rsidRPr="00F15BBE" w:rsidRDefault="00517F60" w:rsidP="00F15BBE">
      <w:pPr>
        <w:spacing w:line="360" w:lineRule="auto"/>
        <w:jc w:val="both"/>
        <w:rPr>
          <w:rFonts w:ascii="Arial" w:hAnsi="Arial" w:cs="Arial"/>
          <w:b/>
          <w:bCs/>
          <w:sz w:val="22"/>
          <w:szCs w:val="22"/>
        </w:rPr>
      </w:pPr>
    </w:p>
    <w:p w14:paraId="4A4A0BC5" w14:textId="77777777" w:rsidR="00517F60" w:rsidRPr="00F15BBE" w:rsidRDefault="00517F60" w:rsidP="00F15BBE">
      <w:pPr>
        <w:spacing w:line="360" w:lineRule="auto"/>
        <w:jc w:val="both"/>
        <w:rPr>
          <w:rFonts w:ascii="Arial" w:hAnsi="Arial" w:cs="Arial"/>
          <w:b/>
          <w:bCs/>
          <w:sz w:val="22"/>
          <w:szCs w:val="22"/>
        </w:rPr>
      </w:pPr>
    </w:p>
    <w:p w14:paraId="747848FF" w14:textId="77777777" w:rsidR="00517F60" w:rsidRPr="00F15BBE" w:rsidRDefault="00517F60" w:rsidP="00F15BBE">
      <w:pPr>
        <w:spacing w:line="360" w:lineRule="auto"/>
        <w:jc w:val="both"/>
        <w:rPr>
          <w:rFonts w:ascii="Arial" w:hAnsi="Arial" w:cs="Arial"/>
          <w:b/>
          <w:bCs/>
          <w:sz w:val="22"/>
          <w:szCs w:val="22"/>
        </w:rPr>
      </w:pPr>
    </w:p>
    <w:p w14:paraId="0DA39872" w14:textId="77777777" w:rsidR="00517F60" w:rsidRPr="00F15BBE" w:rsidRDefault="00517F60" w:rsidP="00F15BBE">
      <w:pPr>
        <w:spacing w:line="360" w:lineRule="auto"/>
        <w:jc w:val="both"/>
        <w:rPr>
          <w:rFonts w:ascii="Arial" w:hAnsi="Arial" w:cs="Arial"/>
          <w:b/>
          <w:bCs/>
          <w:sz w:val="22"/>
          <w:szCs w:val="22"/>
        </w:rPr>
      </w:pPr>
    </w:p>
    <w:p w14:paraId="466C1037" w14:textId="77777777" w:rsidR="00517F60" w:rsidRPr="00F15BBE" w:rsidRDefault="00517F60" w:rsidP="00F15BBE">
      <w:pPr>
        <w:spacing w:line="360" w:lineRule="auto"/>
        <w:jc w:val="both"/>
        <w:rPr>
          <w:rFonts w:ascii="Arial" w:hAnsi="Arial" w:cs="Arial"/>
          <w:b/>
          <w:bCs/>
          <w:sz w:val="22"/>
          <w:szCs w:val="22"/>
        </w:rPr>
      </w:pPr>
    </w:p>
    <w:p w14:paraId="10603F99" w14:textId="77777777" w:rsidR="00517F60" w:rsidRPr="00F15BBE" w:rsidRDefault="00517F60" w:rsidP="00F15BBE">
      <w:pPr>
        <w:spacing w:line="360" w:lineRule="auto"/>
        <w:jc w:val="both"/>
        <w:rPr>
          <w:rFonts w:ascii="Arial" w:hAnsi="Arial" w:cs="Arial"/>
          <w:b/>
          <w:bCs/>
          <w:sz w:val="22"/>
          <w:szCs w:val="22"/>
        </w:rPr>
      </w:pPr>
    </w:p>
    <w:p w14:paraId="20868DC5" w14:textId="5F851AC1" w:rsidR="00494B98" w:rsidRPr="00494B98" w:rsidRDefault="00494B98" w:rsidP="00F15BBE">
      <w:pPr>
        <w:spacing w:line="360" w:lineRule="auto"/>
        <w:jc w:val="both"/>
        <w:rPr>
          <w:rFonts w:ascii="Arial" w:hAnsi="Arial" w:cs="Arial"/>
          <w:b/>
          <w:bCs/>
          <w:sz w:val="22"/>
          <w:szCs w:val="22"/>
        </w:rPr>
      </w:pPr>
      <w:r w:rsidRPr="00494B98">
        <w:rPr>
          <w:rFonts w:ascii="Arial" w:hAnsi="Arial" w:cs="Arial"/>
          <w:b/>
          <w:bCs/>
          <w:sz w:val="22"/>
          <w:szCs w:val="22"/>
        </w:rPr>
        <w:t>Case Study 1: Supporting Patients with Type 2 Diabetes in Primary Care</w:t>
      </w:r>
    </w:p>
    <w:p w14:paraId="64F987C5" w14:textId="77777777" w:rsidR="00494B98" w:rsidRPr="00494B98" w:rsidRDefault="00494B98" w:rsidP="00F15BBE">
      <w:pPr>
        <w:spacing w:line="360" w:lineRule="auto"/>
        <w:jc w:val="both"/>
        <w:rPr>
          <w:rFonts w:ascii="Arial" w:hAnsi="Arial" w:cs="Arial"/>
          <w:b/>
          <w:bCs/>
          <w:sz w:val="22"/>
          <w:szCs w:val="22"/>
        </w:rPr>
      </w:pPr>
      <w:r w:rsidRPr="00494B98">
        <w:rPr>
          <w:rFonts w:ascii="Arial" w:hAnsi="Arial" w:cs="Arial"/>
          <w:b/>
          <w:bCs/>
          <w:sz w:val="22"/>
          <w:szCs w:val="22"/>
        </w:rPr>
        <w:t>a) Introduction: What is Diabetes and What Are the Risk Factors</w:t>
      </w:r>
    </w:p>
    <w:p w14:paraId="53DA7C2A" w14:textId="022B6F29" w:rsidR="00494B98" w:rsidRPr="00494B98" w:rsidRDefault="00494B98" w:rsidP="00F15BBE">
      <w:pPr>
        <w:spacing w:line="360" w:lineRule="auto"/>
        <w:jc w:val="both"/>
        <w:rPr>
          <w:rFonts w:ascii="Arial" w:hAnsi="Arial" w:cs="Arial"/>
          <w:sz w:val="22"/>
          <w:szCs w:val="22"/>
        </w:rPr>
      </w:pPr>
      <w:r w:rsidRPr="00494B98">
        <w:rPr>
          <w:rFonts w:ascii="Arial" w:hAnsi="Arial" w:cs="Arial"/>
          <w:sz w:val="22"/>
          <w:szCs w:val="22"/>
        </w:rPr>
        <w:t>Diabetes mellitus is a long-term medical condition that affects the body’s ability to regulate blood glucose (sugar) levels effectively</w:t>
      </w:r>
      <w:r w:rsidR="00301749" w:rsidRPr="00F15BBE">
        <w:rPr>
          <w:rFonts w:ascii="Arial" w:hAnsi="Arial" w:cs="Arial"/>
          <w:sz w:val="22"/>
          <w:szCs w:val="22"/>
        </w:rPr>
        <w:t xml:space="preserve"> (Sarkar et al., 2019)</w:t>
      </w:r>
      <w:r w:rsidRPr="00494B98">
        <w:rPr>
          <w:rFonts w:ascii="Arial" w:hAnsi="Arial" w:cs="Arial"/>
          <w:sz w:val="22"/>
          <w:szCs w:val="22"/>
        </w:rPr>
        <w:t>. Glucose is the main source of energy for the body’s cells and comes from carbohydrates in food. In healthy individuals, blood glucose levels are kept within a narrow range to ensure cells receive enough energy without causing damage to tissues (</w:t>
      </w:r>
      <w:r w:rsidR="00301749" w:rsidRPr="00F15BBE">
        <w:rPr>
          <w:rFonts w:ascii="Arial" w:hAnsi="Arial" w:cs="Arial"/>
          <w:sz w:val="22"/>
          <w:szCs w:val="22"/>
        </w:rPr>
        <w:t>Nazarko</w:t>
      </w:r>
      <w:r w:rsidRPr="00494B98">
        <w:rPr>
          <w:rFonts w:ascii="Arial" w:hAnsi="Arial" w:cs="Arial"/>
          <w:sz w:val="22"/>
          <w:szCs w:val="22"/>
        </w:rPr>
        <w:t>, 202</w:t>
      </w:r>
      <w:r w:rsidR="00301749" w:rsidRPr="00F15BBE">
        <w:rPr>
          <w:rFonts w:ascii="Arial" w:hAnsi="Arial" w:cs="Arial"/>
          <w:sz w:val="22"/>
          <w:szCs w:val="22"/>
        </w:rPr>
        <w:t>3</w:t>
      </w:r>
      <w:r w:rsidRPr="00494B98">
        <w:rPr>
          <w:rFonts w:ascii="Arial" w:hAnsi="Arial" w:cs="Arial"/>
          <w:sz w:val="22"/>
          <w:szCs w:val="22"/>
        </w:rPr>
        <w:t>).</w:t>
      </w:r>
    </w:p>
    <w:p w14:paraId="7FDA2ACD" w14:textId="59221D52" w:rsidR="00494B98" w:rsidRPr="00494B98" w:rsidRDefault="00494B98" w:rsidP="00F15BBE">
      <w:pPr>
        <w:spacing w:line="360" w:lineRule="auto"/>
        <w:jc w:val="both"/>
        <w:rPr>
          <w:rFonts w:ascii="Arial" w:hAnsi="Arial" w:cs="Arial"/>
          <w:sz w:val="22"/>
          <w:szCs w:val="22"/>
        </w:rPr>
      </w:pPr>
      <w:r w:rsidRPr="00494B98">
        <w:rPr>
          <w:rFonts w:ascii="Arial" w:hAnsi="Arial" w:cs="Arial"/>
          <w:sz w:val="22"/>
          <w:szCs w:val="22"/>
        </w:rPr>
        <w:t>There are two main types of diabetes. Type 1 diabetes occurs when the body produces little or no insulin due to autoimmune destruction of pancreatic beta cells. This report focuses on Type 2 diabetes, which is far more common and accounts for around 90% of diabetes cases in the UK (</w:t>
      </w:r>
      <w:r w:rsidR="00301749" w:rsidRPr="00F15BBE">
        <w:rPr>
          <w:rFonts w:ascii="Arial" w:hAnsi="Arial" w:cs="Arial"/>
          <w:sz w:val="22"/>
          <w:szCs w:val="22"/>
        </w:rPr>
        <w:t>Kumar et al.</w:t>
      </w:r>
      <w:r w:rsidRPr="00494B98">
        <w:rPr>
          <w:rFonts w:ascii="Arial" w:hAnsi="Arial" w:cs="Arial"/>
          <w:sz w:val="22"/>
          <w:szCs w:val="22"/>
        </w:rPr>
        <w:t>, 202</w:t>
      </w:r>
      <w:r w:rsidR="00301749" w:rsidRPr="00F15BBE">
        <w:rPr>
          <w:rFonts w:ascii="Arial" w:hAnsi="Arial" w:cs="Arial"/>
          <w:sz w:val="22"/>
          <w:szCs w:val="22"/>
        </w:rPr>
        <w:t>0</w:t>
      </w:r>
      <w:r w:rsidRPr="00494B98">
        <w:rPr>
          <w:rFonts w:ascii="Arial" w:hAnsi="Arial" w:cs="Arial"/>
          <w:sz w:val="22"/>
          <w:szCs w:val="22"/>
        </w:rPr>
        <w:t>). In Type 2 diabetes, the body either does not produce enough insulin or the body’s cells do not respond effectively to insulin. This condition is known as insulin resistance</w:t>
      </w:r>
      <w:r w:rsidR="00301749" w:rsidRPr="00F15BBE">
        <w:rPr>
          <w:rFonts w:ascii="Arial" w:hAnsi="Arial" w:cs="Arial"/>
          <w:sz w:val="22"/>
          <w:szCs w:val="22"/>
        </w:rPr>
        <w:t xml:space="preserve"> </w:t>
      </w:r>
      <w:r w:rsidR="00301749" w:rsidRPr="00494B98">
        <w:rPr>
          <w:rFonts w:ascii="Arial" w:hAnsi="Arial" w:cs="Arial"/>
          <w:sz w:val="22"/>
          <w:szCs w:val="22"/>
        </w:rPr>
        <w:t>(</w:t>
      </w:r>
      <w:r w:rsidR="00301749" w:rsidRPr="00F15BBE">
        <w:rPr>
          <w:rFonts w:ascii="Arial" w:hAnsi="Arial" w:cs="Arial"/>
          <w:sz w:val="22"/>
          <w:szCs w:val="22"/>
        </w:rPr>
        <w:t>Kumar et al.</w:t>
      </w:r>
      <w:r w:rsidR="00301749" w:rsidRPr="00494B98">
        <w:rPr>
          <w:rFonts w:ascii="Arial" w:hAnsi="Arial" w:cs="Arial"/>
          <w:sz w:val="22"/>
          <w:szCs w:val="22"/>
        </w:rPr>
        <w:t>, 202</w:t>
      </w:r>
      <w:r w:rsidR="00301749" w:rsidRPr="00F15BBE">
        <w:rPr>
          <w:rFonts w:ascii="Arial" w:hAnsi="Arial" w:cs="Arial"/>
          <w:sz w:val="22"/>
          <w:szCs w:val="22"/>
        </w:rPr>
        <w:t>0</w:t>
      </w:r>
      <w:r w:rsidR="00301749" w:rsidRPr="00494B98">
        <w:rPr>
          <w:rFonts w:ascii="Arial" w:hAnsi="Arial" w:cs="Arial"/>
          <w:sz w:val="22"/>
          <w:szCs w:val="22"/>
        </w:rPr>
        <w:t>)</w:t>
      </w:r>
      <w:r w:rsidRPr="00494B98">
        <w:rPr>
          <w:rFonts w:ascii="Arial" w:hAnsi="Arial" w:cs="Arial"/>
          <w:sz w:val="22"/>
          <w:szCs w:val="22"/>
        </w:rPr>
        <w:t>.</w:t>
      </w:r>
    </w:p>
    <w:p w14:paraId="6FA8E89D" w14:textId="50479AF1" w:rsidR="00494B98" w:rsidRPr="00494B98" w:rsidRDefault="00494B98" w:rsidP="00F15BBE">
      <w:pPr>
        <w:spacing w:line="360" w:lineRule="auto"/>
        <w:jc w:val="both"/>
        <w:rPr>
          <w:rFonts w:ascii="Arial" w:hAnsi="Arial" w:cs="Arial"/>
          <w:sz w:val="22"/>
          <w:szCs w:val="22"/>
        </w:rPr>
      </w:pPr>
      <w:r w:rsidRPr="00494B98">
        <w:rPr>
          <w:rFonts w:ascii="Arial" w:hAnsi="Arial" w:cs="Arial"/>
          <w:sz w:val="22"/>
          <w:szCs w:val="22"/>
        </w:rPr>
        <w:t>Several risk factors increase the likelihood of developing Type 2 diabetes. These include being overweight or obese, particularly having excess abdominal fat, physical inactivity, poor diet high in refined sugars and saturated fats, increasing age, family history of diabetes, and certain ethnic backgrounds (</w:t>
      </w:r>
      <w:r w:rsidR="00301749" w:rsidRPr="00F15BBE">
        <w:rPr>
          <w:rFonts w:ascii="Arial" w:hAnsi="Arial" w:cs="Arial"/>
          <w:sz w:val="22"/>
          <w:szCs w:val="22"/>
        </w:rPr>
        <w:t>Yameny,</w:t>
      </w:r>
      <w:r w:rsidRPr="00494B98">
        <w:rPr>
          <w:rFonts w:ascii="Arial" w:hAnsi="Arial" w:cs="Arial"/>
          <w:sz w:val="22"/>
          <w:szCs w:val="22"/>
        </w:rPr>
        <w:t xml:space="preserve"> 202</w:t>
      </w:r>
      <w:r w:rsidR="00301749" w:rsidRPr="00F15BBE">
        <w:rPr>
          <w:rFonts w:ascii="Arial" w:hAnsi="Arial" w:cs="Arial"/>
          <w:sz w:val="22"/>
          <w:szCs w:val="22"/>
        </w:rPr>
        <w:t>4</w:t>
      </w:r>
      <w:r w:rsidRPr="00494B98">
        <w:rPr>
          <w:rFonts w:ascii="Arial" w:hAnsi="Arial" w:cs="Arial"/>
          <w:sz w:val="22"/>
          <w:szCs w:val="22"/>
        </w:rPr>
        <w:t>). Smoking is also a significant risk factor, as it worsens insulin resistance and increases the risk of complications such as cardiovascular disease.</w:t>
      </w:r>
    </w:p>
    <w:p w14:paraId="5A6227DF" w14:textId="1B069635" w:rsidR="00494B98" w:rsidRPr="00494B98" w:rsidRDefault="00494B98" w:rsidP="00F15BBE">
      <w:pPr>
        <w:spacing w:line="360" w:lineRule="auto"/>
        <w:jc w:val="both"/>
        <w:rPr>
          <w:rFonts w:ascii="Arial" w:hAnsi="Arial" w:cs="Arial"/>
          <w:sz w:val="22"/>
          <w:szCs w:val="22"/>
        </w:rPr>
      </w:pPr>
      <w:r w:rsidRPr="00494B98">
        <w:rPr>
          <w:rFonts w:ascii="Arial" w:hAnsi="Arial" w:cs="Arial"/>
          <w:sz w:val="22"/>
          <w:szCs w:val="22"/>
        </w:rPr>
        <w:t>As a practice nurse working in a GP surgery, it is clear that many patients with Type 2 diabetes struggle to understand how their condition affects their body and why lifestyle choices and blood glucose monitoring are so important</w:t>
      </w:r>
      <w:r w:rsidR="00301749" w:rsidRPr="00F15BBE">
        <w:rPr>
          <w:rFonts w:ascii="Arial" w:hAnsi="Arial" w:cs="Arial"/>
          <w:sz w:val="22"/>
          <w:szCs w:val="22"/>
        </w:rPr>
        <w:t xml:space="preserve"> (Ribu, Rønnevig, and Corbin, 2019)</w:t>
      </w:r>
      <w:r w:rsidRPr="00494B98">
        <w:rPr>
          <w:rFonts w:ascii="Arial" w:hAnsi="Arial" w:cs="Arial"/>
          <w:sz w:val="22"/>
          <w:szCs w:val="22"/>
        </w:rPr>
        <w:t>. Improving patients’ understanding can help them engage more effectively with their care plans and manage their condition safely.</w:t>
      </w:r>
    </w:p>
    <w:p w14:paraId="02A07BC5" w14:textId="77777777" w:rsidR="00494B98" w:rsidRPr="00494B98" w:rsidRDefault="00494B98" w:rsidP="00F15BBE">
      <w:pPr>
        <w:spacing w:line="360" w:lineRule="auto"/>
        <w:jc w:val="both"/>
        <w:rPr>
          <w:rFonts w:ascii="Arial" w:hAnsi="Arial" w:cs="Arial"/>
          <w:b/>
          <w:bCs/>
          <w:sz w:val="22"/>
          <w:szCs w:val="22"/>
        </w:rPr>
      </w:pPr>
      <w:r w:rsidRPr="00494B98">
        <w:rPr>
          <w:rFonts w:ascii="Arial" w:hAnsi="Arial" w:cs="Arial"/>
          <w:b/>
          <w:bCs/>
          <w:sz w:val="22"/>
          <w:szCs w:val="22"/>
        </w:rPr>
        <w:t>b) How Blood Sugar Levels Are Maintained at a Safe and Effective Level</w:t>
      </w:r>
    </w:p>
    <w:p w14:paraId="13104042" w14:textId="755C829A"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In a healthy individual, blood glucose levels are tightly regulated to remain within a narrow range, usually between 4.0 and 7.8 mmol/L, to ensure cells have a constant energy supply while preventing glucose toxicity (</w:t>
      </w:r>
      <w:r w:rsidR="00301749" w:rsidRPr="00F15BBE">
        <w:rPr>
          <w:rFonts w:ascii="Arial" w:hAnsi="Arial" w:cs="Arial"/>
          <w:sz w:val="22"/>
          <w:szCs w:val="22"/>
        </w:rPr>
        <w:t>Sullivan and Forbes</w:t>
      </w:r>
      <w:r w:rsidRPr="00EC5517">
        <w:rPr>
          <w:rFonts w:ascii="Arial" w:hAnsi="Arial" w:cs="Arial"/>
          <w:sz w:val="22"/>
          <w:szCs w:val="22"/>
        </w:rPr>
        <w:t>, 20</w:t>
      </w:r>
      <w:r w:rsidR="00301749" w:rsidRPr="00F15BBE">
        <w:rPr>
          <w:rFonts w:ascii="Arial" w:hAnsi="Arial" w:cs="Arial"/>
          <w:sz w:val="22"/>
          <w:szCs w:val="22"/>
        </w:rPr>
        <w:t>19</w:t>
      </w:r>
      <w:r w:rsidRPr="00EC5517">
        <w:rPr>
          <w:rFonts w:ascii="Arial" w:hAnsi="Arial" w:cs="Arial"/>
          <w:sz w:val="22"/>
          <w:szCs w:val="22"/>
        </w:rPr>
        <w:t>). This regulation relies on the coordinated action of the pancreas, liver, skeletal muscle, and adipose tissue, controlled primarily by the hormones insulin and glucagon.</w:t>
      </w:r>
    </w:p>
    <w:p w14:paraId="717DE5C3" w14:textId="5CC45AC7"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Following food intake, dietary carbohydrates are broken down into monosaccharides, mainly glucose, which is absorbed through the small intestine into the bloodstream. The resulting rise in blood glucose is detected by beta cells within the islets of Langerhans in the pancreas, triggering the release of insulin (</w:t>
      </w:r>
      <w:r w:rsidR="00B03E66" w:rsidRPr="00F15BBE">
        <w:rPr>
          <w:rFonts w:ascii="Arial" w:hAnsi="Arial" w:cs="Arial"/>
          <w:sz w:val="22"/>
          <w:szCs w:val="22"/>
        </w:rPr>
        <w:t xml:space="preserve">Niaz, Khan and Shah, </w:t>
      </w:r>
      <w:r w:rsidRPr="00EC5517">
        <w:rPr>
          <w:rFonts w:ascii="Arial" w:hAnsi="Arial" w:cs="Arial"/>
          <w:sz w:val="22"/>
          <w:szCs w:val="22"/>
        </w:rPr>
        <w:t>202</w:t>
      </w:r>
      <w:r w:rsidR="00B03E66" w:rsidRPr="00F15BBE">
        <w:rPr>
          <w:rFonts w:ascii="Arial" w:hAnsi="Arial" w:cs="Arial"/>
          <w:sz w:val="22"/>
          <w:szCs w:val="22"/>
        </w:rPr>
        <w:t>0</w:t>
      </w:r>
      <w:r w:rsidRPr="00EC5517">
        <w:rPr>
          <w:rFonts w:ascii="Arial" w:hAnsi="Arial" w:cs="Arial"/>
          <w:sz w:val="22"/>
          <w:szCs w:val="22"/>
        </w:rPr>
        <w:t>). Insulin binds to specific receptors on muscle and adipose cells, activating glucose transporter type 4 (GLUT4) proteins, which move glucose from the bloodstream into cells for immediate energy use or storage (</w:t>
      </w:r>
      <w:r w:rsidR="00B03E66" w:rsidRPr="00F15BBE">
        <w:rPr>
          <w:rFonts w:ascii="Arial" w:hAnsi="Arial" w:cs="Arial"/>
          <w:sz w:val="22"/>
          <w:szCs w:val="22"/>
        </w:rPr>
        <w:t>Merz and Thurmond</w:t>
      </w:r>
      <w:r w:rsidRPr="00EC5517">
        <w:rPr>
          <w:rFonts w:ascii="Arial" w:hAnsi="Arial" w:cs="Arial"/>
          <w:sz w:val="22"/>
          <w:szCs w:val="22"/>
        </w:rPr>
        <w:t>, 202</w:t>
      </w:r>
      <w:r w:rsidR="00B03E66" w:rsidRPr="00F15BBE">
        <w:rPr>
          <w:rFonts w:ascii="Arial" w:hAnsi="Arial" w:cs="Arial"/>
          <w:sz w:val="22"/>
          <w:szCs w:val="22"/>
        </w:rPr>
        <w:t>0</w:t>
      </w:r>
      <w:r w:rsidRPr="00EC5517">
        <w:rPr>
          <w:rFonts w:ascii="Arial" w:hAnsi="Arial" w:cs="Arial"/>
          <w:sz w:val="22"/>
          <w:szCs w:val="22"/>
        </w:rPr>
        <w:t>).</w:t>
      </w:r>
    </w:p>
    <w:p w14:paraId="05E4561D" w14:textId="77777777"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Insulin also acts on the liver by promoting glycogenesis, the conversion of glucose into glycogen for short-term energy storage. At the same time, insulin suppresses glycogen breakdown and glucose production by the liver, preventing excessive glucose release into the blood (Hall and Guyton, 2021). This coordinated response ensures that post-meal blood glucose levels return to a safe baseline.</w:t>
      </w:r>
    </w:p>
    <w:p w14:paraId="23C85C25" w14:textId="1BA8FF8F"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When blood glucose levels fall, such as during fasting or physical activity, alpha cells in the pancreas release glucagon. Glucagon stimulates the liver to break down stored glycogen into glucose through glycogenolysis and to produce new glucose via gluconeogenesis, maintaining an adequate supply of glucose for vital organs, particularly the brain (</w:t>
      </w:r>
      <w:r w:rsidR="006B7D28" w:rsidRPr="00F15BBE">
        <w:rPr>
          <w:rFonts w:ascii="Arial" w:hAnsi="Arial" w:cs="Arial"/>
          <w:sz w:val="22"/>
          <w:szCs w:val="22"/>
        </w:rPr>
        <w:t>Kajani et al</w:t>
      </w:r>
      <w:r w:rsidRPr="00EC5517">
        <w:rPr>
          <w:rFonts w:ascii="Arial" w:hAnsi="Arial" w:cs="Arial"/>
          <w:sz w:val="22"/>
          <w:szCs w:val="22"/>
        </w:rPr>
        <w:t>, 202</w:t>
      </w:r>
      <w:r w:rsidR="006B7D28" w:rsidRPr="00F15BBE">
        <w:rPr>
          <w:rFonts w:ascii="Arial" w:hAnsi="Arial" w:cs="Arial"/>
          <w:sz w:val="22"/>
          <w:szCs w:val="22"/>
        </w:rPr>
        <w:t>4</w:t>
      </w:r>
      <w:r w:rsidRPr="00EC5517">
        <w:rPr>
          <w:rFonts w:ascii="Arial" w:hAnsi="Arial" w:cs="Arial"/>
          <w:sz w:val="22"/>
          <w:szCs w:val="22"/>
        </w:rPr>
        <w:t>).</w:t>
      </w:r>
    </w:p>
    <w:p w14:paraId="34282462" w14:textId="301D0C8E" w:rsidR="00494B98" w:rsidRPr="00494B98" w:rsidRDefault="00EC5517" w:rsidP="00F15BBE">
      <w:pPr>
        <w:spacing w:line="360" w:lineRule="auto"/>
        <w:jc w:val="both"/>
        <w:rPr>
          <w:rFonts w:ascii="Arial" w:hAnsi="Arial" w:cs="Arial"/>
          <w:sz w:val="22"/>
          <w:szCs w:val="22"/>
        </w:rPr>
      </w:pPr>
      <w:r w:rsidRPr="00EC5517">
        <w:rPr>
          <w:rFonts w:ascii="Arial" w:hAnsi="Arial" w:cs="Arial"/>
          <w:sz w:val="22"/>
          <w:szCs w:val="22"/>
        </w:rPr>
        <w:t>In individuals with Type 2 diabetes, this regulatory system becomes impaired. Insulin resistance develops when muscle, liver, and fat cells respond poorly to insulin signalling, reducing glucose uptake and allowing glucose to accumulate in the bloodstream. In response, the pancreas initially produces more insulin, but over time beta-cell function declines, leading to inadequate insulin secretion (</w:t>
      </w:r>
      <w:r w:rsidR="006B7D28" w:rsidRPr="00F15BBE">
        <w:rPr>
          <w:rFonts w:ascii="Arial" w:hAnsi="Arial" w:cs="Arial"/>
          <w:sz w:val="22"/>
          <w:szCs w:val="22"/>
        </w:rPr>
        <w:t>Campbell and Newgard,</w:t>
      </w:r>
      <w:r w:rsidRPr="00EC5517">
        <w:rPr>
          <w:rFonts w:ascii="Arial" w:hAnsi="Arial" w:cs="Arial"/>
          <w:sz w:val="22"/>
          <w:szCs w:val="22"/>
        </w:rPr>
        <w:t xml:space="preserve"> 2022). Persistent hyperglycaemia causes damage to blood vessels and nerves by promoting inflammation and oxidative stress, increasing the risk of complications such as cardiovascular disease, neuropathy, and kidney damage if blood glucose levels are not effectively managed (</w:t>
      </w:r>
      <w:r w:rsidR="006B7D28" w:rsidRPr="00F15BBE">
        <w:rPr>
          <w:rFonts w:ascii="Arial" w:hAnsi="Arial" w:cs="Arial"/>
          <w:sz w:val="22"/>
          <w:szCs w:val="22"/>
        </w:rPr>
        <w:t>Campbell and Newgard,</w:t>
      </w:r>
      <w:r w:rsidRPr="00EC5517">
        <w:rPr>
          <w:rFonts w:ascii="Arial" w:hAnsi="Arial" w:cs="Arial"/>
          <w:sz w:val="22"/>
          <w:szCs w:val="22"/>
        </w:rPr>
        <w:t xml:space="preserve"> 2022).</w:t>
      </w:r>
    </w:p>
    <w:p w14:paraId="03089B59" w14:textId="77777777" w:rsidR="00494B98" w:rsidRPr="00494B98" w:rsidRDefault="00494B98" w:rsidP="00F15BBE">
      <w:pPr>
        <w:spacing w:line="360" w:lineRule="auto"/>
        <w:jc w:val="both"/>
        <w:rPr>
          <w:rFonts w:ascii="Arial" w:hAnsi="Arial" w:cs="Arial"/>
          <w:b/>
          <w:bCs/>
          <w:sz w:val="22"/>
          <w:szCs w:val="22"/>
        </w:rPr>
      </w:pPr>
      <w:r w:rsidRPr="00494B98">
        <w:rPr>
          <w:rFonts w:ascii="Arial" w:hAnsi="Arial" w:cs="Arial"/>
          <w:b/>
          <w:bCs/>
          <w:sz w:val="22"/>
          <w:szCs w:val="22"/>
        </w:rPr>
        <w:t>c) How Oxygen and Glucose Are Used to Produce Energy Through Cell Metabolism</w:t>
      </w:r>
    </w:p>
    <w:p w14:paraId="6893969D" w14:textId="222B1C4A"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Body cells require a continuous supply of energy to maintain normal physiological processes, including muscle contraction, nerve signalling, protein synthesis, and tissue repair. This energy is generated primarily through aerobic cellular respiration, which occurs within the mitochondria and depends on the availability of both glucose and oxygen (</w:t>
      </w:r>
      <w:r w:rsidR="00730BCA" w:rsidRPr="00F15BBE">
        <w:rPr>
          <w:rFonts w:ascii="Arial" w:hAnsi="Arial" w:cs="Arial"/>
          <w:sz w:val="22"/>
          <w:szCs w:val="22"/>
        </w:rPr>
        <w:t>Grygoryan</w:t>
      </w:r>
      <w:r w:rsidRPr="00EC5517">
        <w:rPr>
          <w:rFonts w:ascii="Arial" w:hAnsi="Arial" w:cs="Arial"/>
          <w:sz w:val="22"/>
          <w:szCs w:val="22"/>
        </w:rPr>
        <w:t>, 20</w:t>
      </w:r>
      <w:r w:rsidR="00730BCA" w:rsidRPr="00F15BBE">
        <w:rPr>
          <w:rFonts w:ascii="Arial" w:hAnsi="Arial" w:cs="Arial"/>
          <w:sz w:val="22"/>
          <w:szCs w:val="22"/>
        </w:rPr>
        <w:t>19</w:t>
      </w:r>
      <w:r w:rsidRPr="00EC5517">
        <w:rPr>
          <w:rFonts w:ascii="Arial" w:hAnsi="Arial" w:cs="Arial"/>
          <w:sz w:val="22"/>
          <w:szCs w:val="22"/>
        </w:rPr>
        <w:t>).</w:t>
      </w:r>
    </w:p>
    <w:p w14:paraId="0105FCDA" w14:textId="43A35DA7"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Glucose enters cells from the bloodstream through specific glucose transport proteins. In insulin-sensitive tissues such as skeletal muscle and adipose tissue, insulin binding to its receptor triggers the movement of GLUT4 transporters to the cell membrane, allowing glucose to enter the cell (Tortora and Derrickson, 20</w:t>
      </w:r>
      <w:r w:rsidR="00730BCA" w:rsidRPr="00F15BBE">
        <w:rPr>
          <w:rFonts w:ascii="Arial" w:hAnsi="Arial" w:cs="Arial"/>
          <w:sz w:val="22"/>
          <w:szCs w:val="22"/>
        </w:rPr>
        <w:t>18</w:t>
      </w:r>
      <w:r w:rsidRPr="00EC5517">
        <w:rPr>
          <w:rFonts w:ascii="Arial" w:hAnsi="Arial" w:cs="Arial"/>
          <w:sz w:val="22"/>
          <w:szCs w:val="22"/>
        </w:rPr>
        <w:t>). Once inside the cell, glucose undergoes glycolysis in the cytoplasm, producing pyruvate, which then enters the mitochondria for further breakdown in the Krebs cycle and electron transport chain. These processes require oxygen and result in the production of large amounts of adenosine triphosphate (ATP), which supplies energy for cellular function (</w:t>
      </w:r>
      <w:r w:rsidR="00730BCA" w:rsidRPr="00F15BBE">
        <w:rPr>
          <w:rFonts w:ascii="Arial" w:hAnsi="Arial" w:cs="Arial"/>
          <w:sz w:val="22"/>
          <w:szCs w:val="22"/>
        </w:rPr>
        <w:t>Grygoryan</w:t>
      </w:r>
      <w:r w:rsidR="00730BCA" w:rsidRPr="00EC5517">
        <w:rPr>
          <w:rFonts w:ascii="Arial" w:hAnsi="Arial" w:cs="Arial"/>
          <w:sz w:val="22"/>
          <w:szCs w:val="22"/>
        </w:rPr>
        <w:t xml:space="preserve">, </w:t>
      </w:r>
      <w:r w:rsidRPr="00EC5517">
        <w:rPr>
          <w:rFonts w:ascii="Arial" w:hAnsi="Arial" w:cs="Arial"/>
          <w:sz w:val="22"/>
          <w:szCs w:val="22"/>
        </w:rPr>
        <w:t>20</w:t>
      </w:r>
      <w:r w:rsidR="00730BCA" w:rsidRPr="00F15BBE">
        <w:rPr>
          <w:rFonts w:ascii="Arial" w:hAnsi="Arial" w:cs="Arial"/>
          <w:sz w:val="22"/>
          <w:szCs w:val="22"/>
        </w:rPr>
        <w:t>19</w:t>
      </w:r>
      <w:r w:rsidRPr="00EC5517">
        <w:rPr>
          <w:rFonts w:ascii="Arial" w:hAnsi="Arial" w:cs="Arial"/>
          <w:sz w:val="22"/>
          <w:szCs w:val="22"/>
        </w:rPr>
        <w:t>).</w:t>
      </w:r>
    </w:p>
    <w:p w14:paraId="5DC1D551" w14:textId="77777777"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The overall reaction of aerobic respiration can be summarised as:</w:t>
      </w:r>
    </w:p>
    <w:p w14:paraId="70215F03" w14:textId="77777777"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Glucose + Oxygen → Carbon Dioxide + Water + ATP</w:t>
      </w:r>
    </w:p>
    <w:p w14:paraId="4B46F28C" w14:textId="4599393D"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In individuals with Type 2 diabetes, insulin resistance reduces the effectiveness of insulin-mediated glucose uptake into muscle and fat cells. Despite adequate oxygen delivery, glucose remains largely in the bloodstream and is unavailable to cells for energy production. As a result, cells rely more heavily on alternative energy sources such as fatty acids, which is a less efficient process and contributes to feelings of fatigue commonly reported by individuals with poorly controlled diabetes (</w:t>
      </w:r>
      <w:r w:rsidR="00EC4016" w:rsidRPr="00F15BBE">
        <w:rPr>
          <w:rFonts w:ascii="Arial" w:hAnsi="Arial" w:cs="Arial"/>
          <w:sz w:val="22"/>
          <w:szCs w:val="22"/>
        </w:rPr>
        <w:t>Ferrannini et al.</w:t>
      </w:r>
      <w:r w:rsidRPr="00EC5517">
        <w:rPr>
          <w:rFonts w:ascii="Arial" w:hAnsi="Arial" w:cs="Arial"/>
          <w:sz w:val="22"/>
          <w:szCs w:val="22"/>
        </w:rPr>
        <w:t>, 2022).</w:t>
      </w:r>
    </w:p>
    <w:p w14:paraId="50E6531C" w14:textId="0896E31F" w:rsidR="00494B98" w:rsidRPr="00494B98" w:rsidRDefault="00EC5517" w:rsidP="00F15BBE">
      <w:pPr>
        <w:spacing w:line="360" w:lineRule="auto"/>
        <w:jc w:val="both"/>
        <w:rPr>
          <w:rFonts w:ascii="Arial" w:hAnsi="Arial" w:cs="Arial"/>
          <w:sz w:val="22"/>
          <w:szCs w:val="22"/>
        </w:rPr>
      </w:pPr>
      <w:r w:rsidRPr="00EC5517">
        <w:rPr>
          <w:rFonts w:ascii="Arial" w:hAnsi="Arial" w:cs="Arial"/>
          <w:sz w:val="22"/>
          <w:szCs w:val="22"/>
        </w:rPr>
        <w:t>Chronic hyperglycaemia also leads to increased conversion of excess glucose into fatty acids in the liver, promoting fat storage in adipose tissue and within organs such as the liver and skeletal muscle. This process further impairs insulin signalling, creating a cycle in which reduced cellular glucose uptake leads to worsening insulin resistance and poorer metabolic control over time (</w:t>
      </w:r>
      <w:r w:rsidR="00EC4016" w:rsidRPr="00F15BBE">
        <w:rPr>
          <w:rFonts w:ascii="Arial" w:hAnsi="Arial" w:cs="Arial"/>
          <w:sz w:val="22"/>
          <w:szCs w:val="22"/>
        </w:rPr>
        <w:t>Ferrannini et al.</w:t>
      </w:r>
      <w:r w:rsidR="00EC4016" w:rsidRPr="00EC5517">
        <w:rPr>
          <w:rFonts w:ascii="Arial" w:hAnsi="Arial" w:cs="Arial"/>
          <w:sz w:val="22"/>
          <w:szCs w:val="22"/>
        </w:rPr>
        <w:t>, 2022</w:t>
      </w:r>
      <w:r w:rsidRPr="00EC5517">
        <w:rPr>
          <w:rFonts w:ascii="Arial" w:hAnsi="Arial" w:cs="Arial"/>
          <w:sz w:val="22"/>
          <w:szCs w:val="22"/>
        </w:rPr>
        <w:t>).</w:t>
      </w:r>
    </w:p>
    <w:p w14:paraId="2F0F3A6E" w14:textId="77777777" w:rsidR="00494B98" w:rsidRPr="00494B98" w:rsidRDefault="00494B98" w:rsidP="00F15BBE">
      <w:pPr>
        <w:spacing w:line="360" w:lineRule="auto"/>
        <w:jc w:val="both"/>
        <w:rPr>
          <w:rFonts w:ascii="Arial" w:hAnsi="Arial" w:cs="Arial"/>
          <w:b/>
          <w:bCs/>
          <w:sz w:val="22"/>
          <w:szCs w:val="22"/>
        </w:rPr>
      </w:pPr>
      <w:r w:rsidRPr="00494B98">
        <w:rPr>
          <w:rFonts w:ascii="Arial" w:hAnsi="Arial" w:cs="Arial"/>
          <w:b/>
          <w:bCs/>
          <w:sz w:val="22"/>
          <w:szCs w:val="22"/>
        </w:rPr>
        <w:t>d) How Recording and Tracking Blood Sugar Levels Helps People with Type 2 Diabetes</w:t>
      </w:r>
    </w:p>
    <w:p w14:paraId="243283CC" w14:textId="41DC1616"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Regular monitoring of blood glucose levels allows individuals with Type 2 diabetes and healthcare professionals to make timely and informed decisions about daily management and longer-term treatment. Capillary blood glucose testing provides immediate data that reflects the combined effects of food intake, physical activity, medication adherence, and physiological stressors such as infection or illness (</w:t>
      </w:r>
      <w:r w:rsidR="00EC4016" w:rsidRPr="00F15BBE">
        <w:rPr>
          <w:rFonts w:ascii="Arial" w:hAnsi="Arial" w:cs="Arial"/>
          <w:sz w:val="22"/>
          <w:szCs w:val="22"/>
        </w:rPr>
        <w:t>Boye et al.</w:t>
      </w:r>
      <w:r w:rsidRPr="00EC5517">
        <w:rPr>
          <w:rFonts w:ascii="Arial" w:hAnsi="Arial" w:cs="Arial"/>
          <w:sz w:val="22"/>
          <w:szCs w:val="22"/>
        </w:rPr>
        <w:t>, 2022).</w:t>
      </w:r>
    </w:p>
    <w:p w14:paraId="40F6FFF4" w14:textId="7F01E66B"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Recording blood glucose readings at specific times, for example fasting, pre-meal, and two hours post-meal, enables the identification of predictable patterns rather than isolated results</w:t>
      </w:r>
      <w:r w:rsidR="00A31D74" w:rsidRPr="00F15BBE">
        <w:rPr>
          <w:rFonts w:ascii="Arial" w:hAnsi="Arial" w:cs="Arial"/>
          <w:sz w:val="22"/>
          <w:szCs w:val="22"/>
        </w:rPr>
        <w:t xml:space="preserve"> (Reytor-González et al., 2025)</w:t>
      </w:r>
      <w:r w:rsidRPr="00EC5517">
        <w:rPr>
          <w:rFonts w:ascii="Arial" w:hAnsi="Arial" w:cs="Arial"/>
          <w:sz w:val="22"/>
          <w:szCs w:val="22"/>
        </w:rPr>
        <w:t>. Persistently raised fasting glucose levels may indicate excessive overnight hepatic glucose release, while repeated post-prandial spikes suggest inadequate insulin action in response to carbohydrate intake. Identifying these patterns allows healthcare professionals to target interventions more precisely, such as modifying meal composition, adjusting medication timing, or reviewing physical activity levels (</w:t>
      </w:r>
      <w:r w:rsidR="00A31D74" w:rsidRPr="00F15BBE">
        <w:rPr>
          <w:rFonts w:ascii="Arial" w:hAnsi="Arial" w:cs="Arial"/>
          <w:sz w:val="22"/>
          <w:szCs w:val="22"/>
        </w:rPr>
        <w:t>Reytor-González et al., 2025</w:t>
      </w:r>
      <w:r w:rsidRPr="00EC5517">
        <w:rPr>
          <w:rFonts w:ascii="Arial" w:hAnsi="Arial" w:cs="Arial"/>
          <w:sz w:val="22"/>
          <w:szCs w:val="22"/>
        </w:rPr>
        <w:t>).</w:t>
      </w:r>
    </w:p>
    <w:p w14:paraId="5EC5FB1F" w14:textId="26FDA726"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Blood glucose records are also used to assess the effectiveness and safety of treatment. For patients prescribed medications that increase insulin availability, monitoring helps detect episodes of hypoglycaemia, which can be dangerous if unrecognised. This is particularly important for older adults and those with reduced awareness of low blood sugar symptoms (</w:t>
      </w:r>
      <w:r w:rsidR="00A31D74" w:rsidRPr="00F15BBE">
        <w:rPr>
          <w:rFonts w:ascii="Arial" w:hAnsi="Arial" w:cs="Arial"/>
          <w:sz w:val="22"/>
          <w:szCs w:val="22"/>
        </w:rPr>
        <w:t>Weinstock et al.</w:t>
      </w:r>
      <w:r w:rsidRPr="00EC5517">
        <w:rPr>
          <w:rFonts w:ascii="Arial" w:hAnsi="Arial" w:cs="Arial"/>
          <w:sz w:val="22"/>
          <w:szCs w:val="22"/>
        </w:rPr>
        <w:t>, 202</w:t>
      </w:r>
      <w:r w:rsidR="00A31D74" w:rsidRPr="00F15BBE">
        <w:rPr>
          <w:rFonts w:ascii="Arial" w:hAnsi="Arial" w:cs="Arial"/>
          <w:sz w:val="22"/>
          <w:szCs w:val="22"/>
        </w:rPr>
        <w:t>0</w:t>
      </w:r>
      <w:r w:rsidRPr="00EC5517">
        <w:rPr>
          <w:rFonts w:ascii="Arial" w:hAnsi="Arial" w:cs="Arial"/>
          <w:sz w:val="22"/>
          <w:szCs w:val="22"/>
        </w:rPr>
        <w:t>).</w:t>
      </w:r>
    </w:p>
    <w:p w14:paraId="6C3FB90A" w14:textId="48D95280"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Long-term glycaemic control is assessed using HbA1c, which reflects average blood glucose exposure over approximately 8–12 weeks</w:t>
      </w:r>
      <w:r w:rsidR="00EC4016" w:rsidRPr="00F15BBE">
        <w:rPr>
          <w:rFonts w:ascii="Arial" w:hAnsi="Arial" w:cs="Arial"/>
          <w:sz w:val="22"/>
          <w:szCs w:val="22"/>
        </w:rPr>
        <w:t xml:space="preserve"> (Boye et al., 2022)</w:t>
      </w:r>
      <w:r w:rsidRPr="00EC5517">
        <w:rPr>
          <w:rFonts w:ascii="Arial" w:hAnsi="Arial" w:cs="Arial"/>
          <w:sz w:val="22"/>
          <w:szCs w:val="22"/>
        </w:rPr>
        <w:t>. However, HbA1c alone does not show daily fluctuations. Comparing HbA1c results with recorded self-monitoring data helps patients understand how consistent daily behaviours, such as regular physical activity or dietary changes, contribute to improved long-term control (</w:t>
      </w:r>
      <w:r w:rsidR="00A31D74" w:rsidRPr="00F15BBE">
        <w:rPr>
          <w:rFonts w:ascii="Arial" w:hAnsi="Arial" w:cs="Arial"/>
          <w:sz w:val="22"/>
          <w:szCs w:val="22"/>
        </w:rPr>
        <w:t>Reytor-González et al., 2025</w:t>
      </w:r>
      <w:r w:rsidRPr="00EC5517">
        <w:rPr>
          <w:rFonts w:ascii="Arial" w:hAnsi="Arial" w:cs="Arial"/>
          <w:sz w:val="22"/>
          <w:szCs w:val="22"/>
        </w:rPr>
        <w:t>).</w:t>
      </w:r>
    </w:p>
    <w:p w14:paraId="067A4286" w14:textId="06582BDD" w:rsidR="00494B98" w:rsidRPr="00494B98" w:rsidRDefault="00EC5517" w:rsidP="00F15BBE">
      <w:pPr>
        <w:spacing w:line="360" w:lineRule="auto"/>
        <w:jc w:val="both"/>
        <w:rPr>
          <w:rFonts w:ascii="Arial" w:hAnsi="Arial" w:cs="Arial"/>
          <w:sz w:val="22"/>
          <w:szCs w:val="22"/>
        </w:rPr>
      </w:pPr>
      <w:r w:rsidRPr="00EC5517">
        <w:rPr>
          <w:rFonts w:ascii="Arial" w:hAnsi="Arial" w:cs="Arial"/>
          <w:sz w:val="22"/>
          <w:szCs w:val="22"/>
        </w:rPr>
        <w:t>Without routine monitoring and recording, prolonged hyperglycaemia may remain undetected, delaying intervention and increasing the risk of microvascular and macrovascular complications, including retinopathy, nephropathy, neuropathy, and cardiovascular disease. Therefore, systematic tracking of blood glucose data supports early clinical review, patient education, and safer long-term self-management of Type 2 diabetes (</w:t>
      </w:r>
      <w:r w:rsidR="00A31D74" w:rsidRPr="00F15BBE">
        <w:rPr>
          <w:rFonts w:ascii="Arial" w:hAnsi="Arial" w:cs="Arial"/>
          <w:sz w:val="22"/>
          <w:szCs w:val="22"/>
        </w:rPr>
        <w:t>Engler et al.</w:t>
      </w:r>
      <w:r w:rsidRPr="00EC5517">
        <w:rPr>
          <w:rFonts w:ascii="Arial" w:hAnsi="Arial" w:cs="Arial"/>
          <w:sz w:val="22"/>
          <w:szCs w:val="22"/>
        </w:rPr>
        <w:t>, 2022).</w:t>
      </w:r>
    </w:p>
    <w:p w14:paraId="1B56C2D5" w14:textId="77777777" w:rsidR="00494B98" w:rsidRPr="00494B98" w:rsidRDefault="00494B98" w:rsidP="00F15BBE">
      <w:pPr>
        <w:spacing w:line="360" w:lineRule="auto"/>
        <w:jc w:val="both"/>
        <w:rPr>
          <w:rFonts w:ascii="Arial" w:hAnsi="Arial" w:cs="Arial"/>
          <w:b/>
          <w:bCs/>
          <w:sz w:val="22"/>
          <w:szCs w:val="22"/>
        </w:rPr>
      </w:pPr>
      <w:r w:rsidRPr="00494B98">
        <w:rPr>
          <w:rFonts w:ascii="Arial" w:hAnsi="Arial" w:cs="Arial"/>
          <w:b/>
          <w:bCs/>
          <w:sz w:val="22"/>
          <w:szCs w:val="22"/>
        </w:rPr>
        <w:t>e) Evidence-Based Lifestyle Recommendations to Improve Diabetes Control</w:t>
      </w:r>
    </w:p>
    <w:p w14:paraId="0B92B9F4" w14:textId="108758FA"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Lifestyle modification is a first-line intervention in the management of Type 2 diabetes because it directly targets the underlying causes of insulin resistance and chronic hyperglycaemia. Clinical guidelines consistently emphasise that lifestyle change can delay disease progression and, in some cases, reduce the need for pharmacological treatment (</w:t>
      </w:r>
      <w:r w:rsidR="00A31D74" w:rsidRPr="00F15BBE">
        <w:rPr>
          <w:rFonts w:ascii="Arial" w:hAnsi="Arial" w:cs="Arial"/>
          <w:sz w:val="22"/>
          <w:szCs w:val="22"/>
        </w:rPr>
        <w:t>Engler et al.</w:t>
      </w:r>
      <w:r w:rsidRPr="00EC5517">
        <w:rPr>
          <w:rFonts w:ascii="Arial" w:hAnsi="Arial" w:cs="Arial"/>
          <w:sz w:val="22"/>
          <w:szCs w:val="22"/>
        </w:rPr>
        <w:t>, 2022).</w:t>
      </w:r>
    </w:p>
    <w:p w14:paraId="16F46EB4" w14:textId="77777777" w:rsidR="00EC5517" w:rsidRPr="00EC5517" w:rsidRDefault="00EC5517" w:rsidP="00F15BBE">
      <w:pPr>
        <w:spacing w:line="360" w:lineRule="auto"/>
        <w:jc w:val="both"/>
        <w:rPr>
          <w:rFonts w:ascii="Arial" w:hAnsi="Arial" w:cs="Arial"/>
          <w:b/>
          <w:bCs/>
          <w:sz w:val="22"/>
          <w:szCs w:val="22"/>
        </w:rPr>
      </w:pPr>
      <w:r w:rsidRPr="00EC5517">
        <w:rPr>
          <w:rFonts w:ascii="Arial" w:hAnsi="Arial" w:cs="Arial"/>
          <w:b/>
          <w:bCs/>
          <w:sz w:val="22"/>
          <w:szCs w:val="22"/>
        </w:rPr>
        <w:t>Diet</w:t>
      </w:r>
    </w:p>
    <w:p w14:paraId="3A47B78C" w14:textId="4D14BBE8"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Dietary intake has a direct and immediate effect on post-prandial blood glucose levels. Diets high in refined carbohydrates and added sugars lead to rapid glucose absorption, overwhelming insulin response and increasing post-meal hyperglycaemia. In contrast, diets rich in whole grains, vegetables, legumes, and lean protein slow gastric emptying and glucose absorption, resulting in smaller and more controlled rises in blood glucose (</w:t>
      </w:r>
      <w:r w:rsidR="00F15BBE" w:rsidRPr="00F15BBE">
        <w:rPr>
          <w:rFonts w:ascii="Arial" w:hAnsi="Arial" w:cs="Arial"/>
          <w:sz w:val="22"/>
          <w:szCs w:val="22"/>
        </w:rPr>
        <w:t>Giezenaar et al.</w:t>
      </w:r>
      <w:r w:rsidRPr="00EC5517">
        <w:rPr>
          <w:rFonts w:ascii="Arial" w:hAnsi="Arial" w:cs="Arial"/>
          <w:sz w:val="22"/>
          <w:szCs w:val="22"/>
        </w:rPr>
        <w:t>, 20</w:t>
      </w:r>
      <w:r w:rsidR="00F15BBE" w:rsidRPr="00F15BBE">
        <w:rPr>
          <w:rFonts w:ascii="Arial" w:hAnsi="Arial" w:cs="Arial"/>
          <w:sz w:val="22"/>
          <w:szCs w:val="22"/>
        </w:rPr>
        <w:t>18</w:t>
      </w:r>
      <w:r w:rsidRPr="00EC5517">
        <w:rPr>
          <w:rFonts w:ascii="Arial" w:hAnsi="Arial" w:cs="Arial"/>
          <w:sz w:val="22"/>
          <w:szCs w:val="22"/>
        </w:rPr>
        <w:t>). NICE (2022) recommends structured dietary approaches, such as carbohydrate moderation and portion control, as these have been shown to improve HbA1c levels and support long-term glycaemic stability.</w:t>
      </w:r>
    </w:p>
    <w:p w14:paraId="6C594CA0" w14:textId="77777777" w:rsidR="00EC5517" w:rsidRPr="00EC5517" w:rsidRDefault="00EC5517" w:rsidP="00F15BBE">
      <w:pPr>
        <w:spacing w:line="360" w:lineRule="auto"/>
        <w:jc w:val="both"/>
        <w:rPr>
          <w:rFonts w:ascii="Arial" w:hAnsi="Arial" w:cs="Arial"/>
          <w:b/>
          <w:bCs/>
          <w:sz w:val="22"/>
          <w:szCs w:val="22"/>
        </w:rPr>
      </w:pPr>
      <w:r w:rsidRPr="00EC5517">
        <w:rPr>
          <w:rFonts w:ascii="Arial" w:hAnsi="Arial" w:cs="Arial"/>
          <w:b/>
          <w:bCs/>
          <w:sz w:val="22"/>
          <w:szCs w:val="22"/>
        </w:rPr>
        <w:t>Physical Activity</w:t>
      </w:r>
    </w:p>
    <w:p w14:paraId="38DD7D01" w14:textId="1ECF902C"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Regular physical activity improves blood glucose control by increasing insulin sensitivity in skeletal muscle. Muscle contraction during exercise stimulates glucose uptake through insulin-independent pathways, allowing glucose to enter cells even when insulin action is impaired (Hall and Guyton, 2021). Evidence shows that at least 150 minutes of moderate-intensity aerobic activity per week reduces HbA1c and lowers cardiovascular risk in people with Type 2 diabetes (NHS, 2023; NICE, 2022). Resistance exercise further improves glucose disposal by increasing muscle mass, which acts as a major site for glucose uptake (Diabetes UK, 202</w:t>
      </w:r>
      <w:r w:rsidR="00F15BBE" w:rsidRPr="00F15BBE">
        <w:rPr>
          <w:rFonts w:ascii="Arial" w:hAnsi="Arial" w:cs="Arial"/>
          <w:sz w:val="22"/>
          <w:szCs w:val="22"/>
        </w:rPr>
        <w:t>2</w:t>
      </w:r>
      <w:r w:rsidRPr="00EC5517">
        <w:rPr>
          <w:rFonts w:ascii="Arial" w:hAnsi="Arial" w:cs="Arial"/>
          <w:sz w:val="22"/>
          <w:szCs w:val="22"/>
        </w:rPr>
        <w:t>).</w:t>
      </w:r>
    </w:p>
    <w:p w14:paraId="241151FA" w14:textId="77777777" w:rsidR="00EC5517" w:rsidRPr="00EC5517" w:rsidRDefault="00EC5517" w:rsidP="00F15BBE">
      <w:pPr>
        <w:spacing w:line="360" w:lineRule="auto"/>
        <w:jc w:val="both"/>
        <w:rPr>
          <w:rFonts w:ascii="Arial" w:hAnsi="Arial" w:cs="Arial"/>
          <w:b/>
          <w:bCs/>
          <w:sz w:val="22"/>
          <w:szCs w:val="22"/>
        </w:rPr>
      </w:pPr>
      <w:r w:rsidRPr="00EC5517">
        <w:rPr>
          <w:rFonts w:ascii="Arial" w:hAnsi="Arial" w:cs="Arial"/>
          <w:b/>
          <w:bCs/>
          <w:sz w:val="22"/>
          <w:szCs w:val="22"/>
        </w:rPr>
        <w:t>Smoking Cessation</w:t>
      </w:r>
    </w:p>
    <w:p w14:paraId="4782A9A7" w14:textId="2F313105"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Smoking is an established risk factor for insulin resistance and poor glycaemic control. Nicotine increases circulating stress hormones such as cortisol and adrenaline, which raise blood glucose levels and impair insulin action (NICE, 2022). People with Type 2 diabetes who smoke have a significantly higher risk of cardiovascular disease, peripheral vascular disease, and stroke. Smoking cessation improves insulin sensitivity and reduces the risk of diabetes-related complications, making it a key component of effective diabetes management (Diabetes UK, 202</w:t>
      </w:r>
      <w:r w:rsidR="00F15BBE" w:rsidRPr="00F15BBE">
        <w:rPr>
          <w:rFonts w:ascii="Arial" w:hAnsi="Arial" w:cs="Arial"/>
          <w:sz w:val="22"/>
          <w:szCs w:val="22"/>
        </w:rPr>
        <w:t>2</w:t>
      </w:r>
      <w:r w:rsidRPr="00EC5517">
        <w:rPr>
          <w:rFonts w:ascii="Arial" w:hAnsi="Arial" w:cs="Arial"/>
          <w:sz w:val="22"/>
          <w:szCs w:val="22"/>
        </w:rPr>
        <w:t>).</w:t>
      </w:r>
    </w:p>
    <w:p w14:paraId="7AB35098" w14:textId="77777777" w:rsidR="00EC5517" w:rsidRPr="00EC5517" w:rsidRDefault="00EC5517" w:rsidP="00F15BBE">
      <w:pPr>
        <w:spacing w:line="360" w:lineRule="auto"/>
        <w:jc w:val="both"/>
        <w:rPr>
          <w:rFonts w:ascii="Arial" w:hAnsi="Arial" w:cs="Arial"/>
          <w:b/>
          <w:bCs/>
          <w:sz w:val="22"/>
          <w:szCs w:val="22"/>
        </w:rPr>
      </w:pPr>
      <w:r w:rsidRPr="00EC5517">
        <w:rPr>
          <w:rFonts w:ascii="Arial" w:hAnsi="Arial" w:cs="Arial"/>
          <w:b/>
          <w:bCs/>
          <w:sz w:val="22"/>
          <w:szCs w:val="22"/>
        </w:rPr>
        <w:t>Weight Management</w:t>
      </w:r>
    </w:p>
    <w:p w14:paraId="4C27CAC2" w14:textId="5F8264C2" w:rsidR="00EC5517" w:rsidRPr="00EC5517" w:rsidRDefault="00EC5517" w:rsidP="00F15BBE">
      <w:pPr>
        <w:spacing w:line="360" w:lineRule="auto"/>
        <w:jc w:val="both"/>
        <w:rPr>
          <w:rFonts w:ascii="Arial" w:hAnsi="Arial" w:cs="Arial"/>
          <w:sz w:val="22"/>
          <w:szCs w:val="22"/>
        </w:rPr>
      </w:pPr>
      <w:r w:rsidRPr="00EC5517">
        <w:rPr>
          <w:rFonts w:ascii="Arial" w:hAnsi="Arial" w:cs="Arial"/>
          <w:sz w:val="22"/>
          <w:szCs w:val="22"/>
        </w:rPr>
        <w:t>Excess adipose tissue, particularly visceral fat, releases inflammatory substances that interfere with insulin signalling pathways. Evidence indicates that a 5–10% reduction in body weight leads to clinically significant improvements in insulin sensitivity, fasting glucose levels, and HbA1c (NICE, 2022). Weight loss reduces fat accumulation in the liver and muscles, improving glucose uptake and metabolic control. In some individuals, sustained weight loss can lead to partial remission of Type 2 diabetes (Diabetes UK, 202</w:t>
      </w:r>
      <w:r w:rsidR="00F15BBE" w:rsidRPr="00F15BBE">
        <w:rPr>
          <w:rFonts w:ascii="Arial" w:hAnsi="Arial" w:cs="Arial"/>
          <w:sz w:val="22"/>
          <w:szCs w:val="22"/>
        </w:rPr>
        <w:t>2</w:t>
      </w:r>
      <w:r w:rsidRPr="00EC5517">
        <w:rPr>
          <w:rFonts w:ascii="Arial" w:hAnsi="Arial" w:cs="Arial"/>
          <w:sz w:val="22"/>
          <w:szCs w:val="22"/>
        </w:rPr>
        <w:t>).</w:t>
      </w:r>
    </w:p>
    <w:p w14:paraId="2AE576FD" w14:textId="66AD1DAB" w:rsidR="00494B98" w:rsidRPr="00494B98" w:rsidRDefault="00EC5517" w:rsidP="00F15BBE">
      <w:pPr>
        <w:spacing w:line="360" w:lineRule="auto"/>
        <w:jc w:val="both"/>
        <w:rPr>
          <w:rFonts w:ascii="Arial" w:hAnsi="Arial" w:cs="Arial"/>
          <w:sz w:val="22"/>
          <w:szCs w:val="22"/>
        </w:rPr>
      </w:pPr>
      <w:r w:rsidRPr="00EC5517">
        <w:rPr>
          <w:rFonts w:ascii="Arial" w:hAnsi="Arial" w:cs="Arial"/>
          <w:sz w:val="22"/>
          <w:szCs w:val="22"/>
        </w:rPr>
        <w:t>These lifestyle interventions are most effective when supported by regular blood glucose monitoring, as recorded readings provide objective feedback on how dietary choices, physical activity, and weight changes influence glycaemic control. This feedback reinforces behaviour change and allows healthcare professionals to tailor ongoing management safely and effectively (NICE, 2022).</w:t>
      </w:r>
    </w:p>
    <w:p w14:paraId="40129889" w14:textId="77777777" w:rsidR="00494B98" w:rsidRPr="00494B98" w:rsidRDefault="00494B98" w:rsidP="00F15BBE">
      <w:pPr>
        <w:spacing w:line="360" w:lineRule="auto"/>
        <w:jc w:val="both"/>
        <w:rPr>
          <w:rFonts w:ascii="Arial" w:hAnsi="Arial" w:cs="Arial"/>
          <w:b/>
          <w:bCs/>
          <w:sz w:val="22"/>
          <w:szCs w:val="22"/>
        </w:rPr>
      </w:pPr>
      <w:r w:rsidRPr="00494B98">
        <w:rPr>
          <w:rFonts w:ascii="Arial" w:hAnsi="Arial" w:cs="Arial"/>
          <w:b/>
          <w:bCs/>
          <w:sz w:val="22"/>
          <w:szCs w:val="22"/>
        </w:rPr>
        <w:t>f) Conclusion</w:t>
      </w:r>
    </w:p>
    <w:p w14:paraId="24728455" w14:textId="77777777" w:rsidR="00494B98" w:rsidRPr="00494B98" w:rsidRDefault="00494B98" w:rsidP="00F15BBE">
      <w:pPr>
        <w:spacing w:line="360" w:lineRule="auto"/>
        <w:jc w:val="both"/>
        <w:rPr>
          <w:rFonts w:ascii="Arial" w:hAnsi="Arial" w:cs="Arial"/>
          <w:sz w:val="22"/>
          <w:szCs w:val="22"/>
        </w:rPr>
      </w:pPr>
      <w:r w:rsidRPr="00494B98">
        <w:rPr>
          <w:rFonts w:ascii="Arial" w:hAnsi="Arial" w:cs="Arial"/>
          <w:sz w:val="22"/>
          <w:szCs w:val="22"/>
        </w:rPr>
        <w:t>Type 2 diabetes is a common long-term condition that affects the body’s ability to regulate blood glucose levels effectively. Understanding how blood glucose is normally controlled, how energy is produced at a cellular level, and how these processes are disrupted in diabetes is essential for effective self-management.</w:t>
      </w:r>
    </w:p>
    <w:p w14:paraId="584B6C12" w14:textId="77777777" w:rsidR="00494B98" w:rsidRPr="00494B98" w:rsidRDefault="00494B98" w:rsidP="00F15BBE">
      <w:pPr>
        <w:spacing w:line="360" w:lineRule="auto"/>
        <w:jc w:val="both"/>
        <w:rPr>
          <w:rFonts w:ascii="Arial" w:hAnsi="Arial" w:cs="Arial"/>
          <w:sz w:val="22"/>
          <w:szCs w:val="22"/>
        </w:rPr>
      </w:pPr>
      <w:r w:rsidRPr="00494B98">
        <w:rPr>
          <w:rFonts w:ascii="Arial" w:hAnsi="Arial" w:cs="Arial"/>
          <w:sz w:val="22"/>
          <w:szCs w:val="22"/>
        </w:rPr>
        <w:t>Regular recording and tracking of blood glucose levels enables individuals to make informed decisions about their lifestyle and treatment, reducing the risk of complications. Evidence-based lifestyle changes, including improved diet, increased physical activity, smoking cessation, and weight management, play a crucial role in supporting blood glucose control.</w:t>
      </w:r>
    </w:p>
    <w:p w14:paraId="607DDB69" w14:textId="77777777" w:rsidR="00494B98" w:rsidRPr="00494B98" w:rsidRDefault="00494B98" w:rsidP="00F15BBE">
      <w:pPr>
        <w:spacing w:line="360" w:lineRule="auto"/>
        <w:jc w:val="both"/>
        <w:rPr>
          <w:rFonts w:ascii="Arial" w:hAnsi="Arial" w:cs="Arial"/>
          <w:sz w:val="22"/>
          <w:szCs w:val="22"/>
        </w:rPr>
      </w:pPr>
      <w:r w:rsidRPr="00494B98">
        <w:rPr>
          <w:rFonts w:ascii="Arial" w:hAnsi="Arial" w:cs="Arial"/>
          <w:sz w:val="22"/>
          <w:szCs w:val="22"/>
        </w:rPr>
        <w:t>By improving patient understanding and engagement, practice nurses can support individuals with Type 2 diabetes to manage their condition safely and effectively, improving both health outcomes and quality of life.</w:t>
      </w:r>
    </w:p>
    <w:p w14:paraId="513EBF0E" w14:textId="77777777" w:rsidR="00494B98" w:rsidRPr="00F15BBE" w:rsidRDefault="00494B98" w:rsidP="00F15BBE">
      <w:pPr>
        <w:spacing w:line="360" w:lineRule="auto"/>
        <w:jc w:val="both"/>
        <w:rPr>
          <w:rFonts w:ascii="Arial" w:hAnsi="Arial" w:cs="Arial"/>
          <w:sz w:val="22"/>
          <w:szCs w:val="22"/>
        </w:rPr>
      </w:pPr>
    </w:p>
    <w:p w14:paraId="0F62372C" w14:textId="77777777" w:rsidR="00F15BBE" w:rsidRPr="00F15BBE" w:rsidRDefault="00F15BBE" w:rsidP="00F15BBE">
      <w:pPr>
        <w:spacing w:line="360" w:lineRule="auto"/>
        <w:jc w:val="both"/>
        <w:rPr>
          <w:rFonts w:ascii="Arial" w:hAnsi="Arial" w:cs="Arial"/>
          <w:sz w:val="22"/>
          <w:szCs w:val="22"/>
        </w:rPr>
      </w:pPr>
    </w:p>
    <w:p w14:paraId="0CE5249E" w14:textId="77777777" w:rsidR="00F15BBE" w:rsidRPr="00F15BBE" w:rsidRDefault="00F15BBE" w:rsidP="00F15BBE">
      <w:pPr>
        <w:spacing w:line="360" w:lineRule="auto"/>
        <w:jc w:val="both"/>
        <w:rPr>
          <w:rFonts w:ascii="Arial" w:hAnsi="Arial" w:cs="Arial"/>
          <w:sz w:val="22"/>
          <w:szCs w:val="22"/>
        </w:rPr>
      </w:pPr>
    </w:p>
    <w:p w14:paraId="2359BC9D" w14:textId="7C27523C" w:rsidR="00F15BBE" w:rsidRPr="00F15BBE" w:rsidRDefault="00F15BBE" w:rsidP="00F15BBE">
      <w:pPr>
        <w:spacing w:line="360" w:lineRule="auto"/>
        <w:jc w:val="both"/>
        <w:rPr>
          <w:rFonts w:ascii="Arial" w:hAnsi="Arial" w:cs="Arial"/>
          <w:b/>
          <w:bCs/>
          <w:sz w:val="22"/>
          <w:szCs w:val="22"/>
        </w:rPr>
      </w:pPr>
      <w:r w:rsidRPr="00F15BBE">
        <w:rPr>
          <w:rFonts w:ascii="Arial" w:hAnsi="Arial" w:cs="Arial"/>
          <w:b/>
          <w:bCs/>
          <w:sz w:val="22"/>
          <w:szCs w:val="22"/>
        </w:rPr>
        <w:t>Referee:</w:t>
      </w:r>
    </w:p>
    <w:p w14:paraId="44A5A276"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Boye, K.S., Thieu, V.T., Lage, M.J., Miller, H. and Paczkowski, R., (2022). The association between sustained HbA1c control and long-term complications among individuals with type 2 diabetes: a retrospective study. </w:t>
      </w:r>
      <w:r w:rsidRPr="00F15BBE">
        <w:rPr>
          <w:rFonts w:ascii="Arial" w:hAnsi="Arial" w:cs="Arial"/>
          <w:i/>
          <w:iCs/>
          <w:sz w:val="22"/>
          <w:szCs w:val="22"/>
        </w:rPr>
        <w:t>Advances in therapy</w:t>
      </w:r>
      <w:r w:rsidRPr="00F15BBE">
        <w:rPr>
          <w:rFonts w:ascii="Arial" w:hAnsi="Arial" w:cs="Arial"/>
          <w:sz w:val="22"/>
          <w:szCs w:val="22"/>
        </w:rPr>
        <w:t>, </w:t>
      </w:r>
      <w:r w:rsidRPr="00F15BBE">
        <w:rPr>
          <w:rFonts w:ascii="Arial" w:hAnsi="Arial" w:cs="Arial"/>
          <w:i/>
          <w:iCs/>
          <w:sz w:val="22"/>
          <w:szCs w:val="22"/>
        </w:rPr>
        <w:t>39</w:t>
      </w:r>
      <w:r w:rsidRPr="00F15BBE">
        <w:rPr>
          <w:rFonts w:ascii="Arial" w:hAnsi="Arial" w:cs="Arial"/>
          <w:sz w:val="22"/>
          <w:szCs w:val="22"/>
        </w:rPr>
        <w:t>(5), pp.2208-2221.</w:t>
      </w:r>
    </w:p>
    <w:p w14:paraId="21565106"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Campbell, J.E. and Newgard, C.B., (2021). Mechanisms controlling pancreatic islet cell function in insulin secretion. </w:t>
      </w:r>
      <w:r w:rsidRPr="00F15BBE">
        <w:rPr>
          <w:rFonts w:ascii="Arial" w:hAnsi="Arial" w:cs="Arial"/>
          <w:i/>
          <w:iCs/>
          <w:sz w:val="22"/>
          <w:szCs w:val="22"/>
        </w:rPr>
        <w:t>Nature reviews Molecular cell biology</w:t>
      </w:r>
      <w:r w:rsidRPr="00F15BBE">
        <w:rPr>
          <w:rFonts w:ascii="Arial" w:hAnsi="Arial" w:cs="Arial"/>
          <w:sz w:val="22"/>
          <w:szCs w:val="22"/>
        </w:rPr>
        <w:t>, </w:t>
      </w:r>
      <w:r w:rsidRPr="00F15BBE">
        <w:rPr>
          <w:rFonts w:ascii="Arial" w:hAnsi="Arial" w:cs="Arial"/>
          <w:i/>
          <w:iCs/>
          <w:sz w:val="22"/>
          <w:szCs w:val="22"/>
        </w:rPr>
        <w:t>22</w:t>
      </w:r>
      <w:r w:rsidRPr="00F15BBE">
        <w:rPr>
          <w:rFonts w:ascii="Arial" w:hAnsi="Arial" w:cs="Arial"/>
          <w:sz w:val="22"/>
          <w:szCs w:val="22"/>
        </w:rPr>
        <w:t>(2), pp.142-158.</w:t>
      </w:r>
    </w:p>
    <w:p w14:paraId="076F29F3"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Diabetes UK (2022) Diabetes UK and Tesco partner to help one million people find out their type 2 diabetes risk. diabetes.org.uk, 1 November (accessed 4 February 2026).</w:t>
      </w:r>
    </w:p>
    <w:p w14:paraId="4EA90FCA"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Engler, S., Fields, S., Leach, W. and Van Loon, M., (2022). Real-time continuous glucose monitoring as a behavioral intervention tool for T2D: a systematic review. </w:t>
      </w:r>
      <w:r w:rsidRPr="00F15BBE">
        <w:rPr>
          <w:rFonts w:ascii="Arial" w:hAnsi="Arial" w:cs="Arial"/>
          <w:i/>
          <w:iCs/>
          <w:sz w:val="22"/>
          <w:szCs w:val="22"/>
        </w:rPr>
        <w:t>Journal of Technology in Behavioral Science</w:t>
      </w:r>
      <w:r w:rsidRPr="00F15BBE">
        <w:rPr>
          <w:rFonts w:ascii="Arial" w:hAnsi="Arial" w:cs="Arial"/>
          <w:sz w:val="22"/>
          <w:szCs w:val="22"/>
        </w:rPr>
        <w:t>, </w:t>
      </w:r>
      <w:r w:rsidRPr="00F15BBE">
        <w:rPr>
          <w:rFonts w:ascii="Arial" w:hAnsi="Arial" w:cs="Arial"/>
          <w:i/>
          <w:iCs/>
          <w:sz w:val="22"/>
          <w:szCs w:val="22"/>
        </w:rPr>
        <w:t>7</w:t>
      </w:r>
      <w:r w:rsidRPr="00F15BBE">
        <w:rPr>
          <w:rFonts w:ascii="Arial" w:hAnsi="Arial" w:cs="Arial"/>
          <w:sz w:val="22"/>
          <w:szCs w:val="22"/>
        </w:rPr>
        <w:t>(2), pp.252-263.</w:t>
      </w:r>
    </w:p>
    <w:p w14:paraId="46CFA148"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Ferrannini, E., Iozzo, P., Virtanen, K.A., Honka, M.J., Bucci, M. and Nuutila, P., (2018). Adipose tissue and skeletal muscle insulin-mediated glucose uptake in insulin resistance: role of blood flow and diabetes. </w:t>
      </w:r>
      <w:r w:rsidRPr="00F15BBE">
        <w:rPr>
          <w:rFonts w:ascii="Arial" w:hAnsi="Arial" w:cs="Arial"/>
          <w:i/>
          <w:iCs/>
          <w:sz w:val="22"/>
          <w:szCs w:val="22"/>
        </w:rPr>
        <w:t>The American journal of clinical nutrition</w:t>
      </w:r>
      <w:r w:rsidRPr="00F15BBE">
        <w:rPr>
          <w:rFonts w:ascii="Arial" w:hAnsi="Arial" w:cs="Arial"/>
          <w:sz w:val="22"/>
          <w:szCs w:val="22"/>
        </w:rPr>
        <w:t>, </w:t>
      </w:r>
      <w:r w:rsidRPr="00F15BBE">
        <w:rPr>
          <w:rFonts w:ascii="Arial" w:hAnsi="Arial" w:cs="Arial"/>
          <w:i/>
          <w:iCs/>
          <w:sz w:val="22"/>
          <w:szCs w:val="22"/>
        </w:rPr>
        <w:t>108</w:t>
      </w:r>
      <w:r w:rsidRPr="00F15BBE">
        <w:rPr>
          <w:rFonts w:ascii="Arial" w:hAnsi="Arial" w:cs="Arial"/>
          <w:sz w:val="22"/>
          <w:szCs w:val="22"/>
        </w:rPr>
        <w:t>(4), pp.749-758.</w:t>
      </w:r>
    </w:p>
    <w:p w14:paraId="266B2C63"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Giezenaar, C., Lange, K., Hausken, T., Jones, K.L., Horowitz, M., Chapman, I. and Soenen, S., (2018). Acute effects of substitution, and addition, of carbohydrates and fat to protein on gastric emptying, blood glucose, gut hormones, appetite, and energy intake. </w:t>
      </w:r>
      <w:r w:rsidRPr="00F15BBE">
        <w:rPr>
          <w:rFonts w:ascii="Arial" w:hAnsi="Arial" w:cs="Arial"/>
          <w:i/>
          <w:iCs/>
          <w:sz w:val="22"/>
          <w:szCs w:val="22"/>
        </w:rPr>
        <w:t>Nutrients</w:t>
      </w:r>
      <w:r w:rsidRPr="00F15BBE">
        <w:rPr>
          <w:rFonts w:ascii="Arial" w:hAnsi="Arial" w:cs="Arial"/>
          <w:sz w:val="22"/>
          <w:szCs w:val="22"/>
        </w:rPr>
        <w:t>, </w:t>
      </w:r>
      <w:r w:rsidRPr="00F15BBE">
        <w:rPr>
          <w:rFonts w:ascii="Arial" w:hAnsi="Arial" w:cs="Arial"/>
          <w:i/>
          <w:iCs/>
          <w:sz w:val="22"/>
          <w:szCs w:val="22"/>
        </w:rPr>
        <w:t>10</w:t>
      </w:r>
      <w:r w:rsidRPr="00F15BBE">
        <w:rPr>
          <w:rFonts w:ascii="Arial" w:hAnsi="Arial" w:cs="Arial"/>
          <w:sz w:val="22"/>
          <w:szCs w:val="22"/>
        </w:rPr>
        <w:t>(10), p.1451.</w:t>
      </w:r>
    </w:p>
    <w:p w14:paraId="789294A6"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Grygoryan, R.D., (2019). The Optimal Coexistence of Cells: How Could Human Cells Create The Integrative Physiology. </w:t>
      </w:r>
      <w:r w:rsidRPr="00F15BBE">
        <w:rPr>
          <w:rFonts w:ascii="Arial" w:hAnsi="Arial" w:cs="Arial"/>
          <w:i/>
          <w:iCs/>
          <w:sz w:val="22"/>
          <w:szCs w:val="22"/>
        </w:rPr>
        <w:t>Journal of Human Physiology</w:t>
      </w:r>
      <w:r w:rsidRPr="00F15BBE">
        <w:rPr>
          <w:rFonts w:ascii="Arial" w:hAnsi="Arial" w:cs="Arial"/>
          <w:sz w:val="22"/>
          <w:szCs w:val="22"/>
        </w:rPr>
        <w:t>, </w:t>
      </w:r>
      <w:r w:rsidRPr="00F15BBE">
        <w:rPr>
          <w:rFonts w:ascii="Arial" w:hAnsi="Arial" w:cs="Arial"/>
          <w:i/>
          <w:iCs/>
          <w:sz w:val="22"/>
          <w:szCs w:val="22"/>
        </w:rPr>
        <w:t>1</w:t>
      </w:r>
      <w:r w:rsidRPr="00F15BBE">
        <w:rPr>
          <w:rFonts w:ascii="Arial" w:hAnsi="Arial" w:cs="Arial"/>
          <w:sz w:val="22"/>
          <w:szCs w:val="22"/>
        </w:rPr>
        <w:t>(1).</w:t>
      </w:r>
    </w:p>
    <w:p w14:paraId="2A5D9779"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Guideline, N.I.C.E., (2022). Type 2 diabetes in adults: Management (update). </w:t>
      </w:r>
      <w:r w:rsidRPr="00F15BBE">
        <w:rPr>
          <w:rFonts w:ascii="Arial" w:hAnsi="Arial" w:cs="Arial"/>
          <w:i/>
          <w:iCs/>
          <w:sz w:val="22"/>
          <w:szCs w:val="22"/>
        </w:rPr>
        <w:t>United Kingdom: National Institute for Health and Care Excellence</w:t>
      </w:r>
      <w:r w:rsidRPr="00F15BBE">
        <w:rPr>
          <w:rFonts w:ascii="Arial" w:hAnsi="Arial" w:cs="Arial"/>
          <w:sz w:val="22"/>
          <w:szCs w:val="22"/>
        </w:rPr>
        <w:t>.</w:t>
      </w:r>
    </w:p>
    <w:p w14:paraId="6388B779"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Kajani, S., Laker, R.C., Ratkova, E., Will, S. and Rhodes, C.J., (2024). Hepatic glucagon action: beyond glucose mobilization. </w:t>
      </w:r>
      <w:r w:rsidRPr="00F15BBE">
        <w:rPr>
          <w:rFonts w:ascii="Arial" w:hAnsi="Arial" w:cs="Arial"/>
          <w:i/>
          <w:iCs/>
          <w:sz w:val="22"/>
          <w:szCs w:val="22"/>
        </w:rPr>
        <w:t>Physiological Reviews</w:t>
      </w:r>
      <w:r w:rsidRPr="00F15BBE">
        <w:rPr>
          <w:rFonts w:ascii="Arial" w:hAnsi="Arial" w:cs="Arial"/>
          <w:sz w:val="22"/>
          <w:szCs w:val="22"/>
        </w:rPr>
        <w:t>, </w:t>
      </w:r>
      <w:r w:rsidRPr="00F15BBE">
        <w:rPr>
          <w:rFonts w:ascii="Arial" w:hAnsi="Arial" w:cs="Arial"/>
          <w:i/>
          <w:iCs/>
          <w:sz w:val="22"/>
          <w:szCs w:val="22"/>
        </w:rPr>
        <w:t>104</w:t>
      </w:r>
      <w:r w:rsidRPr="00F15BBE">
        <w:rPr>
          <w:rFonts w:ascii="Arial" w:hAnsi="Arial" w:cs="Arial"/>
          <w:sz w:val="22"/>
          <w:szCs w:val="22"/>
        </w:rPr>
        <w:t>(3), pp.1021-1060.</w:t>
      </w:r>
    </w:p>
    <w:p w14:paraId="0EF397D8"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Kumar, R., Saha, P., Kumar, Y., Sahana, S., Dubey, A. and Prakash, O., (2020). A review on diabetes mellitus: type1 &amp; Type2. </w:t>
      </w:r>
      <w:r w:rsidRPr="00F15BBE">
        <w:rPr>
          <w:rFonts w:ascii="Arial" w:hAnsi="Arial" w:cs="Arial"/>
          <w:i/>
          <w:iCs/>
          <w:sz w:val="22"/>
          <w:szCs w:val="22"/>
        </w:rPr>
        <w:t>World Journal of Pharmacy and Pharmaceutical Sciences</w:t>
      </w:r>
      <w:r w:rsidRPr="00F15BBE">
        <w:rPr>
          <w:rFonts w:ascii="Arial" w:hAnsi="Arial" w:cs="Arial"/>
          <w:sz w:val="22"/>
          <w:szCs w:val="22"/>
        </w:rPr>
        <w:t>, </w:t>
      </w:r>
      <w:r w:rsidRPr="00F15BBE">
        <w:rPr>
          <w:rFonts w:ascii="Arial" w:hAnsi="Arial" w:cs="Arial"/>
          <w:i/>
          <w:iCs/>
          <w:sz w:val="22"/>
          <w:szCs w:val="22"/>
        </w:rPr>
        <w:t>9</w:t>
      </w:r>
      <w:r w:rsidRPr="00F15BBE">
        <w:rPr>
          <w:rFonts w:ascii="Arial" w:hAnsi="Arial" w:cs="Arial"/>
          <w:sz w:val="22"/>
          <w:szCs w:val="22"/>
        </w:rPr>
        <w:t>(10), pp.838-850.</w:t>
      </w:r>
    </w:p>
    <w:p w14:paraId="3214E8C0"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Merz, K.E. and Thurmond, D.C., (2020). Role of skeletal muscle in insulin resistance and glucose uptake. </w:t>
      </w:r>
      <w:r w:rsidRPr="00F15BBE">
        <w:rPr>
          <w:rFonts w:ascii="Arial" w:hAnsi="Arial" w:cs="Arial"/>
          <w:i/>
          <w:iCs/>
          <w:sz w:val="22"/>
          <w:szCs w:val="22"/>
        </w:rPr>
        <w:t>Comprehensive Physiology</w:t>
      </w:r>
      <w:r w:rsidRPr="00F15BBE">
        <w:rPr>
          <w:rFonts w:ascii="Arial" w:hAnsi="Arial" w:cs="Arial"/>
          <w:sz w:val="22"/>
          <w:szCs w:val="22"/>
        </w:rPr>
        <w:t>, </w:t>
      </w:r>
      <w:r w:rsidRPr="00F15BBE">
        <w:rPr>
          <w:rFonts w:ascii="Arial" w:hAnsi="Arial" w:cs="Arial"/>
          <w:i/>
          <w:iCs/>
          <w:sz w:val="22"/>
          <w:szCs w:val="22"/>
        </w:rPr>
        <w:t>10</w:t>
      </w:r>
      <w:r w:rsidRPr="00F15BBE">
        <w:rPr>
          <w:rFonts w:ascii="Arial" w:hAnsi="Arial" w:cs="Arial"/>
          <w:sz w:val="22"/>
          <w:szCs w:val="22"/>
        </w:rPr>
        <w:t>(3), pp.785-809.</w:t>
      </w:r>
    </w:p>
    <w:p w14:paraId="6731D8D3"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Nazarko, L., (2023). Type 2 diabetes: causes, diagnosis and impact on health and wellbeing. </w:t>
      </w:r>
      <w:r w:rsidRPr="00F15BBE">
        <w:rPr>
          <w:rFonts w:ascii="Arial" w:hAnsi="Arial" w:cs="Arial"/>
          <w:i/>
          <w:iCs/>
          <w:sz w:val="22"/>
          <w:szCs w:val="22"/>
        </w:rPr>
        <w:t>Nursing Times</w:t>
      </w:r>
      <w:r w:rsidRPr="00F15BBE">
        <w:rPr>
          <w:rFonts w:ascii="Arial" w:hAnsi="Arial" w:cs="Arial"/>
          <w:sz w:val="22"/>
          <w:szCs w:val="22"/>
        </w:rPr>
        <w:t>, </w:t>
      </w:r>
      <w:r w:rsidRPr="00F15BBE">
        <w:rPr>
          <w:rFonts w:ascii="Arial" w:hAnsi="Arial" w:cs="Arial"/>
          <w:i/>
          <w:iCs/>
          <w:sz w:val="22"/>
          <w:szCs w:val="22"/>
        </w:rPr>
        <w:t>119</w:t>
      </w:r>
      <w:r w:rsidRPr="00F15BBE">
        <w:rPr>
          <w:rFonts w:ascii="Arial" w:hAnsi="Arial" w:cs="Arial"/>
          <w:sz w:val="22"/>
          <w:szCs w:val="22"/>
        </w:rPr>
        <w:t>(10), pp.38-41.</w:t>
      </w:r>
    </w:p>
    <w:p w14:paraId="7E581700"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 xml:space="preserve">NHS (2023) </w:t>
      </w:r>
      <w:r w:rsidRPr="00F15BBE">
        <w:rPr>
          <w:rFonts w:ascii="Arial" w:hAnsi="Arial" w:cs="Arial"/>
          <w:i/>
          <w:iCs/>
          <w:sz w:val="22"/>
          <w:szCs w:val="22"/>
        </w:rPr>
        <w:t>Type 2 diabetes</w:t>
      </w:r>
      <w:r w:rsidRPr="00F15BBE">
        <w:rPr>
          <w:rFonts w:ascii="Arial" w:hAnsi="Arial" w:cs="Arial"/>
          <w:sz w:val="22"/>
          <w:szCs w:val="22"/>
        </w:rPr>
        <w:t>. National Health Service</w:t>
      </w:r>
    </w:p>
    <w:p w14:paraId="147760FA"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Niaz, K., Khan, F. and Shah, M.A., (2020). Analysis of carbohydrates (monosaccharides, polysaccharides). In </w:t>
      </w:r>
      <w:r w:rsidRPr="00F15BBE">
        <w:rPr>
          <w:rFonts w:ascii="Arial" w:hAnsi="Arial" w:cs="Arial"/>
          <w:i/>
          <w:iCs/>
          <w:sz w:val="22"/>
          <w:szCs w:val="22"/>
        </w:rPr>
        <w:t>Recent advances in natural products analysis</w:t>
      </w:r>
      <w:r w:rsidRPr="00F15BBE">
        <w:rPr>
          <w:rFonts w:ascii="Arial" w:hAnsi="Arial" w:cs="Arial"/>
          <w:sz w:val="22"/>
          <w:szCs w:val="22"/>
        </w:rPr>
        <w:t> (pp. 621-633). Elsevier.</w:t>
      </w:r>
    </w:p>
    <w:p w14:paraId="42D0019B"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Reytor-González, C., Cevallos-Fernández, E., Jácome, B. and Simancas-Racines, D., (2025). From meal to malfunction: exploring molecular pathways, biomarkers and interventions in postprandial cardiometabolic health. </w:t>
      </w:r>
      <w:r w:rsidRPr="00F15BBE">
        <w:rPr>
          <w:rFonts w:ascii="Arial" w:hAnsi="Arial" w:cs="Arial"/>
          <w:i/>
          <w:iCs/>
          <w:sz w:val="22"/>
          <w:szCs w:val="22"/>
        </w:rPr>
        <w:t>Frontiers in Cardiovascular Medicine</w:t>
      </w:r>
      <w:r w:rsidRPr="00F15BBE">
        <w:rPr>
          <w:rFonts w:ascii="Arial" w:hAnsi="Arial" w:cs="Arial"/>
          <w:sz w:val="22"/>
          <w:szCs w:val="22"/>
        </w:rPr>
        <w:t>, </w:t>
      </w:r>
      <w:r w:rsidRPr="00F15BBE">
        <w:rPr>
          <w:rFonts w:ascii="Arial" w:hAnsi="Arial" w:cs="Arial"/>
          <w:i/>
          <w:iCs/>
          <w:sz w:val="22"/>
          <w:szCs w:val="22"/>
        </w:rPr>
        <w:t>12</w:t>
      </w:r>
      <w:r w:rsidRPr="00F15BBE">
        <w:rPr>
          <w:rFonts w:ascii="Arial" w:hAnsi="Arial" w:cs="Arial"/>
          <w:sz w:val="22"/>
          <w:szCs w:val="22"/>
        </w:rPr>
        <w:t>, p.1655889.</w:t>
      </w:r>
    </w:p>
    <w:p w14:paraId="40DA6649"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Ribu, L., Rønnevig, M. and Corbin, J., (2019). People with type 2 diabetes struggling for self</w:t>
      </w:r>
      <w:r w:rsidRPr="00F15BBE">
        <w:rPr>
          <w:rFonts w:ascii="Cambria Math" w:hAnsi="Cambria Math" w:cs="Cambria Math"/>
          <w:sz w:val="22"/>
          <w:szCs w:val="22"/>
        </w:rPr>
        <w:t>‐</w:t>
      </w:r>
      <w:r w:rsidRPr="00F15BBE">
        <w:rPr>
          <w:rFonts w:ascii="Arial" w:hAnsi="Arial" w:cs="Arial"/>
          <w:sz w:val="22"/>
          <w:szCs w:val="22"/>
        </w:rPr>
        <w:t>management: A part study from the randomized controlled trial in RENEWING HEALTH. </w:t>
      </w:r>
      <w:r w:rsidRPr="00F15BBE">
        <w:rPr>
          <w:rFonts w:ascii="Arial" w:hAnsi="Arial" w:cs="Arial"/>
          <w:i/>
          <w:iCs/>
          <w:sz w:val="22"/>
          <w:szCs w:val="22"/>
        </w:rPr>
        <w:t>Nursing open</w:t>
      </w:r>
      <w:r w:rsidRPr="00F15BBE">
        <w:rPr>
          <w:rFonts w:ascii="Arial" w:hAnsi="Arial" w:cs="Arial"/>
          <w:sz w:val="22"/>
          <w:szCs w:val="22"/>
        </w:rPr>
        <w:t>, </w:t>
      </w:r>
      <w:r w:rsidRPr="00F15BBE">
        <w:rPr>
          <w:rFonts w:ascii="Arial" w:hAnsi="Arial" w:cs="Arial"/>
          <w:i/>
          <w:iCs/>
          <w:sz w:val="22"/>
          <w:szCs w:val="22"/>
        </w:rPr>
        <w:t>6</w:t>
      </w:r>
      <w:r w:rsidRPr="00F15BBE">
        <w:rPr>
          <w:rFonts w:ascii="Arial" w:hAnsi="Arial" w:cs="Arial"/>
          <w:sz w:val="22"/>
          <w:szCs w:val="22"/>
        </w:rPr>
        <w:t>(3), pp.1088-1096.</w:t>
      </w:r>
    </w:p>
    <w:p w14:paraId="1592C33B"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Sarkar, B.K., Akter, R., Das, J., Das, A., Modak, P., Halder, S., Sarkar, A.P. and Kundu, S.K., (2019). Diabetes mellitus: A comprehensive review. </w:t>
      </w:r>
      <w:r w:rsidRPr="00F15BBE">
        <w:rPr>
          <w:rFonts w:ascii="Arial" w:hAnsi="Arial" w:cs="Arial"/>
          <w:i/>
          <w:iCs/>
          <w:sz w:val="22"/>
          <w:szCs w:val="22"/>
        </w:rPr>
        <w:t>Journal of Pharmacognosy and Phytochemistry</w:t>
      </w:r>
      <w:r w:rsidRPr="00F15BBE">
        <w:rPr>
          <w:rFonts w:ascii="Arial" w:hAnsi="Arial" w:cs="Arial"/>
          <w:sz w:val="22"/>
          <w:szCs w:val="22"/>
        </w:rPr>
        <w:t>, </w:t>
      </w:r>
      <w:r w:rsidRPr="00F15BBE">
        <w:rPr>
          <w:rFonts w:ascii="Arial" w:hAnsi="Arial" w:cs="Arial"/>
          <w:i/>
          <w:iCs/>
          <w:sz w:val="22"/>
          <w:szCs w:val="22"/>
        </w:rPr>
        <w:t>8</w:t>
      </w:r>
      <w:r w:rsidRPr="00F15BBE">
        <w:rPr>
          <w:rFonts w:ascii="Arial" w:hAnsi="Arial" w:cs="Arial"/>
          <w:sz w:val="22"/>
          <w:szCs w:val="22"/>
        </w:rPr>
        <w:t>(6), pp.2362-2371.</w:t>
      </w:r>
    </w:p>
    <w:p w14:paraId="3A587790"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Sullivan, M.A. and Forbes, J.M., (2019). Glucose and glycogen in the diabetic kidney: Heroes or villains?. EBioMedicine, 47, pp.590-597.</w:t>
      </w:r>
    </w:p>
    <w:p w14:paraId="6EEFB3F0"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Tortora, G.J. and Derrickson, B.H., (2018). </w:t>
      </w:r>
      <w:r w:rsidRPr="00F15BBE">
        <w:rPr>
          <w:rFonts w:ascii="Arial" w:hAnsi="Arial" w:cs="Arial"/>
          <w:i/>
          <w:iCs/>
          <w:sz w:val="22"/>
          <w:szCs w:val="22"/>
        </w:rPr>
        <w:t>Principles of anatomy and physiology</w:t>
      </w:r>
      <w:r w:rsidRPr="00F15BBE">
        <w:rPr>
          <w:rFonts w:ascii="Arial" w:hAnsi="Arial" w:cs="Arial"/>
          <w:sz w:val="22"/>
          <w:szCs w:val="22"/>
        </w:rPr>
        <w:t>. John wiley &amp; sons.</w:t>
      </w:r>
    </w:p>
    <w:p w14:paraId="7CD6FC37"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Weinstock, R.S., Aleppo, G., Bailey, T.S., Bergenstal, R.M., Fisher, W.A., Greenwood, D.A. and Young, L.A., (2020). The role of blood glucose monitoring in diabetes management.</w:t>
      </w:r>
    </w:p>
    <w:p w14:paraId="5E96B7E6" w14:textId="77777777" w:rsidR="00F15BBE" w:rsidRPr="00F15BBE" w:rsidRDefault="00F15BBE" w:rsidP="00F15BBE">
      <w:pPr>
        <w:spacing w:line="360" w:lineRule="auto"/>
        <w:jc w:val="both"/>
        <w:rPr>
          <w:rFonts w:ascii="Arial" w:hAnsi="Arial" w:cs="Arial"/>
          <w:sz w:val="22"/>
          <w:szCs w:val="22"/>
        </w:rPr>
      </w:pPr>
      <w:r w:rsidRPr="00F15BBE">
        <w:rPr>
          <w:rFonts w:ascii="Arial" w:hAnsi="Arial" w:cs="Arial"/>
          <w:sz w:val="22"/>
          <w:szCs w:val="22"/>
        </w:rPr>
        <w:t>Yameny, A.A., (2024). Diabetes mellitus overview 2024. </w:t>
      </w:r>
      <w:r w:rsidRPr="00F15BBE">
        <w:rPr>
          <w:rFonts w:ascii="Arial" w:hAnsi="Arial" w:cs="Arial"/>
          <w:i/>
          <w:iCs/>
          <w:sz w:val="22"/>
          <w:szCs w:val="22"/>
        </w:rPr>
        <w:t>Journal of Bioscience and Applied Research</w:t>
      </w:r>
      <w:r w:rsidRPr="00F15BBE">
        <w:rPr>
          <w:rFonts w:ascii="Arial" w:hAnsi="Arial" w:cs="Arial"/>
          <w:sz w:val="22"/>
          <w:szCs w:val="22"/>
        </w:rPr>
        <w:t>, </w:t>
      </w:r>
      <w:r w:rsidRPr="00F15BBE">
        <w:rPr>
          <w:rFonts w:ascii="Arial" w:hAnsi="Arial" w:cs="Arial"/>
          <w:i/>
          <w:iCs/>
          <w:sz w:val="22"/>
          <w:szCs w:val="22"/>
        </w:rPr>
        <w:t>10</w:t>
      </w:r>
      <w:r w:rsidRPr="00F15BBE">
        <w:rPr>
          <w:rFonts w:ascii="Arial" w:hAnsi="Arial" w:cs="Arial"/>
          <w:sz w:val="22"/>
          <w:szCs w:val="22"/>
        </w:rPr>
        <w:t>(3), pp.641-645.</w:t>
      </w:r>
    </w:p>
    <w:p w14:paraId="04A12CDF" w14:textId="5719DE60" w:rsidR="00F15BBE" w:rsidRPr="00F15BBE" w:rsidRDefault="00F15BBE" w:rsidP="00F15BBE">
      <w:pPr>
        <w:spacing w:line="360" w:lineRule="auto"/>
        <w:jc w:val="both"/>
        <w:rPr>
          <w:rFonts w:ascii="Arial" w:hAnsi="Arial" w:cs="Arial"/>
          <w:sz w:val="22"/>
          <w:szCs w:val="22"/>
        </w:rPr>
      </w:pPr>
    </w:p>
    <w:sectPr w:rsidR="00F15BBE" w:rsidRPr="00F15BBE">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6B0F6AA" w14:textId="77777777" w:rsidR="00EB372F" w:rsidRDefault="00EB372F" w:rsidP="00E306D3">
      <w:pPr>
        <w:spacing w:after="0" w:line="240" w:lineRule="auto"/>
      </w:pPr>
      <w:r>
        <w:separator/>
      </w:r>
    </w:p>
  </w:endnote>
  <w:endnote w:type="continuationSeparator" w:id="0">
    <w:p w14:paraId="125F77EA" w14:textId="77777777" w:rsidR="00EB372F" w:rsidRDefault="00EB372F" w:rsidP="00E306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024773"/>
      <w:docPartObj>
        <w:docPartGallery w:val="Page Numbers (Bottom of Page)"/>
        <w:docPartUnique/>
      </w:docPartObj>
    </w:sdtPr>
    <w:sdtEndPr/>
    <w:sdtContent>
      <w:p w14:paraId="28B393FB" w14:textId="2F16C36A" w:rsidR="00E306D3" w:rsidRDefault="00E306D3">
        <w:pPr>
          <w:pStyle w:val="Footer"/>
          <w:jc w:val="center"/>
        </w:pPr>
        <w:r>
          <w:fldChar w:fldCharType="begin"/>
        </w:r>
        <w:r>
          <w:instrText>PAGE   \* MERGEFORMAT</w:instrText>
        </w:r>
        <w:r>
          <w:fldChar w:fldCharType="separate"/>
        </w:r>
        <w:r>
          <w:t>2</w:t>
        </w:r>
        <w:r>
          <w:fldChar w:fldCharType="end"/>
        </w:r>
      </w:p>
    </w:sdtContent>
  </w:sdt>
  <w:p w14:paraId="147276E5" w14:textId="77777777" w:rsidR="00E306D3" w:rsidRDefault="00E306D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D94F6" w14:textId="77777777" w:rsidR="00EB372F" w:rsidRDefault="00EB372F" w:rsidP="00E306D3">
      <w:pPr>
        <w:spacing w:after="0" w:line="240" w:lineRule="auto"/>
      </w:pPr>
      <w:r>
        <w:separator/>
      </w:r>
    </w:p>
  </w:footnote>
  <w:footnote w:type="continuationSeparator" w:id="0">
    <w:p w14:paraId="73D6AAF0" w14:textId="77777777" w:rsidR="00EB372F" w:rsidRDefault="00EB372F" w:rsidP="00E306D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B98"/>
    <w:rsid w:val="00202D7B"/>
    <w:rsid w:val="00301749"/>
    <w:rsid w:val="00385809"/>
    <w:rsid w:val="003E1134"/>
    <w:rsid w:val="00494B98"/>
    <w:rsid w:val="00517F60"/>
    <w:rsid w:val="006B7D28"/>
    <w:rsid w:val="00730BCA"/>
    <w:rsid w:val="00A31D74"/>
    <w:rsid w:val="00B03E66"/>
    <w:rsid w:val="00E306D3"/>
    <w:rsid w:val="00EB372F"/>
    <w:rsid w:val="00EC4016"/>
    <w:rsid w:val="00EC5517"/>
    <w:rsid w:val="00EC6113"/>
    <w:rsid w:val="00F15B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1D7D49"/>
  <w15:chartTrackingRefBased/>
  <w15:docId w15:val="{BEC30813-AE69-4DE2-97DB-5FCB8D233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94B9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94B9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94B9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94B9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94B9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94B9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94B9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94B9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94B9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4B9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94B9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94B9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94B9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94B9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94B9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94B9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94B9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94B98"/>
    <w:rPr>
      <w:rFonts w:eastAsiaTheme="majorEastAsia" w:cstheme="majorBidi"/>
      <w:color w:val="272727" w:themeColor="text1" w:themeTint="D8"/>
    </w:rPr>
  </w:style>
  <w:style w:type="paragraph" w:styleId="Title">
    <w:name w:val="Title"/>
    <w:basedOn w:val="Normal"/>
    <w:next w:val="Normal"/>
    <w:link w:val="TitleChar"/>
    <w:uiPriority w:val="10"/>
    <w:qFormat/>
    <w:rsid w:val="00494B9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94B9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94B9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94B9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94B98"/>
    <w:pPr>
      <w:spacing w:before="160"/>
      <w:jc w:val="center"/>
    </w:pPr>
    <w:rPr>
      <w:i/>
      <w:iCs/>
      <w:color w:val="404040" w:themeColor="text1" w:themeTint="BF"/>
    </w:rPr>
  </w:style>
  <w:style w:type="character" w:customStyle="1" w:styleId="QuoteChar">
    <w:name w:val="Quote Char"/>
    <w:basedOn w:val="DefaultParagraphFont"/>
    <w:link w:val="Quote"/>
    <w:uiPriority w:val="29"/>
    <w:rsid w:val="00494B98"/>
    <w:rPr>
      <w:i/>
      <w:iCs/>
      <w:color w:val="404040" w:themeColor="text1" w:themeTint="BF"/>
    </w:rPr>
  </w:style>
  <w:style w:type="paragraph" w:styleId="ListParagraph">
    <w:name w:val="List Paragraph"/>
    <w:basedOn w:val="Normal"/>
    <w:uiPriority w:val="34"/>
    <w:qFormat/>
    <w:rsid w:val="00494B98"/>
    <w:pPr>
      <w:ind w:left="720"/>
      <w:contextualSpacing/>
    </w:pPr>
  </w:style>
  <w:style w:type="character" w:styleId="IntenseEmphasis">
    <w:name w:val="Intense Emphasis"/>
    <w:basedOn w:val="DefaultParagraphFont"/>
    <w:uiPriority w:val="21"/>
    <w:qFormat/>
    <w:rsid w:val="00494B98"/>
    <w:rPr>
      <w:i/>
      <w:iCs/>
      <w:color w:val="0F4761" w:themeColor="accent1" w:themeShade="BF"/>
    </w:rPr>
  </w:style>
  <w:style w:type="paragraph" w:styleId="IntenseQuote">
    <w:name w:val="Intense Quote"/>
    <w:basedOn w:val="Normal"/>
    <w:next w:val="Normal"/>
    <w:link w:val="IntenseQuoteChar"/>
    <w:uiPriority w:val="30"/>
    <w:qFormat/>
    <w:rsid w:val="00494B9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94B98"/>
    <w:rPr>
      <w:i/>
      <w:iCs/>
      <w:color w:val="0F4761" w:themeColor="accent1" w:themeShade="BF"/>
    </w:rPr>
  </w:style>
  <w:style w:type="character" w:styleId="IntenseReference">
    <w:name w:val="Intense Reference"/>
    <w:basedOn w:val="DefaultParagraphFont"/>
    <w:uiPriority w:val="32"/>
    <w:qFormat/>
    <w:rsid w:val="00494B98"/>
    <w:rPr>
      <w:b/>
      <w:bCs/>
      <w:smallCaps/>
      <w:color w:val="0F4761" w:themeColor="accent1" w:themeShade="BF"/>
      <w:spacing w:val="5"/>
    </w:rPr>
  </w:style>
  <w:style w:type="paragraph" w:styleId="Header">
    <w:name w:val="header"/>
    <w:basedOn w:val="Normal"/>
    <w:link w:val="HeaderChar"/>
    <w:uiPriority w:val="99"/>
    <w:unhideWhenUsed/>
    <w:rsid w:val="00E306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306D3"/>
  </w:style>
  <w:style w:type="paragraph" w:styleId="Footer">
    <w:name w:val="footer"/>
    <w:basedOn w:val="Normal"/>
    <w:link w:val="FooterChar"/>
    <w:uiPriority w:val="99"/>
    <w:unhideWhenUsed/>
    <w:rsid w:val="00E306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306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2577</Words>
  <Characters>14690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addo</dc:creator>
  <cp:keywords/>
  <dc:description/>
  <cp:lastModifiedBy>Kingsley Brefo</cp:lastModifiedBy>
  <cp:revision>2</cp:revision>
  <dcterms:created xsi:type="dcterms:W3CDTF">2026-02-21T20:08:00Z</dcterms:created>
  <dcterms:modified xsi:type="dcterms:W3CDTF">2026-02-21T20:08:00Z</dcterms:modified>
</cp:coreProperties>
</file>