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AC2CF" w14:textId="77777777" w:rsidR="00EA1DF9" w:rsidRDefault="00EA1DF9" w:rsidP="00EA1DF9">
      <w:pPr>
        <w:pStyle w:val="NoSpacing"/>
        <w:pageBreakBefore/>
        <w:jc w:val="center"/>
        <w:rPr>
          <w:rFonts w:ascii="Times New Roman" w:hAnsi="Times New Roman" w:cs="Times New Roman"/>
          <w:b/>
          <w:bCs/>
          <w:color w:val="000000"/>
          <w:sz w:val="96"/>
          <w:szCs w:val="96"/>
        </w:rPr>
      </w:pPr>
    </w:p>
    <w:p w14:paraId="77E04567" w14:textId="77777777" w:rsidR="00EA1DF9" w:rsidRDefault="00EA1DF9" w:rsidP="00EA1DF9">
      <w:pPr>
        <w:pStyle w:val="NoSpacing"/>
        <w:jc w:val="center"/>
        <w:rPr>
          <w:rFonts w:ascii="Times New Roman" w:hAnsi="Times New Roman" w:cs="Times New Roman"/>
          <w:b/>
          <w:bCs/>
          <w:color w:val="000000"/>
          <w:sz w:val="96"/>
          <w:szCs w:val="96"/>
        </w:rPr>
      </w:pPr>
    </w:p>
    <w:p w14:paraId="71D3882F" w14:textId="77777777" w:rsidR="00EA1DF9" w:rsidRDefault="00EA1DF9" w:rsidP="00EA1DF9">
      <w:pPr>
        <w:pStyle w:val="NoSpacing"/>
        <w:jc w:val="center"/>
        <w:rPr>
          <w:rFonts w:ascii="Times New Roman" w:hAnsi="Times New Roman" w:cs="Times New Roman"/>
          <w:b/>
          <w:bCs/>
          <w:color w:val="000000"/>
          <w:sz w:val="96"/>
          <w:szCs w:val="96"/>
        </w:rPr>
      </w:pPr>
    </w:p>
    <w:p w14:paraId="5B1C785F" w14:textId="77777777" w:rsidR="00EA1DF9" w:rsidRDefault="00EA1DF9" w:rsidP="00EA1DF9">
      <w:pPr>
        <w:pStyle w:val="NoSpacing"/>
        <w:jc w:val="center"/>
        <w:rPr>
          <w:rFonts w:ascii="Times New Roman" w:hAnsi="Times New Roman" w:cs="Times New Roman"/>
          <w:b/>
          <w:bCs/>
          <w:color w:val="000000"/>
          <w:sz w:val="96"/>
          <w:szCs w:val="96"/>
        </w:rPr>
      </w:pPr>
    </w:p>
    <w:p w14:paraId="6E42B3BE" w14:textId="151B8BEB" w:rsidR="00EA1DF9" w:rsidRPr="00C26986" w:rsidRDefault="00F90697" w:rsidP="00EA1DF9">
      <w:pPr>
        <w:pStyle w:val="NoSpacing"/>
        <w:jc w:val="center"/>
        <w:rPr>
          <w:rFonts w:ascii="Arial" w:hAnsi="Arial" w:cs="Arial"/>
          <w:b/>
          <w:bCs/>
          <w:color w:val="000000"/>
          <w:sz w:val="40"/>
          <w:szCs w:val="40"/>
        </w:rPr>
      </w:pPr>
      <w:r w:rsidRPr="00C26986">
        <w:rPr>
          <w:rFonts w:ascii="Arial" w:hAnsi="Arial" w:cs="Arial"/>
          <w:b/>
          <w:sz w:val="40"/>
          <w:szCs w:val="40"/>
        </w:rPr>
        <w:t>Individual project report</w:t>
      </w:r>
    </w:p>
    <w:p w14:paraId="0FF67B0F" w14:textId="77777777" w:rsidR="00EA1DF9" w:rsidRPr="00C26986" w:rsidRDefault="00EA1DF9" w:rsidP="00EA1DF9">
      <w:pPr>
        <w:pStyle w:val="NoSpacing"/>
        <w:jc w:val="center"/>
        <w:rPr>
          <w:rFonts w:ascii="Arial" w:hAnsi="Arial" w:cs="Arial"/>
          <w:b/>
          <w:bCs/>
          <w:color w:val="000000"/>
          <w:sz w:val="72"/>
          <w:szCs w:val="72"/>
        </w:rPr>
      </w:pPr>
      <w:r w:rsidRPr="00C26986">
        <w:rPr>
          <w:rFonts w:ascii="Arial" w:hAnsi="Arial" w:cs="Arial"/>
          <w:b/>
          <w:bCs/>
          <w:color w:val="000000"/>
          <w:sz w:val="72"/>
          <w:szCs w:val="72"/>
        </w:rPr>
        <w:t xml:space="preserve">Business Environment </w:t>
      </w:r>
    </w:p>
    <w:p w14:paraId="7DDBABD0" w14:textId="00831B61" w:rsidR="00EA1DF9" w:rsidRDefault="00EA1DF9" w:rsidP="00EA1DF9">
      <w:pPr>
        <w:pStyle w:val="NoSpacing"/>
        <w:jc w:val="center"/>
        <w:rPr>
          <w:rFonts w:ascii="Times New Roman" w:hAnsi="Times New Roman" w:cs="Times New Roman"/>
          <w:b/>
          <w:bCs/>
          <w:color w:val="000000"/>
          <w:sz w:val="96"/>
          <w:szCs w:val="96"/>
        </w:rPr>
      </w:pPr>
    </w:p>
    <w:p w14:paraId="40BE0CC3" w14:textId="55FC7B58" w:rsidR="001B01BE" w:rsidRDefault="001B01BE" w:rsidP="00EA1DF9">
      <w:pPr>
        <w:pStyle w:val="NoSpacing"/>
        <w:jc w:val="center"/>
        <w:rPr>
          <w:rFonts w:ascii="Times New Roman" w:hAnsi="Times New Roman" w:cs="Times New Roman"/>
          <w:b/>
          <w:bCs/>
          <w:color w:val="000000"/>
          <w:sz w:val="96"/>
          <w:szCs w:val="96"/>
        </w:rPr>
      </w:pPr>
    </w:p>
    <w:p w14:paraId="5214B07D" w14:textId="5ADEDF68" w:rsidR="001B01BE" w:rsidRDefault="001B01BE" w:rsidP="00EA1DF9">
      <w:pPr>
        <w:pStyle w:val="NoSpacing"/>
        <w:jc w:val="center"/>
        <w:rPr>
          <w:rFonts w:ascii="Times New Roman" w:hAnsi="Times New Roman" w:cs="Times New Roman"/>
          <w:b/>
          <w:bCs/>
          <w:color w:val="000000"/>
          <w:sz w:val="96"/>
          <w:szCs w:val="96"/>
        </w:rPr>
      </w:pPr>
    </w:p>
    <w:p w14:paraId="332D7911" w14:textId="77777777" w:rsidR="00C26986" w:rsidRDefault="00C26986" w:rsidP="00EA1DF9">
      <w:pPr>
        <w:pStyle w:val="NoSpacing"/>
        <w:jc w:val="center"/>
        <w:rPr>
          <w:rFonts w:ascii="Times New Roman" w:hAnsi="Times New Roman" w:cs="Times New Roman"/>
          <w:b/>
          <w:bCs/>
          <w:color w:val="000000"/>
          <w:sz w:val="96"/>
          <w:szCs w:val="96"/>
        </w:rPr>
      </w:pPr>
    </w:p>
    <w:p w14:paraId="0B8E2FF8" w14:textId="77777777" w:rsidR="001B01BE" w:rsidRPr="001B01BE" w:rsidRDefault="001B01BE" w:rsidP="001B01BE">
      <w:pPr>
        <w:suppressAutoHyphens w:val="0"/>
        <w:spacing w:line="256" w:lineRule="auto"/>
        <w:ind w:left="5"/>
        <w:jc w:val="left"/>
        <w:rPr>
          <w:rFonts w:ascii="Arial" w:hAnsi="Arial" w:cs="Arial"/>
          <w:b/>
          <w:sz w:val="28"/>
          <w:lang w:eastAsia="zh-CN"/>
        </w:rPr>
      </w:pPr>
      <w:r w:rsidRPr="001B01BE">
        <w:rPr>
          <w:rFonts w:ascii="Arial" w:hAnsi="Arial" w:cs="Arial"/>
          <w:sz w:val="22"/>
          <w:lang w:eastAsia="zh-CN"/>
        </w:rPr>
        <w:t>Student Name: Mihaela Sandu Rizea</w:t>
      </w:r>
    </w:p>
    <w:p w14:paraId="68D2F85C" w14:textId="77777777" w:rsidR="001B01BE" w:rsidRPr="001B01BE" w:rsidRDefault="001B01BE" w:rsidP="001B01BE">
      <w:pPr>
        <w:suppressAutoHyphens w:val="0"/>
        <w:spacing w:line="256" w:lineRule="auto"/>
        <w:ind w:left="5"/>
        <w:jc w:val="left"/>
        <w:rPr>
          <w:rFonts w:ascii="Arial" w:hAnsi="Arial" w:cs="Arial"/>
          <w:b/>
          <w:sz w:val="28"/>
          <w:lang w:eastAsia="zh-CN"/>
        </w:rPr>
      </w:pPr>
      <w:r w:rsidRPr="001B01BE">
        <w:rPr>
          <w:rFonts w:ascii="Arial" w:hAnsi="Arial" w:cs="Arial"/>
          <w:sz w:val="22"/>
          <w:lang w:eastAsia="zh-CN"/>
        </w:rPr>
        <w:t>Student ID: 2126225</w:t>
      </w:r>
    </w:p>
    <w:p w14:paraId="008ED544" w14:textId="3B8F7911" w:rsidR="001B01BE" w:rsidRPr="001B01BE" w:rsidRDefault="001B01BE" w:rsidP="001B01BE">
      <w:pPr>
        <w:suppressAutoHyphens w:val="0"/>
        <w:spacing w:line="256" w:lineRule="auto"/>
        <w:ind w:left="5"/>
        <w:jc w:val="left"/>
        <w:rPr>
          <w:rFonts w:ascii="Arial" w:hAnsi="Arial" w:cs="Arial"/>
          <w:b/>
          <w:sz w:val="28"/>
          <w:lang w:eastAsia="zh-CN"/>
        </w:rPr>
      </w:pPr>
      <w:r w:rsidRPr="001B01BE">
        <w:rPr>
          <w:rFonts w:ascii="Arial" w:hAnsi="Arial" w:cs="Arial"/>
          <w:sz w:val="22"/>
          <w:lang w:eastAsia="zh-CN"/>
        </w:rPr>
        <w:t xml:space="preserve">Module code: </w:t>
      </w:r>
      <w:r w:rsidR="0049763D">
        <w:rPr>
          <w:rFonts w:ascii="Arial" w:hAnsi="Arial" w:cs="Arial"/>
          <w:sz w:val="22"/>
          <w:lang w:eastAsia="zh-CN"/>
        </w:rPr>
        <w:t>LCBB4005_BIRM/Global Business Management</w:t>
      </w:r>
    </w:p>
    <w:p w14:paraId="02983E24" w14:textId="0EC13CAC" w:rsidR="001B01BE" w:rsidRPr="001B01BE" w:rsidRDefault="001B01BE" w:rsidP="001B01BE">
      <w:pPr>
        <w:suppressAutoHyphens w:val="0"/>
        <w:spacing w:line="256" w:lineRule="auto"/>
        <w:ind w:left="5"/>
        <w:jc w:val="left"/>
        <w:rPr>
          <w:rFonts w:ascii="Arial" w:hAnsi="Arial" w:cs="Arial"/>
          <w:b/>
          <w:sz w:val="28"/>
          <w:lang w:eastAsia="zh-CN"/>
        </w:rPr>
      </w:pPr>
      <w:r w:rsidRPr="001B01BE">
        <w:rPr>
          <w:rFonts w:ascii="Arial" w:hAnsi="Arial" w:cs="Arial"/>
          <w:sz w:val="22"/>
          <w:lang w:eastAsia="zh-CN"/>
        </w:rPr>
        <w:t xml:space="preserve">Assignment section: </w:t>
      </w:r>
      <w:r w:rsidR="0049763D">
        <w:rPr>
          <w:rFonts w:ascii="Arial" w:hAnsi="Arial" w:cs="Arial"/>
          <w:sz w:val="22"/>
          <w:lang w:eastAsia="zh-CN"/>
        </w:rPr>
        <w:t>First part – Individual project report</w:t>
      </w:r>
    </w:p>
    <w:p w14:paraId="2594938B" w14:textId="7096F155" w:rsidR="001B01BE" w:rsidRPr="00B57DB6" w:rsidRDefault="001B01BE" w:rsidP="001B01BE">
      <w:pPr>
        <w:suppressAutoHyphens w:val="0"/>
        <w:spacing w:after="180" w:line="256" w:lineRule="auto"/>
        <w:jc w:val="left"/>
        <w:rPr>
          <w:rFonts w:ascii="Arial" w:hAnsi="Arial" w:cs="Arial"/>
          <w:b/>
          <w:sz w:val="28"/>
          <w:lang w:eastAsia="zh-CN"/>
        </w:rPr>
      </w:pPr>
      <w:r w:rsidRPr="00B57DB6">
        <w:rPr>
          <w:rFonts w:ascii="Arial" w:hAnsi="Arial" w:cs="Arial"/>
          <w:sz w:val="22"/>
          <w:lang w:eastAsia="zh-CN"/>
        </w:rPr>
        <w:t>Lecturer</w:t>
      </w:r>
      <w:r w:rsidR="000F5A67" w:rsidRPr="00B57DB6">
        <w:rPr>
          <w:rFonts w:ascii="Arial" w:hAnsi="Arial" w:cs="Arial"/>
          <w:sz w:val="22"/>
          <w:lang w:eastAsia="zh-CN"/>
        </w:rPr>
        <w:t xml:space="preserve"> Name :</w:t>
      </w:r>
      <w:r w:rsidR="0049763D" w:rsidRPr="00B57DB6">
        <w:rPr>
          <w:rFonts w:ascii="Arial" w:hAnsi="Arial" w:cs="Arial"/>
          <w:sz w:val="22"/>
          <w:lang w:eastAsia="zh-CN"/>
        </w:rPr>
        <w:t xml:space="preserve"> </w:t>
      </w:r>
      <w:proofErr w:type="spellStart"/>
      <w:r w:rsidR="0049763D" w:rsidRPr="00B57DB6">
        <w:rPr>
          <w:rFonts w:ascii="Arial" w:hAnsi="Arial" w:cs="Arial"/>
          <w:sz w:val="22"/>
          <w:lang w:eastAsia="zh-CN"/>
        </w:rPr>
        <w:t>Dr.</w:t>
      </w:r>
      <w:proofErr w:type="spellEnd"/>
      <w:r w:rsidR="0049763D" w:rsidRPr="00B57DB6">
        <w:rPr>
          <w:rFonts w:ascii="Arial" w:hAnsi="Arial" w:cs="Arial"/>
          <w:sz w:val="22"/>
          <w:lang w:eastAsia="zh-CN"/>
        </w:rPr>
        <w:t xml:space="preserve"> Essa Bah</w:t>
      </w:r>
    </w:p>
    <w:p w14:paraId="6F5B41B2" w14:textId="77777777" w:rsidR="00EA1DF9" w:rsidRPr="00B57DB6" w:rsidRDefault="00EA1DF9" w:rsidP="00EA1DF9">
      <w:pPr>
        <w:pStyle w:val="NoSpacing"/>
        <w:jc w:val="center"/>
        <w:rPr>
          <w:rFonts w:ascii="Times New Roman" w:hAnsi="Times New Roman" w:cs="Times New Roman"/>
        </w:rPr>
      </w:pPr>
    </w:p>
    <w:p w14:paraId="1AF442AD" w14:textId="77777777" w:rsidR="00EA1DF9" w:rsidRPr="00B57DB6" w:rsidRDefault="00EA1DF9" w:rsidP="00EA1DF9">
      <w:pPr>
        <w:pStyle w:val="NoSpacing"/>
        <w:jc w:val="center"/>
        <w:rPr>
          <w:rFonts w:ascii="Times New Roman" w:hAnsi="Times New Roman" w:cs="Times New Roman"/>
        </w:rPr>
      </w:pPr>
    </w:p>
    <w:p w14:paraId="27AEA7D0" w14:textId="77777777" w:rsidR="00EA1DF9" w:rsidRPr="00B57DB6" w:rsidRDefault="00EA1DF9" w:rsidP="00EA1DF9">
      <w:pPr>
        <w:pStyle w:val="NoSpacing"/>
        <w:jc w:val="center"/>
        <w:rPr>
          <w:rFonts w:ascii="Times New Roman" w:hAnsi="Times New Roman" w:cs="Times New Roman"/>
        </w:rPr>
      </w:pPr>
    </w:p>
    <w:p w14:paraId="72689C8B" w14:textId="77777777" w:rsidR="00EA1DF9" w:rsidRPr="00B57DB6" w:rsidRDefault="00EA1DF9" w:rsidP="00EA1DF9">
      <w:pPr>
        <w:pStyle w:val="NoSpacing"/>
        <w:jc w:val="center"/>
        <w:rPr>
          <w:rFonts w:ascii="Times New Roman" w:hAnsi="Times New Roman" w:cs="Times New Roman"/>
        </w:rPr>
      </w:pPr>
    </w:p>
    <w:p w14:paraId="324A735D" w14:textId="77777777" w:rsidR="00EA1DF9" w:rsidRPr="00B57DB6" w:rsidRDefault="00EA1DF9" w:rsidP="00EA1DF9">
      <w:pPr>
        <w:pStyle w:val="NoSpacing"/>
        <w:jc w:val="center"/>
        <w:rPr>
          <w:rFonts w:ascii="Times New Roman" w:hAnsi="Times New Roman" w:cs="Times New Roman"/>
        </w:rPr>
      </w:pPr>
    </w:p>
    <w:p w14:paraId="6D387BCB" w14:textId="77777777" w:rsidR="00EA1DF9" w:rsidRPr="00B57DB6" w:rsidRDefault="00EA1DF9" w:rsidP="00EA1DF9">
      <w:pPr>
        <w:pStyle w:val="NoSpacing"/>
        <w:jc w:val="center"/>
        <w:rPr>
          <w:rFonts w:ascii="Times New Roman" w:hAnsi="Times New Roman" w:cs="Times New Roman"/>
        </w:rPr>
      </w:pPr>
    </w:p>
    <w:p w14:paraId="075BD4C2" w14:textId="77777777" w:rsidR="00EA1DF9" w:rsidRPr="00B57DB6" w:rsidRDefault="00EA1DF9" w:rsidP="000E35F9">
      <w:pPr>
        <w:pStyle w:val="NoSpacing"/>
        <w:rPr>
          <w:rFonts w:ascii="Times New Roman" w:hAnsi="Times New Roman" w:cs="Times New Roman"/>
        </w:rPr>
      </w:pPr>
    </w:p>
    <w:p w14:paraId="68FDCC59" w14:textId="77777777" w:rsidR="00EA1DF9" w:rsidRPr="00B57DB6" w:rsidRDefault="00EA1DF9" w:rsidP="00EA1DF9">
      <w:pPr>
        <w:pStyle w:val="NoSpacing"/>
        <w:jc w:val="center"/>
        <w:rPr>
          <w:rFonts w:ascii="Times New Roman" w:hAnsi="Times New Roman" w:cs="Times New Roman"/>
        </w:rPr>
      </w:pPr>
    </w:p>
    <w:p w14:paraId="6B95632C" w14:textId="77777777" w:rsidR="00EA1DF9" w:rsidRPr="00B57DB6" w:rsidRDefault="00EA1DF9" w:rsidP="00EA1DF9">
      <w:pPr>
        <w:pStyle w:val="ContentsHeading"/>
      </w:pPr>
    </w:p>
    <w:p w14:paraId="5D0A7DF4" w14:textId="77777777" w:rsidR="00EA1DF9" w:rsidRPr="00062C7D" w:rsidRDefault="00EA1DF9" w:rsidP="00EA1DF9">
      <w:pPr>
        <w:pStyle w:val="ContentsHeading"/>
        <w:rPr>
          <w:rFonts w:ascii="Arial" w:hAnsi="Arial" w:cs="Arial"/>
        </w:rPr>
      </w:pPr>
      <w:r w:rsidRPr="00062C7D">
        <w:rPr>
          <w:rFonts w:ascii="Arial" w:hAnsi="Arial" w:cs="Arial"/>
        </w:rPr>
        <w:t>Table of Contents</w:t>
      </w:r>
    </w:p>
    <w:p w14:paraId="768ED3ED" w14:textId="77777777" w:rsidR="00EA1DF9" w:rsidRPr="00062C7D" w:rsidRDefault="00EA1DF9" w:rsidP="00EA1DF9">
      <w:pPr>
        <w:pStyle w:val="TOC1"/>
        <w:rPr>
          <w:rFonts w:ascii="Arial" w:hAnsi="Arial" w:cs="Arial"/>
        </w:rPr>
      </w:pPr>
      <w:r w:rsidRPr="00062C7D">
        <w:rPr>
          <w:rFonts w:ascii="Arial" w:hAnsi="Arial" w:cs="Arial"/>
        </w:rPr>
        <w:fldChar w:fldCharType="begin"/>
      </w:r>
      <w:r w:rsidRPr="00062C7D">
        <w:rPr>
          <w:rFonts w:ascii="Arial" w:hAnsi="Arial" w:cs="Arial"/>
        </w:rPr>
        <w:instrText xml:space="preserve"> TOC \f \o "1-9" \o "1-9" </w:instrText>
      </w:r>
      <w:r w:rsidRPr="00062C7D">
        <w:rPr>
          <w:rFonts w:ascii="Arial" w:hAnsi="Arial" w:cs="Arial"/>
        </w:rPr>
        <w:fldChar w:fldCharType="separate"/>
      </w:r>
      <w:r w:rsidRPr="00062C7D">
        <w:rPr>
          <w:rFonts w:ascii="Arial" w:hAnsi="Arial" w:cs="Arial"/>
        </w:rPr>
        <w:t>INTRODUCTION</w:t>
      </w:r>
      <w:r w:rsidRPr="00062C7D">
        <w:rPr>
          <w:rFonts w:ascii="Arial" w:hAnsi="Arial" w:cs="Arial"/>
        </w:rPr>
        <w:tab/>
      </w:r>
      <w:hyperlink w:anchor="__RefHeading__52453_787932429" w:history="1">
        <w:r w:rsidRPr="00062C7D">
          <w:rPr>
            <w:rStyle w:val="IndexLink"/>
            <w:rFonts w:ascii="Arial" w:hAnsi="Arial" w:cs="Arial"/>
          </w:rPr>
          <w:t>3</w:t>
        </w:r>
      </w:hyperlink>
    </w:p>
    <w:p w14:paraId="60652694" w14:textId="77777777" w:rsidR="00EA1DF9" w:rsidRPr="00062C7D" w:rsidRDefault="00EA1DF9" w:rsidP="00EA1DF9">
      <w:pPr>
        <w:pStyle w:val="TOC1"/>
        <w:rPr>
          <w:rFonts w:ascii="Arial" w:hAnsi="Arial" w:cs="Arial"/>
        </w:rPr>
      </w:pPr>
      <w:r w:rsidRPr="00062C7D">
        <w:rPr>
          <w:rFonts w:ascii="Arial" w:hAnsi="Arial" w:cs="Arial"/>
        </w:rPr>
        <w:t>MAIN BODY</w:t>
      </w:r>
      <w:r w:rsidRPr="00062C7D">
        <w:rPr>
          <w:rFonts w:ascii="Arial" w:hAnsi="Arial" w:cs="Arial"/>
        </w:rPr>
        <w:tab/>
      </w:r>
      <w:hyperlink w:anchor="__RefHeading__52455_787932429" w:history="1">
        <w:r w:rsidRPr="00062C7D">
          <w:rPr>
            <w:rStyle w:val="IndexLink"/>
            <w:rFonts w:ascii="Arial" w:hAnsi="Arial" w:cs="Arial"/>
          </w:rPr>
          <w:t>3</w:t>
        </w:r>
      </w:hyperlink>
    </w:p>
    <w:p w14:paraId="2385E2CB" w14:textId="77777777" w:rsidR="00EA1DF9" w:rsidRPr="00062C7D" w:rsidRDefault="00EA1DF9" w:rsidP="00EA1DF9">
      <w:pPr>
        <w:pStyle w:val="TOC2"/>
        <w:tabs>
          <w:tab w:val="clear" w:pos="9355"/>
          <w:tab w:val="right" w:leader="dot" w:pos="9360"/>
        </w:tabs>
        <w:rPr>
          <w:rFonts w:ascii="Arial" w:hAnsi="Arial" w:cs="Arial"/>
        </w:rPr>
      </w:pPr>
      <w:r w:rsidRPr="00062C7D">
        <w:rPr>
          <w:rFonts w:ascii="Arial" w:hAnsi="Arial" w:cs="Arial"/>
        </w:rPr>
        <w:t>Sector overview</w:t>
      </w:r>
      <w:r w:rsidRPr="00062C7D">
        <w:rPr>
          <w:rFonts w:ascii="Arial" w:hAnsi="Arial" w:cs="Arial"/>
        </w:rPr>
        <w:tab/>
      </w:r>
      <w:hyperlink w:anchor="__RefHeading__52546_787932429" w:history="1">
        <w:r w:rsidRPr="00062C7D">
          <w:rPr>
            <w:rStyle w:val="IndexLink"/>
            <w:rFonts w:ascii="Arial" w:hAnsi="Arial" w:cs="Arial"/>
          </w:rPr>
          <w:t>3</w:t>
        </w:r>
      </w:hyperlink>
    </w:p>
    <w:p w14:paraId="625A5638" w14:textId="77777777" w:rsidR="00EA1DF9" w:rsidRPr="00062C7D" w:rsidRDefault="00EA1DF9" w:rsidP="00EA1DF9">
      <w:pPr>
        <w:pStyle w:val="TOC2"/>
        <w:tabs>
          <w:tab w:val="clear" w:pos="9355"/>
          <w:tab w:val="right" w:leader="dot" w:pos="9360"/>
        </w:tabs>
        <w:rPr>
          <w:rFonts w:ascii="Arial" w:hAnsi="Arial" w:cs="Arial"/>
        </w:rPr>
      </w:pPr>
      <w:r w:rsidRPr="00062C7D">
        <w:rPr>
          <w:rFonts w:ascii="Arial" w:hAnsi="Arial" w:cs="Arial"/>
        </w:rPr>
        <w:t xml:space="preserve">Analysis of external environment </w:t>
      </w:r>
      <w:r w:rsidRPr="00062C7D">
        <w:rPr>
          <w:rFonts w:ascii="Arial" w:hAnsi="Arial" w:cs="Arial"/>
        </w:rPr>
        <w:tab/>
      </w:r>
      <w:hyperlink w:anchor="__RefHeading__52548_787932429" w:history="1">
        <w:r w:rsidRPr="00062C7D">
          <w:rPr>
            <w:rStyle w:val="IndexLink"/>
            <w:rFonts w:ascii="Arial" w:hAnsi="Arial" w:cs="Arial"/>
          </w:rPr>
          <w:t>3</w:t>
        </w:r>
      </w:hyperlink>
    </w:p>
    <w:p w14:paraId="3EAA7F55" w14:textId="2DADE692" w:rsidR="00EA1DF9" w:rsidRPr="00062C7D" w:rsidRDefault="00062C7D" w:rsidP="00EA1DF9">
      <w:pPr>
        <w:pStyle w:val="TOC2"/>
        <w:tabs>
          <w:tab w:val="clear" w:pos="9355"/>
          <w:tab w:val="right" w:leader="dot" w:pos="9360"/>
        </w:tabs>
        <w:rPr>
          <w:rFonts w:ascii="Arial" w:hAnsi="Arial" w:cs="Arial"/>
        </w:rPr>
      </w:pPr>
      <w:r w:rsidRPr="00062C7D">
        <w:rPr>
          <w:rFonts w:ascii="Arial" w:hAnsi="Arial" w:cs="Arial"/>
        </w:rPr>
        <w:t>PESTEL</w:t>
      </w:r>
      <w:r w:rsidR="00A77CCF">
        <w:rPr>
          <w:rFonts w:ascii="Arial" w:hAnsi="Arial" w:cs="Arial"/>
        </w:rPr>
        <w:t xml:space="preserve"> </w:t>
      </w:r>
      <w:r w:rsidRPr="00062C7D">
        <w:rPr>
          <w:rFonts w:ascii="Arial" w:hAnsi="Arial" w:cs="Arial"/>
        </w:rPr>
        <w:t>analysis</w:t>
      </w:r>
      <w:r w:rsidR="00A77CCF">
        <w:rPr>
          <w:rFonts w:ascii="Arial" w:hAnsi="Arial" w:cs="Arial"/>
        </w:rPr>
        <w:t xml:space="preserve"> .</w:t>
      </w:r>
      <w:r w:rsidRPr="00062C7D">
        <w:rPr>
          <w:rFonts w:ascii="Arial" w:hAnsi="Arial" w:cs="Arial"/>
        </w:rPr>
        <w:t>..…………………………………………………………………………..</w:t>
      </w:r>
      <w:hyperlink w:anchor="__RefHeading__52550_787932429" w:history="1">
        <w:r w:rsidR="004B081E">
          <w:rPr>
            <w:rStyle w:val="IndexLink"/>
            <w:rFonts w:ascii="Arial" w:hAnsi="Arial" w:cs="Arial"/>
          </w:rPr>
          <w:t>5</w:t>
        </w:r>
      </w:hyperlink>
    </w:p>
    <w:p w14:paraId="2DE3A351" w14:textId="74AC405A" w:rsidR="00EA1DF9" w:rsidRPr="00062C7D" w:rsidRDefault="00EA1DF9" w:rsidP="00EA1DF9">
      <w:pPr>
        <w:pStyle w:val="TOC2"/>
        <w:tabs>
          <w:tab w:val="clear" w:pos="9355"/>
          <w:tab w:val="right" w:leader="dot" w:pos="9360"/>
        </w:tabs>
        <w:rPr>
          <w:rFonts w:ascii="Arial" w:hAnsi="Arial" w:cs="Arial"/>
        </w:rPr>
      </w:pPr>
      <w:r w:rsidRPr="00062C7D">
        <w:rPr>
          <w:rFonts w:ascii="Arial" w:hAnsi="Arial" w:cs="Arial"/>
        </w:rPr>
        <w:t xml:space="preserve">Porter Five Forces </w:t>
      </w:r>
      <w:r w:rsidRPr="00062C7D">
        <w:rPr>
          <w:rFonts w:ascii="Arial" w:hAnsi="Arial" w:cs="Arial"/>
        </w:rPr>
        <w:tab/>
      </w:r>
      <w:hyperlink w:anchor="__RefHeading__52552_787932429" w:history="1">
        <w:r w:rsidR="004B081E">
          <w:rPr>
            <w:rStyle w:val="IndexLink"/>
            <w:rFonts w:ascii="Arial" w:hAnsi="Arial" w:cs="Arial"/>
          </w:rPr>
          <w:t>6</w:t>
        </w:r>
      </w:hyperlink>
    </w:p>
    <w:p w14:paraId="10FD2030" w14:textId="689AB68A" w:rsidR="00EA1DF9" w:rsidRPr="00062C7D" w:rsidRDefault="00EA1DF9" w:rsidP="00EA1DF9">
      <w:pPr>
        <w:pStyle w:val="TOC1"/>
        <w:rPr>
          <w:rFonts w:ascii="Arial" w:hAnsi="Arial" w:cs="Arial"/>
        </w:rPr>
      </w:pPr>
      <w:r w:rsidRPr="00062C7D">
        <w:rPr>
          <w:rFonts w:ascii="Arial" w:hAnsi="Arial" w:cs="Arial"/>
        </w:rPr>
        <w:t>CONCLUSION</w:t>
      </w:r>
      <w:r w:rsidRPr="00062C7D">
        <w:rPr>
          <w:rFonts w:ascii="Arial" w:hAnsi="Arial" w:cs="Arial"/>
        </w:rPr>
        <w:tab/>
      </w:r>
      <w:hyperlink w:anchor="__RefHeading__52457_787932429" w:history="1">
        <w:r w:rsidR="004B081E">
          <w:rPr>
            <w:rStyle w:val="IndexLink"/>
            <w:rFonts w:ascii="Arial" w:hAnsi="Arial" w:cs="Arial"/>
          </w:rPr>
          <w:t>9</w:t>
        </w:r>
      </w:hyperlink>
    </w:p>
    <w:p w14:paraId="59C88908" w14:textId="565D1E8E" w:rsidR="00EA1DF9" w:rsidRPr="00062C7D" w:rsidRDefault="00EA1DF9" w:rsidP="00EA1DF9">
      <w:pPr>
        <w:pStyle w:val="TOC1"/>
        <w:rPr>
          <w:rFonts w:ascii="Arial" w:hAnsi="Arial" w:cs="Arial"/>
        </w:rPr>
      </w:pPr>
      <w:r w:rsidRPr="00062C7D">
        <w:rPr>
          <w:rFonts w:ascii="Arial" w:hAnsi="Arial" w:cs="Arial"/>
        </w:rPr>
        <w:t>REFERENCES</w:t>
      </w:r>
      <w:r w:rsidRPr="00062C7D">
        <w:rPr>
          <w:rFonts w:ascii="Arial" w:hAnsi="Arial" w:cs="Arial"/>
        </w:rPr>
        <w:tab/>
      </w:r>
      <w:r w:rsidR="004B081E">
        <w:t>10</w:t>
      </w:r>
    </w:p>
    <w:p w14:paraId="7D3DEF90" w14:textId="77777777" w:rsidR="00EA1DF9" w:rsidRDefault="00EA1DF9" w:rsidP="00EA1DF9">
      <w:r w:rsidRPr="00062C7D">
        <w:rPr>
          <w:rFonts w:ascii="Arial" w:hAnsi="Arial" w:cs="Arial"/>
        </w:rPr>
        <w:fldChar w:fldCharType="end"/>
      </w:r>
    </w:p>
    <w:p w14:paraId="4C1C6A96" w14:textId="77777777" w:rsidR="00EA1DF9" w:rsidRPr="00724942" w:rsidRDefault="00EA1DF9" w:rsidP="00724942">
      <w:pPr>
        <w:pStyle w:val="Heading1"/>
        <w:pageBreakBefore/>
        <w:rPr>
          <w:rFonts w:ascii="Arial" w:hAnsi="Arial" w:cs="Arial"/>
          <w:sz w:val="22"/>
          <w:szCs w:val="22"/>
        </w:rPr>
      </w:pPr>
      <w:bookmarkStart w:id="0" w:name="__RefHeading__52453_787932429"/>
      <w:bookmarkEnd w:id="0"/>
      <w:r w:rsidRPr="00724942">
        <w:rPr>
          <w:rFonts w:ascii="Arial" w:hAnsi="Arial" w:cs="Arial"/>
          <w:sz w:val="22"/>
          <w:szCs w:val="22"/>
        </w:rPr>
        <w:lastRenderedPageBreak/>
        <w:t>INTRODUCTION</w:t>
      </w:r>
    </w:p>
    <w:p w14:paraId="61AB5EE7" w14:textId="77777777" w:rsidR="00086BDD" w:rsidRDefault="00EA1DF9" w:rsidP="00724942">
      <w:pPr>
        <w:rPr>
          <w:rFonts w:ascii="Arial" w:hAnsi="Arial" w:cs="Arial"/>
          <w:sz w:val="22"/>
        </w:rPr>
      </w:pPr>
      <w:r w:rsidRPr="00724942">
        <w:rPr>
          <w:rFonts w:ascii="Arial" w:hAnsi="Arial" w:cs="Arial"/>
          <w:sz w:val="22"/>
        </w:rPr>
        <w:tab/>
        <w:t xml:space="preserve">Business environment is the aggregate of the total people, organisation and other forces that are present in the external areas of the industry but it </w:t>
      </w:r>
      <w:r w:rsidR="006E1F84">
        <w:rPr>
          <w:rFonts w:ascii="Arial" w:hAnsi="Arial" w:cs="Arial"/>
          <w:sz w:val="22"/>
        </w:rPr>
        <w:t>has</w:t>
      </w:r>
      <w:r w:rsidRPr="00724942">
        <w:rPr>
          <w:rFonts w:ascii="Arial" w:hAnsi="Arial" w:cs="Arial"/>
          <w:sz w:val="22"/>
        </w:rPr>
        <w:t xml:space="preserve"> the potential to affect the organisation (</w:t>
      </w:r>
      <w:r w:rsidRPr="00724942">
        <w:rPr>
          <w:rFonts w:ascii="Arial" w:hAnsi="Arial" w:cs="Arial"/>
          <w:color w:val="222222"/>
          <w:sz w:val="22"/>
        </w:rPr>
        <w:t>Bansal, and et.al, 2022)</w:t>
      </w:r>
      <w:r w:rsidRPr="00724942">
        <w:rPr>
          <w:rFonts w:ascii="Arial" w:hAnsi="Arial" w:cs="Arial"/>
          <w:sz w:val="22"/>
        </w:rPr>
        <w:t>. It can also be defined as the combination of internal and external factors such as customer needs and expectation, economic changes, market trends etc. For this report, GSK has been taken into consideration, which is one of the biggest UK based company that is engaged in performing its operations in health care sector</w:t>
      </w:r>
      <w:r w:rsidR="00A77CCF">
        <w:rPr>
          <w:rFonts w:ascii="Arial" w:hAnsi="Arial" w:cs="Arial"/>
          <w:sz w:val="22"/>
        </w:rPr>
        <w:t xml:space="preserve"> analysing how key factors impact this organisation</w:t>
      </w:r>
      <w:r w:rsidRPr="00724942">
        <w:rPr>
          <w:rFonts w:ascii="Arial" w:hAnsi="Arial" w:cs="Arial"/>
          <w:sz w:val="22"/>
        </w:rPr>
        <w:t xml:space="preserve">. </w:t>
      </w:r>
    </w:p>
    <w:p w14:paraId="7931DF52" w14:textId="43D9A132" w:rsidR="00EA1DF9" w:rsidRPr="00724942" w:rsidRDefault="00EA1DF9" w:rsidP="00724942">
      <w:pPr>
        <w:rPr>
          <w:rFonts w:ascii="Arial" w:hAnsi="Arial" w:cs="Arial"/>
          <w:sz w:val="22"/>
        </w:rPr>
      </w:pPr>
      <w:r w:rsidRPr="00724942">
        <w:rPr>
          <w:rFonts w:ascii="Arial" w:hAnsi="Arial" w:cs="Arial"/>
          <w:sz w:val="22"/>
        </w:rPr>
        <w:t>This report contains the importance of analysing GSK's  external environment that can be beneficial for them as by that they can prepare for the worst and take a leap over its competitors. This report also includes the benefits that GSK can get by analysing their competitor</w:t>
      </w:r>
      <w:r w:rsidR="007F280E">
        <w:rPr>
          <w:rFonts w:ascii="Arial" w:hAnsi="Arial" w:cs="Arial"/>
          <w:sz w:val="22"/>
        </w:rPr>
        <w:t>’</w:t>
      </w:r>
      <w:r w:rsidRPr="00724942">
        <w:rPr>
          <w:rFonts w:ascii="Arial" w:hAnsi="Arial" w:cs="Arial"/>
          <w:sz w:val="22"/>
        </w:rPr>
        <w:t>s move</w:t>
      </w:r>
      <w:r w:rsidR="003720CF">
        <w:rPr>
          <w:rFonts w:ascii="Arial" w:hAnsi="Arial" w:cs="Arial"/>
          <w:sz w:val="22"/>
        </w:rPr>
        <w:t>ments,</w:t>
      </w:r>
      <w:r w:rsidRPr="00724942">
        <w:rPr>
          <w:rFonts w:ascii="Arial" w:hAnsi="Arial" w:cs="Arial"/>
          <w:sz w:val="22"/>
        </w:rPr>
        <w:t xml:space="preserve"> </w:t>
      </w:r>
      <w:r w:rsidR="009F6E03">
        <w:rPr>
          <w:rFonts w:ascii="Arial" w:hAnsi="Arial" w:cs="Arial"/>
          <w:sz w:val="22"/>
        </w:rPr>
        <w:t>which</w:t>
      </w:r>
      <w:r w:rsidRPr="00724942">
        <w:rPr>
          <w:rFonts w:ascii="Arial" w:hAnsi="Arial" w:cs="Arial"/>
          <w:sz w:val="22"/>
        </w:rPr>
        <w:t xml:space="preserve"> can help them to improve the market dominance</w:t>
      </w:r>
      <w:r w:rsidR="009F6E03">
        <w:rPr>
          <w:rFonts w:ascii="Arial" w:hAnsi="Arial" w:cs="Arial"/>
          <w:sz w:val="22"/>
        </w:rPr>
        <w:t xml:space="preserve"> and perform better</w:t>
      </w:r>
      <w:r w:rsidRPr="00724942">
        <w:rPr>
          <w:rFonts w:ascii="Arial" w:hAnsi="Arial" w:cs="Arial"/>
          <w:sz w:val="22"/>
        </w:rPr>
        <w:t xml:space="preserve">. </w:t>
      </w:r>
    </w:p>
    <w:p w14:paraId="09513D09" w14:textId="77777777" w:rsidR="00EA1DF9" w:rsidRPr="00724942" w:rsidRDefault="00EA1DF9" w:rsidP="00724942">
      <w:pPr>
        <w:pStyle w:val="Heading1"/>
        <w:rPr>
          <w:rFonts w:ascii="Arial" w:hAnsi="Arial" w:cs="Arial"/>
          <w:sz w:val="22"/>
          <w:szCs w:val="22"/>
        </w:rPr>
      </w:pPr>
      <w:bookmarkStart w:id="1" w:name="__RefHeading__52455_787932429"/>
      <w:bookmarkEnd w:id="1"/>
      <w:r w:rsidRPr="00724942">
        <w:rPr>
          <w:rFonts w:ascii="Arial" w:hAnsi="Arial" w:cs="Arial"/>
          <w:sz w:val="22"/>
          <w:szCs w:val="22"/>
        </w:rPr>
        <w:t>MAIN BODY</w:t>
      </w:r>
    </w:p>
    <w:p w14:paraId="0C9F39A5" w14:textId="77777777" w:rsidR="00EA1DF9" w:rsidRPr="00724942" w:rsidRDefault="00EA1DF9" w:rsidP="00724942">
      <w:pPr>
        <w:pStyle w:val="Heading2"/>
        <w:rPr>
          <w:rFonts w:ascii="Arial" w:hAnsi="Arial" w:cs="Arial"/>
          <w:bCs w:val="0"/>
          <w:sz w:val="22"/>
          <w:szCs w:val="22"/>
        </w:rPr>
      </w:pPr>
      <w:bookmarkStart w:id="2" w:name="__RefHeading__52546_787932429"/>
      <w:bookmarkEnd w:id="2"/>
      <w:r w:rsidRPr="00724942">
        <w:rPr>
          <w:rFonts w:ascii="Arial" w:hAnsi="Arial" w:cs="Arial"/>
          <w:b/>
          <w:sz w:val="22"/>
          <w:szCs w:val="22"/>
        </w:rPr>
        <w:t>Sector overview</w:t>
      </w:r>
    </w:p>
    <w:p w14:paraId="1AA18B05" w14:textId="77777777" w:rsidR="00B35E54" w:rsidRDefault="00EA1DF9" w:rsidP="00251B86">
      <w:pPr>
        <w:rPr>
          <w:rFonts w:ascii="Arial" w:hAnsi="Arial" w:cs="Arial"/>
          <w:sz w:val="22"/>
        </w:rPr>
      </w:pPr>
      <w:r w:rsidRPr="00724942">
        <w:rPr>
          <w:rFonts w:ascii="Arial" w:hAnsi="Arial" w:cs="Arial"/>
          <w:sz w:val="22"/>
        </w:rPr>
        <w:tab/>
        <w:t>With the growing population, the need for healthcare sector has increased dramatically. The health care industry is also known as medical industry (</w:t>
      </w:r>
      <w:proofErr w:type="spellStart"/>
      <w:r w:rsidRPr="00724942">
        <w:rPr>
          <w:rFonts w:ascii="Arial" w:hAnsi="Arial" w:cs="Arial"/>
          <w:color w:val="222222"/>
          <w:sz w:val="22"/>
        </w:rPr>
        <w:t>Padash</w:t>
      </w:r>
      <w:proofErr w:type="spellEnd"/>
      <w:r w:rsidRPr="00724942">
        <w:rPr>
          <w:rFonts w:ascii="Arial" w:hAnsi="Arial" w:cs="Arial"/>
          <w:color w:val="222222"/>
          <w:sz w:val="22"/>
        </w:rPr>
        <w:t xml:space="preserve">, and </w:t>
      </w:r>
      <w:proofErr w:type="spellStart"/>
      <w:r w:rsidRPr="00724942">
        <w:rPr>
          <w:rFonts w:ascii="Arial" w:hAnsi="Arial" w:cs="Arial"/>
          <w:color w:val="222222"/>
          <w:sz w:val="22"/>
        </w:rPr>
        <w:t>Ghatari</w:t>
      </w:r>
      <w:proofErr w:type="spellEnd"/>
      <w:r w:rsidRPr="00724942">
        <w:rPr>
          <w:rFonts w:ascii="Arial" w:hAnsi="Arial" w:cs="Arial"/>
          <w:color w:val="222222"/>
          <w:sz w:val="22"/>
        </w:rPr>
        <w:t>,  2020</w:t>
      </w:r>
      <w:r w:rsidRPr="00724942">
        <w:rPr>
          <w:rFonts w:ascii="Arial" w:hAnsi="Arial" w:cs="Arial"/>
          <w:sz w:val="22"/>
        </w:rPr>
        <w:t>). It is basically an aggregation and integration of sectors which is present in the economic system that eventually provides goods and services that are used to cure a patient with preventive</w:t>
      </w:r>
      <w:r w:rsidR="00B27DF1">
        <w:rPr>
          <w:rFonts w:ascii="Arial" w:hAnsi="Arial" w:cs="Arial"/>
          <w:sz w:val="22"/>
        </w:rPr>
        <w:t xml:space="preserve"> and</w:t>
      </w:r>
      <w:r w:rsidRPr="00724942">
        <w:rPr>
          <w:rFonts w:ascii="Arial" w:hAnsi="Arial" w:cs="Arial"/>
          <w:sz w:val="22"/>
        </w:rPr>
        <w:t xml:space="preserve"> rehabilitative </w:t>
      </w:r>
      <w:r w:rsidR="00B27DF1">
        <w:rPr>
          <w:rFonts w:ascii="Arial" w:hAnsi="Arial" w:cs="Arial"/>
          <w:sz w:val="22"/>
        </w:rPr>
        <w:t>care or to provide</w:t>
      </w:r>
      <w:r w:rsidRPr="00724942">
        <w:rPr>
          <w:rFonts w:ascii="Arial" w:hAnsi="Arial" w:cs="Arial"/>
          <w:sz w:val="22"/>
        </w:rPr>
        <w:t xml:space="preserve"> palliative care. This sector is comprised with hospitals, clinical trials along with medical </w:t>
      </w:r>
      <w:r w:rsidR="006E1F84" w:rsidRPr="00724942">
        <w:rPr>
          <w:rFonts w:ascii="Arial" w:hAnsi="Arial" w:cs="Arial"/>
          <w:sz w:val="22"/>
        </w:rPr>
        <w:t>equipment</w:t>
      </w:r>
      <w:r w:rsidRPr="00724942">
        <w:rPr>
          <w:rFonts w:ascii="Arial" w:hAnsi="Arial" w:cs="Arial"/>
          <w:sz w:val="22"/>
        </w:rPr>
        <w:t xml:space="preserve">. </w:t>
      </w:r>
    </w:p>
    <w:p w14:paraId="0073D049" w14:textId="483728C3" w:rsidR="00251B86" w:rsidRPr="00724942" w:rsidRDefault="00EA1DF9" w:rsidP="00251B86">
      <w:pPr>
        <w:rPr>
          <w:rFonts w:ascii="Arial" w:hAnsi="Arial" w:cs="Arial"/>
          <w:sz w:val="22"/>
        </w:rPr>
      </w:pPr>
      <w:r w:rsidRPr="00724942">
        <w:rPr>
          <w:rFonts w:ascii="Arial" w:hAnsi="Arial" w:cs="Arial"/>
          <w:sz w:val="22"/>
        </w:rPr>
        <w:t xml:space="preserve">GSK </w:t>
      </w:r>
      <w:r w:rsidR="00E33425">
        <w:rPr>
          <w:rFonts w:ascii="Arial" w:hAnsi="Arial" w:cs="Arial"/>
          <w:sz w:val="22"/>
        </w:rPr>
        <w:t>started in London in 1715 as a pharmaceutical company</w:t>
      </w:r>
      <w:r w:rsidR="00B35E54">
        <w:rPr>
          <w:rFonts w:ascii="Arial" w:hAnsi="Arial" w:cs="Arial"/>
          <w:sz w:val="22"/>
        </w:rPr>
        <w:t>,</w:t>
      </w:r>
      <w:r w:rsidR="00E33425">
        <w:rPr>
          <w:rFonts w:ascii="Arial" w:hAnsi="Arial" w:cs="Arial"/>
          <w:sz w:val="22"/>
        </w:rPr>
        <w:t xml:space="preserve"> and today </w:t>
      </w:r>
      <w:r w:rsidRPr="00724942">
        <w:rPr>
          <w:rFonts w:ascii="Arial" w:hAnsi="Arial" w:cs="Arial"/>
          <w:sz w:val="22"/>
        </w:rPr>
        <w:t xml:space="preserve">is a </w:t>
      </w:r>
      <w:r w:rsidR="006E1F84" w:rsidRPr="00724942">
        <w:rPr>
          <w:rFonts w:ascii="Arial" w:hAnsi="Arial" w:cs="Arial"/>
          <w:sz w:val="22"/>
        </w:rPr>
        <w:t>well-known</w:t>
      </w:r>
      <w:r w:rsidRPr="00724942">
        <w:rPr>
          <w:rFonts w:ascii="Arial" w:hAnsi="Arial" w:cs="Arial"/>
          <w:sz w:val="22"/>
        </w:rPr>
        <w:t xml:space="preserve"> name in the space of health care sector.</w:t>
      </w:r>
      <w:r w:rsidR="002A7B56" w:rsidRPr="002A7B56">
        <w:t xml:space="preserve"> </w:t>
      </w:r>
      <w:r w:rsidR="002A7B56">
        <w:t>&lt;</w:t>
      </w:r>
      <w:hyperlink r:id="rId7" w:anchor=":~:text=GSK%20traces%20its%20earliest%20foundation,continually%20running%20British%20pharmaceutical%20company." w:history="1">
        <w:r w:rsidR="002A7B56" w:rsidRPr="002A7B56">
          <w:rPr>
            <w:color w:val="0000FF"/>
            <w:u w:val="single"/>
          </w:rPr>
          <w:t>History and heritage | GSK</w:t>
        </w:r>
      </w:hyperlink>
      <w:r w:rsidR="002A7B56">
        <w:t>&gt;</w:t>
      </w:r>
      <w:r w:rsidRPr="00724942">
        <w:rPr>
          <w:rFonts w:ascii="Arial" w:hAnsi="Arial" w:cs="Arial"/>
          <w:sz w:val="22"/>
        </w:rPr>
        <w:t xml:space="preserve"> They are also focusing on the developing, manufacturing and commercializing pharmaceuticals, vaccines and consumer health care products.</w:t>
      </w:r>
      <w:r w:rsidR="009C3432">
        <w:rPr>
          <w:rFonts w:ascii="Arial" w:hAnsi="Arial" w:cs="Arial"/>
          <w:sz w:val="22"/>
        </w:rPr>
        <w:t xml:space="preserve"> GSK declare to unite science, technology and talent with the purpose to </w:t>
      </w:r>
      <w:r w:rsidR="00134A0D">
        <w:rPr>
          <w:rFonts w:ascii="Arial" w:hAnsi="Arial" w:cs="Arial"/>
          <w:sz w:val="22"/>
        </w:rPr>
        <w:t xml:space="preserve">get advance in the battle with diseases. </w:t>
      </w:r>
      <w:r w:rsidR="0029401F">
        <w:rPr>
          <w:rFonts w:ascii="Arial" w:hAnsi="Arial" w:cs="Arial"/>
          <w:sz w:val="22"/>
        </w:rPr>
        <w:t xml:space="preserve">As organization, GSK aim to have a positive impact over the health of 2.5 billion people in the next 10 years. </w:t>
      </w:r>
      <w:r w:rsidR="00251B86">
        <w:t>&lt;</w:t>
      </w:r>
      <w:hyperlink r:id="rId8" w:anchor=":~:text=GSK%20is%20a%20global%20biopharma,over%20the%20next%2010%20years." w:history="1">
        <w:r w:rsidR="00251B86" w:rsidRPr="009C3432">
          <w:rPr>
            <w:color w:val="0000FF"/>
            <w:u w:val="single"/>
          </w:rPr>
          <w:t>United Kingdom | GSK</w:t>
        </w:r>
      </w:hyperlink>
      <w:r w:rsidR="00251B86">
        <w:t>&gt;</w:t>
      </w:r>
    </w:p>
    <w:p w14:paraId="53732B55" w14:textId="760A3E08" w:rsidR="00EA1DF9" w:rsidRPr="00724942" w:rsidRDefault="00EA1DF9" w:rsidP="00724942">
      <w:pPr>
        <w:rPr>
          <w:rFonts w:ascii="Arial" w:hAnsi="Arial" w:cs="Arial"/>
          <w:sz w:val="22"/>
        </w:rPr>
      </w:pPr>
    </w:p>
    <w:p w14:paraId="04524528" w14:textId="77777777" w:rsidR="00EA1DF9" w:rsidRPr="00724942" w:rsidRDefault="00EA1DF9" w:rsidP="00724942">
      <w:pPr>
        <w:rPr>
          <w:rFonts w:ascii="Arial" w:hAnsi="Arial" w:cs="Arial"/>
          <w:sz w:val="22"/>
        </w:rPr>
      </w:pPr>
    </w:p>
    <w:p w14:paraId="6333CADF" w14:textId="77777777" w:rsidR="00EA1DF9" w:rsidRPr="00724942" w:rsidRDefault="00EA1DF9" w:rsidP="00724942">
      <w:pPr>
        <w:pStyle w:val="Heading2"/>
        <w:rPr>
          <w:rFonts w:ascii="Arial" w:hAnsi="Arial" w:cs="Arial"/>
          <w:bCs w:val="0"/>
          <w:sz w:val="22"/>
          <w:szCs w:val="22"/>
        </w:rPr>
      </w:pPr>
      <w:bookmarkStart w:id="3" w:name="__RefHeading__52548_787932429"/>
      <w:bookmarkEnd w:id="3"/>
      <w:r w:rsidRPr="00724942">
        <w:rPr>
          <w:rFonts w:ascii="Arial" w:hAnsi="Arial" w:cs="Arial"/>
          <w:b/>
          <w:sz w:val="22"/>
          <w:szCs w:val="22"/>
        </w:rPr>
        <w:t xml:space="preserve">Analysis of external environment </w:t>
      </w:r>
    </w:p>
    <w:p w14:paraId="20F4B668" w14:textId="77777777" w:rsidR="00ED53C6" w:rsidRDefault="00EA1DF9" w:rsidP="00724942">
      <w:pPr>
        <w:rPr>
          <w:rFonts w:ascii="Arial" w:hAnsi="Arial" w:cs="Arial"/>
          <w:sz w:val="22"/>
        </w:rPr>
      </w:pPr>
      <w:r w:rsidRPr="00724942">
        <w:rPr>
          <w:rFonts w:ascii="Arial" w:hAnsi="Arial" w:cs="Arial"/>
          <w:sz w:val="22"/>
        </w:rPr>
        <w:tab/>
        <w:t xml:space="preserve">The external environment is made up of all the outside factors or influential parts that impact the operation of a certain business. Different businesses can use it to make an advantageous move for that they need to analyse the external forces that affect their overall working. It is a very competitive sector in terms of number of companies that are engaged in this </w:t>
      </w:r>
      <w:r w:rsidRPr="00724942">
        <w:rPr>
          <w:rFonts w:ascii="Arial" w:hAnsi="Arial" w:cs="Arial"/>
          <w:sz w:val="22"/>
        </w:rPr>
        <w:lastRenderedPageBreak/>
        <w:t>business. The healthcare space in terms of revenue is worth more than $390 billion in 2022 and it is heading towards $974 billion by the end of year 2027 which is growing at a pace of 19.8% that was itself considered insane (market and markets, 2023{online}).</w:t>
      </w:r>
    </w:p>
    <w:p w14:paraId="614E1BF8" w14:textId="4736C290" w:rsidR="004C4F69" w:rsidRPr="00413719" w:rsidRDefault="00EA1DF9" w:rsidP="00413719">
      <w:pPr>
        <w:rPr>
          <w:rFonts w:ascii="Arial" w:hAnsi="Arial" w:cs="Arial"/>
          <w:sz w:val="22"/>
        </w:rPr>
      </w:pPr>
      <w:r w:rsidRPr="00724942">
        <w:rPr>
          <w:rFonts w:ascii="Arial" w:hAnsi="Arial" w:cs="Arial"/>
          <w:sz w:val="22"/>
        </w:rPr>
        <w:t xml:space="preserve"> </w:t>
      </w:r>
    </w:p>
    <w:p w14:paraId="212CE163" w14:textId="235DD200" w:rsidR="00AF2DD3" w:rsidRDefault="00B1781D" w:rsidP="003C054D">
      <w:pPr>
        <w:suppressAutoHyphens w:val="0"/>
        <w:spacing w:after="160" w:line="259" w:lineRule="auto"/>
        <w:jc w:val="left"/>
        <w:rPr>
          <w:rFonts w:ascii="Arial" w:eastAsiaTheme="minorHAnsi" w:hAnsi="Arial" w:cs="Arial"/>
          <w:b/>
          <w:bCs/>
          <w:color w:val="2F5496" w:themeColor="accent1" w:themeShade="BF"/>
          <w:sz w:val="22"/>
          <w:lang w:eastAsia="en-US"/>
        </w:rPr>
      </w:pPr>
      <w:r>
        <w:rPr>
          <w:rFonts w:ascii="Arial" w:eastAsiaTheme="minorHAnsi" w:hAnsi="Arial" w:cs="Arial"/>
          <w:b/>
          <w:bCs/>
          <w:color w:val="2F5496" w:themeColor="accent1" w:themeShade="BF"/>
          <w:sz w:val="22"/>
          <w:lang w:eastAsia="en-US"/>
        </w:rPr>
        <w:t>GSK’s achievements in numbers for 2021 and 2022</w:t>
      </w:r>
    </w:p>
    <w:p w14:paraId="5E100536" w14:textId="78BBB246" w:rsidR="003C054D" w:rsidRPr="003A42D4" w:rsidRDefault="003C054D" w:rsidP="003A42D4">
      <w:pPr>
        <w:pStyle w:val="ListParagraph"/>
        <w:numPr>
          <w:ilvl w:val="0"/>
          <w:numId w:val="4"/>
        </w:numPr>
        <w:suppressAutoHyphens w:val="0"/>
        <w:spacing w:after="160" w:line="259" w:lineRule="auto"/>
        <w:jc w:val="left"/>
        <w:rPr>
          <w:rFonts w:ascii="Arial" w:eastAsiaTheme="minorHAnsi" w:hAnsi="Arial" w:cs="Arial"/>
          <w:b/>
          <w:bCs/>
          <w:color w:val="2F5496" w:themeColor="accent1" w:themeShade="BF"/>
          <w:sz w:val="22"/>
          <w:lang w:eastAsia="en-US"/>
        </w:rPr>
      </w:pPr>
      <w:r w:rsidRPr="003A42D4">
        <w:rPr>
          <w:rFonts w:ascii="Arial" w:eastAsiaTheme="minorHAnsi" w:hAnsi="Arial" w:cs="Arial"/>
          <w:b/>
          <w:bCs/>
          <w:color w:val="2F5496" w:themeColor="accent1" w:themeShade="BF"/>
          <w:sz w:val="22"/>
          <w:lang w:eastAsia="en-US"/>
        </w:rPr>
        <w:t>2021 performance summary</w:t>
      </w:r>
    </w:p>
    <w:p w14:paraId="27A4DF28" w14:textId="77777777" w:rsidR="003C054D" w:rsidRPr="003C054D" w:rsidRDefault="003C054D" w:rsidP="003C054D">
      <w:pPr>
        <w:suppressAutoHyphens w:val="0"/>
        <w:spacing w:after="160" w:line="259" w:lineRule="auto"/>
        <w:jc w:val="left"/>
        <w:rPr>
          <w:rFonts w:ascii="Arial" w:eastAsiaTheme="minorHAnsi" w:hAnsi="Arial" w:cs="Arial"/>
          <w:b/>
          <w:bCs/>
          <w:color w:val="538135" w:themeColor="accent6" w:themeShade="BF"/>
          <w:sz w:val="22"/>
          <w:lang w:eastAsia="en-US"/>
        </w:rPr>
      </w:pPr>
      <w:r w:rsidRPr="003C054D">
        <w:rPr>
          <w:rFonts w:ascii="Arial" w:eastAsiaTheme="minorHAnsi" w:hAnsi="Arial" w:cs="Arial"/>
          <w:b/>
          <w:bCs/>
          <w:color w:val="538135" w:themeColor="accent6" w:themeShade="BF"/>
          <w:sz w:val="22"/>
          <w:lang w:eastAsia="en-US"/>
        </w:rPr>
        <w:t xml:space="preserve"> Strong commercial execution drives growth across Pharmaceuticals, Vaccines and Consumer Healthcare (excluding divestments/brands under review)</w:t>
      </w:r>
    </w:p>
    <w:tbl>
      <w:tblPr>
        <w:tblStyle w:val="TableGrid"/>
        <w:tblW w:w="9387" w:type="dxa"/>
        <w:tblLook w:val="04A0" w:firstRow="1" w:lastRow="0" w:firstColumn="1" w:lastColumn="0" w:noHBand="0" w:noVBand="1"/>
      </w:tblPr>
      <w:tblGrid>
        <w:gridCol w:w="9387"/>
      </w:tblGrid>
      <w:tr w:rsidR="003C054D" w:rsidRPr="003C054D" w14:paraId="20056BF2" w14:textId="77777777" w:rsidTr="00057C96">
        <w:trPr>
          <w:trHeight w:val="3062"/>
        </w:trPr>
        <w:tc>
          <w:tcPr>
            <w:tcW w:w="9387" w:type="dxa"/>
          </w:tcPr>
          <w:p w14:paraId="7B11C2A4" w14:textId="77777777" w:rsidR="003C054D" w:rsidRPr="003C054D" w:rsidRDefault="003C054D" w:rsidP="003C054D">
            <w:pPr>
              <w:suppressAutoHyphens w:val="0"/>
              <w:spacing w:after="160" w:line="259" w:lineRule="auto"/>
              <w:jc w:val="left"/>
              <w:rPr>
                <w:rFonts w:ascii="Arial" w:eastAsiaTheme="minorHAnsi" w:hAnsi="Arial" w:cs="Arial"/>
                <w:color w:val="auto"/>
                <w:sz w:val="22"/>
                <w:lang w:eastAsia="en-US"/>
              </w:rPr>
            </w:pPr>
          </w:p>
          <w:p w14:paraId="736507DC" w14:textId="77777777" w:rsidR="003C054D" w:rsidRPr="003C054D" w:rsidRDefault="003C054D" w:rsidP="003C054D">
            <w:pPr>
              <w:suppressAutoHyphens w:val="0"/>
              <w:spacing w:after="160" w:line="259" w:lineRule="auto"/>
              <w:jc w:val="left"/>
              <w:rPr>
                <w:rFonts w:ascii="Arial" w:eastAsiaTheme="minorHAnsi" w:hAnsi="Arial" w:cs="Arial"/>
                <w:color w:val="auto"/>
                <w:sz w:val="22"/>
                <w:lang w:eastAsia="en-US"/>
              </w:rPr>
            </w:pPr>
            <w:r w:rsidRPr="003C054D">
              <w:rPr>
                <w:rFonts w:ascii="Arial" w:eastAsiaTheme="minorHAnsi" w:hAnsi="Arial" w:cs="Arial"/>
                <w:color w:val="auto"/>
                <w:sz w:val="22"/>
                <w:lang w:eastAsia="en-US"/>
              </w:rPr>
              <w:t xml:space="preserve">– £34.1 billion Group turnover stable at AER, +5% CER </w:t>
            </w:r>
          </w:p>
          <w:p w14:paraId="05EB6D8C" w14:textId="77777777" w:rsidR="003C054D" w:rsidRPr="003C054D" w:rsidRDefault="003C054D" w:rsidP="003C054D">
            <w:pPr>
              <w:suppressAutoHyphens w:val="0"/>
              <w:spacing w:after="160" w:line="259" w:lineRule="auto"/>
              <w:jc w:val="left"/>
              <w:rPr>
                <w:rFonts w:ascii="Arial" w:eastAsiaTheme="minorHAnsi" w:hAnsi="Arial" w:cs="Arial"/>
                <w:color w:val="auto"/>
                <w:sz w:val="22"/>
                <w:lang w:eastAsia="en-US"/>
              </w:rPr>
            </w:pPr>
            <w:r w:rsidRPr="003C054D">
              <w:rPr>
                <w:rFonts w:ascii="Arial" w:eastAsiaTheme="minorHAnsi" w:hAnsi="Arial" w:cs="Arial"/>
                <w:color w:val="auto"/>
                <w:sz w:val="22"/>
                <w:lang w:eastAsia="en-US"/>
              </w:rPr>
              <w:t xml:space="preserve">– Pharmaceuticals £17.7 billion +4% AER, +10% CER; new and specialty medicines £10 billion +20% AER, +26% CER </w:t>
            </w:r>
          </w:p>
          <w:p w14:paraId="33D6599E" w14:textId="77777777" w:rsidR="003C054D" w:rsidRPr="003C054D" w:rsidRDefault="003C054D" w:rsidP="003C054D">
            <w:pPr>
              <w:suppressAutoHyphens w:val="0"/>
              <w:spacing w:after="160" w:line="259" w:lineRule="auto"/>
              <w:jc w:val="left"/>
              <w:rPr>
                <w:rFonts w:ascii="Arial" w:eastAsiaTheme="minorHAnsi" w:hAnsi="Arial" w:cs="Arial"/>
                <w:color w:val="auto"/>
                <w:sz w:val="22"/>
                <w:lang w:eastAsia="en-US"/>
              </w:rPr>
            </w:pPr>
            <w:r w:rsidRPr="003C054D">
              <w:rPr>
                <w:rFonts w:ascii="Arial" w:eastAsiaTheme="minorHAnsi" w:hAnsi="Arial" w:cs="Arial"/>
                <w:color w:val="auto"/>
                <w:sz w:val="22"/>
                <w:lang w:eastAsia="en-US"/>
              </w:rPr>
              <w:t>– Vaccines £6.8 billion -3% AER, +2% CER</w:t>
            </w:r>
          </w:p>
          <w:p w14:paraId="4138E05C" w14:textId="77777777" w:rsidR="003C054D" w:rsidRPr="003C054D" w:rsidRDefault="003C054D" w:rsidP="003C054D">
            <w:pPr>
              <w:suppressAutoHyphens w:val="0"/>
              <w:spacing w:after="160" w:line="259" w:lineRule="auto"/>
              <w:jc w:val="left"/>
              <w:rPr>
                <w:rFonts w:ascii="Arial" w:eastAsiaTheme="minorHAnsi" w:hAnsi="Arial" w:cs="Arial"/>
                <w:color w:val="auto"/>
                <w:sz w:val="22"/>
                <w:lang w:eastAsia="en-US"/>
              </w:rPr>
            </w:pPr>
            <w:r w:rsidRPr="003C054D">
              <w:rPr>
                <w:rFonts w:ascii="Arial" w:eastAsiaTheme="minorHAnsi" w:hAnsi="Arial" w:cs="Arial"/>
                <w:color w:val="auto"/>
                <w:sz w:val="22"/>
                <w:lang w:eastAsia="en-US"/>
              </w:rPr>
              <w:t xml:space="preserve"> – COVID-19 solutions sales £1.4 billion </w:t>
            </w:r>
          </w:p>
          <w:p w14:paraId="3E03FAB8" w14:textId="77777777" w:rsidR="003C054D" w:rsidRPr="003C054D" w:rsidRDefault="003C054D" w:rsidP="003C054D">
            <w:pPr>
              <w:suppressAutoHyphens w:val="0"/>
              <w:spacing w:after="160" w:line="259" w:lineRule="auto"/>
              <w:jc w:val="left"/>
              <w:rPr>
                <w:rFonts w:ascii="Arial" w:eastAsiaTheme="minorHAnsi" w:hAnsi="Arial" w:cs="Arial"/>
                <w:color w:val="auto"/>
                <w:sz w:val="22"/>
                <w:lang w:eastAsia="en-US"/>
              </w:rPr>
            </w:pPr>
            <w:r w:rsidRPr="003C054D">
              <w:rPr>
                <w:rFonts w:ascii="Arial" w:eastAsiaTheme="minorHAnsi" w:hAnsi="Arial" w:cs="Arial"/>
                <w:color w:val="auto"/>
                <w:sz w:val="22"/>
                <w:lang w:eastAsia="en-US"/>
              </w:rPr>
              <w:t>– Consumer Healthcare £9.6 billion -4% AER, stable CER (+4% excluding brands divested/under review)</w:t>
            </w:r>
          </w:p>
          <w:p w14:paraId="39B641C1" w14:textId="77777777" w:rsidR="003C054D" w:rsidRPr="003C054D" w:rsidRDefault="003C054D" w:rsidP="003C054D">
            <w:pPr>
              <w:suppressAutoHyphens w:val="0"/>
              <w:spacing w:line="240" w:lineRule="auto"/>
              <w:jc w:val="left"/>
              <w:rPr>
                <w:rFonts w:ascii="Arial" w:eastAsiaTheme="minorHAnsi" w:hAnsi="Arial" w:cs="Arial"/>
                <w:color w:val="538135" w:themeColor="accent6" w:themeShade="BF"/>
                <w:sz w:val="22"/>
                <w:lang w:eastAsia="en-US"/>
              </w:rPr>
            </w:pPr>
          </w:p>
        </w:tc>
      </w:tr>
    </w:tbl>
    <w:p w14:paraId="368A75D6" w14:textId="1592DC8C" w:rsidR="00ED53C6" w:rsidRDefault="00AF2DD3" w:rsidP="00724942">
      <w:pPr>
        <w:rPr>
          <w:rFonts w:ascii="Arial" w:hAnsi="Arial" w:cs="Arial"/>
          <w:sz w:val="22"/>
        </w:rPr>
      </w:pPr>
      <w:r>
        <w:rPr>
          <w:rFonts w:ascii="Arial" w:hAnsi="Arial" w:cs="Arial"/>
          <w:sz w:val="22"/>
        </w:rPr>
        <w:t>(Annual Report pdf., 2021)</w:t>
      </w:r>
    </w:p>
    <w:p w14:paraId="079BAF16" w14:textId="4D81F70A" w:rsidR="003A42D4" w:rsidRPr="0085680C" w:rsidRDefault="003A42D4" w:rsidP="0085680C">
      <w:pPr>
        <w:pStyle w:val="ListParagraph"/>
        <w:numPr>
          <w:ilvl w:val="0"/>
          <w:numId w:val="4"/>
        </w:numPr>
        <w:shd w:val="clear" w:color="auto" w:fill="FFFFFF"/>
        <w:suppressAutoHyphens w:val="0"/>
        <w:spacing w:before="100" w:beforeAutospacing="1"/>
        <w:jc w:val="left"/>
        <w:outlineLvl w:val="1"/>
        <w:rPr>
          <w:rFonts w:ascii="Arial" w:eastAsia="Times New Roman" w:hAnsi="Arial" w:cs="Arial"/>
          <w:b/>
          <w:bCs/>
          <w:color w:val="4472C4" w:themeColor="accent1"/>
          <w:sz w:val="22"/>
          <w:lang w:eastAsia="en-GB"/>
        </w:rPr>
      </w:pPr>
      <w:r w:rsidRPr="0085680C">
        <w:rPr>
          <w:rFonts w:ascii="Arial" w:eastAsia="Times New Roman" w:hAnsi="Arial" w:cs="Arial"/>
          <w:b/>
          <w:bCs/>
          <w:color w:val="4472C4" w:themeColor="accent1"/>
          <w:sz w:val="22"/>
          <w:lang w:eastAsia="en-GB"/>
        </w:rPr>
        <w:t>Step change in commercial execution drives strong sales growth across Specialty Medicines and Vaccines</w:t>
      </w:r>
    </w:p>
    <w:tbl>
      <w:tblPr>
        <w:tblStyle w:val="TableGrid"/>
        <w:tblW w:w="0" w:type="auto"/>
        <w:tblInd w:w="137" w:type="dxa"/>
        <w:tblLook w:val="04A0" w:firstRow="1" w:lastRow="0" w:firstColumn="1" w:lastColumn="0" w:noHBand="0" w:noVBand="1"/>
      </w:tblPr>
      <w:tblGrid>
        <w:gridCol w:w="9213"/>
      </w:tblGrid>
      <w:tr w:rsidR="0085680C" w14:paraId="3A3F89DC" w14:textId="77777777" w:rsidTr="0085680C">
        <w:tc>
          <w:tcPr>
            <w:tcW w:w="9213" w:type="dxa"/>
          </w:tcPr>
          <w:p w14:paraId="2921E9EC" w14:textId="77777777" w:rsidR="0085680C" w:rsidRDefault="0085680C" w:rsidP="0085680C">
            <w:pPr>
              <w:shd w:val="clear" w:color="auto" w:fill="FFFFFF"/>
              <w:suppressAutoHyphens w:val="0"/>
              <w:ind w:left="720"/>
              <w:jc w:val="left"/>
              <w:rPr>
                <w:rFonts w:ascii="Arial" w:eastAsia="Times New Roman" w:hAnsi="Arial" w:cs="Arial"/>
                <w:color w:val="151515"/>
                <w:sz w:val="22"/>
                <w:lang w:eastAsia="en-GB"/>
              </w:rPr>
            </w:pPr>
          </w:p>
          <w:p w14:paraId="2889D0F8" w14:textId="0DEF1C6B" w:rsidR="0085680C" w:rsidRPr="003A42D4" w:rsidRDefault="0085680C" w:rsidP="0085680C">
            <w:pPr>
              <w:numPr>
                <w:ilvl w:val="0"/>
                <w:numId w:val="3"/>
              </w:numPr>
              <w:shd w:val="clear" w:color="auto" w:fill="FFFFFF"/>
              <w:suppressAutoHyphens w:val="0"/>
              <w:jc w:val="left"/>
              <w:rPr>
                <w:rFonts w:ascii="Arial" w:eastAsia="Times New Roman" w:hAnsi="Arial" w:cs="Arial"/>
                <w:color w:val="151515"/>
                <w:sz w:val="22"/>
                <w:lang w:eastAsia="en-GB"/>
              </w:rPr>
            </w:pPr>
            <w:r w:rsidRPr="003A42D4">
              <w:rPr>
                <w:rFonts w:ascii="Arial" w:eastAsia="Times New Roman" w:hAnsi="Arial" w:cs="Arial"/>
                <w:color w:val="151515"/>
                <w:sz w:val="22"/>
                <w:lang w:eastAsia="en-GB"/>
              </w:rPr>
              <w:t>Sales of £29.3 billion +19% AER, +13% CER. Sales +15% AER, +10% CER excluding COVID-19 solutions</w:t>
            </w:r>
          </w:p>
          <w:p w14:paraId="4A2276B6" w14:textId="77777777" w:rsidR="0085680C" w:rsidRPr="003A42D4" w:rsidRDefault="0085680C" w:rsidP="0085680C">
            <w:pPr>
              <w:numPr>
                <w:ilvl w:val="0"/>
                <w:numId w:val="3"/>
              </w:numPr>
              <w:shd w:val="clear" w:color="auto" w:fill="FFFFFF"/>
              <w:suppressAutoHyphens w:val="0"/>
              <w:jc w:val="left"/>
              <w:rPr>
                <w:rFonts w:ascii="Arial" w:eastAsia="Times New Roman" w:hAnsi="Arial" w:cs="Arial"/>
                <w:color w:val="151515"/>
                <w:sz w:val="22"/>
                <w:lang w:eastAsia="en-GB"/>
              </w:rPr>
            </w:pPr>
            <w:r w:rsidRPr="003A42D4">
              <w:rPr>
                <w:rFonts w:ascii="Arial" w:eastAsia="Times New Roman" w:hAnsi="Arial" w:cs="Arial"/>
                <w:color w:val="151515"/>
                <w:sz w:val="22"/>
                <w:lang w:eastAsia="en-GB"/>
              </w:rPr>
              <w:t>Specialty Medicines £11.3 billion +37% AER, +29% CER; HIV +20% AER, +12% CER; Oncology +23% AER, +17% CER; Immuno-inflammation and other specialty +29% AER +20% CER; COVID-19 solutions (</w:t>
            </w:r>
            <w:r w:rsidRPr="003A42D4">
              <w:rPr>
                <w:rFonts w:ascii="Arial" w:eastAsia="Times New Roman" w:hAnsi="Arial" w:cs="Arial"/>
                <w:i/>
                <w:iCs/>
                <w:color w:val="151515"/>
                <w:sz w:val="22"/>
                <w:lang w:eastAsia="en-GB"/>
              </w:rPr>
              <w:t>Xevudy</w:t>
            </w:r>
            <w:r w:rsidRPr="003A42D4">
              <w:rPr>
                <w:rFonts w:ascii="Arial" w:eastAsia="Times New Roman" w:hAnsi="Arial" w:cs="Arial"/>
                <w:color w:val="151515"/>
                <w:sz w:val="22"/>
                <w:lang w:eastAsia="en-GB"/>
              </w:rPr>
              <w:t>) sales £2.3 billion</w:t>
            </w:r>
          </w:p>
          <w:p w14:paraId="2730FBEF" w14:textId="77777777" w:rsidR="0085680C" w:rsidRPr="003A42D4" w:rsidRDefault="0085680C" w:rsidP="0085680C">
            <w:pPr>
              <w:numPr>
                <w:ilvl w:val="0"/>
                <w:numId w:val="3"/>
              </w:numPr>
              <w:shd w:val="clear" w:color="auto" w:fill="FFFFFF"/>
              <w:suppressAutoHyphens w:val="0"/>
              <w:jc w:val="left"/>
              <w:rPr>
                <w:rFonts w:ascii="Arial" w:eastAsia="Times New Roman" w:hAnsi="Arial" w:cs="Arial"/>
                <w:color w:val="151515"/>
                <w:sz w:val="22"/>
                <w:lang w:eastAsia="en-GB"/>
              </w:rPr>
            </w:pPr>
            <w:r w:rsidRPr="003A42D4">
              <w:rPr>
                <w:rFonts w:ascii="Arial" w:eastAsia="Times New Roman" w:hAnsi="Arial" w:cs="Arial"/>
                <w:color w:val="151515"/>
                <w:sz w:val="22"/>
                <w:lang w:eastAsia="en-GB"/>
              </w:rPr>
              <w:t>Vaccines £7.9 billion +17% AER, +11% CER; </w:t>
            </w:r>
            <w:r w:rsidRPr="003A42D4">
              <w:rPr>
                <w:rFonts w:ascii="Arial" w:eastAsia="Times New Roman" w:hAnsi="Arial" w:cs="Arial"/>
                <w:i/>
                <w:iCs/>
                <w:color w:val="151515"/>
                <w:sz w:val="22"/>
                <w:lang w:eastAsia="en-GB"/>
              </w:rPr>
              <w:t>Shingrix</w:t>
            </w:r>
            <w:r w:rsidRPr="003A42D4">
              <w:rPr>
                <w:rFonts w:ascii="Arial" w:eastAsia="Times New Roman" w:hAnsi="Arial" w:cs="Arial"/>
                <w:color w:val="151515"/>
                <w:sz w:val="22"/>
                <w:lang w:eastAsia="en-GB"/>
              </w:rPr>
              <w:t> £3 billion +72% AER, +60% CER</w:t>
            </w:r>
          </w:p>
          <w:p w14:paraId="1D3DD52C" w14:textId="77777777" w:rsidR="0085680C" w:rsidRDefault="0085680C" w:rsidP="0085680C">
            <w:pPr>
              <w:numPr>
                <w:ilvl w:val="0"/>
                <w:numId w:val="3"/>
              </w:numPr>
              <w:shd w:val="clear" w:color="auto" w:fill="FFFFFF"/>
              <w:suppressAutoHyphens w:val="0"/>
              <w:jc w:val="left"/>
              <w:rPr>
                <w:rFonts w:ascii="Arial" w:eastAsia="Times New Roman" w:hAnsi="Arial" w:cs="Arial"/>
                <w:color w:val="151515"/>
                <w:sz w:val="22"/>
                <w:lang w:eastAsia="en-GB"/>
              </w:rPr>
            </w:pPr>
            <w:r w:rsidRPr="003A42D4">
              <w:rPr>
                <w:rFonts w:ascii="Arial" w:eastAsia="Times New Roman" w:hAnsi="Arial" w:cs="Arial"/>
                <w:color w:val="151515"/>
                <w:sz w:val="22"/>
                <w:lang w:eastAsia="en-GB"/>
              </w:rPr>
              <w:t>General Medicines £10.1 billion +5% AER, +1% CER</w:t>
            </w:r>
          </w:p>
          <w:p w14:paraId="127C0103" w14:textId="77777777" w:rsidR="0085680C" w:rsidRDefault="0085680C" w:rsidP="0085680C">
            <w:pPr>
              <w:suppressAutoHyphens w:val="0"/>
              <w:jc w:val="left"/>
              <w:rPr>
                <w:rFonts w:ascii="Arial" w:eastAsia="Times New Roman" w:hAnsi="Arial" w:cs="Arial"/>
                <w:color w:val="151515"/>
                <w:sz w:val="22"/>
                <w:lang w:eastAsia="en-GB"/>
              </w:rPr>
            </w:pPr>
          </w:p>
        </w:tc>
      </w:tr>
    </w:tbl>
    <w:p w14:paraId="207FDB70" w14:textId="346DE51A" w:rsidR="0085680C" w:rsidRPr="003A42D4" w:rsidRDefault="0085680C" w:rsidP="0085680C">
      <w:pPr>
        <w:shd w:val="clear" w:color="auto" w:fill="FFFFFF"/>
        <w:suppressAutoHyphens w:val="0"/>
        <w:jc w:val="left"/>
        <w:rPr>
          <w:rFonts w:ascii="Arial" w:eastAsia="Times New Roman" w:hAnsi="Arial" w:cs="Arial"/>
          <w:color w:val="151515"/>
          <w:sz w:val="22"/>
          <w:lang w:eastAsia="en-GB"/>
        </w:rPr>
      </w:pPr>
      <w:r>
        <w:rPr>
          <w:rFonts w:ascii="Arial" w:eastAsia="Times New Roman" w:hAnsi="Arial" w:cs="Arial"/>
          <w:color w:val="151515"/>
          <w:sz w:val="22"/>
          <w:lang w:eastAsia="en-GB"/>
        </w:rPr>
        <w:t>(</w:t>
      </w:r>
      <w:hyperlink r:id="rId9" w:history="1">
        <w:r w:rsidRPr="0085680C">
          <w:rPr>
            <w:color w:val="0000FF"/>
            <w:u w:val="single"/>
          </w:rPr>
          <w:t>GSK delivers strong 2022 performance with full year sales of £29.3 billion +19% AER, +13% CER; Total EPS 371.4p &gt;100% Adjusted EPS of 139.7p +27% AER, +15% CER from continuing operations | GSK</w:t>
        </w:r>
      </w:hyperlink>
      <w:r>
        <w:t>)</w:t>
      </w:r>
    </w:p>
    <w:p w14:paraId="3E23A9D9" w14:textId="1FE5338D" w:rsidR="003A42D4" w:rsidRPr="00724942" w:rsidRDefault="00413719" w:rsidP="00724942">
      <w:pPr>
        <w:rPr>
          <w:rFonts w:ascii="Arial" w:hAnsi="Arial" w:cs="Arial"/>
          <w:sz w:val="22"/>
        </w:rPr>
      </w:pPr>
      <w:r w:rsidRPr="00724942">
        <w:rPr>
          <w:rFonts w:ascii="Arial" w:hAnsi="Arial" w:cs="Arial"/>
          <w:sz w:val="22"/>
        </w:rPr>
        <w:lastRenderedPageBreak/>
        <w:t>For this compan</w:t>
      </w:r>
      <w:r>
        <w:rPr>
          <w:rFonts w:ascii="Arial" w:hAnsi="Arial" w:cs="Arial"/>
          <w:sz w:val="22"/>
        </w:rPr>
        <w:t>y</w:t>
      </w:r>
      <w:r w:rsidRPr="00724942">
        <w:rPr>
          <w:rFonts w:ascii="Arial" w:hAnsi="Arial" w:cs="Arial"/>
          <w:sz w:val="22"/>
        </w:rPr>
        <w:t xml:space="preserve"> use PESTEL model. This model allows GSK to form an impression of the factors that might impact a new business or industry.</w:t>
      </w:r>
    </w:p>
    <w:p w14:paraId="33D091F7" w14:textId="4B2B9ADA" w:rsidR="00EA1DF9" w:rsidRPr="00724942" w:rsidRDefault="00B57DB6" w:rsidP="00724942">
      <w:pPr>
        <w:rPr>
          <w:rFonts w:ascii="Arial" w:hAnsi="Arial" w:cs="Arial"/>
          <w:sz w:val="22"/>
        </w:rPr>
      </w:pPr>
      <w:r>
        <w:rPr>
          <w:rFonts w:ascii="Arial" w:hAnsi="Arial" w:cs="Arial"/>
          <w:sz w:val="22"/>
        </w:rPr>
        <w:t>PESTEL ANALYSIS</w:t>
      </w:r>
    </w:p>
    <w:p w14:paraId="637C7FEE" w14:textId="77777777" w:rsidR="00EA1DF9" w:rsidRPr="00724942" w:rsidRDefault="00EA1DF9" w:rsidP="00724942">
      <w:pPr>
        <w:rPr>
          <w:rFonts w:ascii="Arial" w:hAnsi="Arial" w:cs="Arial"/>
          <w:sz w:val="22"/>
        </w:rPr>
      </w:pPr>
      <w:r w:rsidRPr="00724942">
        <w:rPr>
          <w:rFonts w:ascii="Arial" w:hAnsi="Arial" w:cs="Arial"/>
          <w:b/>
          <w:bCs/>
          <w:sz w:val="22"/>
        </w:rPr>
        <w:t>Political factor</w:t>
      </w:r>
    </w:p>
    <w:p w14:paraId="3A44A713" w14:textId="475C06AE" w:rsidR="00EA1DF9" w:rsidRPr="00724942" w:rsidRDefault="00EA1DF9" w:rsidP="00724942">
      <w:pPr>
        <w:rPr>
          <w:rFonts w:ascii="Arial" w:hAnsi="Arial" w:cs="Arial"/>
          <w:b/>
          <w:bCs/>
          <w:sz w:val="22"/>
        </w:rPr>
      </w:pPr>
      <w:r w:rsidRPr="00724942">
        <w:rPr>
          <w:rFonts w:ascii="Arial" w:hAnsi="Arial" w:cs="Arial"/>
          <w:sz w:val="22"/>
        </w:rPr>
        <w:tab/>
        <w:t>Political factors usually relates to laws and regulations that are created and implemented by national government and international bodies (</w:t>
      </w:r>
      <w:proofErr w:type="spellStart"/>
      <w:r w:rsidRPr="00724942">
        <w:rPr>
          <w:rFonts w:ascii="Arial" w:hAnsi="Arial" w:cs="Arial"/>
          <w:sz w:val="22"/>
        </w:rPr>
        <w:t>Cincotta</w:t>
      </w:r>
      <w:proofErr w:type="spellEnd"/>
      <w:r w:rsidRPr="00724942">
        <w:rPr>
          <w:rFonts w:ascii="Arial" w:hAnsi="Arial" w:cs="Arial"/>
          <w:sz w:val="22"/>
        </w:rPr>
        <w:t xml:space="preserve">, and </w:t>
      </w:r>
      <w:proofErr w:type="spellStart"/>
      <w:r w:rsidRPr="00724942">
        <w:rPr>
          <w:rFonts w:ascii="Arial" w:hAnsi="Arial" w:cs="Arial"/>
          <w:sz w:val="22"/>
        </w:rPr>
        <w:t>Liberopoulos</w:t>
      </w:r>
      <w:proofErr w:type="spellEnd"/>
      <w:r w:rsidRPr="00724942">
        <w:rPr>
          <w:rFonts w:ascii="Arial" w:hAnsi="Arial" w:cs="Arial"/>
          <w:sz w:val="22"/>
        </w:rPr>
        <w:t>, 2021). These factors are the changes in the international trade regulations, government rules, tax rates and trade control that can affect</w:t>
      </w:r>
      <w:r w:rsidR="007E3612">
        <w:rPr>
          <w:rFonts w:ascii="Arial" w:hAnsi="Arial" w:cs="Arial"/>
          <w:sz w:val="22"/>
        </w:rPr>
        <w:t xml:space="preserve"> organisations as</w:t>
      </w:r>
      <w:r w:rsidRPr="00724942">
        <w:rPr>
          <w:rFonts w:ascii="Arial" w:hAnsi="Arial" w:cs="Arial"/>
          <w:sz w:val="22"/>
        </w:rPr>
        <w:t xml:space="preserve"> GSK and can result in the increase or the decrease in the sales projections of the company. After Covid 19 pandemic, </w:t>
      </w:r>
      <w:r w:rsidR="007E3612">
        <w:rPr>
          <w:rFonts w:ascii="Arial" w:hAnsi="Arial" w:cs="Arial"/>
          <w:sz w:val="22"/>
        </w:rPr>
        <w:t xml:space="preserve">the </w:t>
      </w:r>
      <w:r w:rsidRPr="00724942">
        <w:rPr>
          <w:rFonts w:ascii="Arial" w:hAnsi="Arial" w:cs="Arial"/>
          <w:sz w:val="22"/>
        </w:rPr>
        <w:t xml:space="preserve">government </w:t>
      </w:r>
      <w:r w:rsidR="007E3612">
        <w:rPr>
          <w:rFonts w:ascii="Arial" w:hAnsi="Arial" w:cs="Arial"/>
          <w:sz w:val="22"/>
        </w:rPr>
        <w:t>had to</w:t>
      </w:r>
      <w:r w:rsidRPr="00724942">
        <w:rPr>
          <w:rFonts w:ascii="Arial" w:hAnsi="Arial" w:cs="Arial"/>
          <w:sz w:val="22"/>
        </w:rPr>
        <w:t xml:space="preserve"> </w:t>
      </w:r>
      <w:r w:rsidR="007E3612">
        <w:rPr>
          <w:rFonts w:ascii="Arial" w:hAnsi="Arial" w:cs="Arial"/>
          <w:sz w:val="22"/>
        </w:rPr>
        <w:t>strongly</w:t>
      </w:r>
      <w:r w:rsidRPr="00724942">
        <w:rPr>
          <w:rFonts w:ascii="Arial" w:hAnsi="Arial" w:cs="Arial"/>
          <w:sz w:val="22"/>
        </w:rPr>
        <w:t xml:space="preserve"> invest in the medical fields</w:t>
      </w:r>
      <w:r w:rsidR="007E3612">
        <w:rPr>
          <w:rFonts w:ascii="Arial" w:hAnsi="Arial" w:cs="Arial"/>
          <w:sz w:val="22"/>
        </w:rPr>
        <w:t>,</w:t>
      </w:r>
      <w:r w:rsidRPr="00724942">
        <w:rPr>
          <w:rFonts w:ascii="Arial" w:hAnsi="Arial" w:cs="Arial"/>
          <w:sz w:val="22"/>
        </w:rPr>
        <w:t xml:space="preserve"> due to this GSK has witnessed an overall increase in the business and this will continue to increase in  the future as well. But on the other hand if some countries are not willing to invest in the health care sector that it will completely turn around the tables for GSK.</w:t>
      </w:r>
    </w:p>
    <w:p w14:paraId="76CA6708" w14:textId="77777777" w:rsidR="00EA1DF9" w:rsidRPr="00724942" w:rsidRDefault="00EA1DF9" w:rsidP="00724942">
      <w:pPr>
        <w:rPr>
          <w:rFonts w:ascii="Arial" w:hAnsi="Arial" w:cs="Arial"/>
          <w:sz w:val="22"/>
        </w:rPr>
      </w:pPr>
      <w:r w:rsidRPr="00724942">
        <w:rPr>
          <w:rFonts w:ascii="Arial" w:hAnsi="Arial" w:cs="Arial"/>
          <w:b/>
          <w:bCs/>
          <w:sz w:val="22"/>
        </w:rPr>
        <w:t>Economic factors</w:t>
      </w:r>
    </w:p>
    <w:p w14:paraId="4DDF83A9" w14:textId="2E595DB8" w:rsidR="00EA1DF9" w:rsidRPr="00724942" w:rsidRDefault="00EA1DF9" w:rsidP="00724942">
      <w:pPr>
        <w:rPr>
          <w:rFonts w:ascii="Arial" w:hAnsi="Arial" w:cs="Arial"/>
          <w:b/>
          <w:bCs/>
          <w:sz w:val="22"/>
        </w:rPr>
      </w:pPr>
      <w:r w:rsidRPr="00724942">
        <w:rPr>
          <w:rFonts w:ascii="Arial" w:hAnsi="Arial" w:cs="Arial"/>
          <w:sz w:val="22"/>
        </w:rPr>
        <w:tab/>
        <w:t xml:space="preserve">Economic factors are the measures that can affect an </w:t>
      </w:r>
      <w:r w:rsidR="000F6306" w:rsidRPr="00724942">
        <w:rPr>
          <w:rFonts w:ascii="Arial" w:hAnsi="Arial" w:cs="Arial"/>
          <w:sz w:val="22"/>
        </w:rPr>
        <w:t>individual’s</w:t>
      </w:r>
      <w:r w:rsidRPr="00724942">
        <w:rPr>
          <w:rFonts w:ascii="Arial" w:hAnsi="Arial" w:cs="Arial"/>
          <w:sz w:val="22"/>
        </w:rPr>
        <w:t xml:space="preserve"> financial stability by considering the factors like education, employment status and income. Governments are also wanted their country's health care sector to be strong but in the current scenario the global economy is not stable this has created a massive increase in the inflation rates of the world. The business of GSK in such economy will be affected and result in the downfall of the revenue. But if the growth rates of a company is high, that means people are becoming rich and they will result in increase in the sales of GSK. Other factors like interest rates, exchange rate, price fluctuations  and economic policies can also affect the growth of GSK in international markets.</w:t>
      </w:r>
    </w:p>
    <w:p w14:paraId="12CAB7A6" w14:textId="77777777" w:rsidR="00EA1DF9" w:rsidRPr="00724942" w:rsidRDefault="00EA1DF9" w:rsidP="00724942">
      <w:pPr>
        <w:rPr>
          <w:rFonts w:ascii="Arial" w:hAnsi="Arial" w:cs="Arial"/>
          <w:sz w:val="22"/>
        </w:rPr>
      </w:pPr>
      <w:r w:rsidRPr="00724942">
        <w:rPr>
          <w:rFonts w:ascii="Arial" w:hAnsi="Arial" w:cs="Arial"/>
          <w:b/>
          <w:bCs/>
          <w:sz w:val="22"/>
        </w:rPr>
        <w:t>Social factors</w:t>
      </w:r>
    </w:p>
    <w:p w14:paraId="00D14EB6" w14:textId="0D9C8D12" w:rsidR="00EA1DF9" w:rsidRPr="00724942" w:rsidRDefault="00EA1DF9" w:rsidP="00724942">
      <w:pPr>
        <w:rPr>
          <w:rFonts w:ascii="Arial" w:hAnsi="Arial" w:cs="Arial"/>
          <w:b/>
          <w:bCs/>
          <w:sz w:val="22"/>
        </w:rPr>
      </w:pPr>
      <w:r w:rsidRPr="00724942">
        <w:rPr>
          <w:rFonts w:ascii="Arial" w:hAnsi="Arial" w:cs="Arial"/>
          <w:sz w:val="22"/>
        </w:rPr>
        <w:tab/>
        <w:t xml:space="preserve">Social factors are the things that can influence an individual's lifestyle by including wealth, religion, buying habits, education level and the size of the family </w:t>
      </w:r>
      <w:r w:rsidRPr="00724942">
        <w:rPr>
          <w:rFonts w:ascii="Arial" w:hAnsi="Arial" w:cs="Arial"/>
          <w:color w:val="222222"/>
          <w:sz w:val="22"/>
        </w:rPr>
        <w:t>(Grantham, 2022)</w:t>
      </w:r>
      <w:r w:rsidRPr="00724942">
        <w:rPr>
          <w:rFonts w:ascii="Arial" w:hAnsi="Arial" w:cs="Arial"/>
          <w:sz w:val="22"/>
        </w:rPr>
        <w:t xml:space="preserve">. People now-a-days people are becoming more aware about </w:t>
      </w:r>
      <w:r w:rsidR="00583F5B" w:rsidRPr="00724942">
        <w:rPr>
          <w:rFonts w:ascii="Arial" w:hAnsi="Arial" w:cs="Arial"/>
          <w:sz w:val="22"/>
        </w:rPr>
        <w:t>their</w:t>
      </w:r>
      <w:r w:rsidRPr="00724942">
        <w:rPr>
          <w:rFonts w:ascii="Arial" w:hAnsi="Arial" w:cs="Arial"/>
          <w:sz w:val="22"/>
        </w:rPr>
        <w:t xml:space="preserve"> health and think that it is important for them to use standard products when it comes to their health, it contribute in increased sales of GSK. It should also takes this into consideration, that if alcohol is banned in a particular country, then GSK should make sure that they do not sell drugs with alcohol content so that the sales and reputation is not affected. </w:t>
      </w:r>
    </w:p>
    <w:p w14:paraId="78C551B0" w14:textId="77777777" w:rsidR="00EA1DF9" w:rsidRPr="00724942" w:rsidRDefault="00EA1DF9" w:rsidP="00724942">
      <w:pPr>
        <w:rPr>
          <w:rFonts w:ascii="Arial" w:hAnsi="Arial" w:cs="Arial"/>
          <w:sz w:val="22"/>
        </w:rPr>
      </w:pPr>
      <w:r w:rsidRPr="00724942">
        <w:rPr>
          <w:rFonts w:ascii="Arial" w:hAnsi="Arial" w:cs="Arial"/>
          <w:b/>
          <w:bCs/>
          <w:sz w:val="22"/>
        </w:rPr>
        <w:t xml:space="preserve">Technological factors </w:t>
      </w:r>
    </w:p>
    <w:p w14:paraId="44DBD3C5" w14:textId="77777777" w:rsidR="00EA1DF9" w:rsidRPr="00724942" w:rsidRDefault="00EA1DF9" w:rsidP="00724942">
      <w:pPr>
        <w:rPr>
          <w:rFonts w:ascii="Arial" w:hAnsi="Arial" w:cs="Arial"/>
          <w:b/>
          <w:bCs/>
          <w:sz w:val="22"/>
        </w:rPr>
      </w:pPr>
      <w:r w:rsidRPr="00724942">
        <w:rPr>
          <w:rFonts w:ascii="Arial" w:hAnsi="Arial" w:cs="Arial"/>
          <w:sz w:val="22"/>
        </w:rPr>
        <w:tab/>
        <w:t xml:space="preserve">Technological factors are paved to emphasize on how any organisation performs their operations, helps to sell products and interact with customers and suppliers. With the overall development in the fields of technology and much research done in the field of medical science, </w:t>
      </w:r>
      <w:r w:rsidRPr="00724942">
        <w:rPr>
          <w:rFonts w:ascii="Arial" w:hAnsi="Arial" w:cs="Arial"/>
          <w:sz w:val="22"/>
        </w:rPr>
        <w:lastRenderedPageBreak/>
        <w:t>it is in interest of GSK to constantly keep improving their products by different innovations. For the same GSK has invested a lot in their own research and development department which will be too much beneficial for their near future. By this improvement they can give a head to head competition to their rivals. For instance they are currently working on introducing electroceuticals, which will ease them to treat chronic diseases.</w:t>
      </w:r>
    </w:p>
    <w:p w14:paraId="4057FD6A" w14:textId="77777777" w:rsidR="00EA1DF9" w:rsidRPr="00724942" w:rsidRDefault="00EA1DF9" w:rsidP="00724942">
      <w:pPr>
        <w:rPr>
          <w:rFonts w:ascii="Arial" w:hAnsi="Arial" w:cs="Arial"/>
          <w:sz w:val="22"/>
        </w:rPr>
      </w:pPr>
      <w:r w:rsidRPr="00724942">
        <w:rPr>
          <w:rFonts w:ascii="Arial" w:hAnsi="Arial" w:cs="Arial"/>
          <w:b/>
          <w:bCs/>
          <w:sz w:val="22"/>
        </w:rPr>
        <w:t>Environmental factors</w:t>
      </w:r>
    </w:p>
    <w:p w14:paraId="0AA1A4FA" w14:textId="77777777" w:rsidR="00EA1DF9" w:rsidRPr="00724942" w:rsidRDefault="00EA1DF9" w:rsidP="00724942">
      <w:pPr>
        <w:rPr>
          <w:rFonts w:ascii="Arial" w:hAnsi="Arial" w:cs="Arial"/>
          <w:b/>
          <w:bCs/>
          <w:sz w:val="22"/>
        </w:rPr>
      </w:pPr>
      <w:r w:rsidRPr="00724942">
        <w:rPr>
          <w:rFonts w:ascii="Arial" w:hAnsi="Arial" w:cs="Arial"/>
          <w:sz w:val="22"/>
        </w:rPr>
        <w:tab/>
        <w:t>Environmental factors includes the hazardous products that can be industrial waste that gets exposed where people lives or work. It is essential for the companies that are engaged in the fields of medicine to follow the procedures involved in their research and development to comply with the environment protection laws. By obeying that they can even save the environment and build good brand image for their company that can result in the increase in the consumer satisfaction. By performing corporate social responsibilities to protect the mother nature will ease them to increase their business operations.</w:t>
      </w:r>
    </w:p>
    <w:p w14:paraId="7642B9A6" w14:textId="77777777" w:rsidR="00EA1DF9" w:rsidRPr="00724942" w:rsidRDefault="00EA1DF9" w:rsidP="00724942">
      <w:pPr>
        <w:rPr>
          <w:rFonts w:ascii="Arial" w:hAnsi="Arial" w:cs="Arial"/>
          <w:sz w:val="22"/>
        </w:rPr>
      </w:pPr>
      <w:r w:rsidRPr="00724942">
        <w:rPr>
          <w:rFonts w:ascii="Arial" w:hAnsi="Arial" w:cs="Arial"/>
          <w:b/>
          <w:bCs/>
          <w:sz w:val="22"/>
        </w:rPr>
        <w:t>Legal factors</w:t>
      </w:r>
    </w:p>
    <w:p w14:paraId="78D9034C" w14:textId="77777777" w:rsidR="00EA1DF9" w:rsidRPr="00724942" w:rsidRDefault="00EA1DF9" w:rsidP="00724942">
      <w:pPr>
        <w:rPr>
          <w:rFonts w:ascii="Arial" w:hAnsi="Arial" w:cs="Arial"/>
          <w:b/>
          <w:bCs/>
          <w:sz w:val="22"/>
        </w:rPr>
      </w:pPr>
      <w:r w:rsidRPr="00724942">
        <w:rPr>
          <w:rFonts w:ascii="Arial" w:hAnsi="Arial" w:cs="Arial"/>
          <w:sz w:val="22"/>
        </w:rPr>
        <w:tab/>
        <w:t xml:space="preserve">These factors includes the legal concern related to health and safety, equal opportunities, advertising standards, product safety etc. </w:t>
      </w:r>
      <w:r w:rsidRPr="00724942">
        <w:rPr>
          <w:rFonts w:ascii="Arial" w:hAnsi="Arial" w:cs="Arial"/>
          <w:color w:val="222222"/>
          <w:sz w:val="22"/>
        </w:rPr>
        <w:t>(Agarwal,  2022)</w:t>
      </w:r>
      <w:r w:rsidRPr="00724942">
        <w:rPr>
          <w:rFonts w:ascii="Arial" w:hAnsi="Arial" w:cs="Arial"/>
          <w:sz w:val="22"/>
        </w:rPr>
        <w:t xml:space="preserve">. By following the legal regulations of local and internal market is pretty important for GSK to perform their operations. The health care sector is very much critical and completely tied up with the legal regulations of different countries are to be kept in mind so as to save GSK from any lawsuit against them. Before expanding to any other country GSK has to be assured of all the copyrights and selling laws of that particular country. If any kind of drug is banned in that country GSK has to come up with the alternative so that their sales are not affected. </w:t>
      </w:r>
    </w:p>
    <w:p w14:paraId="38606D53" w14:textId="77777777" w:rsidR="00EA1DF9" w:rsidRPr="00724942" w:rsidRDefault="00EA1DF9" w:rsidP="00724942">
      <w:pPr>
        <w:pStyle w:val="Heading2"/>
        <w:rPr>
          <w:rFonts w:ascii="Arial" w:hAnsi="Arial" w:cs="Arial"/>
          <w:b/>
          <w:sz w:val="22"/>
          <w:szCs w:val="22"/>
        </w:rPr>
      </w:pPr>
      <w:bookmarkStart w:id="4" w:name="__RefHeading__52550_787932429"/>
      <w:bookmarkEnd w:id="4"/>
      <w:r w:rsidRPr="00724942">
        <w:rPr>
          <w:rFonts w:ascii="Arial" w:hAnsi="Arial" w:cs="Arial"/>
          <w:b/>
          <w:sz w:val="22"/>
          <w:szCs w:val="22"/>
        </w:rPr>
        <w:t xml:space="preserve">   </w:t>
      </w:r>
    </w:p>
    <w:p w14:paraId="664EE696" w14:textId="77777777" w:rsidR="00EA1DF9" w:rsidRPr="00724942" w:rsidRDefault="00EA1DF9" w:rsidP="00724942">
      <w:pPr>
        <w:pStyle w:val="Heading2"/>
        <w:rPr>
          <w:rFonts w:ascii="Arial" w:hAnsi="Arial" w:cs="Arial"/>
          <w:bCs w:val="0"/>
          <w:sz w:val="22"/>
          <w:szCs w:val="22"/>
        </w:rPr>
      </w:pPr>
      <w:bookmarkStart w:id="5" w:name="__RefHeading__52552_787932429"/>
      <w:bookmarkEnd w:id="5"/>
      <w:r w:rsidRPr="00724942">
        <w:rPr>
          <w:rFonts w:ascii="Arial" w:hAnsi="Arial" w:cs="Arial"/>
          <w:b/>
          <w:sz w:val="22"/>
          <w:szCs w:val="22"/>
        </w:rPr>
        <w:t xml:space="preserve">Porter Five Forces </w:t>
      </w:r>
    </w:p>
    <w:p w14:paraId="7BF0F5BC" w14:textId="77777777" w:rsidR="00EA1DF9" w:rsidRPr="00724942" w:rsidRDefault="00EA1DF9" w:rsidP="00724942">
      <w:pPr>
        <w:rPr>
          <w:rFonts w:ascii="Arial" w:hAnsi="Arial" w:cs="Arial"/>
          <w:b/>
          <w:bCs/>
          <w:sz w:val="22"/>
        </w:rPr>
      </w:pPr>
      <w:r w:rsidRPr="00724942">
        <w:rPr>
          <w:rFonts w:ascii="Arial" w:hAnsi="Arial" w:cs="Arial"/>
          <w:sz w:val="22"/>
        </w:rPr>
        <w:tab/>
        <w:t>It is tool which is implemented by the businesses to identify the major sources of competition in the operating industry. This framework  helps the business to understand those factors which affecting the business so that the firm can adjust its strategy to stay ahead of competition and boost the profitability. The porter five forces are applied to GSK below :</w:t>
      </w:r>
    </w:p>
    <w:p w14:paraId="6610270E" w14:textId="661DD2CF" w:rsidR="00EA1DF9" w:rsidRPr="00724942" w:rsidRDefault="00EA1DF9" w:rsidP="00724942">
      <w:pPr>
        <w:numPr>
          <w:ilvl w:val="0"/>
          <w:numId w:val="2"/>
        </w:numPr>
        <w:rPr>
          <w:rFonts w:ascii="Arial" w:hAnsi="Arial" w:cs="Arial"/>
          <w:b/>
          <w:bCs/>
          <w:sz w:val="22"/>
        </w:rPr>
      </w:pPr>
      <w:r w:rsidRPr="00724942">
        <w:rPr>
          <w:rFonts w:ascii="Arial" w:hAnsi="Arial" w:cs="Arial"/>
          <w:b/>
          <w:bCs/>
          <w:sz w:val="22"/>
        </w:rPr>
        <w:t xml:space="preserve">Competitive Rivalry – </w:t>
      </w:r>
      <w:r w:rsidRPr="00724942">
        <w:rPr>
          <w:rFonts w:ascii="Arial" w:hAnsi="Arial" w:cs="Arial"/>
          <w:sz w:val="22"/>
        </w:rPr>
        <w:t xml:space="preserve">The healthcare sector is a really competitive industry in which the GSK group is operating, with number of firms producing similar kind of products. The high competition makes it difficult to accomplish loyalty of customers which means repeat purchases by the customers are equally costly to the company. Brand building is the main concept in this industry because every company is selling similar products and customer </w:t>
      </w:r>
      <w:r w:rsidRPr="00724942">
        <w:rPr>
          <w:rFonts w:ascii="Arial" w:hAnsi="Arial" w:cs="Arial"/>
          <w:sz w:val="22"/>
        </w:rPr>
        <w:lastRenderedPageBreak/>
        <w:t>does not feel any major difference while consuming the products</w:t>
      </w:r>
      <w:r w:rsidR="00EE7FBA">
        <w:rPr>
          <w:rFonts w:ascii="Arial" w:hAnsi="Arial" w:cs="Arial"/>
          <w:sz w:val="22"/>
        </w:rPr>
        <w:t xml:space="preserve"> </w:t>
      </w:r>
      <w:r w:rsidRPr="00724942">
        <w:rPr>
          <w:rFonts w:ascii="Arial" w:hAnsi="Arial" w:cs="Arial"/>
          <w:sz w:val="22"/>
        </w:rPr>
        <w:t xml:space="preserve">(Hole,  </w:t>
      </w:r>
      <w:proofErr w:type="spellStart"/>
      <w:r w:rsidRPr="00724942">
        <w:rPr>
          <w:rFonts w:ascii="Arial" w:hAnsi="Arial" w:cs="Arial"/>
          <w:sz w:val="22"/>
        </w:rPr>
        <w:t>Snehal</w:t>
      </w:r>
      <w:proofErr w:type="spellEnd"/>
      <w:r w:rsidRPr="00724942">
        <w:rPr>
          <w:rFonts w:ascii="Arial" w:hAnsi="Arial" w:cs="Arial"/>
          <w:sz w:val="22"/>
        </w:rPr>
        <w:t xml:space="preserve">,  and Bhaskar,  2019). The marketing also plays the important role in differentiate the brand from other players in the market, company is spending more funds on  the promotions. The main competitors of GSK group are Takeda Pharmaceuticals, Pfizer, Roche and Merck. There are many small retailers and manufacturers in this industry which is making the level of competition more intense and these small or medium size companies providing nearly every kind of medicines and medical </w:t>
      </w:r>
      <w:r w:rsidR="009B5099" w:rsidRPr="00724942">
        <w:rPr>
          <w:rFonts w:ascii="Arial" w:hAnsi="Arial" w:cs="Arial"/>
          <w:sz w:val="22"/>
        </w:rPr>
        <w:t>equipment</w:t>
      </w:r>
      <w:r w:rsidRPr="00724942">
        <w:rPr>
          <w:rFonts w:ascii="Arial" w:hAnsi="Arial" w:cs="Arial"/>
          <w:sz w:val="22"/>
        </w:rPr>
        <w:t xml:space="preserve">. </w:t>
      </w:r>
    </w:p>
    <w:p w14:paraId="14B7245F" w14:textId="1810EEB8" w:rsidR="00EA1DF9" w:rsidRPr="00724942" w:rsidRDefault="00EA1DF9" w:rsidP="00724942">
      <w:pPr>
        <w:numPr>
          <w:ilvl w:val="0"/>
          <w:numId w:val="2"/>
        </w:numPr>
        <w:rPr>
          <w:rFonts w:ascii="Arial" w:hAnsi="Arial" w:cs="Arial"/>
          <w:b/>
          <w:bCs/>
          <w:sz w:val="22"/>
        </w:rPr>
      </w:pPr>
      <w:r w:rsidRPr="00724942">
        <w:rPr>
          <w:rFonts w:ascii="Arial" w:hAnsi="Arial" w:cs="Arial"/>
          <w:b/>
          <w:bCs/>
          <w:sz w:val="22"/>
        </w:rPr>
        <w:t xml:space="preserve">Bargaining Power of Suppliers – </w:t>
      </w:r>
      <w:r w:rsidRPr="00724942">
        <w:rPr>
          <w:rFonts w:ascii="Arial" w:hAnsi="Arial" w:cs="Arial"/>
          <w:sz w:val="22"/>
        </w:rPr>
        <w:t xml:space="preserve">Suppliers of these products are highly specialized ones as they operate at a big scale and deliver goods to multiple companies. The suppliers of the company holds the significant power as the drugs or raw material is available in limited supply and not infinite. Suppliers provide several products such as drugs, packed medicines, medical </w:t>
      </w:r>
      <w:r w:rsidR="009B5099" w:rsidRPr="00724942">
        <w:rPr>
          <w:rFonts w:ascii="Arial" w:hAnsi="Arial" w:cs="Arial"/>
          <w:sz w:val="22"/>
        </w:rPr>
        <w:t>equipment</w:t>
      </w:r>
      <w:r w:rsidRPr="00724942">
        <w:rPr>
          <w:rFonts w:ascii="Arial" w:hAnsi="Arial" w:cs="Arial"/>
          <w:sz w:val="22"/>
        </w:rPr>
        <w:t xml:space="preserve">, dressing items and many other healthcare electronic devices. The brand prepare a system to reduce the power of suppliers by </w:t>
      </w:r>
      <w:r w:rsidR="009B5099" w:rsidRPr="00724942">
        <w:rPr>
          <w:rFonts w:ascii="Arial" w:hAnsi="Arial" w:cs="Arial"/>
          <w:sz w:val="22"/>
        </w:rPr>
        <w:t>their</w:t>
      </w:r>
      <w:r w:rsidRPr="00724942">
        <w:rPr>
          <w:rFonts w:ascii="Arial" w:hAnsi="Arial" w:cs="Arial"/>
          <w:sz w:val="22"/>
        </w:rPr>
        <w:t xml:space="preserve"> system of backward integration of raw material but there are number of material which involves in creating the products of the company can only implement backward integration in few products and the brand is at dominant position in some drugs or supplies and they do not or need very minimal intervention of suppliers(Beattie,  2019).  Thus they need to depend on the suppliers for majority of the items and this makes the bargaining power of supplier moderate to impact the competitive environment for GSK group. </w:t>
      </w:r>
    </w:p>
    <w:p w14:paraId="50FB13A6" w14:textId="69870E50" w:rsidR="00EA1DF9" w:rsidRPr="00724942" w:rsidRDefault="00EA1DF9" w:rsidP="00724942">
      <w:pPr>
        <w:numPr>
          <w:ilvl w:val="0"/>
          <w:numId w:val="2"/>
        </w:numPr>
        <w:rPr>
          <w:rFonts w:ascii="Arial" w:hAnsi="Arial" w:cs="Arial"/>
          <w:b/>
          <w:bCs/>
          <w:sz w:val="22"/>
        </w:rPr>
      </w:pPr>
      <w:r w:rsidRPr="00724942">
        <w:rPr>
          <w:rFonts w:ascii="Arial" w:hAnsi="Arial" w:cs="Arial"/>
          <w:b/>
          <w:bCs/>
          <w:sz w:val="22"/>
        </w:rPr>
        <w:t>Threat of New Entrants</w:t>
      </w:r>
      <w:r w:rsidRPr="00724942">
        <w:rPr>
          <w:rFonts w:ascii="Arial" w:hAnsi="Arial" w:cs="Arial"/>
          <w:sz w:val="22"/>
        </w:rPr>
        <w:t xml:space="preserve"> -  To enter in this industry and operate in that level requires high capital as this need setting up the plant and establish a prominent distribution channel makes is really capital intensive process of business. Acquiring the knowledge in regard of drugs and </w:t>
      </w:r>
      <w:r w:rsidR="009B5099" w:rsidRPr="00724942">
        <w:rPr>
          <w:rFonts w:ascii="Arial" w:hAnsi="Arial" w:cs="Arial"/>
          <w:sz w:val="22"/>
        </w:rPr>
        <w:t>equipment</w:t>
      </w:r>
      <w:r w:rsidRPr="00724942">
        <w:rPr>
          <w:rFonts w:ascii="Arial" w:hAnsi="Arial" w:cs="Arial"/>
          <w:sz w:val="22"/>
        </w:rPr>
        <w:t xml:space="preserve"> of healthcare is also a time consuming and costly thing. Other than that the machinery, research and development process, and knowledge of experts also require major investment. To incur that much in the business for the new entrant is really challenging. New entrants also need to deal with the issues regarding the licensing and legal documentation which are required to do business in healthcare industry and this is the another main  hurdle for the new entrants. Having the knowledge  This all makes the threat of new entrant in this industry low and those firms who want to do business in healthcare sector are coming through merging with other existing company in this sector or through the acquisition by other big brands. </w:t>
      </w:r>
    </w:p>
    <w:p w14:paraId="4B2D978D" w14:textId="77777777" w:rsidR="00EA1DF9" w:rsidRPr="00724942" w:rsidRDefault="00EA1DF9" w:rsidP="00724942">
      <w:pPr>
        <w:numPr>
          <w:ilvl w:val="0"/>
          <w:numId w:val="2"/>
        </w:numPr>
        <w:rPr>
          <w:rFonts w:ascii="Arial" w:hAnsi="Arial" w:cs="Arial"/>
          <w:b/>
          <w:bCs/>
          <w:sz w:val="22"/>
        </w:rPr>
      </w:pPr>
      <w:r w:rsidRPr="00724942">
        <w:rPr>
          <w:rFonts w:ascii="Arial" w:hAnsi="Arial" w:cs="Arial"/>
          <w:b/>
          <w:bCs/>
          <w:sz w:val="22"/>
        </w:rPr>
        <w:t xml:space="preserve">Bargaining Power of Customers – </w:t>
      </w:r>
      <w:r w:rsidRPr="00724942">
        <w:rPr>
          <w:rFonts w:ascii="Arial" w:hAnsi="Arial" w:cs="Arial"/>
          <w:sz w:val="22"/>
        </w:rPr>
        <w:t xml:space="preserve">The consumers of GSK have little or moderate power in context of pricing of products as the products are required in medical emergency. Customers are in a state of requirement when they demand for these kind of products and </w:t>
      </w:r>
      <w:r w:rsidRPr="00724942">
        <w:rPr>
          <w:rFonts w:ascii="Arial" w:hAnsi="Arial" w:cs="Arial"/>
          <w:sz w:val="22"/>
        </w:rPr>
        <w:lastRenderedPageBreak/>
        <w:t xml:space="preserve">on in that case elasticity of price is not really high. </w:t>
      </w:r>
      <w:r w:rsidRPr="00724942">
        <w:rPr>
          <w:rFonts w:ascii="Arial" w:hAnsi="Arial" w:cs="Arial"/>
          <w:b/>
          <w:bCs/>
          <w:sz w:val="22"/>
        </w:rPr>
        <w:t xml:space="preserve"> </w:t>
      </w:r>
      <w:r w:rsidRPr="00724942">
        <w:rPr>
          <w:rFonts w:ascii="Arial" w:hAnsi="Arial" w:cs="Arial"/>
          <w:sz w:val="22"/>
        </w:rPr>
        <w:t xml:space="preserve">Thus in this stages the brand are in position to charge higher prices or reasonable prices for their products from the customers. There are several other brands which are selling the same drug or medical product on the same or lesser price which is the main reason for the customer to switch. The involvement of internet in these kind of business makes it easier for the customer to compare the prices of same drug and then but through the internet at discounted prices which internet based firms are offering and this is the reason why the bargaining power of the customer moderate. </w:t>
      </w:r>
    </w:p>
    <w:p w14:paraId="2F1BEAAB" w14:textId="77777777" w:rsidR="00EA1DF9" w:rsidRPr="00724942" w:rsidRDefault="00EA1DF9" w:rsidP="00724942">
      <w:pPr>
        <w:numPr>
          <w:ilvl w:val="0"/>
          <w:numId w:val="2"/>
        </w:numPr>
        <w:rPr>
          <w:rFonts w:ascii="Arial" w:hAnsi="Arial" w:cs="Arial"/>
          <w:sz w:val="22"/>
        </w:rPr>
      </w:pPr>
      <w:r w:rsidRPr="00724942">
        <w:rPr>
          <w:rFonts w:ascii="Arial" w:hAnsi="Arial" w:cs="Arial"/>
          <w:b/>
          <w:bCs/>
          <w:sz w:val="22"/>
        </w:rPr>
        <w:t xml:space="preserve">Threat of Substitute – </w:t>
      </w:r>
      <w:r w:rsidRPr="00724942">
        <w:rPr>
          <w:rFonts w:ascii="Arial" w:hAnsi="Arial" w:cs="Arial"/>
          <w:sz w:val="22"/>
        </w:rPr>
        <w:t>There are numbers of brands which are producing similar type of medicines and other medical equipment which they sold on a competitive price. Majority of the medicines are similar but  there name and one or two ingredients are different which create very little impact on customer decision (</w:t>
      </w:r>
      <w:proofErr w:type="spellStart"/>
      <w:r w:rsidRPr="00724942">
        <w:rPr>
          <w:rFonts w:ascii="Arial" w:hAnsi="Arial" w:cs="Arial"/>
          <w:sz w:val="22"/>
        </w:rPr>
        <w:t>Hatzijordanou</w:t>
      </w:r>
      <w:proofErr w:type="spellEnd"/>
      <w:r w:rsidRPr="00724942">
        <w:rPr>
          <w:rFonts w:ascii="Arial" w:hAnsi="Arial" w:cs="Arial"/>
          <w:sz w:val="22"/>
        </w:rPr>
        <w:t xml:space="preserve">,  2019). Majority of the time the druggist or chemist plays the main role in providing the medicines to the customers and brands sales person influence them to suggest and sale products of their company. Home remedies, and  herbal medicines, are also used by the people which makes this force but the medicines and other health care products are falls under the basic necessities and people will need them till there life. There is also no innovation is comes out to replace the need of pharmaceutical products and this keeps the position of the industry strong.  All this collectively makes this force low moderate. </w:t>
      </w:r>
    </w:p>
    <w:p w14:paraId="5D0671EB" w14:textId="77777777" w:rsidR="00EA1DF9" w:rsidRPr="00724942" w:rsidRDefault="00EA1DF9" w:rsidP="00724942">
      <w:pPr>
        <w:rPr>
          <w:rFonts w:ascii="Arial" w:hAnsi="Arial" w:cs="Arial"/>
          <w:sz w:val="22"/>
        </w:rPr>
      </w:pPr>
      <w:r w:rsidRPr="00724942">
        <w:rPr>
          <w:rFonts w:ascii="Arial" w:hAnsi="Arial" w:cs="Arial"/>
          <w:sz w:val="22"/>
        </w:rPr>
        <w:t xml:space="preserve"> </w:t>
      </w:r>
    </w:p>
    <w:p w14:paraId="5B4D2F5E" w14:textId="77777777" w:rsidR="00EA1DF9" w:rsidRPr="00724942" w:rsidRDefault="00EA1DF9" w:rsidP="00724942">
      <w:pPr>
        <w:pageBreakBefore/>
        <w:rPr>
          <w:rFonts w:ascii="Arial" w:hAnsi="Arial" w:cs="Arial"/>
          <w:sz w:val="22"/>
        </w:rPr>
      </w:pPr>
      <w:bookmarkStart w:id="6" w:name="__RefHeading__9543_166173563"/>
      <w:bookmarkStart w:id="7" w:name="__RefHeading__1092_277916077"/>
      <w:bookmarkEnd w:id="6"/>
      <w:bookmarkEnd w:id="7"/>
    </w:p>
    <w:p w14:paraId="3B1F11AD" w14:textId="77777777" w:rsidR="00EA1DF9" w:rsidRPr="00724942" w:rsidRDefault="00EA1DF9" w:rsidP="00724942">
      <w:pPr>
        <w:pStyle w:val="Heading1"/>
        <w:rPr>
          <w:rFonts w:ascii="Arial" w:hAnsi="Arial" w:cs="Arial"/>
          <w:sz w:val="22"/>
          <w:szCs w:val="22"/>
        </w:rPr>
      </w:pPr>
      <w:bookmarkStart w:id="8" w:name="__RefHeading__52457_787932429"/>
      <w:bookmarkEnd w:id="8"/>
      <w:r w:rsidRPr="00724942">
        <w:rPr>
          <w:rFonts w:ascii="Arial" w:hAnsi="Arial" w:cs="Arial"/>
          <w:sz w:val="22"/>
          <w:szCs w:val="22"/>
        </w:rPr>
        <w:t>CONCLUSION</w:t>
      </w:r>
    </w:p>
    <w:p w14:paraId="31F5DC3C" w14:textId="5B7BB3E5" w:rsidR="00EA1DF9" w:rsidRPr="00724942" w:rsidRDefault="00EA1DF9" w:rsidP="00724942">
      <w:pPr>
        <w:rPr>
          <w:rFonts w:ascii="Arial" w:hAnsi="Arial" w:cs="Arial"/>
          <w:b/>
          <w:bCs/>
          <w:sz w:val="22"/>
        </w:rPr>
      </w:pPr>
      <w:r w:rsidRPr="00724942">
        <w:rPr>
          <w:rFonts w:ascii="Arial" w:hAnsi="Arial" w:cs="Arial"/>
          <w:b/>
          <w:bCs/>
          <w:sz w:val="22"/>
        </w:rPr>
        <w:tab/>
      </w:r>
      <w:r w:rsidRPr="00724942">
        <w:rPr>
          <w:rFonts w:ascii="Arial" w:hAnsi="Arial" w:cs="Arial"/>
          <w:sz w:val="22"/>
        </w:rPr>
        <w:t xml:space="preserve">It has been concluded from the above report that business environment is the main factor which decides the future of business and what it achieve and what it need to develop to achieve the set goals. In this report, the overview of the healthcare sector is included in this report which consist of what is included in the health care sector. This written report includes PESTLE analysis of the chosen company which holds every external factor that impacting the business positively and negatively. Lastly, this report mention the </w:t>
      </w:r>
      <w:r w:rsidR="00EE7FBA">
        <w:rPr>
          <w:rFonts w:ascii="Arial" w:hAnsi="Arial" w:cs="Arial"/>
          <w:sz w:val="22"/>
        </w:rPr>
        <w:t>P</w:t>
      </w:r>
      <w:r w:rsidRPr="00724942">
        <w:rPr>
          <w:rFonts w:ascii="Arial" w:hAnsi="Arial" w:cs="Arial"/>
          <w:sz w:val="22"/>
        </w:rPr>
        <w:t>orter</w:t>
      </w:r>
      <w:r w:rsidR="00EE7FBA">
        <w:rPr>
          <w:rFonts w:ascii="Arial" w:hAnsi="Arial" w:cs="Arial"/>
          <w:sz w:val="22"/>
        </w:rPr>
        <w:t>’s</w:t>
      </w:r>
      <w:r w:rsidRPr="00724942">
        <w:rPr>
          <w:rFonts w:ascii="Arial" w:hAnsi="Arial" w:cs="Arial"/>
          <w:sz w:val="22"/>
        </w:rPr>
        <w:t xml:space="preserve"> five forces for the selected organisation which is performed with the aim of analysing the competitive advantage of the company in the industry and stay ahead of their competition in the market and increase their sales. </w:t>
      </w:r>
    </w:p>
    <w:p w14:paraId="400EC117" w14:textId="77777777" w:rsidR="00EA1DF9" w:rsidRPr="00724942" w:rsidRDefault="00EA1DF9" w:rsidP="00724942">
      <w:pPr>
        <w:rPr>
          <w:rFonts w:ascii="Arial" w:hAnsi="Arial" w:cs="Arial"/>
          <w:b/>
          <w:bCs/>
          <w:sz w:val="22"/>
        </w:rPr>
      </w:pPr>
    </w:p>
    <w:p w14:paraId="11125A49" w14:textId="77777777" w:rsidR="00EA1DF9" w:rsidRPr="00724942" w:rsidRDefault="00EA1DF9" w:rsidP="00724942">
      <w:pPr>
        <w:rPr>
          <w:rFonts w:ascii="Arial" w:hAnsi="Arial" w:cs="Arial"/>
          <w:b/>
          <w:bCs/>
          <w:sz w:val="22"/>
        </w:rPr>
      </w:pPr>
    </w:p>
    <w:p w14:paraId="081E6E93" w14:textId="77777777" w:rsidR="00EA1DF9" w:rsidRPr="00724942" w:rsidRDefault="00EA1DF9" w:rsidP="00724942">
      <w:pPr>
        <w:rPr>
          <w:rFonts w:ascii="Arial" w:hAnsi="Arial" w:cs="Arial"/>
          <w:b/>
          <w:bCs/>
          <w:sz w:val="22"/>
        </w:rPr>
      </w:pPr>
    </w:p>
    <w:p w14:paraId="1284BEE5" w14:textId="77777777" w:rsidR="00EA1DF9" w:rsidRPr="00724942" w:rsidRDefault="00EA1DF9" w:rsidP="00724942">
      <w:pPr>
        <w:pStyle w:val="Heading1"/>
        <w:rPr>
          <w:rFonts w:ascii="Arial" w:hAnsi="Arial" w:cs="Arial"/>
          <w:b w:val="0"/>
          <w:bCs w:val="0"/>
          <w:sz w:val="22"/>
          <w:szCs w:val="22"/>
          <w:shd w:val="clear" w:color="auto" w:fill="FFFFFF"/>
        </w:rPr>
      </w:pPr>
    </w:p>
    <w:p w14:paraId="099C013B" w14:textId="77777777" w:rsidR="00EA1DF9" w:rsidRPr="00724942" w:rsidRDefault="00EA1DF9" w:rsidP="00724942">
      <w:pPr>
        <w:pStyle w:val="Heading1"/>
        <w:pageBreakBefore/>
        <w:rPr>
          <w:rFonts w:ascii="Arial" w:hAnsi="Arial" w:cs="Arial"/>
          <w:sz w:val="22"/>
          <w:szCs w:val="22"/>
          <w:u w:val="single"/>
        </w:rPr>
      </w:pPr>
      <w:bookmarkStart w:id="9" w:name="__RefHeading__52459_787932429"/>
      <w:bookmarkEnd w:id="9"/>
      <w:r w:rsidRPr="00724942">
        <w:rPr>
          <w:rFonts w:ascii="Arial" w:hAnsi="Arial" w:cs="Arial"/>
          <w:sz w:val="22"/>
          <w:szCs w:val="22"/>
        </w:rPr>
        <w:lastRenderedPageBreak/>
        <w:t>REFERENCES</w:t>
      </w:r>
    </w:p>
    <w:p w14:paraId="40E7E417" w14:textId="77777777" w:rsidR="00EA1DF9" w:rsidRPr="00724942" w:rsidRDefault="00EA1DF9" w:rsidP="00724942">
      <w:pPr>
        <w:rPr>
          <w:rFonts w:ascii="Arial" w:hAnsi="Arial" w:cs="Arial"/>
          <w:sz w:val="22"/>
        </w:rPr>
      </w:pPr>
      <w:r w:rsidRPr="00724942">
        <w:rPr>
          <w:rFonts w:ascii="Arial" w:hAnsi="Arial" w:cs="Arial"/>
          <w:sz w:val="22"/>
          <w:u w:val="single"/>
        </w:rPr>
        <w:t>Books and Journals</w:t>
      </w:r>
    </w:p>
    <w:p w14:paraId="30B9D0D0" w14:textId="77777777" w:rsidR="00EA1DF9" w:rsidRPr="00724942" w:rsidRDefault="00EA1DF9" w:rsidP="00724942">
      <w:pPr>
        <w:ind w:left="853" w:hanging="837"/>
        <w:rPr>
          <w:rFonts w:ascii="Arial" w:hAnsi="Arial" w:cs="Arial"/>
          <w:color w:val="222222"/>
          <w:sz w:val="22"/>
        </w:rPr>
      </w:pPr>
      <w:r w:rsidRPr="00724942">
        <w:rPr>
          <w:rFonts w:ascii="Arial" w:hAnsi="Arial" w:cs="Arial"/>
          <w:color w:val="222222"/>
          <w:sz w:val="22"/>
        </w:rPr>
        <w:t>Agarwal, A.K., 2022. Running a Business in India. In </w:t>
      </w:r>
      <w:r w:rsidRPr="00724942">
        <w:rPr>
          <w:rFonts w:ascii="Arial" w:hAnsi="Arial" w:cs="Arial"/>
          <w:i/>
          <w:color w:val="222222"/>
          <w:sz w:val="22"/>
        </w:rPr>
        <w:t>Doing Business in India: The PESTEL Framework</w:t>
      </w:r>
      <w:r w:rsidRPr="00724942">
        <w:rPr>
          <w:rFonts w:ascii="Arial" w:hAnsi="Arial" w:cs="Arial"/>
          <w:color w:val="222222"/>
          <w:sz w:val="22"/>
        </w:rPr>
        <w:t> (pp. 185-207). Singapore: Springer Nature Singapore.</w:t>
      </w:r>
    </w:p>
    <w:p w14:paraId="638C7B1A" w14:textId="77777777" w:rsidR="00EA1DF9" w:rsidRPr="00724942" w:rsidRDefault="00EA1DF9" w:rsidP="00724942">
      <w:pPr>
        <w:ind w:left="853" w:hanging="837"/>
        <w:rPr>
          <w:rFonts w:ascii="Arial" w:hAnsi="Arial" w:cs="Arial"/>
          <w:color w:val="222222"/>
          <w:sz w:val="22"/>
        </w:rPr>
      </w:pPr>
      <w:proofErr w:type="spellStart"/>
      <w:r w:rsidRPr="00724942">
        <w:rPr>
          <w:rFonts w:ascii="Arial" w:hAnsi="Arial" w:cs="Arial"/>
          <w:color w:val="222222"/>
          <w:sz w:val="22"/>
        </w:rPr>
        <w:t>Cincotta</w:t>
      </w:r>
      <w:proofErr w:type="spellEnd"/>
      <w:r w:rsidRPr="00724942">
        <w:rPr>
          <w:rFonts w:ascii="Arial" w:hAnsi="Arial" w:cs="Arial"/>
          <w:color w:val="222222"/>
          <w:sz w:val="22"/>
        </w:rPr>
        <w:t xml:space="preserve">, R. and </w:t>
      </w:r>
      <w:proofErr w:type="spellStart"/>
      <w:r w:rsidRPr="00724942">
        <w:rPr>
          <w:rFonts w:ascii="Arial" w:hAnsi="Arial" w:cs="Arial"/>
          <w:color w:val="222222"/>
          <w:sz w:val="22"/>
        </w:rPr>
        <w:t>Liberopoulos</w:t>
      </w:r>
      <w:proofErr w:type="spellEnd"/>
      <w:r w:rsidRPr="00724942">
        <w:rPr>
          <w:rFonts w:ascii="Arial" w:hAnsi="Arial" w:cs="Arial"/>
          <w:color w:val="222222"/>
          <w:sz w:val="22"/>
        </w:rPr>
        <w:t>, G., 2021. </w:t>
      </w:r>
      <w:r w:rsidRPr="00724942">
        <w:rPr>
          <w:rFonts w:ascii="Arial" w:hAnsi="Arial" w:cs="Arial"/>
          <w:i/>
          <w:color w:val="222222"/>
          <w:sz w:val="22"/>
        </w:rPr>
        <w:t>EVOLVE: The Business Partnering Playbook</w:t>
      </w:r>
      <w:r w:rsidRPr="00724942">
        <w:rPr>
          <w:rFonts w:ascii="Arial" w:hAnsi="Arial" w:cs="Arial"/>
          <w:color w:val="222222"/>
          <w:sz w:val="22"/>
        </w:rPr>
        <w:t xml:space="preserve">. </w:t>
      </w:r>
      <w:proofErr w:type="spellStart"/>
      <w:r w:rsidRPr="00724942">
        <w:rPr>
          <w:rFonts w:ascii="Arial" w:hAnsi="Arial" w:cs="Arial"/>
          <w:color w:val="222222"/>
          <w:sz w:val="22"/>
        </w:rPr>
        <w:t>BookPOD</w:t>
      </w:r>
      <w:proofErr w:type="spellEnd"/>
      <w:r w:rsidRPr="00724942">
        <w:rPr>
          <w:rFonts w:ascii="Arial" w:hAnsi="Arial" w:cs="Arial"/>
          <w:color w:val="222222"/>
          <w:sz w:val="22"/>
        </w:rPr>
        <w:t>.</w:t>
      </w:r>
    </w:p>
    <w:p w14:paraId="1F5B6F7C" w14:textId="77777777" w:rsidR="00EA1DF9" w:rsidRPr="00724942" w:rsidRDefault="00EA1DF9" w:rsidP="00724942">
      <w:pPr>
        <w:ind w:left="853" w:hanging="837"/>
        <w:rPr>
          <w:rFonts w:ascii="Arial" w:hAnsi="Arial" w:cs="Arial"/>
          <w:color w:val="222222"/>
          <w:sz w:val="22"/>
        </w:rPr>
      </w:pPr>
      <w:r w:rsidRPr="00724942">
        <w:rPr>
          <w:rFonts w:ascii="Arial" w:hAnsi="Arial" w:cs="Arial"/>
          <w:color w:val="222222"/>
          <w:sz w:val="22"/>
        </w:rPr>
        <w:t>Grantham, A., 2022. </w:t>
      </w:r>
      <w:r w:rsidRPr="00724942">
        <w:rPr>
          <w:rFonts w:ascii="Arial" w:hAnsi="Arial" w:cs="Arial"/>
          <w:i/>
          <w:color w:val="222222"/>
          <w:sz w:val="22"/>
        </w:rPr>
        <w:t>Sustainable Business Strategy: Analysis, Choice and Implementation</w:t>
      </w:r>
      <w:r w:rsidRPr="00724942">
        <w:rPr>
          <w:rFonts w:ascii="Arial" w:hAnsi="Arial" w:cs="Arial"/>
          <w:color w:val="222222"/>
          <w:sz w:val="22"/>
        </w:rPr>
        <w:t>. Walter de Gruyter GmbH &amp; Co KG.</w:t>
      </w:r>
    </w:p>
    <w:p w14:paraId="11D0B620" w14:textId="77777777" w:rsidR="00EA1DF9" w:rsidRPr="00724942" w:rsidRDefault="00EA1DF9" w:rsidP="00724942">
      <w:pPr>
        <w:ind w:left="853" w:hanging="837"/>
        <w:rPr>
          <w:rFonts w:ascii="Arial" w:hAnsi="Arial" w:cs="Arial"/>
          <w:color w:val="222222"/>
          <w:sz w:val="22"/>
        </w:rPr>
      </w:pPr>
      <w:r w:rsidRPr="00724942">
        <w:rPr>
          <w:rFonts w:ascii="Arial" w:hAnsi="Arial" w:cs="Arial"/>
          <w:color w:val="222222"/>
          <w:sz w:val="22"/>
        </w:rPr>
        <w:t xml:space="preserve">Bansal, J., </w:t>
      </w:r>
      <w:proofErr w:type="spellStart"/>
      <w:r w:rsidRPr="00724942">
        <w:rPr>
          <w:rFonts w:ascii="Arial" w:hAnsi="Arial" w:cs="Arial"/>
          <w:color w:val="222222"/>
          <w:sz w:val="22"/>
        </w:rPr>
        <w:t>Balodi</w:t>
      </w:r>
      <w:proofErr w:type="spellEnd"/>
      <w:r w:rsidRPr="00724942">
        <w:rPr>
          <w:rFonts w:ascii="Arial" w:hAnsi="Arial" w:cs="Arial"/>
          <w:color w:val="222222"/>
          <w:sz w:val="22"/>
        </w:rPr>
        <w:t>, K.C., Jain, R. and Datta, S., 2022. Strategy and business model evolution at Adobe: Competing in digital media software industry. </w:t>
      </w:r>
      <w:r w:rsidRPr="00724942">
        <w:rPr>
          <w:rFonts w:ascii="Arial" w:hAnsi="Arial" w:cs="Arial"/>
          <w:i/>
          <w:color w:val="222222"/>
          <w:sz w:val="22"/>
        </w:rPr>
        <w:t>Journal of Information Technology Teaching Cases</w:t>
      </w:r>
      <w:r w:rsidRPr="00724942">
        <w:rPr>
          <w:rFonts w:ascii="Arial" w:hAnsi="Arial" w:cs="Arial"/>
          <w:color w:val="222222"/>
          <w:sz w:val="22"/>
        </w:rPr>
        <w:t>, p.20438869221116391.</w:t>
      </w:r>
    </w:p>
    <w:p w14:paraId="0EE7A772" w14:textId="77777777" w:rsidR="00EA1DF9" w:rsidRPr="00724942" w:rsidRDefault="00EA1DF9" w:rsidP="00724942">
      <w:pPr>
        <w:ind w:left="853" w:hanging="837"/>
        <w:rPr>
          <w:rFonts w:ascii="Arial" w:hAnsi="Arial" w:cs="Arial"/>
          <w:sz w:val="22"/>
        </w:rPr>
      </w:pPr>
      <w:proofErr w:type="spellStart"/>
      <w:r w:rsidRPr="00724942">
        <w:rPr>
          <w:rFonts w:ascii="Arial" w:hAnsi="Arial" w:cs="Arial"/>
          <w:color w:val="222222"/>
          <w:sz w:val="22"/>
        </w:rPr>
        <w:t>Padash</w:t>
      </w:r>
      <w:proofErr w:type="spellEnd"/>
      <w:r w:rsidRPr="00724942">
        <w:rPr>
          <w:rFonts w:ascii="Arial" w:hAnsi="Arial" w:cs="Arial"/>
          <w:color w:val="222222"/>
          <w:sz w:val="22"/>
        </w:rPr>
        <w:t xml:space="preserve">, A. and </w:t>
      </w:r>
      <w:proofErr w:type="spellStart"/>
      <w:r w:rsidRPr="00724942">
        <w:rPr>
          <w:rFonts w:ascii="Arial" w:hAnsi="Arial" w:cs="Arial"/>
          <w:color w:val="222222"/>
          <w:sz w:val="22"/>
        </w:rPr>
        <w:t>Ghatari</w:t>
      </w:r>
      <w:proofErr w:type="spellEnd"/>
      <w:r w:rsidRPr="00724942">
        <w:rPr>
          <w:rFonts w:ascii="Arial" w:hAnsi="Arial" w:cs="Arial"/>
          <w:color w:val="222222"/>
          <w:sz w:val="22"/>
        </w:rPr>
        <w:t>, A.R., 2020. Toward an Innovative Green Strategic Formulation Methodology: Empowerment of corporate social, health, safety and environment. </w:t>
      </w:r>
      <w:r w:rsidRPr="00724942">
        <w:rPr>
          <w:rFonts w:ascii="Arial" w:hAnsi="Arial" w:cs="Arial"/>
          <w:i/>
          <w:color w:val="222222"/>
          <w:sz w:val="22"/>
        </w:rPr>
        <w:t>Journal of cleaner production</w:t>
      </w:r>
      <w:r w:rsidRPr="00724942">
        <w:rPr>
          <w:rFonts w:ascii="Arial" w:hAnsi="Arial" w:cs="Arial"/>
          <w:color w:val="222222"/>
          <w:sz w:val="22"/>
        </w:rPr>
        <w:t>, </w:t>
      </w:r>
      <w:r w:rsidRPr="00724942">
        <w:rPr>
          <w:rFonts w:ascii="Arial" w:hAnsi="Arial" w:cs="Arial"/>
          <w:i/>
          <w:color w:val="222222"/>
          <w:sz w:val="22"/>
        </w:rPr>
        <w:t>261</w:t>
      </w:r>
      <w:r w:rsidRPr="00724942">
        <w:rPr>
          <w:rFonts w:ascii="Arial" w:hAnsi="Arial" w:cs="Arial"/>
          <w:color w:val="222222"/>
          <w:sz w:val="22"/>
        </w:rPr>
        <w:t>, p.121075.</w:t>
      </w:r>
    </w:p>
    <w:p w14:paraId="680F6E45" w14:textId="77777777" w:rsidR="00EA1DF9" w:rsidRPr="00724942" w:rsidRDefault="00EA1DF9" w:rsidP="00724942">
      <w:pPr>
        <w:ind w:left="817" w:hanging="850"/>
        <w:rPr>
          <w:rFonts w:ascii="Arial" w:hAnsi="Arial" w:cs="Arial"/>
          <w:sz w:val="22"/>
        </w:rPr>
      </w:pPr>
      <w:r w:rsidRPr="00724942">
        <w:rPr>
          <w:rFonts w:ascii="Arial" w:hAnsi="Arial" w:cs="Arial"/>
          <w:sz w:val="22"/>
        </w:rPr>
        <w:t xml:space="preserve">Hole, Y., </w:t>
      </w:r>
      <w:proofErr w:type="spellStart"/>
      <w:r w:rsidRPr="00724942">
        <w:rPr>
          <w:rFonts w:ascii="Arial" w:hAnsi="Arial" w:cs="Arial"/>
          <w:sz w:val="22"/>
        </w:rPr>
        <w:t>Snehal</w:t>
      </w:r>
      <w:proofErr w:type="spellEnd"/>
      <w:r w:rsidRPr="00724942">
        <w:rPr>
          <w:rFonts w:ascii="Arial" w:hAnsi="Arial" w:cs="Arial"/>
          <w:sz w:val="22"/>
        </w:rPr>
        <w:t>, P. and Bhaskar, M., 2019. Porter's five forces model: gives you a competitive advantage. Journal of Advanced Research in Dynamical and Control System, 11(4), pp.1436-1448.</w:t>
      </w:r>
    </w:p>
    <w:p w14:paraId="33062D33" w14:textId="77777777" w:rsidR="00EA1DF9" w:rsidRPr="00724942" w:rsidRDefault="00EA1DF9" w:rsidP="00724942">
      <w:pPr>
        <w:ind w:left="817" w:hanging="850"/>
        <w:rPr>
          <w:rFonts w:ascii="Arial" w:hAnsi="Arial" w:cs="Arial"/>
          <w:sz w:val="22"/>
        </w:rPr>
      </w:pPr>
      <w:r w:rsidRPr="00724942">
        <w:rPr>
          <w:rFonts w:ascii="Arial" w:hAnsi="Arial" w:cs="Arial"/>
          <w:sz w:val="22"/>
        </w:rPr>
        <w:t>Beattie, A., 2019. The Pitfalls of Porters Five Forces.</w:t>
      </w:r>
    </w:p>
    <w:p w14:paraId="0F00D918" w14:textId="77777777" w:rsidR="00EA1DF9" w:rsidRPr="00724942" w:rsidRDefault="00EA1DF9" w:rsidP="00724942">
      <w:pPr>
        <w:ind w:left="817" w:hanging="850"/>
        <w:rPr>
          <w:rFonts w:ascii="Arial" w:hAnsi="Arial" w:cs="Arial"/>
          <w:sz w:val="22"/>
        </w:rPr>
      </w:pPr>
      <w:proofErr w:type="spellStart"/>
      <w:r w:rsidRPr="00724942">
        <w:rPr>
          <w:rFonts w:ascii="Arial" w:hAnsi="Arial" w:cs="Arial"/>
          <w:sz w:val="22"/>
        </w:rPr>
        <w:t>Hatzijordanou</w:t>
      </w:r>
      <w:proofErr w:type="spellEnd"/>
      <w:r w:rsidRPr="00724942">
        <w:rPr>
          <w:rFonts w:ascii="Arial" w:hAnsi="Arial" w:cs="Arial"/>
          <w:sz w:val="22"/>
        </w:rPr>
        <w:t>, N., 2019. Competitor Analysis Framework.</w:t>
      </w:r>
    </w:p>
    <w:p w14:paraId="2E951FD9" w14:textId="77777777" w:rsidR="00EA1DF9" w:rsidRPr="00724942" w:rsidRDefault="00EA1DF9" w:rsidP="00724942">
      <w:pPr>
        <w:ind w:left="817" w:hanging="850"/>
        <w:rPr>
          <w:rFonts w:ascii="Arial" w:hAnsi="Arial" w:cs="Arial"/>
          <w:sz w:val="22"/>
        </w:rPr>
      </w:pPr>
    </w:p>
    <w:p w14:paraId="26A264C6" w14:textId="77777777" w:rsidR="00CB7EB5" w:rsidRPr="00724942" w:rsidRDefault="00CB7EB5" w:rsidP="00CB7EB5">
      <w:pPr>
        <w:ind w:left="853" w:hanging="837"/>
        <w:rPr>
          <w:rFonts w:ascii="Arial" w:hAnsi="Arial" w:cs="Arial"/>
          <w:sz w:val="22"/>
        </w:rPr>
      </w:pPr>
      <w:r w:rsidRPr="00724942">
        <w:rPr>
          <w:rFonts w:ascii="Arial" w:hAnsi="Arial" w:cs="Arial"/>
          <w:sz w:val="22"/>
        </w:rPr>
        <w:t>market and markets, 2023{online}</w:t>
      </w:r>
    </w:p>
    <w:p w14:paraId="539555BB" w14:textId="2846A280" w:rsidR="002A7B56" w:rsidRDefault="00CB7EB5" w:rsidP="002A7B56">
      <w:pPr>
        <w:ind w:left="853" w:hanging="837"/>
        <w:rPr>
          <w:rFonts w:ascii="Arial" w:hAnsi="Arial" w:cs="Arial"/>
          <w:sz w:val="22"/>
        </w:rPr>
      </w:pPr>
      <w:r w:rsidRPr="00724942">
        <w:rPr>
          <w:rFonts w:ascii="Arial" w:hAnsi="Arial" w:cs="Arial"/>
          <w:sz w:val="22"/>
        </w:rPr>
        <w:t>&lt;</w:t>
      </w:r>
      <w:hyperlink r:id="rId10" w:anchor=":~:text=The global healthcare IT market,mHealth%2C and other HCIT solutions" w:history="1">
        <w:r w:rsidRPr="00724942">
          <w:rPr>
            <w:rStyle w:val="Hyperlink"/>
            <w:rFonts w:ascii="Arial" w:hAnsi="Arial" w:cs="Arial"/>
            <w:sz w:val="22"/>
          </w:rPr>
          <w:t>https://</w:t>
        </w:r>
        <w:r w:rsidRPr="00724942">
          <w:rPr>
            <w:rStyle w:val="Hyperlink"/>
            <w:rFonts w:ascii="Arial" w:hAnsi="Arial" w:cs="Arial"/>
            <w:sz w:val="22"/>
          </w:rPr>
          <w:t>w</w:t>
        </w:r>
        <w:r w:rsidRPr="00724942">
          <w:rPr>
            <w:rStyle w:val="Hyperlink"/>
            <w:rFonts w:ascii="Arial" w:hAnsi="Arial" w:cs="Arial"/>
            <w:sz w:val="22"/>
          </w:rPr>
          <w:t>ww.marketsandmarkets.com/Market-Reports/healthcare-it-252.html#:~:text=The%20global%20healthcare%20IT%20market,mHealth%2C%20and%20other%20HCIT%20solutions</w:t>
        </w:r>
      </w:hyperlink>
      <w:r w:rsidRPr="00724942">
        <w:rPr>
          <w:rFonts w:ascii="Arial" w:hAnsi="Arial" w:cs="Arial"/>
          <w:sz w:val="22"/>
        </w:rPr>
        <w:t>.&gt;</w:t>
      </w:r>
    </w:p>
    <w:p w14:paraId="38D4CF3C" w14:textId="705F6415" w:rsidR="00AF2DD3" w:rsidRDefault="00AF2DD3" w:rsidP="002A7B56">
      <w:pPr>
        <w:ind w:left="853" w:hanging="837"/>
        <w:rPr>
          <w:rFonts w:ascii="Arial" w:hAnsi="Arial" w:cs="Arial"/>
          <w:color w:val="222222"/>
          <w:sz w:val="22"/>
        </w:rPr>
      </w:pPr>
      <w:r>
        <w:t>&lt;</w:t>
      </w:r>
      <w:hyperlink r:id="rId11" w:history="1">
        <w:r w:rsidRPr="00AF2DD3">
          <w:rPr>
            <w:color w:val="0000FF"/>
            <w:u w:val="single"/>
          </w:rPr>
          <w:t>annual-report-2021.pdf (gsk.com)</w:t>
        </w:r>
      </w:hyperlink>
      <w:r w:rsidR="003A42D4">
        <w:t>&gt;</w:t>
      </w:r>
    </w:p>
    <w:p w14:paraId="7FC81519" w14:textId="77B771CA" w:rsidR="00EA1DF9" w:rsidRPr="002A7B56" w:rsidRDefault="002A7B56" w:rsidP="002A7B56">
      <w:pPr>
        <w:ind w:left="853" w:hanging="837"/>
        <w:rPr>
          <w:rFonts w:ascii="Arial" w:hAnsi="Arial" w:cs="Arial"/>
          <w:color w:val="222222"/>
          <w:sz w:val="22"/>
        </w:rPr>
      </w:pPr>
      <w:r w:rsidRPr="002A7B56">
        <w:t xml:space="preserve"> </w:t>
      </w:r>
      <w:r>
        <w:t>&lt;</w:t>
      </w:r>
      <w:hyperlink r:id="rId12" w:anchor=":~:text=GSK%20traces%20its%20earliest%20foundation,continually%20running%20British%20pharmaceutical%20company." w:history="1">
        <w:r w:rsidRPr="002A7B56">
          <w:rPr>
            <w:color w:val="0000FF"/>
            <w:u w:val="single"/>
          </w:rPr>
          <w:t>History and heritage | GSK</w:t>
        </w:r>
      </w:hyperlink>
      <w:r>
        <w:t>&gt;</w:t>
      </w:r>
    </w:p>
    <w:p w14:paraId="22F43DE7" w14:textId="5205354E" w:rsidR="009A7392" w:rsidRDefault="009C3432" w:rsidP="00724942">
      <w:r>
        <w:t>&lt;</w:t>
      </w:r>
      <w:hyperlink r:id="rId13" w:anchor=":~:text=GSK%20is%20a%20global%20biopharma,over%20the%20next%2010%20years." w:history="1">
        <w:r w:rsidRPr="009C3432">
          <w:rPr>
            <w:color w:val="0000FF"/>
            <w:u w:val="single"/>
          </w:rPr>
          <w:t>United Kingdom | GSK</w:t>
        </w:r>
      </w:hyperlink>
      <w:r>
        <w:t>&gt;</w:t>
      </w:r>
    </w:p>
    <w:p w14:paraId="2CDACABA" w14:textId="59DA0410" w:rsidR="00AF2DD3" w:rsidRDefault="00AF2DD3" w:rsidP="00724942"/>
    <w:p w14:paraId="4F4F4817" w14:textId="77777777" w:rsidR="002A7B56" w:rsidRPr="00724942" w:rsidRDefault="002A7B56" w:rsidP="00724942">
      <w:pPr>
        <w:rPr>
          <w:rFonts w:ascii="Arial" w:hAnsi="Arial" w:cs="Arial"/>
          <w:sz w:val="22"/>
        </w:rPr>
      </w:pPr>
    </w:p>
    <w:sectPr w:rsidR="002A7B56" w:rsidRPr="00724942">
      <w:footerReference w:type="defaul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EF598" w14:textId="77777777" w:rsidR="00004553" w:rsidRDefault="00004553">
      <w:pPr>
        <w:spacing w:line="240" w:lineRule="auto"/>
      </w:pPr>
      <w:r>
        <w:separator/>
      </w:r>
    </w:p>
  </w:endnote>
  <w:endnote w:type="continuationSeparator" w:id="0">
    <w:p w14:paraId="0D36992A" w14:textId="77777777" w:rsidR="00004553" w:rsidRDefault="000045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altName w:val="MS Gothic"/>
    <w:charset w:val="80"/>
    <w:family w:val="auto"/>
    <w:pitch w:val="variable"/>
  </w:font>
  <w:font w:name="Tinos">
    <w:altName w:val="Yu Gothic"/>
    <w:charset w:val="80"/>
    <w:family w:val="roman"/>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E4DED" w14:textId="77777777" w:rsidR="00E1678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20606207" w14:textId="77777777" w:rsidR="00E16788"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0CB37" w14:textId="77777777" w:rsidR="00004553" w:rsidRDefault="00004553">
      <w:pPr>
        <w:spacing w:line="240" w:lineRule="auto"/>
      </w:pPr>
      <w:r>
        <w:separator/>
      </w:r>
    </w:p>
  </w:footnote>
  <w:footnote w:type="continuationSeparator" w:id="0">
    <w:p w14:paraId="325B0D23" w14:textId="77777777" w:rsidR="00004553" w:rsidRDefault="000045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7BF4988"/>
    <w:multiLevelType w:val="hybridMultilevel"/>
    <w:tmpl w:val="5FFE0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A36D1D"/>
    <w:multiLevelType w:val="multilevel"/>
    <w:tmpl w:val="881C1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610088">
    <w:abstractNumId w:val="0"/>
  </w:num>
  <w:num w:numId="2" w16cid:durableId="2096199842">
    <w:abstractNumId w:val="1"/>
  </w:num>
  <w:num w:numId="3" w16cid:durableId="1491823038">
    <w:abstractNumId w:val="3"/>
  </w:num>
  <w:num w:numId="4" w16cid:durableId="1187131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DF9"/>
    <w:rsid w:val="00004553"/>
    <w:rsid w:val="00062C7D"/>
    <w:rsid w:val="00086BDD"/>
    <w:rsid w:val="000E35F9"/>
    <w:rsid w:val="000F5A67"/>
    <w:rsid w:val="000F6306"/>
    <w:rsid w:val="00134A0D"/>
    <w:rsid w:val="00187CFA"/>
    <w:rsid w:val="001B01BE"/>
    <w:rsid w:val="00251B86"/>
    <w:rsid w:val="0028675B"/>
    <w:rsid w:val="0029401F"/>
    <w:rsid w:val="002A7B56"/>
    <w:rsid w:val="003720CF"/>
    <w:rsid w:val="003A42D4"/>
    <w:rsid w:val="003C054D"/>
    <w:rsid w:val="00413719"/>
    <w:rsid w:val="0049763D"/>
    <w:rsid w:val="004B081E"/>
    <w:rsid w:val="004C4F69"/>
    <w:rsid w:val="00583F5B"/>
    <w:rsid w:val="005F1C92"/>
    <w:rsid w:val="006E1F84"/>
    <w:rsid w:val="00724942"/>
    <w:rsid w:val="007E3612"/>
    <w:rsid w:val="007F280E"/>
    <w:rsid w:val="0085680C"/>
    <w:rsid w:val="00952393"/>
    <w:rsid w:val="009A7392"/>
    <w:rsid w:val="009B5099"/>
    <w:rsid w:val="009B5E34"/>
    <w:rsid w:val="009C3432"/>
    <w:rsid w:val="009F6E03"/>
    <w:rsid w:val="00A77CCF"/>
    <w:rsid w:val="00AB5A89"/>
    <w:rsid w:val="00AF2DD3"/>
    <w:rsid w:val="00B1781D"/>
    <w:rsid w:val="00B27DF1"/>
    <w:rsid w:val="00B35E54"/>
    <w:rsid w:val="00B57DB6"/>
    <w:rsid w:val="00C26986"/>
    <w:rsid w:val="00CB7EB5"/>
    <w:rsid w:val="00E33425"/>
    <w:rsid w:val="00EA1DF9"/>
    <w:rsid w:val="00ED53C6"/>
    <w:rsid w:val="00EE7FBA"/>
    <w:rsid w:val="00F90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FC6FE"/>
  <w15:chartTrackingRefBased/>
  <w15:docId w15:val="{E2490C6A-D3F8-4FB3-AFF4-881D9C3E5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DF9"/>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EA1DF9"/>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EA1DF9"/>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A1DF9"/>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EA1DF9"/>
    <w:rPr>
      <w:rFonts w:ascii="Times New Roman" w:eastAsia="Times New Roman" w:hAnsi="Times New Roman" w:cs="Times New Roman"/>
      <w:bCs/>
      <w:color w:val="000000"/>
      <w:sz w:val="24"/>
      <w:szCs w:val="26"/>
      <w:u w:val="single"/>
      <w:lang w:eastAsia="ar-SA"/>
    </w:rPr>
  </w:style>
  <w:style w:type="character" w:styleId="Hyperlink">
    <w:name w:val="Hyperlink"/>
    <w:rsid w:val="00EA1DF9"/>
    <w:rPr>
      <w:color w:val="000080"/>
      <w:u w:val="single"/>
    </w:rPr>
  </w:style>
  <w:style w:type="character" w:customStyle="1" w:styleId="IndexLink">
    <w:name w:val="Index Link"/>
    <w:rsid w:val="00EA1DF9"/>
  </w:style>
  <w:style w:type="paragraph" w:styleId="Footer">
    <w:name w:val="footer"/>
    <w:basedOn w:val="Normal"/>
    <w:link w:val="FooterChar"/>
    <w:uiPriority w:val="99"/>
    <w:rsid w:val="00EA1DF9"/>
    <w:pPr>
      <w:tabs>
        <w:tab w:val="center" w:pos="4680"/>
        <w:tab w:val="right" w:pos="9360"/>
      </w:tabs>
      <w:spacing w:line="240" w:lineRule="auto"/>
    </w:pPr>
  </w:style>
  <w:style w:type="character" w:customStyle="1" w:styleId="FooterChar">
    <w:name w:val="Footer Char"/>
    <w:basedOn w:val="DefaultParagraphFont"/>
    <w:link w:val="Footer"/>
    <w:uiPriority w:val="99"/>
    <w:rsid w:val="00EA1DF9"/>
    <w:rPr>
      <w:rFonts w:ascii="Times New Roman" w:eastAsia="Calibri" w:hAnsi="Times New Roman" w:cs="Times New Roman"/>
      <w:color w:val="000000"/>
      <w:sz w:val="24"/>
      <w:lang w:eastAsia="ar-SA"/>
    </w:rPr>
  </w:style>
  <w:style w:type="paragraph" w:customStyle="1" w:styleId="ContentsHeading">
    <w:name w:val="Contents Heading"/>
    <w:basedOn w:val="Normal"/>
    <w:rsid w:val="00EA1DF9"/>
    <w:pPr>
      <w:keepNext/>
      <w:suppressLineNumbers/>
      <w:spacing w:before="240" w:after="120"/>
      <w:jc w:val="center"/>
    </w:pPr>
    <w:rPr>
      <w:rFonts w:eastAsia="Droid Sans"/>
      <w:b/>
      <w:bCs/>
      <w:sz w:val="28"/>
      <w:szCs w:val="32"/>
    </w:rPr>
  </w:style>
  <w:style w:type="paragraph" w:styleId="NoSpacing">
    <w:name w:val="No Spacing"/>
    <w:qFormat/>
    <w:rsid w:val="00EA1DF9"/>
    <w:pPr>
      <w:suppressAutoHyphens/>
      <w:spacing w:after="0" w:line="100" w:lineRule="atLeast"/>
    </w:pPr>
    <w:rPr>
      <w:rFonts w:ascii="Tinos" w:eastAsia="Droid Sans" w:hAnsi="Tinos" w:cs="DejaVu Sans"/>
      <w:sz w:val="24"/>
      <w:szCs w:val="24"/>
      <w:lang w:eastAsia="hi-IN" w:bidi="hi-IN"/>
    </w:rPr>
  </w:style>
  <w:style w:type="paragraph" w:styleId="TOC1">
    <w:name w:val="toc 1"/>
    <w:basedOn w:val="Normal"/>
    <w:rsid w:val="00EA1DF9"/>
    <w:pPr>
      <w:suppressLineNumbers/>
      <w:tabs>
        <w:tab w:val="right" w:leader="dot" w:pos="9360"/>
      </w:tabs>
    </w:pPr>
    <w:rPr>
      <w:rFonts w:cs="DejaVu Sans"/>
    </w:rPr>
  </w:style>
  <w:style w:type="paragraph" w:styleId="TOC2">
    <w:name w:val="toc 2"/>
    <w:basedOn w:val="Normal"/>
    <w:rsid w:val="00EA1DF9"/>
    <w:pPr>
      <w:suppressLineNumbers/>
      <w:tabs>
        <w:tab w:val="right" w:leader="dot" w:pos="9355"/>
      </w:tabs>
      <w:ind w:left="283"/>
    </w:pPr>
    <w:rPr>
      <w:rFonts w:cs="DejaVu Sans"/>
    </w:rPr>
  </w:style>
  <w:style w:type="character" w:styleId="FollowedHyperlink">
    <w:name w:val="FollowedHyperlink"/>
    <w:basedOn w:val="DefaultParagraphFont"/>
    <w:uiPriority w:val="99"/>
    <w:semiHidden/>
    <w:unhideWhenUsed/>
    <w:rsid w:val="00ED53C6"/>
    <w:rPr>
      <w:color w:val="954F72" w:themeColor="followedHyperlink"/>
      <w:u w:val="single"/>
    </w:rPr>
  </w:style>
  <w:style w:type="table" w:styleId="TableGrid">
    <w:name w:val="Table Grid"/>
    <w:basedOn w:val="TableNormal"/>
    <w:uiPriority w:val="39"/>
    <w:rsid w:val="003C05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42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640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k.com/en-gb/locations/united-kingdom/" TargetMode="External"/><Relationship Id="rId13" Type="http://schemas.openxmlformats.org/officeDocument/2006/relationships/hyperlink" Target="https://www.gsk.com/en-gb/locations/united-kingdom/" TargetMode="External"/><Relationship Id="rId3" Type="http://schemas.openxmlformats.org/officeDocument/2006/relationships/settings" Target="settings.xml"/><Relationship Id="rId7" Type="http://schemas.openxmlformats.org/officeDocument/2006/relationships/hyperlink" Target="https://www.gsk.com/en-gb/company/history-and-heritage/" TargetMode="External"/><Relationship Id="rId12" Type="http://schemas.openxmlformats.org/officeDocument/2006/relationships/hyperlink" Target="https://www.gsk.com/en-gb/company/history-and-heritag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sk.com/media/7462/annual-report-2021.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arketsandmarkets.com/Market-Reports/healthcare-it-252.html" TargetMode="External"/><Relationship Id="rId4" Type="http://schemas.openxmlformats.org/officeDocument/2006/relationships/webSettings" Target="webSettings.xml"/><Relationship Id="rId9" Type="http://schemas.openxmlformats.org/officeDocument/2006/relationships/hyperlink" Target="https://www.gsk.com/en-gb/media/press-releases/gsk-delivers-strong-2022-performance-with-full-year-sales-of-293-bill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2665</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44</cp:revision>
  <dcterms:created xsi:type="dcterms:W3CDTF">2023-03-05T14:34:00Z</dcterms:created>
  <dcterms:modified xsi:type="dcterms:W3CDTF">2023-03-06T11:38:00Z</dcterms:modified>
</cp:coreProperties>
</file>