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9hzgbihcgr3t" w:id="0"/>
      <w:bookmarkEnd w:id="0"/>
      <w:r w:rsidDel="00000000" w:rsidR="00000000" w:rsidRPr="00000000">
        <w:rPr>
          <w:rtl w:val="0"/>
        </w:rPr>
      </w:r>
    </w:p>
    <w:p w:rsidR="00000000" w:rsidDel="00000000" w:rsidP="00000000" w:rsidRDefault="00000000" w:rsidRPr="00000000" w14:paraId="00000002">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t2y2lxloaiai" w:id="1"/>
      <w:bookmarkEnd w:id="1"/>
      <w:r w:rsidDel="00000000" w:rsidR="00000000" w:rsidRPr="00000000">
        <w:rPr>
          <w:rFonts w:ascii="Times New Roman" w:cs="Times New Roman" w:eastAsia="Times New Roman" w:hAnsi="Times New Roman"/>
          <w:b w:val="1"/>
          <w:bCs w:val="1"/>
          <w:color w:val="000000"/>
          <w:sz w:val="24"/>
          <w:szCs w:val="24"/>
        </w:rPr>
        <w:drawing>
          <wp:inline distB="114300" distT="114300" distL="114300" distR="114300">
            <wp:extent cx="5734050" cy="1634195"/>
            <wp:effectExtent b="0" l="0" r="0" t="0"/>
            <wp:docPr id="2" name="image1.png"/>
            <a:graphic>
              <a:graphicData uri="http://schemas.openxmlformats.org/drawingml/2006/picture">
                <pic:pic>
                  <pic:nvPicPr>
                    <pic:cNvPr id="0" name="image1.png"/>
                    <pic:cNvPicPr preferRelativeResize="0"/>
                  </pic:nvPicPr>
                  <pic:blipFill>
                    <a:blip r:embed="rId6"/>
                    <a:srcRect b="21791" l="0" r="0" t="18209"/>
                    <a:stretch>
                      <a:fillRect/>
                    </a:stretch>
                  </pic:blipFill>
                  <pic:spPr>
                    <a:xfrm>
                      <a:off x="0" y="0"/>
                      <a:ext cx="5734050" cy="163419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Style w:val="Heading2"/>
        <w:keepNext w:val="0"/>
        <w:keepLines w:val="0"/>
        <w:spacing w:after="80" w:line="360" w:lineRule="auto"/>
        <w:jc w:val="center"/>
        <w:rPr>
          <w:rFonts w:ascii="Times New Roman" w:cs="Times New Roman" w:eastAsia="Times New Roman" w:hAnsi="Times New Roman"/>
          <w:b w:val="1"/>
          <w:bCs w:val="1"/>
          <w:sz w:val="40"/>
          <w:szCs w:val="40"/>
        </w:rPr>
      </w:pPr>
      <w:bookmarkStart w:colFirst="0" w:colLast="0" w:name="_s2qvth91jdke" w:id="2"/>
      <w:bookmarkEnd w:id="2"/>
      <w:r w:rsidDel="00000000" w:rsidR="00000000" w:rsidRPr="00000000">
        <w:rPr>
          <w:rFonts w:ascii="Times New Roman" w:cs="Times New Roman" w:eastAsia="Times New Roman" w:hAnsi="Times New Roman"/>
          <w:b w:val="1"/>
          <w:bCs w:val="1"/>
          <w:sz w:val="34"/>
          <w:szCs w:val="34"/>
          <w:rtl w:val="0"/>
        </w:rPr>
        <w:t xml:space="preserve">Master of Business Administration (MBA)</w:t>
      </w: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Institutional Contingency and Strategic Adaptation: A Comparative Analysis of KFC’s International Marketing Strategy in the United States and China</w:t>
      </w:r>
    </w:p>
    <w:p w:rsidR="00000000" w:rsidDel="00000000" w:rsidP="00000000" w:rsidRDefault="00000000" w:rsidRPr="00000000" w14:paraId="00000006">
      <w:pPr>
        <w:keepNext w:val="0"/>
        <w:keepLines w:val="0"/>
        <w:spacing w:before="280" w:line="360"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Student Name: </w:t>
      </w:r>
    </w:p>
    <w:p w:rsidR="00000000" w:rsidDel="00000000" w:rsidP="00000000" w:rsidRDefault="00000000" w:rsidRPr="00000000" w14:paraId="00000007">
      <w:pPr>
        <w:keepNext w:val="0"/>
        <w:keepLines w:val="0"/>
        <w:spacing w:before="280" w:line="360"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Student ID Number: </w:t>
      </w:r>
    </w:p>
    <w:p w:rsidR="00000000" w:rsidDel="00000000" w:rsidP="00000000" w:rsidRDefault="00000000" w:rsidRPr="00000000" w14:paraId="00000008">
      <w:pPr>
        <w:keepNext w:val="0"/>
        <w:keepLines w:val="0"/>
        <w:spacing w:after="80" w:line="360"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Module Code: LCMB7026</w:t>
      </w:r>
    </w:p>
    <w:p w:rsidR="00000000" w:rsidDel="00000000" w:rsidP="00000000" w:rsidRDefault="00000000" w:rsidRPr="00000000" w14:paraId="00000009">
      <w:pPr>
        <w:keepNext w:val="0"/>
        <w:keepLines w:val="0"/>
        <w:spacing w:before="280" w:line="360"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Lecturer: Tushara Balendran / Dian Mayasari</w:t>
      </w:r>
    </w:p>
    <w:p w:rsidR="00000000" w:rsidDel="00000000" w:rsidP="00000000" w:rsidRDefault="00000000" w:rsidRPr="00000000" w14:paraId="0000000A">
      <w:pPr>
        <w:keepNext w:val="0"/>
        <w:keepLines w:val="0"/>
        <w:spacing w:before="280" w:line="360"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Internal Verifier: Vasilios Tavlaridis / Hoang Nguyen</w:t>
      </w:r>
    </w:p>
    <w:p w:rsidR="00000000" w:rsidDel="00000000" w:rsidP="00000000" w:rsidRDefault="00000000" w:rsidRPr="00000000" w14:paraId="0000000B">
      <w:pPr>
        <w:keepNext w:val="0"/>
        <w:keepLines w:val="0"/>
        <w:spacing w:before="280" w:line="360"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Word Count: 5,080 words</w:t>
      </w:r>
    </w:p>
    <w:p w:rsidR="00000000" w:rsidDel="00000000" w:rsidP="00000000" w:rsidRDefault="00000000" w:rsidRPr="00000000" w14:paraId="0000000C">
      <w:pPr>
        <w:keepNext w:val="0"/>
        <w:keepLines w:val="0"/>
        <w:spacing w:before="280" w:line="360"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Submission Date: 27 March 2026</w:t>
      </w:r>
    </w:p>
    <w:p w:rsidR="00000000" w:rsidDel="00000000" w:rsidP="00000000" w:rsidRDefault="00000000" w:rsidRPr="00000000" w14:paraId="0000000D">
      <w:pPr>
        <w:rPr/>
      </w:pPr>
      <w:r w:rsidDel="00000000" w:rsidR="00000000" w:rsidRPr="00000000">
        <w:br w:type="page"/>
      </w:r>
      <w:r w:rsidDel="00000000" w:rsidR="00000000" w:rsidRPr="00000000">
        <w:rPr>
          <w:rtl w:val="0"/>
        </w:rPr>
      </w:r>
    </w:p>
    <w:p w:rsidR="00000000" w:rsidDel="00000000" w:rsidP="00000000" w:rsidRDefault="00000000" w:rsidRPr="00000000" w14:paraId="0000000E">
      <w:pPr>
        <w:keepNext w:val="0"/>
        <w:keepLines w:val="0"/>
        <w:spacing w:before="28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32"/>
          <w:szCs w:val="32"/>
          <w:rtl w:val="0"/>
        </w:rPr>
        <w:t xml:space="preserve">Table of contents:</w:t>
      </w:r>
      <w:r w:rsidDel="00000000" w:rsidR="00000000" w:rsidRPr="00000000">
        <w:rPr>
          <w:rtl w:val="0"/>
        </w:rPr>
      </w:r>
    </w:p>
    <w:sdt>
      <w:sdtPr>
        <w:id w:val="791132944"/>
        <w:docPartObj>
          <w:docPartGallery w:val="Table of Contents"/>
          <w:docPartUnique w:val="1"/>
        </w:docPartObj>
      </w:sdtPr>
      <w:sdtContent>
        <w:p w:rsidR="00000000" w:rsidDel="00000000" w:rsidP="00000000" w:rsidRDefault="00000000" w:rsidRPr="00000000" w14:paraId="0000000F">
          <w:pPr>
            <w:widowControl w:val="0"/>
            <w:tabs>
              <w:tab w:val="right" w:leader="none" w:pos="12000"/>
            </w:tabs>
            <w:spacing w:before="60" w:line="240" w:lineRule="auto"/>
            <w:jc w:val="both"/>
            <w:rPr>
              <w:rFonts w:ascii="Times New Roman" w:cs="Times New Roman" w:eastAsia="Times New Roman" w:hAnsi="Times New Roman"/>
              <w:b w:val="1"/>
              <w:bCs w:val="1"/>
              <w:color w:val="000000"/>
              <w:sz w:val="24"/>
              <w:szCs w:val="24"/>
              <w:u w:val="none"/>
            </w:rPr>
          </w:pPr>
          <w:r w:rsidDel="00000000" w:rsidR="00000000" w:rsidRPr="00000000">
            <w:fldChar w:fldCharType="begin"/>
            <w:instrText xml:space="preserve"> TOC \h \u \z \t "Heading 1,1,Heading 2,2,Heading 3,3,Heading 4,4,Heading 5,5,Heading 6,6,"</w:instrText>
            <w:fldChar w:fldCharType="separate"/>
          </w:r>
          <w:hyperlink w:anchor="_lj2ngze125wi">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Section 1: Comparative Strategic Analysis</w:t>
              <w:tab/>
              <w:t xml:space="preserve">3</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before="60" w:line="240" w:lineRule="auto"/>
            <w:jc w:val="both"/>
            <w:rPr>
              <w:rFonts w:ascii="Times New Roman" w:cs="Times New Roman" w:eastAsia="Times New Roman" w:hAnsi="Times New Roman"/>
              <w:b w:val="1"/>
              <w:bCs w:val="1"/>
              <w:color w:val="000000"/>
              <w:sz w:val="24"/>
              <w:szCs w:val="24"/>
              <w:u w:val="none"/>
            </w:rPr>
          </w:pPr>
          <w:hyperlink w:anchor="_5ev1k2odfp0o">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before="60" w:line="240" w:lineRule="auto"/>
            <w:jc w:val="both"/>
            <w:rPr>
              <w:rFonts w:ascii="Times New Roman" w:cs="Times New Roman" w:eastAsia="Times New Roman" w:hAnsi="Times New Roman"/>
              <w:b w:val="1"/>
              <w:bCs w:val="1"/>
              <w:color w:val="000000"/>
              <w:sz w:val="24"/>
              <w:szCs w:val="24"/>
              <w:u w:val="none"/>
            </w:rPr>
          </w:pPr>
          <w:hyperlink w:anchor="_aq3jscublq1h">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 Comparative Macro-Environmental Analysis (PESTEL)</w:t>
              <w:tab/>
              <w:t xml:space="preserve">4</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qpopzvmltthn">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2.1 Political and Legal Environment: Institutional Embeddedness and Strategic Legitimacy</w:t>
              <w:tab/>
              <w:t xml:space="preserve">4</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tgw5nwg5u7xi">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2.2 Economic Environment: Market Maturity versus Expansionary Dynamism</w:t>
              <w:tab/>
              <w:t xml:space="preserve">4</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d0o9zgrplsrn">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2.3 Social and Cultural Environment: Symbolic Consumption and Cultural Hybridisation</w:t>
              <w:tab/>
              <w:t xml:space="preserve">5</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dufveqa5q9tn">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2.4 Technological Environment: Digital Ecosystem Embeddedness</w:t>
              <w:tab/>
              <w:t xml:space="preserve">6</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qset12grmtjo">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2.5 Environmental and CSR Context: Institutionalised Sustainability Pressures</w:t>
              <w:tab/>
              <w:t xml:space="preserve">6</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240" w:lineRule="auto"/>
            <w:jc w:val="both"/>
            <w:rPr>
              <w:rFonts w:ascii="Times New Roman" w:cs="Times New Roman" w:eastAsia="Times New Roman" w:hAnsi="Times New Roman"/>
              <w:b w:val="1"/>
              <w:bCs w:val="1"/>
              <w:color w:val="000000"/>
              <w:sz w:val="24"/>
              <w:szCs w:val="24"/>
              <w:u w:val="none"/>
            </w:rPr>
          </w:pPr>
          <w:hyperlink w:anchor="_43ko7h58f9cb">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 STP Comparative Strategy: Market Structuring and Value Construction</w:t>
              <w:tab/>
              <w:t xml:space="preserve">7</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ylaw0ej8cqxj">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3.1 Segmentation: Market Maturity and Consumption Logic Differentiation</w:t>
              <w:tab/>
              <w:t xml:space="preserve">7</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nbskds99f51">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3.2 Targeting: Strategic Focus under Institutional and Spatial Constraints</w:t>
              <w:tab/>
              <w:t xml:space="preserve">8</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azgth6sugz5a">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3.3 Positioning: Functional Utility versus Symbolic Capital Construction</w:t>
              <w:tab/>
              <w:t xml:space="preserve">8</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240" w:lineRule="auto"/>
            <w:jc w:val="both"/>
            <w:rPr>
              <w:rFonts w:ascii="Times New Roman" w:cs="Times New Roman" w:eastAsia="Times New Roman" w:hAnsi="Times New Roman"/>
              <w:b w:val="1"/>
              <w:bCs w:val="1"/>
              <w:color w:val="000000"/>
              <w:sz w:val="24"/>
              <w:szCs w:val="24"/>
              <w:u w:val="none"/>
            </w:rPr>
          </w:pPr>
          <w:hyperlink w:anchor="_eif66xpz48cx">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4. Comparative International Marketing Mix (7Ps): Strategic Configuration under Environmental Contingency</w:t>
              <w:tab/>
              <w:t xml:space="preserve">9</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v94laok7p4jy">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4.1 Product: Identity Reconstruction through Glocalisation</w:t>
              <w:tab/>
              <w:t xml:space="preserve">10</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sih7b1ij7h49">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4.2 Price: Economic Structure and Perceived Value Formation</w:t>
              <w:tab/>
              <w:t xml:space="preserve">10</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6yisnq7ncl2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4.3 Place: Spatial Economics and Distribution Architecture</w:t>
              <w:tab/>
              <w:t xml:space="preserve">11</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lmlc7qx9efyy">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4.4 Promotion: Meaning Construction within Divergent Media Ecosystems</w:t>
              <w:tab/>
              <w:t xml:space="preserve">11</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bgooyrrzkvwf">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4.5 People, Process, and Physical Evidence: Service Architecture and Experiential Expectation</w:t>
              <w:tab/>
              <w:t xml:space="preserve">12</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40" w:lineRule="auto"/>
            <w:jc w:val="both"/>
            <w:rPr>
              <w:rFonts w:ascii="Times New Roman" w:cs="Times New Roman" w:eastAsia="Times New Roman" w:hAnsi="Times New Roman"/>
              <w:b w:val="1"/>
              <w:bCs w:val="1"/>
              <w:color w:val="000000"/>
              <w:sz w:val="24"/>
              <w:szCs w:val="24"/>
              <w:u w:val="none"/>
            </w:rPr>
          </w:pPr>
          <w:hyperlink w:anchor="_xz0a6vyiqpz0">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5. Directional Development Strategy: Strategic Expansion and Competitive Sustainability in China</w:t>
              <w:tab/>
              <w:t xml:space="preserve">13</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dc6l8zrvas5a">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5.1 Market Penetration through Geographic Tier Expansion</w:t>
              <w:tab/>
              <w:t xml:space="preserve">13</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r113i1geq9pk">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5.2 Product Development and Cultural Embeddedness</w:t>
              <w:tab/>
              <w:t xml:space="preserve">13</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oa3o5pju7rmd">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5.3 Digital Expansion and Ecosystem Integration</w:t>
              <w:tab/>
              <w:t xml:space="preserve">14</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240" w:lineRule="auto"/>
            <w:jc w:val="both"/>
            <w:rPr>
              <w:rFonts w:ascii="Times New Roman" w:cs="Times New Roman" w:eastAsia="Times New Roman" w:hAnsi="Times New Roman"/>
              <w:b w:val="1"/>
              <w:bCs w:val="1"/>
              <w:color w:val="000000"/>
              <w:sz w:val="24"/>
              <w:szCs w:val="24"/>
              <w:u w:val="none"/>
            </w:rPr>
          </w:pPr>
          <w:hyperlink w:anchor="_olycdzgftm4">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6. Ethical Evaluation: Governance Complexity and Legitimacy Risk</w:t>
              <w:tab/>
              <w:t xml:space="preserve">14</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240" w:lineRule="auto"/>
            <w:jc w:val="both"/>
            <w:rPr>
              <w:rFonts w:ascii="Times New Roman" w:cs="Times New Roman" w:eastAsia="Times New Roman" w:hAnsi="Times New Roman"/>
              <w:b w:val="1"/>
              <w:bCs w:val="1"/>
              <w:color w:val="000000"/>
              <w:sz w:val="24"/>
              <w:szCs w:val="24"/>
              <w:u w:val="none"/>
            </w:rPr>
          </w:pPr>
          <w:hyperlink w:anchor="_qu48kwj6lfpf">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7. Strategic Recommendations: Institutional Alignment and Sustainable Differentiation</w:t>
              <w:tab/>
              <w:t xml:space="preserve">15</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240" w:lineRule="auto"/>
            <w:jc w:val="both"/>
            <w:rPr>
              <w:rFonts w:ascii="Times New Roman" w:cs="Times New Roman" w:eastAsia="Times New Roman" w:hAnsi="Times New Roman"/>
              <w:b w:val="1"/>
              <w:bCs w:val="1"/>
              <w:color w:val="000000"/>
              <w:sz w:val="24"/>
              <w:szCs w:val="24"/>
              <w:u w:val="none"/>
            </w:rPr>
          </w:pPr>
          <w:hyperlink w:anchor="_w0qaqvjo68th">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Section 2: Reflective Account Using Gibbs’ Reflective Cycle</w:t>
              <w:tab/>
              <w:t xml:space="preserve">17</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sqtggp6svx2c">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1.1 Description</w:t>
              <w:tab/>
              <w:t xml:space="preserve">17</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f6vdqt5y3fk8">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1.2 Feelings: Intellectual Discomfort and Cognitive Challenge</w:t>
              <w:tab/>
              <w:t xml:space="preserve">17</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5x3gogv08g46">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1.3 Evaluation: Research and Structural Challenges</w:t>
              <w:tab/>
              <w:t xml:space="preserve">17</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hgp47p6mllbp">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1.4 Analysis: Theory Integration and Cross-Cultural Complexity</w:t>
              <w:tab/>
              <w:t xml:space="preserve">18</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vk77nwbx4360">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1.5 Conclusion</w:t>
              <w:tab/>
              <w:t xml:space="preserve">18</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240" w:lineRule="auto"/>
            <w:ind w:left="360" w:firstLine="0"/>
            <w:jc w:val="both"/>
            <w:rPr>
              <w:rFonts w:ascii="Times New Roman" w:cs="Times New Roman" w:eastAsia="Times New Roman" w:hAnsi="Times New Roman"/>
              <w:color w:val="000000"/>
              <w:sz w:val="24"/>
              <w:szCs w:val="24"/>
              <w:u w:val="none"/>
            </w:rPr>
          </w:pPr>
          <w:hyperlink w:anchor="_265b7238av8">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Action Plan: Future Academic Development</w:t>
              <w:tab/>
              <w:t xml:space="preserve">19</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240" w:lineRule="auto"/>
            <w:jc w:val="both"/>
            <w:rPr>
              <w:rFonts w:ascii="Times New Roman" w:cs="Times New Roman" w:eastAsia="Times New Roman" w:hAnsi="Times New Roman"/>
              <w:b w:val="1"/>
              <w:bCs w:val="1"/>
              <w:color w:val="000000"/>
              <w:sz w:val="24"/>
              <w:szCs w:val="24"/>
              <w:u w:val="none"/>
            </w:rPr>
          </w:pPr>
          <w:hyperlink w:anchor="_j0uo6fk8otmv">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References:</w:t>
              <w:tab/>
              <w:t xml:space="preserve">20</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240" w:lineRule="auto"/>
            <w:jc w:val="both"/>
            <w:rPr>
              <w:rFonts w:ascii="Times New Roman" w:cs="Times New Roman" w:eastAsia="Times New Roman" w:hAnsi="Times New Roman"/>
              <w:b w:val="1"/>
              <w:bCs w:val="1"/>
              <w:color w:val="000000"/>
              <w:sz w:val="24"/>
              <w:szCs w:val="24"/>
              <w:u w:val="none"/>
            </w:rPr>
          </w:pPr>
          <w:hyperlink w:anchor="_mi0vfp61y162">
            <w:r w:rsidDel="00000000" w:rsidR="00000000" w:rsidRPr="00000000">
              <w:rPr>
                <w:rFonts w:ascii="Times New Roman" w:cs="Times New Roman" w:eastAsia="Times New Roman" w:hAnsi="Times New Roman"/>
                <w:b w:val="1"/>
                <w:bCs w:val="1"/>
                <w:color w:val="000000"/>
                <w:sz w:val="24"/>
                <w:szCs w:val="24"/>
                <w:u w:val="none"/>
                <w:rtl w:val="0"/>
              </w:rPr>
              <w:t xml:space="preserve">Appendices 1: Institutional and Cultural Determinants of Strategic Configuration – USA vs China</w:t>
              <w:tab/>
              <w:t xml:space="preserve">26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0">
      <w:pPr>
        <w:keepNext w:val="0"/>
        <w:keepLines w:val="0"/>
        <w:spacing w:before="280" w:line="240" w:lineRule="auto"/>
        <w:jc w:val="both"/>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1">
      <w:pPr>
        <w:pStyle w:val="Heading1"/>
        <w:keepNext w:val="0"/>
        <w:keepLines w:val="0"/>
        <w:spacing w:before="480" w:line="360" w:lineRule="auto"/>
        <w:jc w:val="both"/>
        <w:rPr>
          <w:rFonts w:ascii="Times New Roman" w:cs="Times New Roman" w:eastAsia="Times New Roman" w:hAnsi="Times New Roman"/>
          <w:b w:val="1"/>
          <w:bCs w:val="1"/>
          <w:sz w:val="32"/>
          <w:szCs w:val="32"/>
        </w:rPr>
      </w:pPr>
      <w:bookmarkStart w:colFirst="0" w:colLast="0" w:name="_lj2ngze125wi" w:id="3"/>
      <w:bookmarkEnd w:id="3"/>
      <w:r w:rsidDel="00000000" w:rsidR="00000000" w:rsidRPr="00000000">
        <w:rPr>
          <w:rFonts w:ascii="Times New Roman" w:cs="Times New Roman" w:eastAsia="Times New Roman" w:hAnsi="Times New Roman"/>
          <w:b w:val="1"/>
          <w:bCs w:val="1"/>
          <w:sz w:val="32"/>
          <w:szCs w:val="32"/>
          <w:rtl w:val="0"/>
        </w:rPr>
        <w:t xml:space="preserve">Section 1: Comparative Strategic Analysis</w:t>
      </w:r>
    </w:p>
    <w:p w:rsidR="00000000" w:rsidDel="00000000" w:rsidP="00000000" w:rsidRDefault="00000000" w:rsidRPr="00000000" w14:paraId="00000032">
      <w:pPr>
        <w:pStyle w:val="Heading1"/>
        <w:keepNext w:val="0"/>
        <w:keepLines w:val="0"/>
        <w:spacing w:before="280" w:line="360" w:lineRule="auto"/>
        <w:jc w:val="both"/>
        <w:rPr>
          <w:rFonts w:ascii="Times New Roman" w:cs="Times New Roman" w:eastAsia="Times New Roman" w:hAnsi="Times New Roman"/>
          <w:b w:val="1"/>
          <w:bCs w:val="1"/>
          <w:sz w:val="32"/>
          <w:szCs w:val="32"/>
        </w:rPr>
      </w:pPr>
      <w:bookmarkStart w:colFirst="0" w:colLast="0" w:name="_5ev1k2odfp0o" w:id="4"/>
      <w:bookmarkEnd w:id="4"/>
      <w:r w:rsidDel="00000000" w:rsidR="00000000" w:rsidRPr="00000000">
        <w:rPr>
          <w:rFonts w:ascii="Times New Roman" w:cs="Times New Roman" w:eastAsia="Times New Roman" w:hAnsi="Times New Roman"/>
          <w:b w:val="1"/>
          <w:bCs w:val="1"/>
          <w:sz w:val="32"/>
          <w:szCs w:val="32"/>
          <w:rtl w:val="0"/>
        </w:rPr>
        <w:t xml:space="preserve">1. Introduction </w:t>
      </w:r>
    </w:p>
    <w:p w:rsidR="00000000" w:rsidDel="00000000" w:rsidP="00000000" w:rsidRDefault="00000000" w:rsidRPr="00000000" w14:paraId="00000033">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Internationalisation of multinational brands remains an issue of controversy between the efficiency argument of global standardisation and the contingency argument of local responsiveness. The standardisation thesis of Ng et al. (2025) supposes the convergence of consumer wants that occur due to globalisation, which makes firms like KFC capitalize on the standardisation of branding and efficiencies of operations in markets. But this universalist belief has been severely criticized by contingency views, especially the global integration-local responsiveness model put forward by Bartlett and Ghoshal, which maintains that strategic configuration should be responsive to environmental heterogeneity and not managerial bias (Chung and Sparrow, 2024). The conflict between these two views is particularly evident when comparing the activities of KFC in the United States and China, where the institutional, cultural, and technological architecture of an economy is dramatically different.</w:t>
      </w:r>
    </w:p>
    <w:p w:rsidR="00000000" w:rsidDel="00000000" w:rsidP="00000000" w:rsidRDefault="00000000" w:rsidRPr="00000000" w14:paraId="00000034">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present report is a critical assessment of the question of whether KFC's contrasting strategies in these markets are a deviation from global standardisation or an underlying institutional adjustment prompted by underlying environmental constraints. It is based on the institutional theory, arguing that firms do not respond to consumer preferences but should act in correspondence to the regulatory frameworks, normative expectations, and socio-cultural logics, which define legitimacy and survival (Ouyang et al., 2026). In this regard, the current study will utilize a comparative PESTEL analysis, STP analysis, and 7P marketing mix analysis to explore how the institutional pressures, systems of cultural values, and digital ecosystem integration have resulted in the differentiated strategic setups.</w:t>
      </w:r>
    </w:p>
    <w:p w:rsidR="00000000" w:rsidDel="00000000" w:rsidP="00000000" w:rsidRDefault="00000000" w:rsidRPr="00000000" w14:paraId="00000035">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argument is that although the KFC model in the United States indicates operational optimisation in the maturity stage in line with standardisation efficiencies, its Chinese model shows multidimensional accommodation, which is required by institutional embeddedness and symbolic consumption driving forces. The difference between the two markets, hence, questions the adequacy of the pure standardisation theory and promotes other contingency perspectives on international marketing strategy.</w:t>
      </w:r>
      <w:r w:rsidDel="00000000" w:rsidR="00000000" w:rsidRPr="00000000">
        <w:rPr>
          <w:rtl w:val="0"/>
        </w:rPr>
      </w:r>
    </w:p>
    <w:p w:rsidR="00000000" w:rsidDel="00000000" w:rsidP="00000000" w:rsidRDefault="00000000" w:rsidRPr="00000000" w14:paraId="00000036">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pStyle w:val="Heading1"/>
        <w:spacing w:line="360" w:lineRule="auto"/>
        <w:jc w:val="both"/>
        <w:rPr>
          <w:rFonts w:ascii="Times New Roman" w:cs="Times New Roman" w:eastAsia="Times New Roman" w:hAnsi="Times New Roman"/>
          <w:sz w:val="24"/>
          <w:szCs w:val="24"/>
        </w:rPr>
      </w:pPr>
      <w:bookmarkStart w:colFirst="0" w:colLast="0" w:name="_aq3jscublq1h" w:id="5"/>
      <w:bookmarkEnd w:id="5"/>
      <w:r w:rsidDel="00000000" w:rsidR="00000000" w:rsidRPr="00000000">
        <w:rPr>
          <w:rFonts w:ascii="Times New Roman" w:cs="Times New Roman" w:eastAsia="Times New Roman" w:hAnsi="Times New Roman"/>
          <w:b w:val="1"/>
          <w:bCs w:val="1"/>
          <w:sz w:val="32"/>
          <w:szCs w:val="32"/>
          <w:rtl w:val="0"/>
        </w:rPr>
        <w:t xml:space="preserve">2. Comparative Macro-Environmental Analysis (PESTEL)</w:t>
      </w:r>
      <w:r w:rsidDel="00000000" w:rsidR="00000000" w:rsidRPr="00000000">
        <w:rPr>
          <w:rtl w:val="0"/>
        </w:rPr>
      </w:r>
    </w:p>
    <w:p w:rsidR="00000000" w:rsidDel="00000000" w:rsidP="00000000" w:rsidRDefault="00000000" w:rsidRPr="00000000" w14:paraId="00000038">
      <w:pPr>
        <w:pStyle w:val="Heading2"/>
        <w:spacing w:line="360" w:lineRule="auto"/>
        <w:jc w:val="both"/>
        <w:rPr>
          <w:rFonts w:ascii="Times New Roman" w:cs="Times New Roman" w:eastAsia="Times New Roman" w:hAnsi="Times New Roman"/>
          <w:b w:val="1"/>
          <w:bCs w:val="1"/>
          <w:sz w:val="28"/>
          <w:szCs w:val="28"/>
        </w:rPr>
      </w:pPr>
      <w:bookmarkStart w:colFirst="0" w:colLast="0" w:name="_qpopzvmltthn" w:id="6"/>
      <w:bookmarkEnd w:id="6"/>
      <w:r w:rsidDel="00000000" w:rsidR="00000000" w:rsidRPr="00000000">
        <w:rPr>
          <w:rFonts w:ascii="Times New Roman" w:cs="Times New Roman" w:eastAsia="Times New Roman" w:hAnsi="Times New Roman"/>
          <w:b w:val="1"/>
          <w:bCs w:val="1"/>
          <w:sz w:val="28"/>
          <w:szCs w:val="28"/>
          <w:rtl w:val="0"/>
        </w:rPr>
        <w:t xml:space="preserve">2.1 Political and Legal Environment: Institutional Embeddedness and Strategic Legitimacy</w:t>
      </w:r>
    </w:p>
    <w:p w:rsidR="00000000" w:rsidDel="00000000" w:rsidP="00000000" w:rsidRDefault="00000000" w:rsidRPr="00000000" w14:paraId="00000039">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difference between the United States and China should be understood through the institutional theory instead of considering political conditions as the background variable (Olivier Berthod, 2022), which in turn are based on the view that firms exist within the regulator, normative, and cognitive pillars, which form organisational legitimacy. In the US, KFC operates in a mature, rule-based regulatory environment that is typified by stable franchise legislation, foreseeable enforcement, and little state intervention. This kind of institutional stability decreases uncertainty and enables strategic focus on operational optimisation as opposed to political adjustment. In this case, compliance will be adequate legitimacy.</w:t>
      </w:r>
    </w:p>
    <w:p w:rsidR="00000000" w:rsidDel="00000000" w:rsidP="00000000" w:rsidRDefault="00000000" w:rsidRPr="00000000" w14:paraId="0000003A">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Conversely, the state-capitalist structure of China entails placing firms in a more interventionist and relational form of governance framework. The enforcement of regulations is dynamic and tends to be manipulated by the larger socio-political priorities, thus increasing the pressure on foreign brands by institutions (Sun et al., 2023). On the side of the liability of foreignness, KFC should take an active role in building its political legitimacy to the extent of its compliance beyond the formal requirements, and it should wade through the oscillating regulatory audit and accountability systems. In contrast with the US situation, in which market competition is the prevailing strategic constraint, China presents a parallel aspect of state-business embeddedness that restructures strategic risk. This means that the localisation strategy of KFC cannot be condensed to alignment of consumer preferences; the localisation strategy is an institutional adjustment that seeks to obtain long-term legitimacy in a politically mediated market system (Gore, 2026). Such a comparison puts the logic of standardisation into the spotlight and shows that the institutional asymmetry, in its structural form, preconditions the strategic flexibility.</w:t>
      </w:r>
      <w:r w:rsidDel="00000000" w:rsidR="00000000" w:rsidRPr="00000000">
        <w:rPr>
          <w:rtl w:val="0"/>
        </w:rPr>
      </w:r>
    </w:p>
    <w:p w:rsidR="00000000" w:rsidDel="00000000" w:rsidP="00000000" w:rsidRDefault="00000000" w:rsidRPr="00000000" w14:paraId="0000003B">
      <w:pPr>
        <w:pStyle w:val="Heading2"/>
        <w:spacing w:line="360" w:lineRule="auto"/>
        <w:jc w:val="both"/>
        <w:rPr>
          <w:rFonts w:ascii="Times New Roman" w:cs="Times New Roman" w:eastAsia="Times New Roman" w:hAnsi="Times New Roman"/>
          <w:b w:val="1"/>
          <w:bCs w:val="1"/>
          <w:sz w:val="28"/>
          <w:szCs w:val="28"/>
        </w:rPr>
      </w:pPr>
      <w:bookmarkStart w:colFirst="0" w:colLast="0" w:name="_tgw5nwg5u7xi" w:id="7"/>
      <w:bookmarkEnd w:id="7"/>
      <w:r w:rsidDel="00000000" w:rsidR="00000000" w:rsidRPr="00000000">
        <w:rPr>
          <w:rFonts w:ascii="Times New Roman" w:cs="Times New Roman" w:eastAsia="Times New Roman" w:hAnsi="Times New Roman"/>
          <w:b w:val="1"/>
          <w:bCs w:val="1"/>
          <w:sz w:val="28"/>
          <w:szCs w:val="28"/>
          <w:rtl w:val="0"/>
        </w:rPr>
        <w:t xml:space="preserve">2.2 Economic Environment: Market Maturity versus Expansionary Dynamism</w:t>
      </w:r>
    </w:p>
    <w:p w:rsidR="00000000" w:rsidDel="00000000" w:rsidP="00000000" w:rsidRDefault="00000000" w:rsidRPr="00000000" w14:paraId="0000003C">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fact that the United States and China are diverging economically is not only the difference in the GDP growth rates, but also the stages at which the markets are growing. Using market lifecycle theory, the US fast-food sector can be described as a market in the maturity stage, which is already saturated, competes on prices, and has a low level of innovation (Rao et al., 2023). In these types of environments, companies focus on cost-efficiencies and standardised value propositions to protect market share. The rationale is thus strategic in line with the efficiency-based standardisation argument by Levitt.</w:t>
      </w:r>
    </w:p>
    <w:p w:rsidR="00000000" w:rsidDel="00000000" w:rsidP="00000000" w:rsidRDefault="00000000" w:rsidRPr="00000000" w14:paraId="0000003D">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China, in its turn, is a structurally growing consumption economy that is fuelled by urbanisation and the formation of the middle classes. This growth, however, does not reflect any type of homogenous purchasing power; instead, differentials of purchasing power parity across the different levels of cities create segmented demand structures. Institutional voids (such as disjointed distribution channels and disparate enforcement norms), which change the nature of competition, are further pointed out by emerging market theory (Khanna and Palepu) (Koch, 2020). This implies that the economic approach used by KFC in China is incapable of imitating mature-market efficiencies in the US. Rather, economic development is related to institutional incompleteness, which rewards dynamic pricing models and geographic diversification plans. The economic difference thus supports the argument at large: the market structure, rather than managerial preference, requires differentiated strategic forms (Keelson et al., 2024).</w:t>
      </w:r>
      <w:r w:rsidDel="00000000" w:rsidR="00000000" w:rsidRPr="00000000">
        <w:rPr>
          <w:rtl w:val="0"/>
        </w:rPr>
      </w:r>
    </w:p>
    <w:p w:rsidR="00000000" w:rsidDel="00000000" w:rsidP="00000000" w:rsidRDefault="00000000" w:rsidRPr="00000000" w14:paraId="0000003E">
      <w:pPr>
        <w:pStyle w:val="Heading2"/>
        <w:keepNext w:val="0"/>
        <w:keepLines w:val="0"/>
        <w:spacing w:after="80" w:line="360" w:lineRule="auto"/>
        <w:jc w:val="both"/>
        <w:rPr>
          <w:rFonts w:ascii="Times New Roman" w:cs="Times New Roman" w:eastAsia="Times New Roman" w:hAnsi="Times New Roman"/>
          <w:b w:val="1"/>
          <w:bCs w:val="1"/>
          <w:sz w:val="28"/>
          <w:szCs w:val="28"/>
        </w:rPr>
      </w:pPr>
      <w:bookmarkStart w:colFirst="0" w:colLast="0" w:name="_d0o9zgrplsrn" w:id="8"/>
      <w:bookmarkEnd w:id="8"/>
      <w:r w:rsidDel="00000000" w:rsidR="00000000" w:rsidRPr="00000000">
        <w:rPr>
          <w:rFonts w:ascii="Times New Roman" w:cs="Times New Roman" w:eastAsia="Times New Roman" w:hAnsi="Times New Roman"/>
          <w:b w:val="1"/>
          <w:bCs w:val="1"/>
          <w:sz w:val="28"/>
          <w:szCs w:val="28"/>
          <w:rtl w:val="0"/>
        </w:rPr>
        <w:t xml:space="preserve">2.3 Social and Cultural Environment: Symbolic Consumption and Cultural Hybridisation</w:t>
      </w:r>
    </w:p>
    <w:p w:rsidR="00000000" w:rsidDel="00000000" w:rsidP="00000000" w:rsidRDefault="00000000" w:rsidRPr="00000000" w14:paraId="0000003F">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influential explanation of the differentiated strategies of KFC is cultural divergence. Nevertheless, Hofstede dimensions cannot be used in a mechanical manner, but must be perceived as influencing the logic of consumption. Individualism is highly rated by the United States, which makes consumption a personal convenience and time-saving factor (Ho et al., 2025). In this cultural setting, fast food is in line with individual utility maximisation, which favours standardised menus and functional positioning.</w:t>
      </w:r>
    </w:p>
    <w:p w:rsidR="00000000" w:rsidDel="00000000" w:rsidP="00000000" w:rsidRDefault="00000000" w:rsidRPr="00000000" w14:paraId="00000040">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relational and aspirational consumption is restructured by the relatively collectivist orientation of China and its greater long-term orientation (Confucian dynamism) (Hu, 2025). Food habits are often done in groups, which increases the social prominence of eating. This changes the symbolic meaning of Western brands. Based on the consumer culture theory, the Western fast-food brands in China operate as a symbol of modernity and internationalization instead of just a convenience factor. As such, localisation such as rice-based food and breakfast congee should not be understood as shallow cultural accommodation. Rather, it is symbolic assimilation into local food discourses, which softens ethnocentrism in consumers and maintains aspirational Westernness.</w:t>
      </w:r>
    </w:p>
    <w:p w:rsidR="00000000" w:rsidDel="00000000" w:rsidP="00000000" w:rsidRDefault="00000000" w:rsidRPr="00000000" w14:paraId="00000041">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acculturation theory also makes the situation more complex: Chinese consumers are selective in their appropriation of Western forms of consumption and integrate them into the local cultural frameworks (Małecka and Pfajfar, 2025). The strategic adaptation of KFC, therefore, is hybridisation and not complete westernisation. Conversely, the market in the US has low requirements of symbolic negotiation since the brand is entrenched in the culture of the country (Kissi, 2025). This asymmetry is the reason why product innovation is an identity-reconstructive phenomenon in China but an incremental phenomenon in the US.</w:t>
      </w:r>
    </w:p>
    <w:p w:rsidR="00000000" w:rsidDel="00000000" w:rsidP="00000000" w:rsidRDefault="00000000" w:rsidRPr="00000000" w14:paraId="00000042">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convergence assumption proposed by Levitt is thus shaken by the cultural comparison (Brodowsky, Schuster and Perren, 2022). Instead of the homogenisation of the global consumer, the case itself shows the culturally contingent value interpretation, where the structural adaptation in China was necessary, but the operational consistency in the US was permissible.</w:t>
      </w:r>
      <w:r w:rsidDel="00000000" w:rsidR="00000000" w:rsidRPr="00000000">
        <w:rPr>
          <w:rtl w:val="0"/>
        </w:rPr>
      </w:r>
    </w:p>
    <w:p w:rsidR="00000000" w:rsidDel="00000000" w:rsidP="00000000" w:rsidRDefault="00000000" w:rsidRPr="00000000" w14:paraId="00000043">
      <w:pPr>
        <w:pStyle w:val="Heading2"/>
        <w:keepNext w:val="0"/>
        <w:keepLines w:val="0"/>
        <w:spacing w:after="80" w:line="360" w:lineRule="auto"/>
        <w:jc w:val="both"/>
        <w:rPr>
          <w:rFonts w:ascii="Times New Roman" w:cs="Times New Roman" w:eastAsia="Times New Roman" w:hAnsi="Times New Roman"/>
          <w:b w:val="1"/>
          <w:bCs w:val="1"/>
          <w:sz w:val="28"/>
          <w:szCs w:val="28"/>
        </w:rPr>
      </w:pPr>
      <w:bookmarkStart w:colFirst="0" w:colLast="0" w:name="_dufveqa5q9tn" w:id="9"/>
      <w:bookmarkEnd w:id="9"/>
      <w:r w:rsidDel="00000000" w:rsidR="00000000" w:rsidRPr="00000000">
        <w:rPr>
          <w:rFonts w:ascii="Times New Roman" w:cs="Times New Roman" w:eastAsia="Times New Roman" w:hAnsi="Times New Roman"/>
          <w:b w:val="1"/>
          <w:bCs w:val="1"/>
          <w:sz w:val="28"/>
          <w:szCs w:val="28"/>
          <w:rtl w:val="0"/>
        </w:rPr>
        <w:t xml:space="preserve">2.4 Technological Environment: Digital Ecosystem Embeddedness</w:t>
      </w:r>
    </w:p>
    <w:p w:rsidR="00000000" w:rsidDel="00000000" w:rsidP="00000000" w:rsidRDefault="00000000" w:rsidRPr="00000000" w14:paraId="00000044">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markets have many technological differences, not only in the infrastructure but also in the architecture of the ecosystem (Liu et al., 2022). The American online space is still platform-dispersed, and the drive-through systems are car-based spaces. China, in its turn, is a player on an integrated super-app platform that features healthy network effects. Platform economy theory recommends that companies situated in this type of ecosystem need to incorporate marketing, payment, and logistics into a single channel of digital routes in order to stay competitive (Rong, 2022). Even in this way, the Chinese approach of KFC reflects the digital embeddedness, but not the optional technological improvement. Technology improves efficiency in the US and customer journey restructuring in China. This technological asymmetry supports the more general contingency argument that adaptation is structurally determined as opposed to being strategic.</w:t>
      </w:r>
      <w:r w:rsidDel="00000000" w:rsidR="00000000" w:rsidRPr="00000000">
        <w:rPr>
          <w:rtl w:val="0"/>
        </w:rPr>
      </w:r>
    </w:p>
    <w:p w:rsidR="00000000" w:rsidDel="00000000" w:rsidP="00000000" w:rsidRDefault="00000000" w:rsidRPr="00000000" w14:paraId="00000045">
      <w:pPr>
        <w:pStyle w:val="Heading2"/>
        <w:keepNext w:val="0"/>
        <w:keepLines w:val="0"/>
        <w:spacing w:after="80" w:line="360" w:lineRule="auto"/>
        <w:jc w:val="both"/>
        <w:rPr>
          <w:rFonts w:ascii="Times New Roman" w:cs="Times New Roman" w:eastAsia="Times New Roman" w:hAnsi="Times New Roman"/>
          <w:b w:val="1"/>
          <w:bCs w:val="1"/>
          <w:sz w:val="28"/>
          <w:szCs w:val="28"/>
        </w:rPr>
      </w:pPr>
      <w:bookmarkStart w:colFirst="0" w:colLast="0" w:name="_qset12grmtjo" w:id="10"/>
      <w:bookmarkEnd w:id="10"/>
      <w:r w:rsidDel="00000000" w:rsidR="00000000" w:rsidRPr="00000000">
        <w:rPr>
          <w:rFonts w:ascii="Times New Roman" w:cs="Times New Roman" w:eastAsia="Times New Roman" w:hAnsi="Times New Roman"/>
          <w:b w:val="1"/>
          <w:bCs w:val="1"/>
          <w:sz w:val="28"/>
          <w:szCs w:val="28"/>
          <w:rtl w:val="0"/>
        </w:rPr>
        <w:t xml:space="preserve">2.5 Environmental and CSR Context: Institutionalised Sustainability Pressures</w:t>
      </w:r>
    </w:p>
    <w:p w:rsidR="00000000" w:rsidDel="00000000" w:rsidP="00000000" w:rsidRDefault="00000000" w:rsidRPr="00000000" w14:paraId="00000046">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differences between environmental pressures in normative salience and regulation. In the United States, the concept of sustainability is institutionalised through sustainability as a reputational requirement among stakeholder activism and ESG reporting expectations (Kandpal et al., 2024). Regulatory compliance on the environment in China has steepened; however, consumer-based ESG review is still relatively nascent. Based on the theory of the stakeholder, the legitimacy thresholds thus vary according to the context. Nonetheless, institutional changes in emerging markets posit that the convergence is likely to increase with time. In the case of KFC, the sustainability strategy should thus look forward to the tightening of regulations in China as well as reputational balancing in the US (Zhang, 2024). Environmental adaptation is, therefore, an anticipatory institutional adaptation as opposed to corporate policy imitation.</w:t>
      </w:r>
      <w:r w:rsidDel="00000000" w:rsidR="00000000" w:rsidRPr="00000000">
        <w:rPr>
          <w:rtl w:val="0"/>
        </w:rPr>
      </w:r>
    </w:p>
    <w:p w:rsidR="00000000" w:rsidDel="00000000" w:rsidP="00000000" w:rsidRDefault="00000000" w:rsidRPr="00000000" w14:paraId="00000047">
      <w:pPr>
        <w:pStyle w:val="Heading1"/>
        <w:spacing w:line="360" w:lineRule="auto"/>
        <w:jc w:val="both"/>
        <w:rPr>
          <w:rFonts w:ascii="Times New Roman" w:cs="Times New Roman" w:eastAsia="Times New Roman" w:hAnsi="Times New Roman"/>
          <w:b w:val="1"/>
          <w:bCs w:val="1"/>
          <w:sz w:val="32"/>
          <w:szCs w:val="32"/>
        </w:rPr>
      </w:pPr>
      <w:bookmarkStart w:colFirst="0" w:colLast="0" w:name="_43ko7h58f9cb" w:id="11"/>
      <w:bookmarkEnd w:id="11"/>
      <w:r w:rsidDel="00000000" w:rsidR="00000000" w:rsidRPr="00000000">
        <w:rPr>
          <w:rFonts w:ascii="Times New Roman" w:cs="Times New Roman" w:eastAsia="Times New Roman" w:hAnsi="Times New Roman"/>
          <w:b w:val="1"/>
          <w:bCs w:val="1"/>
          <w:sz w:val="32"/>
          <w:szCs w:val="32"/>
          <w:rtl w:val="0"/>
        </w:rPr>
        <w:t xml:space="preserve">3. STP Comparative Strategy: Market Structuring and Value Construction</w:t>
      </w:r>
    </w:p>
    <w:p w:rsidR="00000000" w:rsidDel="00000000" w:rsidP="00000000" w:rsidRDefault="00000000" w:rsidRPr="00000000" w14:paraId="00000048">
      <w:pPr>
        <w:pStyle w:val="Heading2"/>
        <w:spacing w:line="360" w:lineRule="auto"/>
        <w:jc w:val="both"/>
        <w:rPr>
          <w:rFonts w:ascii="Times New Roman" w:cs="Times New Roman" w:eastAsia="Times New Roman" w:hAnsi="Times New Roman"/>
          <w:b w:val="1"/>
          <w:bCs w:val="1"/>
          <w:sz w:val="28"/>
          <w:szCs w:val="28"/>
        </w:rPr>
      </w:pPr>
      <w:bookmarkStart w:colFirst="0" w:colLast="0" w:name="_ylaw0ej8cqxj" w:id="12"/>
      <w:bookmarkEnd w:id="12"/>
      <w:r w:rsidDel="00000000" w:rsidR="00000000" w:rsidRPr="00000000">
        <w:rPr>
          <w:rFonts w:ascii="Times New Roman" w:cs="Times New Roman" w:eastAsia="Times New Roman" w:hAnsi="Times New Roman"/>
          <w:b w:val="1"/>
          <w:bCs w:val="1"/>
          <w:sz w:val="28"/>
          <w:szCs w:val="28"/>
          <w:rtl w:val="0"/>
        </w:rPr>
        <w:t xml:space="preserve">3.1 Segmentation: Market Maturity and Consumption Logic Differentiation</w:t>
      </w:r>
    </w:p>
    <w:p w:rsidR="00000000" w:rsidDel="00000000" w:rsidP="00000000" w:rsidRDefault="00000000" w:rsidRPr="00000000" w14:paraId="00000049">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Chinese and the United States market structures are fundamentally different, as segmentation is not due to demographic differences. The KFC Company in the US has a high competitive density and consumer price sensitivity as it is operating in a fast-food market in the maturity stage (DENİZ and ABBASALİYEVA, 2022). Convenience orientation and value-seeking consumption are, therefore, behavioural variables that the segmentation revolves around. In terms of segmentation theory, at the stage of market saturation, differentiation is more based on marginal preference adjustments and not on structural demand expansion. As a result, the level of segmentation in the US is still relatively wide, which supports the efficiency of operations and national homogeneity.</w:t>
      </w:r>
    </w:p>
    <w:p w:rsidR="00000000" w:rsidDel="00000000" w:rsidP="00000000" w:rsidRDefault="00000000" w:rsidRPr="00000000" w14:paraId="0000004A">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Conversely, heterogeneous consumption groups due to income mobility and digital integration are produced by the growing middle class and the fast pace of urbanisation in China. Segmentation is not just restricted in terms of income but also includes the psychographic variables, which include aspirational orientation and technological embeddedness (Koziel and Shen, 2023). Urban younger audiences and digital-native customers comprise the categories of high-growth markets where consumption is based on identity building, but not rational utility (Liu, 2022). This difference lends weight to the hypothesis that the complexity of segmentation is related to market growth path: growing markets encourage a finer level of segmentation to encompass upward mobility, but developed markets respect scale efficiencies. The opposition thus shows that the structurally conditioned segmentation is a result of economic evolution, which supports the wider contingency thesis demonstrated above.</w:t>
      </w:r>
      <w:r w:rsidDel="00000000" w:rsidR="00000000" w:rsidRPr="00000000">
        <w:rPr>
          <w:rtl w:val="0"/>
        </w:rPr>
      </w:r>
    </w:p>
    <w:p w:rsidR="00000000" w:rsidDel="00000000" w:rsidP="00000000" w:rsidRDefault="00000000" w:rsidRPr="00000000" w14:paraId="0000004B">
      <w:pPr>
        <w:pStyle w:val="Heading2"/>
        <w:spacing w:line="360" w:lineRule="auto"/>
        <w:jc w:val="both"/>
        <w:rPr>
          <w:rFonts w:ascii="Times New Roman" w:cs="Times New Roman" w:eastAsia="Times New Roman" w:hAnsi="Times New Roman"/>
          <w:b w:val="1"/>
          <w:bCs w:val="1"/>
          <w:sz w:val="28"/>
          <w:szCs w:val="28"/>
        </w:rPr>
      </w:pPr>
      <w:bookmarkStart w:colFirst="0" w:colLast="0" w:name="_nbskds99f51" w:id="13"/>
      <w:bookmarkEnd w:id="13"/>
      <w:r w:rsidDel="00000000" w:rsidR="00000000" w:rsidRPr="00000000">
        <w:rPr>
          <w:rFonts w:ascii="Times New Roman" w:cs="Times New Roman" w:eastAsia="Times New Roman" w:hAnsi="Times New Roman"/>
          <w:b w:val="1"/>
          <w:bCs w:val="1"/>
          <w:sz w:val="28"/>
          <w:szCs w:val="28"/>
          <w:rtl w:val="0"/>
        </w:rPr>
        <w:t xml:space="preserve">3.2 Targeting: Strategic Focus under Institutional and Spatial Constraints</w:t>
      </w:r>
    </w:p>
    <w:p w:rsidR="00000000" w:rsidDel="00000000" w:rsidP="00000000" w:rsidRDefault="00000000" w:rsidRPr="00000000" w14:paraId="0000004C">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Focusing on the decisions also highlights the strategic difference between the two markets. KFC in the United States has a targeting strategy that is akin to a differentiated mass strategy, where it has used national brand recognition to serve a broad consumer market with minimum regional differentiation (Chen, 2025). This is indicative of an environment where brand familiarity has been culturally institutionalized and where institutional stability lowers the necessity of concentrated market experimentation. Broad targeting goes with efficiency logic and standardisation of operations (Khalili et al., 2025).</w:t>
      </w:r>
    </w:p>
    <w:p w:rsidR="00000000" w:rsidDel="00000000" w:rsidP="00000000" w:rsidRDefault="00000000" w:rsidRPr="00000000" w14:paraId="0000004D">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China is, however, a manifestation of spatial and socio-economic fragmentation that makes uniform national targeting strategically inefficient. The theory of urban cluster indicates that economic growth is distributed unequally in tiered cities, resulting in geographically concentrated demand centers (He, Zhou and Yuan, 2025). In line with this, the expansion strategy of KFC has been characterized by a high level of targeting in the high-growth urban centres with subsequent diffusion to the low-tier cities. This strategy is in line with the institutional void theory, which points out disproportional infrastructure and distribution potentials within the emerging markets. Targeting is thus not only a marketing option but an action directed by the structural asymmetry. Comparative analysis shows that the US targeting concentrates scale benefits, whereas China targeting takes advantage of geographical and population movement, providing an example of how institutions and spatial realities constitute market selection logic (Wu et al., 2024).</w:t>
      </w:r>
      <w:r w:rsidDel="00000000" w:rsidR="00000000" w:rsidRPr="00000000">
        <w:rPr>
          <w:rtl w:val="0"/>
        </w:rPr>
      </w:r>
    </w:p>
    <w:p w:rsidR="00000000" w:rsidDel="00000000" w:rsidP="00000000" w:rsidRDefault="00000000" w:rsidRPr="00000000" w14:paraId="0000004E">
      <w:pPr>
        <w:pStyle w:val="Heading2"/>
        <w:spacing w:line="360" w:lineRule="auto"/>
        <w:jc w:val="both"/>
        <w:rPr>
          <w:rFonts w:ascii="Times New Roman" w:cs="Times New Roman" w:eastAsia="Times New Roman" w:hAnsi="Times New Roman"/>
          <w:b w:val="1"/>
          <w:bCs w:val="1"/>
          <w:sz w:val="28"/>
          <w:szCs w:val="28"/>
        </w:rPr>
      </w:pPr>
      <w:bookmarkStart w:colFirst="0" w:colLast="0" w:name="_azgth6sugz5a" w:id="14"/>
      <w:bookmarkEnd w:id="14"/>
      <w:r w:rsidDel="00000000" w:rsidR="00000000" w:rsidRPr="00000000">
        <w:rPr>
          <w:rFonts w:ascii="Times New Roman" w:cs="Times New Roman" w:eastAsia="Times New Roman" w:hAnsi="Times New Roman"/>
          <w:b w:val="1"/>
          <w:bCs w:val="1"/>
          <w:sz w:val="28"/>
          <w:szCs w:val="28"/>
          <w:rtl w:val="0"/>
        </w:rPr>
        <w:t xml:space="preserve">3.3 Positioning: Functional Utility versus Symbolic Capital Construction</w:t>
      </w:r>
    </w:p>
    <w:p w:rsidR="00000000" w:rsidDel="00000000" w:rsidP="00000000" w:rsidRDefault="00000000" w:rsidRPr="00000000" w14:paraId="0000004F">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strategically significant divergence between the two markets is that of positioning. The positioning of KFC in the United States is pegged on functional value, which is speed, low cost, and convenience, as consumption habits are influenced by individualism and time-saving. In such a setting, brand equity (Aaker) is maintained by consistency of perceived quality and congruence of prices with value instead of symbol differentiation (Qi, Abdullah and Rahman, 2024). Cultural embeddedness of the brand makes identity reconstruction unnecessary; it is working within the pre-determined fast-food scheme.</w:t>
      </w:r>
    </w:p>
    <w:p w:rsidR="00000000" w:rsidDel="00000000" w:rsidP="00000000" w:rsidRDefault="00000000" w:rsidRPr="00000000" w14:paraId="00000050">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Positioning in China, on the other hand, is not about functional utility but exists in the symbolic consumption context. According to cultural branding theory, foreign brands in the emerging markets tend to gain aspirational meaning that is related to global modernity (Safeer et al., 2022). In the prism of Kapferer Brand Identity, KFC in China restructures the aspects of physique, personality, and relationship to meet the new urban desires without sacrificing certain aspects of Western authenticity. This form of construction of dual identity curbs consumer ethnocentrism without losing symbolic capital.</w:t>
      </w:r>
    </w:p>
    <w:p w:rsidR="00000000" w:rsidDel="00000000" w:rsidP="00000000" w:rsidRDefault="00000000" w:rsidRPr="00000000" w14:paraId="00000051">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importantly, the difference in positions can be characterized as the differences between the levels of socio-economic aspiration and not necessarily cultural preference. When upward mobility is still important, the brands serve as indicators of lifestyle development. KFC's positioning in China, therefore, as a high-end Western lifestyle brand, is not accidental but structurally connected to both the mobility of income and identity negotiation (Kumar, 2024). In comparison, positioning in the US is reverted to functional rationality since fast food is not aspirationally positioned.</w:t>
      </w:r>
    </w:p>
    <w:p w:rsidR="00000000" w:rsidDel="00000000" w:rsidP="00000000" w:rsidRDefault="00000000" w:rsidRPr="00000000" w14:paraId="00000052">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analogy undermines the universalist branding suppositions. Instead of being globally positioned, KFC has been redefining its brand meaning to conform to the local value hierarchies. Positioning is thus a place of institutional and cultural accommodation that further supports the bigger argument that strategic divergence is driven environmentally, but not managerially arbitrary (Su, Gao and Tan, 2023).</w:t>
      </w:r>
    </w:p>
    <w:p w:rsidR="00000000" w:rsidDel="00000000" w:rsidP="00000000" w:rsidRDefault="00000000" w:rsidRPr="00000000" w14:paraId="00000053">
      <w:pPr>
        <w:spacing w:after="120" w:before="12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571875" cy="2524125"/>
            <wp:effectExtent b="0" l="0" r="0" t="0"/>
            <wp:docPr id="3" name="image2.png"/>
            <a:graphic>
              <a:graphicData uri="http://schemas.openxmlformats.org/drawingml/2006/picture">
                <pic:pic>
                  <pic:nvPicPr>
                    <pic:cNvPr id="0" name="image2.png"/>
                    <pic:cNvPicPr preferRelativeResize="0"/>
                  </pic:nvPicPr>
                  <pic:blipFill>
                    <a:blip r:embed="rId7"/>
                    <a:srcRect b="22444" l="18106" r="19601" t="11471"/>
                    <a:stretch>
                      <a:fillRect/>
                    </a:stretch>
                  </pic:blipFill>
                  <pic:spPr>
                    <a:xfrm>
                      <a:off x="0" y="0"/>
                      <a:ext cx="3571875" cy="2524125"/>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spacing w:after="240" w:before="240" w:line="360" w:lineRule="auto"/>
        <w:jc w:val="cente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b w:val="1"/>
          <w:bCs w:val="1"/>
          <w:i w:val="1"/>
          <w:iCs w:val="1"/>
          <w:rtl w:val="0"/>
        </w:rPr>
        <w:t xml:space="preserve">Figure 1: </w:t>
      </w:r>
      <w:r w:rsidDel="00000000" w:rsidR="00000000" w:rsidRPr="00000000">
        <w:rPr>
          <w:rFonts w:ascii="Times New Roman" w:cs="Times New Roman" w:eastAsia="Times New Roman" w:hAnsi="Times New Roman"/>
          <w:i w:val="1"/>
          <w:iCs w:val="1"/>
          <w:rtl w:val="0"/>
        </w:rPr>
        <w:t xml:space="preserve">Strategic Divergence in STP and Brand Meaning Construction: A Comparative Positioning Map of KFC in the United States and China</w:t>
      </w:r>
    </w:p>
    <w:p w:rsidR="00000000" w:rsidDel="00000000" w:rsidP="00000000" w:rsidRDefault="00000000" w:rsidRPr="00000000" w14:paraId="00000055">
      <w:pPr>
        <w:spacing w:after="240" w:before="240" w:line="360" w:lineRule="auto"/>
        <w:jc w:val="cente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b w:val="1"/>
          <w:bCs w:val="1"/>
          <w:i w:val="1"/>
          <w:iCs w:val="1"/>
          <w:rtl w:val="0"/>
        </w:rPr>
        <w:t xml:space="preserve">Source:</w:t>
      </w:r>
      <w:r w:rsidDel="00000000" w:rsidR="00000000" w:rsidRPr="00000000">
        <w:rPr>
          <w:rFonts w:ascii="Times New Roman" w:cs="Times New Roman" w:eastAsia="Times New Roman" w:hAnsi="Times New Roman"/>
          <w:i w:val="1"/>
          <w:iCs w:val="1"/>
          <w:rtl w:val="0"/>
        </w:rPr>
        <w:t xml:space="preserve"> Selfmade, synthesised from contemporary brand equity and cultural branding literature (e.g., Davvetas et al., 2022; Safeer et al., 2022; Qi, Abdullah and Rahman, 2024).</w:t>
      </w:r>
      <w:r w:rsidDel="00000000" w:rsidR="00000000" w:rsidRPr="00000000">
        <w:rPr>
          <w:rtl w:val="0"/>
        </w:rPr>
      </w:r>
    </w:p>
    <w:p w:rsidR="00000000" w:rsidDel="00000000" w:rsidP="00000000" w:rsidRDefault="00000000" w:rsidRPr="00000000" w14:paraId="00000056">
      <w:pPr>
        <w:pStyle w:val="Heading1"/>
        <w:spacing w:line="360" w:lineRule="auto"/>
        <w:jc w:val="both"/>
        <w:rPr>
          <w:rFonts w:ascii="Times New Roman" w:cs="Times New Roman" w:eastAsia="Times New Roman" w:hAnsi="Times New Roman"/>
          <w:b w:val="1"/>
          <w:bCs w:val="1"/>
          <w:sz w:val="32"/>
          <w:szCs w:val="32"/>
        </w:rPr>
      </w:pPr>
      <w:bookmarkStart w:colFirst="0" w:colLast="0" w:name="_eif66xpz48cx" w:id="15"/>
      <w:bookmarkEnd w:id="15"/>
      <w:r w:rsidDel="00000000" w:rsidR="00000000" w:rsidRPr="00000000">
        <w:rPr>
          <w:rFonts w:ascii="Times New Roman" w:cs="Times New Roman" w:eastAsia="Times New Roman" w:hAnsi="Times New Roman"/>
          <w:b w:val="1"/>
          <w:bCs w:val="1"/>
          <w:sz w:val="32"/>
          <w:szCs w:val="32"/>
          <w:rtl w:val="0"/>
        </w:rPr>
        <w:t xml:space="preserve">4. Comparative International Marketing Mix (7Ps): Strategic Configuration under Environmental Contingency</w:t>
      </w:r>
    </w:p>
    <w:p w:rsidR="00000000" w:rsidDel="00000000" w:rsidP="00000000" w:rsidRDefault="00000000" w:rsidRPr="00000000" w14:paraId="00000057">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KFC marketing mix in the United States and China could not be explained only in terms of binary adaptation-standardisation. The contingency theory implies that organisational effectiveness is based on the consistency between strategic configuration and the environmental factors, as opposed to the common best practice (Pacheco-Cubillos, Boria-Reverter and Gil-Lafuente, 2024). Based on this, the marketing mix in the respective markets denotes various structural constraints and legitimacy demands. The US structure is more effective at promoting the efficacy-driven standardisation that is consistent with the presence of a well-developed institutional context, but the Chinese context illustrates the globalised restructuring that embraces the brand into the local socio-cultural and technological ecosystem.</w:t>
      </w:r>
      <w:r w:rsidDel="00000000" w:rsidR="00000000" w:rsidRPr="00000000">
        <w:rPr>
          <w:rtl w:val="0"/>
        </w:rPr>
      </w:r>
    </w:p>
    <w:p w:rsidR="00000000" w:rsidDel="00000000" w:rsidP="00000000" w:rsidRDefault="00000000" w:rsidRPr="00000000" w14:paraId="00000058">
      <w:pPr>
        <w:pStyle w:val="Heading2"/>
        <w:spacing w:line="360" w:lineRule="auto"/>
        <w:jc w:val="both"/>
        <w:rPr>
          <w:rFonts w:ascii="Times New Roman" w:cs="Times New Roman" w:eastAsia="Times New Roman" w:hAnsi="Times New Roman"/>
          <w:b w:val="1"/>
          <w:bCs w:val="1"/>
          <w:sz w:val="28"/>
          <w:szCs w:val="28"/>
        </w:rPr>
      </w:pPr>
      <w:bookmarkStart w:colFirst="0" w:colLast="0" w:name="_v94laok7p4jy" w:id="16"/>
      <w:bookmarkEnd w:id="16"/>
      <w:r w:rsidDel="00000000" w:rsidR="00000000" w:rsidRPr="00000000">
        <w:rPr>
          <w:rFonts w:ascii="Times New Roman" w:cs="Times New Roman" w:eastAsia="Times New Roman" w:hAnsi="Times New Roman"/>
          <w:b w:val="1"/>
          <w:bCs w:val="1"/>
          <w:sz w:val="28"/>
          <w:szCs w:val="28"/>
          <w:rtl w:val="0"/>
        </w:rPr>
        <w:t xml:space="preserve">4.1 Product: Identity Reconstruction through Glocalisation</w:t>
      </w:r>
    </w:p>
    <w:p w:rsidR="00000000" w:rsidDel="00000000" w:rsidP="00000000" w:rsidRDefault="00000000" w:rsidRPr="00000000" w14:paraId="00000059">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fact that there is product divergence between the two markets shows that adapting is not limited to culinary differences, but also symbolic reconfiguration. Brand heritage and operational efficiency are indicative of the standardised core menu in the United States (Jeong et al., 2022). In a culturally embedded setting, the brand equity is strengthened by the consistency of the product in terms of recognisability and reliability. Standardisation in this case serves the scale economies and fits with a consumer base that has grown up and identifies with the brand as a functional convenience.</w:t>
      </w:r>
    </w:p>
    <w:p w:rsidR="00000000" w:rsidDel="00000000" w:rsidP="00000000" w:rsidRDefault="00000000" w:rsidRPr="00000000" w14:paraId="0000005A">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China, localisation, e.g., of low-end products (e.g. rice delectables), localised versions of breakfast, etc., is performed in a glocalization system (Robertson), in which international brands become hybridized with local codes. This accommodation is not a cosmetic one, but a strategic identity rebuilding. Based on the Service-Dominant Logic, value is created in the course of culturally significant exchange; hence, the products offered should appeal to the local consumption rituals to continue being legitimate (Gambicorti, 2025). In collectivist dining situations, diversification of the menu complements the social compatibility, and the cultural friction decreases. Product adaptation in China, therefore, is an institutional and cultural anchoring, as opposed to breaking global uniformity. The difference shows that the standardisation can only be applied in areas where cultural congruency already occurs; in areas where symbolic distance is higher, product adjustment is preconditioned to brand acceptance.</w:t>
      </w:r>
      <w:r w:rsidDel="00000000" w:rsidR="00000000" w:rsidRPr="00000000">
        <w:rPr>
          <w:rtl w:val="0"/>
        </w:rPr>
      </w:r>
    </w:p>
    <w:p w:rsidR="00000000" w:rsidDel="00000000" w:rsidP="00000000" w:rsidRDefault="00000000" w:rsidRPr="00000000" w14:paraId="0000005B">
      <w:pPr>
        <w:pStyle w:val="Heading2"/>
        <w:spacing w:line="360" w:lineRule="auto"/>
        <w:jc w:val="both"/>
        <w:rPr>
          <w:rFonts w:ascii="Times New Roman" w:cs="Times New Roman" w:eastAsia="Times New Roman" w:hAnsi="Times New Roman"/>
          <w:b w:val="1"/>
          <w:bCs w:val="1"/>
          <w:sz w:val="28"/>
          <w:szCs w:val="28"/>
        </w:rPr>
      </w:pPr>
      <w:bookmarkStart w:colFirst="0" w:colLast="0" w:name="_sih7b1ij7h49" w:id="17"/>
      <w:bookmarkEnd w:id="17"/>
      <w:r w:rsidDel="00000000" w:rsidR="00000000" w:rsidRPr="00000000">
        <w:rPr>
          <w:rFonts w:ascii="Times New Roman" w:cs="Times New Roman" w:eastAsia="Times New Roman" w:hAnsi="Times New Roman"/>
          <w:b w:val="1"/>
          <w:bCs w:val="1"/>
          <w:sz w:val="28"/>
          <w:szCs w:val="28"/>
          <w:rtl w:val="0"/>
        </w:rPr>
        <w:t xml:space="preserve">4.2 Price: Economic Structure and Perceived Value Formation</w:t>
      </w:r>
    </w:p>
    <w:p w:rsidR="00000000" w:rsidDel="00000000" w:rsidP="00000000" w:rsidRDefault="00000000" w:rsidRPr="00000000" w14:paraId="0000005C">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Pricing strategy also indicates environmental contingency. Value-based bundling of the product is associated with high price elasticity in the saturated market in the United States (Roll and Geerties, 2025).  According to reference price theory, consumer expectations are influenced by past price anchors; in a full-fledged fast-food restaurant, price is restricted by competitive parity (Kumar, 2023). Price architecture standardisation, therefore, adds to perceived affordability and brand stability.</w:t>
      </w:r>
    </w:p>
    <w:p w:rsidR="00000000" w:rsidDel="00000000" w:rsidP="00000000" w:rsidRDefault="00000000" w:rsidRPr="00000000" w14:paraId="0000005D">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Purchasing power parity differences in tiered cities, however, create differentiated value perception in China. Tiered pricing is a representation of income stratification and aspiration consumption. Price is thus not merely an exchange mechanism in the economy but a signalling device. The value of premium positioning can be added to the perceived quality and modernity in the new urban centres, but in low-rank cities, accessibility is of the essence. The pricing divergence is therefore an economic segmentation phenomenon and is a challenge to the notion that global value equivalence is achievable across structurally dissimilar markets (Davvetas et al., 2022).</w:t>
      </w:r>
      <w:r w:rsidDel="00000000" w:rsidR="00000000" w:rsidRPr="00000000">
        <w:rPr>
          <w:rtl w:val="0"/>
        </w:rPr>
      </w:r>
    </w:p>
    <w:p w:rsidR="00000000" w:rsidDel="00000000" w:rsidP="00000000" w:rsidRDefault="00000000" w:rsidRPr="00000000" w14:paraId="0000005E">
      <w:pPr>
        <w:pStyle w:val="Heading2"/>
        <w:spacing w:line="360" w:lineRule="auto"/>
        <w:jc w:val="both"/>
        <w:rPr>
          <w:rFonts w:ascii="Times New Roman" w:cs="Times New Roman" w:eastAsia="Times New Roman" w:hAnsi="Times New Roman"/>
          <w:b w:val="1"/>
          <w:bCs w:val="1"/>
          <w:sz w:val="28"/>
          <w:szCs w:val="28"/>
        </w:rPr>
      </w:pPr>
      <w:bookmarkStart w:colFirst="0" w:colLast="0" w:name="_6yisnq7ncl2r" w:id="18"/>
      <w:bookmarkEnd w:id="18"/>
      <w:r w:rsidDel="00000000" w:rsidR="00000000" w:rsidRPr="00000000">
        <w:rPr>
          <w:rFonts w:ascii="Times New Roman" w:cs="Times New Roman" w:eastAsia="Times New Roman" w:hAnsi="Times New Roman"/>
          <w:b w:val="1"/>
          <w:bCs w:val="1"/>
          <w:sz w:val="28"/>
          <w:szCs w:val="28"/>
          <w:rtl w:val="0"/>
        </w:rPr>
        <w:t xml:space="preserve">4.3 Place: Spatial Economics and Distribution Architecture</w:t>
      </w:r>
    </w:p>
    <w:p w:rsidR="00000000" w:rsidDel="00000000" w:rsidP="00000000" w:rsidRDefault="00000000" w:rsidRPr="00000000" w14:paraId="0000005F">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distribution strategy reveals more fundamental divergence of infrastructures between the two markets. The presence of the drive-through infrastructure is the hegemony of the spatial organisation of suburbs and automobile addiction in the United States. According to the retail geography theory, the settlement patterns determine access to services; therefore, the drive-thru models maximize convenience in the dispersed urban planning systems (Gautam and Islam, 2022). Outlet format standardisation increases the efficiency of operations, as well as throughput.</w:t>
      </w:r>
    </w:p>
    <w:p w:rsidR="00000000" w:rsidDel="00000000" w:rsidP="00000000" w:rsidRDefault="00000000" w:rsidRPr="00000000" w14:paraId="00000060">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density of urban areas and the mixed-use retail setting of China, in turn, incline towards the mall-based and delivery-based formats. Urban density economics indicates that dense population concentration enhances the viability of pedestrian retailing and last-mile logistics. Moreover, the digitization of platforms of delivery redefines the meaning of distribution as no longer a physical location but rather as part of an ecosystem. Glocalisation in this case is expressed as spatial adaptation: outlet design and location are based on urban patterns of consumption and not on imported suburban models (Luo, Rose and Azahan Awang, 2025). This detournement shows that place is not a dispassionate logistical choice, but a reaction to structural, spatial, and technological circumstances.</w:t>
      </w:r>
      <w:r w:rsidDel="00000000" w:rsidR="00000000" w:rsidRPr="00000000">
        <w:rPr>
          <w:rtl w:val="0"/>
        </w:rPr>
      </w:r>
    </w:p>
    <w:p w:rsidR="00000000" w:rsidDel="00000000" w:rsidP="00000000" w:rsidRDefault="00000000" w:rsidRPr="00000000" w14:paraId="00000061">
      <w:pPr>
        <w:pStyle w:val="Heading2"/>
        <w:spacing w:line="360" w:lineRule="auto"/>
        <w:jc w:val="both"/>
        <w:rPr>
          <w:rFonts w:ascii="Times New Roman" w:cs="Times New Roman" w:eastAsia="Times New Roman" w:hAnsi="Times New Roman"/>
          <w:b w:val="1"/>
          <w:bCs w:val="1"/>
          <w:sz w:val="28"/>
          <w:szCs w:val="28"/>
        </w:rPr>
      </w:pPr>
      <w:bookmarkStart w:colFirst="0" w:colLast="0" w:name="_lmlc7qx9efyy" w:id="19"/>
      <w:bookmarkEnd w:id="19"/>
      <w:r w:rsidDel="00000000" w:rsidR="00000000" w:rsidRPr="00000000">
        <w:rPr>
          <w:rFonts w:ascii="Times New Roman" w:cs="Times New Roman" w:eastAsia="Times New Roman" w:hAnsi="Times New Roman"/>
          <w:b w:val="1"/>
          <w:bCs w:val="1"/>
          <w:sz w:val="28"/>
          <w:szCs w:val="28"/>
          <w:rtl w:val="0"/>
        </w:rPr>
        <w:t xml:space="preserve">4.4 Promotion: Meaning Construction within Divergent Media Ecosystems</w:t>
      </w:r>
    </w:p>
    <w:p w:rsidR="00000000" w:rsidDel="00000000" w:rsidP="00000000" w:rsidRDefault="00000000" w:rsidRPr="00000000" w14:paraId="00000062">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Promotional strategy also depicts adaptation based on the differences in the media ecosystem. Integrated marketing communications (IMC) in the United States depend on the use of mass advertising and promotions based on price (Rashkova et al., 2023) In a media environment that is discontinuous and fully developed, brand reinforcement and competitive discounting prevail in the communication strategy.</w:t>
      </w:r>
    </w:p>
    <w:p w:rsidR="00000000" w:rsidDel="00000000" w:rsidP="00000000" w:rsidRDefault="00000000" w:rsidRPr="00000000" w14:paraId="00000063">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digital ecosystem in China does not work the same way. The integration of a super-app allows advertising, payment, and loyalty systems to interact without any problems. Influencer-led promotion is also compatible with cultural semiotics, in which aspirational meaning is created through symbolic encouragement by key opinion leaders. Promotional adaptation is therefore a manifestation of embedded systems on platform-based networks. Instead of directly translating ad messages, KFC is involved in the process of culturally coded online stories (Yang, 2023). As the comparison shows, the standardisation of promotional practices is limited by the media architecture; when the ecosystems are of a different nature, the communication strategy will have to be reorganized in order to maintain its relevance and accessibility.</w:t>
      </w:r>
      <w:r w:rsidDel="00000000" w:rsidR="00000000" w:rsidRPr="00000000">
        <w:rPr>
          <w:rtl w:val="0"/>
        </w:rPr>
      </w:r>
    </w:p>
    <w:p w:rsidR="00000000" w:rsidDel="00000000" w:rsidP="00000000" w:rsidRDefault="00000000" w:rsidRPr="00000000" w14:paraId="00000064">
      <w:pPr>
        <w:pStyle w:val="Heading2"/>
        <w:spacing w:line="360" w:lineRule="auto"/>
        <w:jc w:val="both"/>
        <w:rPr>
          <w:rFonts w:ascii="Times New Roman" w:cs="Times New Roman" w:eastAsia="Times New Roman" w:hAnsi="Times New Roman"/>
          <w:b w:val="1"/>
          <w:bCs w:val="1"/>
          <w:sz w:val="28"/>
          <w:szCs w:val="28"/>
        </w:rPr>
      </w:pPr>
      <w:bookmarkStart w:colFirst="0" w:colLast="0" w:name="_bgooyrrzkvwf" w:id="20"/>
      <w:bookmarkEnd w:id="20"/>
      <w:r w:rsidDel="00000000" w:rsidR="00000000" w:rsidRPr="00000000">
        <w:rPr>
          <w:rFonts w:ascii="Times New Roman" w:cs="Times New Roman" w:eastAsia="Times New Roman" w:hAnsi="Times New Roman"/>
          <w:b w:val="1"/>
          <w:bCs w:val="1"/>
          <w:sz w:val="28"/>
          <w:szCs w:val="28"/>
          <w:rtl w:val="0"/>
        </w:rPr>
        <w:t xml:space="preserve">4.5 People, Process, and Physical Evidence: Service Architecture and Experiential Expectation</w:t>
      </w:r>
    </w:p>
    <w:p w:rsidR="00000000" w:rsidDel="00000000" w:rsidP="00000000" w:rsidRDefault="00000000" w:rsidRPr="00000000" w14:paraId="00000065">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further contrast, which is supported by service configuration, is adaptation standardisation. The United States experiences service processes that are focused on efficiency, speed, and predictability, which are in line with the functional value expectations. The performance evaluation is dominated by such dimensions of SERVQUAL as reliability and responsiveness (Maylor et al., 2023). Physical setting focuses on the operation throughput, but not experiential immersion.</w:t>
      </w:r>
    </w:p>
    <w:p w:rsidR="00000000" w:rsidDel="00000000" w:rsidP="00000000" w:rsidRDefault="00000000" w:rsidRPr="00000000" w14:paraId="00000066">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in China, service architecture is in line with the changes in the demands of modernity and technological advancement. According to the servicescape theory (Bitner), service quality perception depends on the physical environment (Asghar et al., 2023). Modern layout of the stores, online ordering platforms, and payment solutions are part of the non-food experiences. Based on the experience economy model, consumption is staged as opposed to being merely transactional. Service-Dominant Logic confirms this change: value is created through interaction and not through product delivery.</w:t>
      </w:r>
    </w:p>
    <w:p w:rsidR="00000000" w:rsidDel="00000000" w:rsidP="00000000" w:rsidRDefault="00000000" w:rsidRPr="00000000" w14:paraId="00000067">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importantly, the differences are indicative of varying cultural demands of modern service settings. In an economy that advances fast, services that have been improved technologically are an indicator of development and globalization (Raihan et al., 2025). Thus, the process, physical evidence, and people adaptation do not involve overindulgence but adaptation to the changing consumer expectations. In comparison, in the US, overindulgent experiential redesign might not pay off in line with the gesture in a functionally inclined fast-food division. The opposition once more shows contingency congruence, as opposed to arbitrary distinction.</w:t>
      </w:r>
      <w:r w:rsidDel="00000000" w:rsidR="00000000" w:rsidRPr="00000000">
        <w:rPr>
          <w:rtl w:val="0"/>
        </w:rPr>
      </w:r>
    </w:p>
    <w:p w:rsidR="00000000" w:rsidDel="00000000" w:rsidP="00000000" w:rsidRDefault="00000000" w:rsidRPr="00000000" w14:paraId="00000068">
      <w:pPr>
        <w:pStyle w:val="Heading1"/>
        <w:spacing w:line="360" w:lineRule="auto"/>
        <w:jc w:val="both"/>
        <w:rPr>
          <w:rFonts w:ascii="Times New Roman" w:cs="Times New Roman" w:eastAsia="Times New Roman" w:hAnsi="Times New Roman"/>
          <w:b w:val="1"/>
          <w:bCs w:val="1"/>
          <w:sz w:val="32"/>
          <w:szCs w:val="32"/>
        </w:rPr>
      </w:pPr>
      <w:bookmarkStart w:colFirst="0" w:colLast="0" w:name="_xz0a6vyiqpz0" w:id="21"/>
      <w:bookmarkEnd w:id="21"/>
      <w:r w:rsidDel="00000000" w:rsidR="00000000" w:rsidRPr="00000000">
        <w:rPr>
          <w:rFonts w:ascii="Times New Roman" w:cs="Times New Roman" w:eastAsia="Times New Roman" w:hAnsi="Times New Roman"/>
          <w:b w:val="1"/>
          <w:bCs w:val="1"/>
          <w:sz w:val="32"/>
          <w:szCs w:val="32"/>
          <w:rtl w:val="0"/>
        </w:rPr>
        <w:t xml:space="preserve">5. Directional Development Strategy: Strategic Expansion and Competitive Sustainability in China</w:t>
      </w:r>
    </w:p>
    <w:p w:rsidR="00000000" w:rsidDel="00000000" w:rsidP="00000000" w:rsidRDefault="00000000" w:rsidRPr="00000000" w14:paraId="00000069">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growth path of KFC in China is multidimensional, and it is not restricted to mere penetration into the market. Although the Ansoff Matrix provides structural clarity, the quadrants have to be viewed dynamically. KFC in China implements market penetration and product development strategies and ecosystem integration strategies simultaneously (Hassan and Rukiman, 2025), which means that the growth is defined by the institutional change and socio-economic mobility, and not by a fixed opportunity.</w:t>
      </w:r>
      <w:r w:rsidDel="00000000" w:rsidR="00000000" w:rsidRPr="00000000">
        <w:rPr>
          <w:rtl w:val="0"/>
        </w:rPr>
      </w:r>
    </w:p>
    <w:p w:rsidR="00000000" w:rsidDel="00000000" w:rsidP="00000000" w:rsidRDefault="00000000" w:rsidRPr="00000000" w14:paraId="0000006A">
      <w:pPr>
        <w:pStyle w:val="Heading2"/>
        <w:keepNext w:val="0"/>
        <w:keepLines w:val="0"/>
        <w:spacing w:after="80" w:line="360" w:lineRule="auto"/>
        <w:jc w:val="both"/>
        <w:rPr>
          <w:rFonts w:ascii="Times New Roman" w:cs="Times New Roman" w:eastAsia="Times New Roman" w:hAnsi="Times New Roman"/>
          <w:b w:val="1"/>
          <w:bCs w:val="1"/>
          <w:sz w:val="28"/>
          <w:szCs w:val="28"/>
        </w:rPr>
      </w:pPr>
      <w:bookmarkStart w:colFirst="0" w:colLast="0" w:name="_dc6l8zrvas5a" w:id="22"/>
      <w:bookmarkEnd w:id="22"/>
      <w:r w:rsidDel="00000000" w:rsidR="00000000" w:rsidRPr="00000000">
        <w:rPr>
          <w:rFonts w:ascii="Times New Roman" w:cs="Times New Roman" w:eastAsia="Times New Roman" w:hAnsi="Times New Roman"/>
          <w:b w:val="1"/>
          <w:bCs w:val="1"/>
          <w:sz w:val="28"/>
          <w:szCs w:val="28"/>
          <w:rtl w:val="0"/>
        </w:rPr>
        <w:t xml:space="preserve">5.1 Market Penetration through Geographic Tier Expansion</w:t>
      </w:r>
    </w:p>
    <w:p w:rsidR="00000000" w:rsidDel="00000000" w:rsidP="00000000" w:rsidRDefault="00000000" w:rsidRPr="00000000" w14:paraId="0000006B">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terms of Ansoff, market penetration in the national market is the expansion into the tier-2 and tier-3 cities. There is, however, an emergent market theory that makes this interpretation complex. The regional inequalities in China are almost quasi-distinct sub-markets with uneven purchasing power, infrastructure, and competition levels. The premise of entering an underserved area early allows entrenchment of a brand and control of distribution, and it is consistent with market penetration theory (Xiao, Roh and Park, 2025). The spread of KFC out of the first-tier cities thus predicts urbanisation and increasing income mobility. But penetration is intrinsically replicative; in a mature infrastructure, where there is competition on similar routes, penetration benefits fade. Sustainable differentiation cannot be achieved through geographic growth.</w:t>
      </w:r>
      <w:r w:rsidDel="00000000" w:rsidR="00000000" w:rsidRPr="00000000">
        <w:rPr>
          <w:rtl w:val="0"/>
        </w:rPr>
      </w:r>
    </w:p>
    <w:p w:rsidR="00000000" w:rsidDel="00000000" w:rsidP="00000000" w:rsidRDefault="00000000" w:rsidRPr="00000000" w14:paraId="0000006C">
      <w:pPr>
        <w:pStyle w:val="Heading2"/>
        <w:keepNext w:val="0"/>
        <w:keepLines w:val="0"/>
        <w:spacing w:after="80" w:line="360" w:lineRule="auto"/>
        <w:jc w:val="both"/>
        <w:rPr>
          <w:rFonts w:ascii="Times New Roman" w:cs="Times New Roman" w:eastAsia="Times New Roman" w:hAnsi="Times New Roman"/>
          <w:b w:val="1"/>
          <w:bCs w:val="1"/>
          <w:sz w:val="28"/>
          <w:szCs w:val="28"/>
        </w:rPr>
      </w:pPr>
      <w:bookmarkStart w:colFirst="0" w:colLast="0" w:name="_r113i1geq9pk" w:id="23"/>
      <w:bookmarkEnd w:id="23"/>
      <w:r w:rsidDel="00000000" w:rsidR="00000000" w:rsidRPr="00000000">
        <w:rPr>
          <w:rFonts w:ascii="Times New Roman" w:cs="Times New Roman" w:eastAsia="Times New Roman" w:hAnsi="Times New Roman"/>
          <w:b w:val="1"/>
          <w:bCs w:val="1"/>
          <w:sz w:val="28"/>
          <w:szCs w:val="28"/>
          <w:rtl w:val="0"/>
        </w:rPr>
        <w:t xml:space="preserve">5.2 Product Development and Cultural Embeddedness</w:t>
      </w:r>
    </w:p>
    <w:p w:rsidR="00000000" w:rsidDel="00000000" w:rsidP="00000000" w:rsidRDefault="00000000" w:rsidRPr="00000000" w14:paraId="0000006D">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Constant menu innovation falls within the same logic of product development in Ansoff, but in China, it is a product of cultural embeddedness as opposed to product extension. The introduction of local consumption rituals will help KFC to strengthen its legitimacy and reduce the risk of imitation. This overlaps with the principles of Blue Ocean, where differentiation is created through hybrid identity construction rather than price competition (Lucas, 2024). Nevertheless, the strategic gap developed is hardly unoccupied; domestic brands are getting more and more authentic and competitive in their prices. The lasting competitive edge is thus based on constant innovations as opposed to single-time differentiation.</w:t>
      </w:r>
      <w:r w:rsidDel="00000000" w:rsidR="00000000" w:rsidRPr="00000000">
        <w:rPr>
          <w:rtl w:val="0"/>
        </w:rPr>
      </w:r>
    </w:p>
    <w:p w:rsidR="00000000" w:rsidDel="00000000" w:rsidP="00000000" w:rsidRDefault="00000000" w:rsidRPr="00000000" w14:paraId="0000006E">
      <w:pPr>
        <w:pStyle w:val="Heading2"/>
        <w:keepNext w:val="0"/>
        <w:keepLines w:val="0"/>
        <w:spacing w:after="80" w:line="360" w:lineRule="auto"/>
        <w:jc w:val="both"/>
        <w:rPr>
          <w:rFonts w:ascii="Times New Roman" w:cs="Times New Roman" w:eastAsia="Times New Roman" w:hAnsi="Times New Roman"/>
          <w:b w:val="1"/>
          <w:bCs w:val="1"/>
          <w:sz w:val="28"/>
          <w:szCs w:val="28"/>
        </w:rPr>
      </w:pPr>
      <w:bookmarkStart w:colFirst="0" w:colLast="0" w:name="_oa3o5pju7rmd" w:id="24"/>
      <w:bookmarkEnd w:id="24"/>
      <w:r w:rsidDel="00000000" w:rsidR="00000000" w:rsidRPr="00000000">
        <w:rPr>
          <w:rFonts w:ascii="Times New Roman" w:cs="Times New Roman" w:eastAsia="Times New Roman" w:hAnsi="Times New Roman"/>
          <w:b w:val="1"/>
          <w:bCs w:val="1"/>
          <w:sz w:val="28"/>
          <w:szCs w:val="28"/>
          <w:rtl w:val="0"/>
        </w:rPr>
        <w:t xml:space="preserve">5.3 Digital Expansion and Ecosystem Integration</w:t>
      </w:r>
    </w:p>
    <w:p w:rsidR="00000000" w:rsidDel="00000000" w:rsidP="00000000" w:rsidRDefault="00000000" w:rsidRPr="00000000" w14:paraId="0000006F">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super-app integration in the Chinese ecosystem is the capability deepening thatConstant menu innovation falls within the same logic of product development in Ansoff, but in China, it is a product of cultural embeddedness as opposed to product extension (Fasnacht, 2023). The introduction of local consumption rituals will help KFC to strengthen its legitimacy and reduce the risk of imitation. This overlaps with the principles of Blue Ocean, where differentiation is created through hybrid identity construction rather than price competition. Nevertheless, the strategic gap developed is hardly unoccupied; domestic brands are getting more and more authentic and competitive in their prices. The lasting competitive edge is thus based on constant innovations as opposed to single-time differentiation. It goes beyond the conventional Ansoff categories. Digital embeddedness expands the switching costs and improves data-driven responsiveness using network effects. However, dependency on the dominant channel brings about the vulnerability of regulations and governance. Competitive defensibility is therefore not based on personal growth vectors, but on integrated performance on the geography, product, and digital infrastructure (Helberger et al., 2021). The Chinese strategy of KFC is advanced but is open to renewal with a need to adapt, which will ensure its long-term sustainability.</w:t>
      </w:r>
    </w:p>
    <w:p w:rsidR="00000000" w:rsidDel="00000000" w:rsidP="00000000" w:rsidRDefault="00000000" w:rsidRPr="00000000" w14:paraId="00000070">
      <w:pPr>
        <w:spacing w:after="120" w:before="12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314700" cy="2381250"/>
            <wp:effectExtent b="0" l="0" r="0" t="0"/>
            <wp:docPr id="1" name="image3.png"/>
            <a:graphic>
              <a:graphicData uri="http://schemas.openxmlformats.org/drawingml/2006/picture">
                <pic:pic>
                  <pic:nvPicPr>
                    <pic:cNvPr id="0" name="image3.png"/>
                    <pic:cNvPicPr preferRelativeResize="0"/>
                  </pic:nvPicPr>
                  <pic:blipFill>
                    <a:blip r:embed="rId8"/>
                    <a:srcRect b="27863" l="20764" r="21429" t="9777"/>
                    <a:stretch>
                      <a:fillRect/>
                    </a:stretch>
                  </pic:blipFill>
                  <pic:spPr>
                    <a:xfrm>
                      <a:off x="0" y="0"/>
                      <a:ext cx="3314700" cy="2381250"/>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spacing w:after="240" w:before="240" w:line="360" w:lineRule="auto"/>
        <w:jc w:val="cente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b w:val="1"/>
          <w:bCs w:val="1"/>
          <w:i w:val="1"/>
          <w:iCs w:val="1"/>
          <w:rtl w:val="0"/>
        </w:rPr>
        <w:t xml:space="preserve">Figure 2: </w:t>
      </w:r>
      <w:r w:rsidDel="00000000" w:rsidR="00000000" w:rsidRPr="00000000">
        <w:rPr>
          <w:rFonts w:ascii="Times New Roman" w:cs="Times New Roman" w:eastAsia="Times New Roman" w:hAnsi="Times New Roman"/>
          <w:i w:val="1"/>
          <w:iCs w:val="1"/>
          <w:rtl w:val="0"/>
        </w:rPr>
        <w:t xml:space="preserve">Multi-Vector Growth Architecture of KFC in China</w:t>
      </w:r>
    </w:p>
    <w:p w:rsidR="00000000" w:rsidDel="00000000" w:rsidP="00000000" w:rsidRDefault="00000000" w:rsidRPr="00000000" w14:paraId="00000072">
      <w:pPr>
        <w:spacing w:after="240" w:before="240" w:line="360" w:lineRule="auto"/>
        <w:jc w:val="cente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b w:val="1"/>
          <w:bCs w:val="1"/>
          <w:i w:val="1"/>
          <w:iCs w:val="1"/>
          <w:rtl w:val="0"/>
        </w:rPr>
        <w:t xml:space="preserve">Source: </w:t>
      </w:r>
      <w:r w:rsidDel="00000000" w:rsidR="00000000" w:rsidRPr="00000000">
        <w:rPr>
          <w:rFonts w:ascii="Times New Roman" w:cs="Times New Roman" w:eastAsia="Times New Roman" w:hAnsi="Times New Roman"/>
          <w:i w:val="1"/>
          <w:iCs w:val="1"/>
          <w:rtl w:val="0"/>
        </w:rPr>
        <w:t xml:space="preserve">(Xiao, Roh and Park, 2025).</w:t>
      </w:r>
      <w:r w:rsidDel="00000000" w:rsidR="00000000" w:rsidRPr="00000000">
        <w:rPr>
          <w:rtl w:val="0"/>
        </w:rPr>
      </w:r>
    </w:p>
    <w:p w:rsidR="00000000" w:rsidDel="00000000" w:rsidP="00000000" w:rsidRDefault="00000000" w:rsidRPr="00000000" w14:paraId="00000073">
      <w:pPr>
        <w:pStyle w:val="Heading1"/>
        <w:spacing w:line="360" w:lineRule="auto"/>
        <w:jc w:val="both"/>
        <w:rPr>
          <w:rFonts w:ascii="Times New Roman" w:cs="Times New Roman" w:eastAsia="Times New Roman" w:hAnsi="Times New Roman"/>
          <w:b w:val="1"/>
          <w:bCs w:val="1"/>
          <w:sz w:val="32"/>
          <w:szCs w:val="32"/>
        </w:rPr>
      </w:pPr>
      <w:bookmarkStart w:colFirst="0" w:colLast="0" w:name="_olycdzgftm4" w:id="25"/>
      <w:bookmarkEnd w:id="25"/>
      <w:r w:rsidDel="00000000" w:rsidR="00000000" w:rsidRPr="00000000">
        <w:rPr>
          <w:rFonts w:ascii="Times New Roman" w:cs="Times New Roman" w:eastAsia="Times New Roman" w:hAnsi="Times New Roman"/>
          <w:b w:val="1"/>
          <w:bCs w:val="1"/>
          <w:sz w:val="32"/>
          <w:szCs w:val="32"/>
          <w:rtl w:val="0"/>
        </w:rPr>
        <w:t xml:space="preserve">6. Ethical Evaluation: Governance Complexity and Legitimacy Risk </w:t>
      </w:r>
    </w:p>
    <w:p w:rsidR="00000000" w:rsidDel="00000000" w:rsidP="00000000" w:rsidRDefault="00000000" w:rsidRPr="00000000" w14:paraId="00000074">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growth of KFC within China brings up ethical issues that are a notch higher than sporadic food safety scandals, with the headache of governance complexity. According to the CSR Pyramid of Carroll, economic and legal responsibilities are the basis of corporate legitimacy, but in the case of new institutional settings, the variability of regulatory enforcement increases the compliance risk (Mahandani and Su, 2025). The food safety scandals in China also exemplify how institutional loopholes in supply chain administration could quickly turn into reputational disasters, especially in the case of foreign brands that experience greater levels of scrutiny. The theory of stakeholders views legitimacy as not merely determined by compliance with the regulations, but also by ensuring trust among the consumers, suppliers, and even government actors.</w:t>
      </w:r>
    </w:p>
    <w:p w:rsidR="00000000" w:rsidDel="00000000" w:rsidP="00000000" w:rsidRDefault="00000000" w:rsidRPr="00000000" w14:paraId="00000075">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Adaptation strategies are further complicated depending on the debate of ethical relativism and universalism. Localisation might need to be in accordance with domestic regulatory standards, but depending on the minimum local compliance levels of standards, there is a risk of undermining ethical consistency on a global basis. In this way, the adaptation may augment the governance risk when cost pressures lead to incentivised decentralised control or disjointed control of suppliers. Furthermore, cultural imperialism arguments claim that Western brands can influence the local standards of consumption, and hypocritical inquiries about cultural homogenisation occur (Mohiuddin, 2023).</w:t>
      </w:r>
    </w:p>
    <w:p w:rsidR="00000000" w:rsidDel="00000000" w:rsidP="00000000" w:rsidRDefault="00000000" w:rsidRPr="00000000" w14:paraId="00000076">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China can be ethically sustainable only when governance is integrated, as opposed to formal compliance. Adaptation that is strategic should thus be complemented with enhanced monitoring mechanisms and visible accountability to maintain the long-term institutional legitimacy.</w:t>
      </w:r>
      <w:r w:rsidDel="00000000" w:rsidR="00000000" w:rsidRPr="00000000">
        <w:rPr>
          <w:rtl w:val="0"/>
        </w:rPr>
      </w:r>
    </w:p>
    <w:p w:rsidR="00000000" w:rsidDel="00000000" w:rsidP="00000000" w:rsidRDefault="00000000" w:rsidRPr="00000000" w14:paraId="00000077">
      <w:pPr>
        <w:pStyle w:val="Heading1"/>
        <w:spacing w:line="360" w:lineRule="auto"/>
        <w:jc w:val="both"/>
        <w:rPr>
          <w:rFonts w:ascii="Times New Roman" w:cs="Times New Roman" w:eastAsia="Times New Roman" w:hAnsi="Times New Roman"/>
          <w:b w:val="1"/>
          <w:bCs w:val="1"/>
          <w:sz w:val="32"/>
          <w:szCs w:val="32"/>
        </w:rPr>
      </w:pPr>
      <w:bookmarkStart w:colFirst="0" w:colLast="0" w:name="_qu48kwj6lfpf" w:id="26"/>
      <w:bookmarkEnd w:id="26"/>
      <w:r w:rsidDel="00000000" w:rsidR="00000000" w:rsidRPr="00000000">
        <w:rPr>
          <w:rFonts w:ascii="Times New Roman" w:cs="Times New Roman" w:eastAsia="Times New Roman" w:hAnsi="Times New Roman"/>
          <w:b w:val="1"/>
          <w:bCs w:val="1"/>
          <w:sz w:val="32"/>
          <w:szCs w:val="32"/>
          <w:rtl w:val="0"/>
        </w:rPr>
        <w:t xml:space="preserve">7. Strategic Recommendations: Institutional Alignment and Sustainable Differentiation </w:t>
      </w:r>
    </w:p>
    <w:p w:rsidR="00000000" w:rsidDel="00000000" w:rsidP="00000000" w:rsidRDefault="00000000" w:rsidRPr="00000000" w14:paraId="00000078">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begin with, KFC needs to enhance institutional embeddedness in China by enhancing auditing and digital traceability of suppliers. The adoption of governance mechanisms in local supply chains is consistent with the stakeholder theory and decreases the volatility of legitimacy across the institutional gaps.</w:t>
      </w:r>
    </w:p>
    <w:p w:rsidR="00000000" w:rsidDel="00000000" w:rsidP="00000000" w:rsidRDefault="00000000" w:rsidRPr="00000000" w14:paraId="00000079">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the transparency on ESG must shift towards voluntary disclosure as opposed to regulations. Meanwhile, since the convergence of regulatory expectations will increase anticipatory alignment, reputational resilience will be strengthened, and future shocks in enforcement will be minimized.</w:t>
      </w:r>
    </w:p>
    <w:p w:rsidR="00000000" w:rsidDel="00000000" w:rsidP="00000000" w:rsidRDefault="00000000" w:rsidRPr="00000000" w14:paraId="0000007A">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Third, long-term competitive advantage must involve data-based micro-segmentation of the digital ecosystem in China. The use of platform analytics can also be used to enhance the accuracy of targeting without sacrificing cultural relevance, which is consistent with the focus of the contingency theory on environmental fit.</w:t>
      </w:r>
    </w:p>
    <w:p w:rsidR="00000000" w:rsidDel="00000000" w:rsidP="00000000" w:rsidRDefault="00000000" w:rsidRPr="00000000" w14:paraId="0000007B">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sustainability in growth relies on inter-geographic, product innovation, and digital integration implementation. Defensibility in a progressively convergent competitive environment will be guarded by strategic coherence, and not by individual initiatives.</w:t>
      </w:r>
    </w:p>
    <w:p w:rsidR="00000000" w:rsidDel="00000000" w:rsidP="00000000" w:rsidRDefault="00000000" w:rsidRPr="00000000" w14:paraId="0000007C">
      <w:pPr>
        <w:spacing w:after="120" w:before="12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after="240" w:before="240"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F">
      <w:pPr>
        <w:pStyle w:val="Heading1"/>
        <w:spacing w:line="360" w:lineRule="auto"/>
        <w:jc w:val="both"/>
        <w:rPr>
          <w:rFonts w:ascii="Times New Roman" w:cs="Times New Roman" w:eastAsia="Times New Roman" w:hAnsi="Times New Roman"/>
          <w:b w:val="1"/>
          <w:bCs w:val="1"/>
          <w:sz w:val="32"/>
          <w:szCs w:val="32"/>
        </w:rPr>
      </w:pPr>
      <w:bookmarkStart w:colFirst="0" w:colLast="0" w:name="_w0qaqvjo68th" w:id="27"/>
      <w:bookmarkEnd w:id="27"/>
      <w:r w:rsidDel="00000000" w:rsidR="00000000" w:rsidRPr="00000000">
        <w:rPr>
          <w:rFonts w:ascii="Times New Roman" w:cs="Times New Roman" w:eastAsia="Times New Roman" w:hAnsi="Times New Roman"/>
          <w:b w:val="1"/>
          <w:bCs w:val="1"/>
          <w:sz w:val="32"/>
          <w:szCs w:val="32"/>
          <w:rtl w:val="0"/>
        </w:rPr>
        <w:t xml:space="preserve">Section 2: Reflective Account Using Gibbs’ Reflective Cycle</w:t>
      </w:r>
    </w:p>
    <w:p w:rsidR="00000000" w:rsidDel="00000000" w:rsidP="00000000" w:rsidRDefault="00000000" w:rsidRPr="00000000" w14:paraId="00000080">
      <w:pPr>
        <w:pStyle w:val="Heading2"/>
        <w:spacing w:line="360" w:lineRule="auto"/>
        <w:jc w:val="both"/>
        <w:rPr>
          <w:rFonts w:ascii="Times New Roman" w:cs="Times New Roman" w:eastAsia="Times New Roman" w:hAnsi="Times New Roman"/>
          <w:b w:val="1"/>
          <w:bCs w:val="1"/>
          <w:sz w:val="28"/>
          <w:szCs w:val="28"/>
        </w:rPr>
      </w:pPr>
      <w:bookmarkStart w:colFirst="0" w:colLast="0" w:name="_sqtggp6svx2c" w:id="28"/>
      <w:bookmarkEnd w:id="28"/>
      <w:r w:rsidDel="00000000" w:rsidR="00000000" w:rsidRPr="00000000">
        <w:rPr>
          <w:rFonts w:ascii="Times New Roman" w:cs="Times New Roman" w:eastAsia="Times New Roman" w:hAnsi="Times New Roman"/>
          <w:b w:val="1"/>
          <w:bCs w:val="1"/>
          <w:sz w:val="28"/>
          <w:szCs w:val="28"/>
          <w:rtl w:val="0"/>
        </w:rPr>
        <w:t xml:space="preserve">1.1 Description</w:t>
      </w:r>
    </w:p>
    <w:p w:rsidR="00000000" w:rsidDel="00000000" w:rsidP="00000000" w:rsidRDefault="00000000" w:rsidRPr="00000000" w14:paraId="00000081">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course of the comparative analysis of KFC in the United States and China, I was involved in the systematic analysis of macro-environmental forces, strategic positioning, and paths of growth. The assignment involved the incorporation of institutional theory, cultural frameworks, and strategic marketing models in a comparative framework. I did not deal with frameworks separately, but tried to integrate them into a structural explanatory argument. The main issue was to prevent descriptive analogy and rather develop a theoretically based assessment of the reasons for strategic divergence between the two markets.</w:t>
      </w:r>
      <w:r w:rsidDel="00000000" w:rsidR="00000000" w:rsidRPr="00000000">
        <w:rPr>
          <w:rtl w:val="0"/>
        </w:rPr>
      </w:r>
    </w:p>
    <w:p w:rsidR="00000000" w:rsidDel="00000000" w:rsidP="00000000" w:rsidRDefault="00000000" w:rsidRPr="00000000" w14:paraId="00000082">
      <w:pPr>
        <w:pStyle w:val="Heading2"/>
        <w:spacing w:line="360" w:lineRule="auto"/>
        <w:jc w:val="both"/>
        <w:rPr>
          <w:rFonts w:ascii="Times New Roman" w:cs="Times New Roman" w:eastAsia="Times New Roman" w:hAnsi="Times New Roman"/>
          <w:b w:val="1"/>
          <w:bCs w:val="1"/>
          <w:sz w:val="28"/>
          <w:szCs w:val="28"/>
        </w:rPr>
      </w:pPr>
      <w:bookmarkStart w:colFirst="0" w:colLast="0" w:name="_f6vdqt5y3fk8" w:id="29"/>
      <w:bookmarkEnd w:id="29"/>
      <w:r w:rsidDel="00000000" w:rsidR="00000000" w:rsidRPr="00000000">
        <w:rPr>
          <w:rFonts w:ascii="Times New Roman" w:cs="Times New Roman" w:eastAsia="Times New Roman" w:hAnsi="Times New Roman"/>
          <w:b w:val="1"/>
          <w:bCs w:val="1"/>
          <w:sz w:val="28"/>
          <w:szCs w:val="28"/>
          <w:rtl w:val="0"/>
        </w:rPr>
        <w:t xml:space="preserve">1.2 Feelings: Intellectual Discomfort and Cognitive Challenge</w:t>
      </w:r>
    </w:p>
    <w:p w:rsidR="00000000" w:rsidDel="00000000" w:rsidP="00000000" w:rsidRDefault="00000000" w:rsidRPr="00000000" w14:paraId="00000083">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Initially, I had intellectual unease in trying to resolve opposing theoretical views. The standardisation thesis created by Levitt was first made to look credible in the explanation of efficiency-driven global strategies. As I began to study institutional and cultural differences between the United States and China, however, I came to understand the weakness of universalist assumptions. This conflict created constructive cognitive conflict. I realized that using theory in a mechanical way would undermine the depth of analysis. The frustration was not caused by ignorance, but by the awareness of the difficulty in synthesising more than one framework without contradiction. This understanding was a change in focus towards the accumulation of knowledge to critical questioning, which I identify as the main focus of postgraduate scholarship.</w:t>
      </w:r>
      <w:r w:rsidDel="00000000" w:rsidR="00000000" w:rsidRPr="00000000">
        <w:rPr>
          <w:rtl w:val="0"/>
        </w:rPr>
      </w:r>
    </w:p>
    <w:p w:rsidR="00000000" w:rsidDel="00000000" w:rsidP="00000000" w:rsidRDefault="00000000" w:rsidRPr="00000000" w14:paraId="00000084">
      <w:pPr>
        <w:pStyle w:val="Heading2"/>
        <w:spacing w:line="360" w:lineRule="auto"/>
        <w:jc w:val="both"/>
        <w:rPr>
          <w:rFonts w:ascii="Times New Roman" w:cs="Times New Roman" w:eastAsia="Times New Roman" w:hAnsi="Times New Roman"/>
          <w:b w:val="1"/>
          <w:bCs w:val="1"/>
          <w:sz w:val="28"/>
          <w:szCs w:val="28"/>
        </w:rPr>
      </w:pPr>
      <w:bookmarkStart w:colFirst="0" w:colLast="0" w:name="_5x3gogv08g46" w:id="30"/>
      <w:bookmarkEnd w:id="30"/>
      <w:r w:rsidDel="00000000" w:rsidR="00000000" w:rsidRPr="00000000">
        <w:rPr>
          <w:rFonts w:ascii="Times New Roman" w:cs="Times New Roman" w:eastAsia="Times New Roman" w:hAnsi="Times New Roman"/>
          <w:b w:val="1"/>
          <w:bCs w:val="1"/>
          <w:sz w:val="28"/>
          <w:szCs w:val="28"/>
          <w:rtl w:val="0"/>
        </w:rPr>
        <w:t xml:space="preserve">1.3 Evaluation: Research and Structural Challenges</w:t>
      </w:r>
    </w:p>
    <w:p w:rsidR="00000000" w:rsidDel="00000000" w:rsidP="00000000" w:rsidRDefault="00000000" w:rsidRPr="00000000" w14:paraId="00000085">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biggest problem was dealing with conflicting information and theoretical redundancy. Sometimes institutional theory, cultural dimensions of Hofstede, and contingency theory seemed to be the explanations of similar phenomena through the prism of different angles. It was necessary to decide the complementary or redundant nature of these frameworks. This entailed selective incorporation and not wholesale inclusion. Also, it required structural discipline to ensure the continual comparison of the two markets. This is because when I analysed each country individually, I found my argument to be descriptive and fragmented. In revision, I learned that comparative analysis must be evaluated at the same time in order to have critical coherence. This was a refined structure that enhanced the quality of the report analysis.</w:t>
      </w:r>
      <w:r w:rsidDel="00000000" w:rsidR="00000000" w:rsidRPr="00000000">
        <w:rPr>
          <w:rtl w:val="0"/>
        </w:rPr>
      </w:r>
    </w:p>
    <w:p w:rsidR="00000000" w:rsidDel="00000000" w:rsidP="00000000" w:rsidRDefault="00000000" w:rsidRPr="00000000" w14:paraId="00000086">
      <w:pPr>
        <w:pStyle w:val="Heading2"/>
        <w:spacing w:line="360" w:lineRule="auto"/>
        <w:jc w:val="both"/>
        <w:rPr>
          <w:rFonts w:ascii="Times New Roman" w:cs="Times New Roman" w:eastAsia="Times New Roman" w:hAnsi="Times New Roman"/>
          <w:b w:val="1"/>
          <w:bCs w:val="1"/>
          <w:sz w:val="28"/>
          <w:szCs w:val="28"/>
        </w:rPr>
      </w:pPr>
      <w:bookmarkStart w:colFirst="0" w:colLast="0" w:name="_hgp47p6mllbp" w:id="31"/>
      <w:bookmarkEnd w:id="31"/>
      <w:r w:rsidDel="00000000" w:rsidR="00000000" w:rsidRPr="00000000">
        <w:rPr>
          <w:rFonts w:ascii="Times New Roman" w:cs="Times New Roman" w:eastAsia="Times New Roman" w:hAnsi="Times New Roman"/>
          <w:b w:val="1"/>
          <w:bCs w:val="1"/>
          <w:sz w:val="28"/>
          <w:szCs w:val="28"/>
          <w:rtl w:val="0"/>
        </w:rPr>
        <w:t xml:space="preserve">1.4 Analysis: Theory Integration and Cross-Cultural Complexity</w:t>
      </w:r>
    </w:p>
    <w:p w:rsidR="00000000" w:rsidDel="00000000" w:rsidP="00000000" w:rsidRDefault="00000000" w:rsidRPr="00000000" w14:paraId="00000087">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being further involved, I realised that cross-cultural strategy is too complex to apply a single theoretical approach. The institutional theory elucidated the regulatory and legitimacy pressures, whereas the cultural branding theory elucidated the differences in symbolic consumption. But contingency theory enabled me to integrate these lessons into a single argument: environmental fit and not standardisation determines strategy effectiveness.</w:t>
      </w:r>
    </w:p>
    <w:p w:rsidR="00000000" w:rsidDel="00000000" w:rsidP="00000000" w:rsidRDefault="00000000" w:rsidRPr="00000000" w14:paraId="00000088">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integrative process helped me develop a critical thinking capacity. I did not inquire about which theory was the correct one, but how each of them shed light on the various aspects of strategic divergence. I also got more aware of the epistemological assumptions of every framework. To illustrate, the dimensions used by Hofstede can be considered to create cultural determinism in case they are applied strictly, but the theory of consumer culture focuses on the fluid construction of identity. Balancing these tensions enhanced my skill in assessing the limits of the theoretical models instead of blindly taking them as accurate.</w:t>
      </w:r>
    </w:p>
    <w:p w:rsidR="00000000" w:rsidDel="00000000" w:rsidP="00000000" w:rsidRDefault="00000000" w:rsidRPr="00000000" w14:paraId="00000089">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the discussion of the digital ecosystem in China indicated that technological embeddedness transforms the traditional marketing constructs. I realised that traditional models like Ansoff must be redesigned in digitally integrated markets. This understanding enhanced my understanding of the role of strategic models in adapting to the changing environment.</w:t>
      </w:r>
      <w:r w:rsidDel="00000000" w:rsidR="00000000" w:rsidRPr="00000000">
        <w:rPr>
          <w:rtl w:val="0"/>
        </w:rPr>
      </w:r>
    </w:p>
    <w:p w:rsidR="00000000" w:rsidDel="00000000" w:rsidP="00000000" w:rsidRDefault="00000000" w:rsidRPr="00000000" w14:paraId="0000008A">
      <w:pPr>
        <w:pStyle w:val="Heading2"/>
        <w:spacing w:line="360" w:lineRule="auto"/>
        <w:jc w:val="both"/>
        <w:rPr>
          <w:rFonts w:ascii="Times New Roman" w:cs="Times New Roman" w:eastAsia="Times New Roman" w:hAnsi="Times New Roman"/>
          <w:b w:val="1"/>
          <w:bCs w:val="1"/>
          <w:sz w:val="28"/>
          <w:szCs w:val="28"/>
        </w:rPr>
      </w:pPr>
      <w:bookmarkStart w:colFirst="0" w:colLast="0" w:name="_vk77nwbx4360" w:id="32"/>
      <w:bookmarkEnd w:id="32"/>
      <w:r w:rsidDel="00000000" w:rsidR="00000000" w:rsidRPr="00000000">
        <w:rPr>
          <w:rFonts w:ascii="Times New Roman" w:cs="Times New Roman" w:eastAsia="Times New Roman" w:hAnsi="Times New Roman"/>
          <w:b w:val="1"/>
          <w:bCs w:val="1"/>
          <w:sz w:val="28"/>
          <w:szCs w:val="28"/>
          <w:rtl w:val="0"/>
        </w:rPr>
        <w:t xml:space="preserve">1.5 Conclusion</w:t>
      </w:r>
    </w:p>
    <w:p w:rsidR="00000000" w:rsidDel="00000000" w:rsidP="00000000" w:rsidRDefault="00000000" w:rsidRPr="00000000" w14:paraId="0000008B">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assignment enhanced my skills in integrating complicated theoretical points of view into a unified argument. I also gained more confidence in making comparative analysis and in the ability to critique rival explanations. My academic writing was also shaped more thoroughly; I got to know that the emphasis in my writing should be on building the argument rather than description, and that every theoretical citation needed to have an analytical purpose. Notably, I have developed a deeper insight into cross-cultural strategic management, as I have realised that global brands have to balance between institutional, cultural, and technological systems.</w:t>
      </w:r>
      <w:r w:rsidDel="00000000" w:rsidR="00000000" w:rsidRPr="00000000">
        <w:rPr>
          <w:rtl w:val="0"/>
        </w:rPr>
      </w:r>
    </w:p>
    <w:p w:rsidR="00000000" w:rsidDel="00000000" w:rsidP="00000000" w:rsidRDefault="00000000" w:rsidRPr="00000000" w14:paraId="0000008C">
      <w:pPr>
        <w:pStyle w:val="Heading2"/>
        <w:spacing w:line="360" w:lineRule="auto"/>
        <w:jc w:val="both"/>
        <w:rPr>
          <w:rFonts w:ascii="Times New Roman" w:cs="Times New Roman" w:eastAsia="Times New Roman" w:hAnsi="Times New Roman"/>
          <w:b w:val="1"/>
          <w:bCs w:val="1"/>
          <w:sz w:val="28"/>
          <w:szCs w:val="28"/>
        </w:rPr>
      </w:pPr>
      <w:bookmarkStart w:colFirst="0" w:colLast="0" w:name="_265b7238av8" w:id="33"/>
      <w:bookmarkEnd w:id="33"/>
      <w:r w:rsidDel="00000000" w:rsidR="00000000" w:rsidRPr="00000000">
        <w:rPr>
          <w:rFonts w:ascii="Times New Roman" w:cs="Times New Roman" w:eastAsia="Times New Roman" w:hAnsi="Times New Roman"/>
          <w:b w:val="1"/>
          <w:bCs w:val="1"/>
          <w:sz w:val="28"/>
          <w:szCs w:val="28"/>
          <w:rtl w:val="0"/>
        </w:rPr>
        <w:t xml:space="preserve">Action Plan: Future Academic Development</w:t>
      </w:r>
    </w:p>
    <w:p w:rsidR="00000000" w:rsidDel="00000000" w:rsidP="00000000" w:rsidRDefault="00000000" w:rsidRPr="00000000" w14:paraId="0000008D">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future, I would like to improve my methodological rigour by spreading out to empirical journal writing to aid in synthesising theory. I will also work on my skills in criticizing the dominant paradigm as opposed to just implementing them. Furthermore, I will enhance my ability to evaluate emerging complexity in the market, especially in digitally mediated economies, in which standard strategic frameworks need customisation. Last but not least, I will develop more accurate writing in academia by developing a routine of reviewing whether every paragraph is based on argumentation or description. In these ways, I aim to improve my postgraduate-level analytical competence and plan further research work.</w:t>
      </w:r>
    </w:p>
    <w:p w:rsidR="00000000" w:rsidDel="00000000" w:rsidP="00000000" w:rsidRDefault="00000000" w:rsidRPr="00000000" w14:paraId="0000008E">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after="240" w:before="240"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0">
      <w:pPr>
        <w:pStyle w:val="Heading1"/>
        <w:spacing w:after="240" w:before="240" w:line="360" w:lineRule="auto"/>
        <w:jc w:val="both"/>
        <w:rPr>
          <w:rFonts w:ascii="Times New Roman" w:cs="Times New Roman" w:eastAsia="Times New Roman" w:hAnsi="Times New Roman"/>
          <w:b w:val="1"/>
          <w:bCs w:val="1"/>
          <w:sz w:val="32"/>
          <w:szCs w:val="32"/>
        </w:rPr>
      </w:pPr>
      <w:bookmarkStart w:colFirst="0" w:colLast="0" w:name="_j0uo6fk8otmv" w:id="34"/>
      <w:bookmarkEnd w:id="34"/>
      <w:r w:rsidDel="00000000" w:rsidR="00000000" w:rsidRPr="00000000">
        <w:rPr>
          <w:rFonts w:ascii="Times New Roman" w:cs="Times New Roman" w:eastAsia="Times New Roman" w:hAnsi="Times New Roman"/>
          <w:b w:val="1"/>
          <w:bCs w:val="1"/>
          <w:sz w:val="32"/>
          <w:szCs w:val="32"/>
          <w:rtl w:val="0"/>
        </w:rPr>
        <w:t xml:space="preserve">References: </w:t>
      </w:r>
    </w:p>
    <w:p w:rsidR="00000000" w:rsidDel="00000000" w:rsidP="00000000" w:rsidRDefault="00000000" w:rsidRPr="00000000" w14:paraId="00000091">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Asghar, A., Asif, R., Akhtar, N. and Islam, T. (2023). Do green servicescape and perceived quality determine consumerism and its consequences? </w:t>
      </w:r>
      <w:r w:rsidDel="00000000" w:rsidR="00000000" w:rsidRPr="00000000">
        <w:rPr>
          <w:rFonts w:ascii="Times New Roman" w:cs="Times New Roman" w:eastAsia="Times New Roman" w:hAnsi="Times New Roman"/>
          <w:i w:val="1"/>
          <w:iCs w:val="1"/>
          <w:sz w:val="24"/>
          <w:szCs w:val="24"/>
          <w:rtl w:val="0"/>
        </w:rPr>
        <w:t xml:space="preserve">Journal of Hospitality and Tourism Insights</w:t>
      </w:r>
      <w:r w:rsidDel="00000000" w:rsidR="00000000" w:rsidRPr="00000000">
        <w:rPr>
          <w:rFonts w:ascii="Times New Roman" w:cs="Times New Roman" w:eastAsia="Times New Roman" w:hAnsi="Times New Roman"/>
          <w:sz w:val="24"/>
          <w:szCs w:val="24"/>
          <w:rtl w:val="0"/>
        </w:rPr>
        <w:t xml:space="preserve">. doi:</w:t>
      </w:r>
      <w:hyperlink r:id="rId9">
        <w:r w:rsidDel="00000000" w:rsidR="00000000" w:rsidRPr="00000000">
          <w:rPr>
            <w:rFonts w:ascii="Times New Roman" w:cs="Times New Roman" w:eastAsia="Times New Roman" w:hAnsi="Times New Roman"/>
            <w:color w:val="1155cc"/>
            <w:sz w:val="24"/>
            <w:szCs w:val="24"/>
            <w:u w:val="single"/>
            <w:rtl w:val="0"/>
          </w:rPr>
          <w:t xml:space="preserve">https://doi.org/10.1108/jhti-07-2023-0490</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2">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Brodowsky, G.H., Schuster, C.P. and Perren, R. (2022). </w:t>
      </w:r>
      <w:r w:rsidDel="00000000" w:rsidR="00000000" w:rsidRPr="00000000">
        <w:rPr>
          <w:rFonts w:ascii="Times New Roman" w:cs="Times New Roman" w:eastAsia="Times New Roman" w:hAnsi="Times New Roman"/>
          <w:i w:val="1"/>
          <w:iCs w:val="1"/>
          <w:sz w:val="24"/>
          <w:szCs w:val="24"/>
          <w:rtl w:val="0"/>
        </w:rPr>
        <w:t xml:space="preserve">Handbook of Research on Ethnic and Intra-cultural Marketing</w:t>
      </w:r>
      <w:r w:rsidDel="00000000" w:rsidR="00000000" w:rsidRPr="00000000">
        <w:rPr>
          <w:rFonts w:ascii="Times New Roman" w:cs="Times New Roman" w:eastAsia="Times New Roman" w:hAnsi="Times New Roman"/>
          <w:sz w:val="24"/>
          <w:szCs w:val="24"/>
          <w:rtl w:val="0"/>
        </w:rPr>
        <w:t xml:space="preserve">. Edward Elgar Publishing. </w:t>
      </w:r>
    </w:p>
    <w:p w:rsidR="00000000" w:rsidDel="00000000" w:rsidP="00000000" w:rsidRDefault="00000000" w:rsidRPr="00000000" w14:paraId="00000093">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Chen, S. (2025). Balancing Global Standardization and Local Differentiation in Multinational Advertising — A Comparative Analysis of Global Advertising Strategies in the Restaurant Sector. </w:t>
      </w:r>
      <w:r w:rsidDel="00000000" w:rsidR="00000000" w:rsidRPr="00000000">
        <w:rPr>
          <w:rFonts w:ascii="Times New Roman" w:cs="Times New Roman" w:eastAsia="Times New Roman" w:hAnsi="Times New Roman"/>
          <w:i w:val="1"/>
          <w:iCs w:val="1"/>
          <w:sz w:val="24"/>
          <w:szCs w:val="24"/>
          <w:rtl w:val="0"/>
        </w:rPr>
        <w:t xml:space="preserve">Finance &amp; Economics</w:t>
      </w:r>
      <w:r w:rsidDel="00000000" w:rsidR="00000000" w:rsidRPr="00000000">
        <w:rPr>
          <w:rFonts w:ascii="Times New Roman" w:cs="Times New Roman" w:eastAsia="Times New Roman" w:hAnsi="Times New Roman"/>
          <w:sz w:val="24"/>
          <w:szCs w:val="24"/>
          <w:rtl w:val="0"/>
        </w:rPr>
        <w:t xml:space="preserve">, 1(6). doi:</w:t>
      </w:r>
      <w:hyperlink r:id="rId10">
        <w:r w:rsidDel="00000000" w:rsidR="00000000" w:rsidRPr="00000000">
          <w:rPr>
            <w:rFonts w:ascii="Times New Roman" w:cs="Times New Roman" w:eastAsia="Times New Roman" w:hAnsi="Times New Roman"/>
            <w:color w:val="1155cc"/>
            <w:sz w:val="24"/>
            <w:szCs w:val="24"/>
            <w:u w:val="single"/>
            <w:rtl w:val="0"/>
          </w:rPr>
          <w:t xml:space="preserve">https://doi.org/10.61173/34z0mn26</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4">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Chung, C. and Sparrow, P. (2024). Exploring the Configuration of International HRM Strategies for Global Integration and Local Responsiveness in MNEs. </w:t>
      </w:r>
      <w:r w:rsidDel="00000000" w:rsidR="00000000" w:rsidRPr="00000000">
        <w:rPr>
          <w:rFonts w:ascii="Times New Roman" w:cs="Times New Roman" w:eastAsia="Times New Roman" w:hAnsi="Times New Roman"/>
          <w:i w:val="1"/>
          <w:iCs w:val="1"/>
          <w:sz w:val="24"/>
          <w:szCs w:val="24"/>
          <w:rtl w:val="0"/>
        </w:rPr>
        <w:t xml:space="preserve">International Journal of Human Resource Management</w:t>
      </w:r>
      <w:r w:rsidDel="00000000" w:rsidR="00000000" w:rsidRPr="00000000">
        <w:rPr>
          <w:rFonts w:ascii="Times New Roman" w:cs="Times New Roman" w:eastAsia="Times New Roman" w:hAnsi="Times New Roman"/>
          <w:sz w:val="24"/>
          <w:szCs w:val="24"/>
          <w:rtl w:val="0"/>
        </w:rPr>
        <w:t xml:space="preserve">, 35(11), pp.1943–1969. doi:</w:t>
      </w:r>
      <w:hyperlink r:id="rId11">
        <w:r w:rsidDel="00000000" w:rsidR="00000000" w:rsidRPr="00000000">
          <w:rPr>
            <w:rFonts w:ascii="Times New Roman" w:cs="Times New Roman" w:eastAsia="Times New Roman" w:hAnsi="Times New Roman"/>
            <w:color w:val="1155cc"/>
            <w:sz w:val="24"/>
            <w:szCs w:val="24"/>
            <w:u w:val="single"/>
            <w:rtl w:val="0"/>
          </w:rPr>
          <w:t xml:space="preserve">https://doi.org/10.1080/09585192.2024.2320768</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5">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Davvetas, V., Sichtmann, C., Saridakis, C. (Babis) and Diamantopoulos, A. (2022). EXPRESS: The Global/Local Product Attribute: Decomposition, Trivialization and Price Tradeoffs in Emerging and Developed Markets. </w:t>
      </w:r>
      <w:r w:rsidDel="00000000" w:rsidR="00000000" w:rsidRPr="00000000">
        <w:rPr>
          <w:rFonts w:ascii="Times New Roman" w:cs="Times New Roman" w:eastAsia="Times New Roman" w:hAnsi="Times New Roman"/>
          <w:i w:val="1"/>
          <w:iCs w:val="1"/>
          <w:sz w:val="24"/>
          <w:szCs w:val="24"/>
          <w:rtl w:val="0"/>
        </w:rPr>
        <w:t xml:space="preserve">Journal of International Marketing</w:t>
      </w:r>
      <w:r w:rsidDel="00000000" w:rsidR="00000000" w:rsidRPr="00000000">
        <w:rPr>
          <w:rFonts w:ascii="Times New Roman" w:cs="Times New Roman" w:eastAsia="Times New Roman" w:hAnsi="Times New Roman"/>
          <w:sz w:val="24"/>
          <w:szCs w:val="24"/>
          <w:rtl w:val="0"/>
        </w:rPr>
        <w:t xml:space="preserve">, 31(3), p.1069031X2211430. doi:</w:t>
      </w:r>
      <w:hyperlink r:id="rId12">
        <w:r w:rsidDel="00000000" w:rsidR="00000000" w:rsidRPr="00000000">
          <w:rPr>
            <w:rFonts w:ascii="Times New Roman" w:cs="Times New Roman" w:eastAsia="Times New Roman" w:hAnsi="Times New Roman"/>
            <w:color w:val="1155cc"/>
            <w:sz w:val="24"/>
            <w:szCs w:val="24"/>
            <w:u w:val="single"/>
            <w:rtl w:val="0"/>
          </w:rPr>
          <w:t xml:space="preserve">https://doi.org/10.1177/1069031x221143095</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6">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DENİZ, M. and ABBASALİYEVA, V. (2022). Küresel Fast-Food Restoranlarının Yerel Fast-Food Piyasaları Üzerine Etkileri: Türkiye Örneği. </w:t>
      </w:r>
      <w:r w:rsidDel="00000000" w:rsidR="00000000" w:rsidRPr="00000000">
        <w:rPr>
          <w:rFonts w:ascii="Times New Roman" w:cs="Times New Roman" w:eastAsia="Times New Roman" w:hAnsi="Times New Roman"/>
          <w:i w:val="1"/>
          <w:iCs w:val="1"/>
          <w:sz w:val="24"/>
          <w:szCs w:val="24"/>
          <w:rtl w:val="0"/>
        </w:rPr>
        <w:t xml:space="preserve">İnsan ve Toplum Bilimleri Araştırmaları Dergisi</w:t>
      </w:r>
      <w:r w:rsidDel="00000000" w:rsidR="00000000" w:rsidRPr="00000000">
        <w:rPr>
          <w:rFonts w:ascii="Times New Roman" w:cs="Times New Roman" w:eastAsia="Times New Roman" w:hAnsi="Times New Roman"/>
          <w:sz w:val="24"/>
          <w:szCs w:val="24"/>
          <w:rtl w:val="0"/>
        </w:rPr>
        <w:t xml:space="preserve">, 11(2). doi:</w:t>
      </w:r>
      <w:hyperlink r:id="rId13">
        <w:r w:rsidDel="00000000" w:rsidR="00000000" w:rsidRPr="00000000">
          <w:rPr>
            <w:rFonts w:ascii="Times New Roman" w:cs="Times New Roman" w:eastAsia="Times New Roman" w:hAnsi="Times New Roman"/>
            <w:color w:val="1155cc"/>
            <w:sz w:val="24"/>
            <w:szCs w:val="24"/>
            <w:u w:val="single"/>
            <w:rtl w:val="0"/>
          </w:rPr>
          <w:t xml:space="preserve">https://doi.org/10.15869/itobiad.1059484</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7">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Fasnacht, D. (2023). Open Ecosystems. </w:t>
      </w:r>
      <w:r w:rsidDel="00000000" w:rsidR="00000000" w:rsidRPr="00000000">
        <w:rPr>
          <w:rFonts w:ascii="Times New Roman" w:cs="Times New Roman" w:eastAsia="Times New Roman" w:hAnsi="Times New Roman"/>
          <w:i w:val="1"/>
          <w:iCs w:val="1"/>
          <w:sz w:val="24"/>
          <w:szCs w:val="24"/>
          <w:rtl w:val="0"/>
        </w:rPr>
        <w:t xml:space="preserve">Springer eBooks</w:t>
      </w:r>
      <w:r w:rsidDel="00000000" w:rsidR="00000000" w:rsidRPr="00000000">
        <w:rPr>
          <w:rFonts w:ascii="Times New Roman" w:cs="Times New Roman" w:eastAsia="Times New Roman" w:hAnsi="Times New Roman"/>
          <w:sz w:val="24"/>
          <w:szCs w:val="24"/>
          <w:rtl w:val="0"/>
        </w:rPr>
        <w:t xml:space="preserve">, pp.123–192. doi:</w:t>
      </w:r>
      <w:hyperlink r:id="rId14">
        <w:r w:rsidDel="00000000" w:rsidR="00000000" w:rsidRPr="00000000">
          <w:rPr>
            <w:rFonts w:ascii="Times New Roman" w:cs="Times New Roman" w:eastAsia="Times New Roman" w:hAnsi="Times New Roman"/>
            <w:color w:val="1155cc"/>
            <w:sz w:val="24"/>
            <w:szCs w:val="24"/>
            <w:u w:val="single"/>
            <w:rtl w:val="0"/>
          </w:rPr>
          <w:t xml:space="preserve">https://doi.org/10.1007/978-3-658-45395-4_6</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8">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Gambicorti, A. (2025). Meanings and values of the craft market: An integrated perspective through service‐dominant logic. </w:t>
      </w:r>
      <w:r w:rsidDel="00000000" w:rsidR="00000000" w:rsidRPr="00000000">
        <w:rPr>
          <w:rFonts w:ascii="Times New Roman" w:cs="Times New Roman" w:eastAsia="Times New Roman" w:hAnsi="Times New Roman"/>
          <w:i w:val="1"/>
          <w:iCs w:val="1"/>
          <w:sz w:val="24"/>
          <w:szCs w:val="24"/>
          <w:rtl w:val="0"/>
        </w:rPr>
        <w:t xml:space="preserve">International Journal of Management Reviews</w:t>
      </w:r>
      <w:r w:rsidDel="00000000" w:rsidR="00000000" w:rsidRPr="00000000">
        <w:rPr>
          <w:rFonts w:ascii="Times New Roman" w:cs="Times New Roman" w:eastAsia="Times New Roman" w:hAnsi="Times New Roman"/>
          <w:sz w:val="24"/>
          <w:szCs w:val="24"/>
          <w:rtl w:val="0"/>
        </w:rPr>
        <w:t xml:space="preserve">. doi:</w:t>
      </w:r>
      <w:hyperlink r:id="rId15">
        <w:r w:rsidDel="00000000" w:rsidR="00000000" w:rsidRPr="00000000">
          <w:rPr>
            <w:rFonts w:ascii="Times New Roman" w:cs="Times New Roman" w:eastAsia="Times New Roman" w:hAnsi="Times New Roman"/>
            <w:color w:val="1155cc"/>
            <w:sz w:val="24"/>
            <w:szCs w:val="24"/>
            <w:u w:val="single"/>
            <w:rtl w:val="0"/>
          </w:rPr>
          <w:t xml:space="preserve">https://doi.org/10.1111/ijmr.12402</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9">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Gautam, Y. and Islam, M.S. (2022). </w:t>
      </w:r>
      <w:r w:rsidDel="00000000" w:rsidR="00000000" w:rsidRPr="00000000">
        <w:rPr>
          <w:rFonts w:ascii="Times New Roman" w:cs="Times New Roman" w:eastAsia="Times New Roman" w:hAnsi="Times New Roman"/>
          <w:i w:val="1"/>
          <w:iCs w:val="1"/>
          <w:sz w:val="24"/>
          <w:szCs w:val="24"/>
          <w:rtl w:val="0"/>
        </w:rPr>
        <w:t xml:space="preserve">International Business Operations in the Quick Service Restaurants and the need for Reformed HR Practices in Finland.</w:t>
      </w:r>
      <w:r w:rsidDel="00000000" w:rsidR="00000000" w:rsidRPr="00000000">
        <w:rPr>
          <w:rFonts w:ascii="Times New Roman" w:cs="Times New Roman" w:eastAsia="Times New Roman" w:hAnsi="Times New Roman"/>
          <w:sz w:val="24"/>
          <w:szCs w:val="24"/>
          <w:rtl w:val="0"/>
        </w:rPr>
        <w:t xml:space="preserve"> [online] www.theseus.fi. Available at: </w:t>
      </w:r>
      <w:hyperlink r:id="rId16">
        <w:r w:rsidDel="00000000" w:rsidR="00000000" w:rsidRPr="00000000">
          <w:rPr>
            <w:rFonts w:ascii="Times New Roman" w:cs="Times New Roman" w:eastAsia="Times New Roman" w:hAnsi="Times New Roman"/>
            <w:color w:val="1155cc"/>
            <w:sz w:val="24"/>
            <w:szCs w:val="24"/>
            <w:u w:val="single"/>
            <w:rtl w:val="0"/>
          </w:rPr>
          <w:t xml:space="preserve">https://www.theseus.fi/handle/10024/752996</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A">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Gore, M. (2026). Why Western Strategy Frameworks Fail in India and Southeast Asia: A Critical Analysis and a Proposal for a Hybrid Consulting Model. [online] doi:</w:t>
      </w:r>
      <w:hyperlink r:id="rId17">
        <w:r w:rsidDel="00000000" w:rsidR="00000000" w:rsidRPr="00000000">
          <w:rPr>
            <w:rFonts w:ascii="Times New Roman" w:cs="Times New Roman" w:eastAsia="Times New Roman" w:hAnsi="Times New Roman"/>
            <w:color w:val="1155cc"/>
            <w:sz w:val="24"/>
            <w:szCs w:val="24"/>
            <w:u w:val="single"/>
            <w:rtl w:val="0"/>
          </w:rPr>
          <w:t xml:space="preserve">https://doi.org/10.2139/ssrn.5876342</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B">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Hassan, M.N. and Rukiman, Z. (2025). International Marketing Strategy. </w:t>
      </w:r>
      <w:r w:rsidDel="00000000" w:rsidR="00000000" w:rsidRPr="00000000">
        <w:rPr>
          <w:rFonts w:ascii="Times New Roman" w:cs="Times New Roman" w:eastAsia="Times New Roman" w:hAnsi="Times New Roman"/>
          <w:i w:val="1"/>
          <w:iCs w:val="1"/>
          <w:sz w:val="24"/>
          <w:szCs w:val="24"/>
          <w:rtl w:val="0"/>
        </w:rPr>
        <w:t xml:space="preserve">Mypolycc.edu.my</w:t>
      </w:r>
      <w:r w:rsidDel="00000000" w:rsidR="00000000" w:rsidRPr="00000000">
        <w:rPr>
          <w:rFonts w:ascii="Times New Roman" w:cs="Times New Roman" w:eastAsia="Times New Roman" w:hAnsi="Times New Roman"/>
          <w:sz w:val="24"/>
          <w:szCs w:val="24"/>
          <w:rtl w:val="0"/>
        </w:rPr>
        <w:t xml:space="preserve">. [online] doi:</w:t>
      </w:r>
      <w:hyperlink r:id="rId18">
        <w:r w:rsidDel="00000000" w:rsidR="00000000" w:rsidRPr="00000000">
          <w:rPr>
            <w:rFonts w:ascii="Times New Roman" w:cs="Times New Roman" w:eastAsia="Times New Roman" w:hAnsi="Times New Roman"/>
            <w:color w:val="1155cc"/>
            <w:sz w:val="24"/>
            <w:szCs w:val="24"/>
            <w:u w:val="single"/>
            <w:rtl w:val="0"/>
          </w:rPr>
          <w:t xml:space="preserve">https://doi.org/9786297678146</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C">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X., Zhou, Y. and Yuan, Y. (2025). Exploring the relationship between urban polycentricity and consumer amenity development: An empirical study using Dianping Data in China. </w:t>
      </w:r>
      <w:r w:rsidDel="00000000" w:rsidR="00000000" w:rsidRPr="00000000">
        <w:rPr>
          <w:rFonts w:ascii="Times New Roman" w:cs="Times New Roman" w:eastAsia="Times New Roman" w:hAnsi="Times New Roman"/>
          <w:i w:val="1"/>
          <w:iCs w:val="1"/>
          <w:sz w:val="24"/>
          <w:szCs w:val="24"/>
          <w:rtl w:val="0"/>
        </w:rPr>
        <w:t xml:space="preserve">Cities</w:t>
      </w:r>
      <w:r w:rsidDel="00000000" w:rsidR="00000000" w:rsidRPr="00000000">
        <w:rPr>
          <w:rFonts w:ascii="Times New Roman" w:cs="Times New Roman" w:eastAsia="Times New Roman" w:hAnsi="Times New Roman"/>
          <w:sz w:val="24"/>
          <w:szCs w:val="24"/>
          <w:rtl w:val="0"/>
        </w:rPr>
        <w:t xml:space="preserve">, 166, p.106197. doi:</w:t>
      </w:r>
      <w:hyperlink r:id="rId19">
        <w:r w:rsidDel="00000000" w:rsidR="00000000" w:rsidRPr="00000000">
          <w:rPr>
            <w:rFonts w:ascii="Times New Roman" w:cs="Times New Roman" w:eastAsia="Times New Roman" w:hAnsi="Times New Roman"/>
            <w:color w:val="1155cc"/>
            <w:sz w:val="24"/>
            <w:szCs w:val="24"/>
            <w:u w:val="single"/>
            <w:rtl w:val="0"/>
          </w:rPr>
          <w:t xml:space="preserve">https://doi.org/10.1016/j.cities.2025.106197</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D">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Helberger, N., Sax, M., Strycharz, J. and Micklitz, H.-W. . (2021). Choice Architectures in the Digital Economy: Towards a New Understanding of Digital Vulnerability. </w:t>
      </w:r>
      <w:r w:rsidDel="00000000" w:rsidR="00000000" w:rsidRPr="00000000">
        <w:rPr>
          <w:rFonts w:ascii="Times New Roman" w:cs="Times New Roman" w:eastAsia="Times New Roman" w:hAnsi="Times New Roman"/>
          <w:i w:val="1"/>
          <w:iCs w:val="1"/>
          <w:sz w:val="24"/>
          <w:szCs w:val="24"/>
          <w:rtl w:val="0"/>
        </w:rPr>
        <w:t xml:space="preserve">Journal of Consumer Policy</w:t>
      </w:r>
      <w:r w:rsidDel="00000000" w:rsidR="00000000" w:rsidRPr="00000000">
        <w:rPr>
          <w:rFonts w:ascii="Times New Roman" w:cs="Times New Roman" w:eastAsia="Times New Roman" w:hAnsi="Times New Roman"/>
          <w:sz w:val="24"/>
          <w:szCs w:val="24"/>
          <w:rtl w:val="0"/>
        </w:rPr>
        <w:t xml:space="preserve">, 45(2). doi:</w:t>
      </w:r>
      <w:hyperlink r:id="rId20">
        <w:r w:rsidDel="00000000" w:rsidR="00000000" w:rsidRPr="00000000">
          <w:rPr>
            <w:rFonts w:ascii="Times New Roman" w:cs="Times New Roman" w:eastAsia="Times New Roman" w:hAnsi="Times New Roman"/>
            <w:color w:val="1155cc"/>
            <w:sz w:val="24"/>
            <w:szCs w:val="24"/>
            <w:u w:val="single"/>
            <w:rtl w:val="0"/>
          </w:rPr>
          <w:t xml:space="preserve">https://doi.org/10.1007/s10603-021-09500-5</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E">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 C., Ng, S.-I., Lim, X.-J. and Tu, H.-S. (2025). What cultural value expressions does food delivery consumption afford Malaysian urbanites? </w:t>
      </w:r>
      <w:r w:rsidDel="00000000" w:rsidR="00000000" w:rsidRPr="00000000">
        <w:rPr>
          <w:rFonts w:ascii="Times New Roman" w:cs="Times New Roman" w:eastAsia="Times New Roman" w:hAnsi="Times New Roman"/>
          <w:i w:val="1"/>
          <w:iCs w:val="1"/>
          <w:sz w:val="24"/>
          <w:szCs w:val="24"/>
          <w:rtl w:val="0"/>
        </w:rPr>
        <w:t xml:space="preserve">Journal of Foodservice Business Research</w:t>
      </w:r>
      <w:r w:rsidDel="00000000" w:rsidR="00000000" w:rsidRPr="00000000">
        <w:rPr>
          <w:rFonts w:ascii="Times New Roman" w:cs="Times New Roman" w:eastAsia="Times New Roman" w:hAnsi="Times New Roman"/>
          <w:sz w:val="24"/>
          <w:szCs w:val="24"/>
          <w:rtl w:val="0"/>
        </w:rPr>
        <w:t xml:space="preserve">, pp.1–34. doi:</w:t>
      </w:r>
      <w:hyperlink r:id="rId21">
        <w:r w:rsidDel="00000000" w:rsidR="00000000" w:rsidRPr="00000000">
          <w:rPr>
            <w:rFonts w:ascii="Times New Roman" w:cs="Times New Roman" w:eastAsia="Times New Roman" w:hAnsi="Times New Roman"/>
            <w:color w:val="1155cc"/>
            <w:sz w:val="24"/>
            <w:szCs w:val="24"/>
            <w:u w:val="single"/>
            <w:rtl w:val="0"/>
          </w:rPr>
          <w:t xml:space="preserve">https://doi.org/10.1080/15378020.2025.2573351</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F">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 A. (2025). Traditionalist, Collectivist, and Marketist: Value Orientations and Pro‐Solidarity Inclinations in Contemporary China. </w:t>
      </w:r>
      <w:r w:rsidDel="00000000" w:rsidR="00000000" w:rsidRPr="00000000">
        <w:rPr>
          <w:rFonts w:ascii="Times New Roman" w:cs="Times New Roman" w:eastAsia="Times New Roman" w:hAnsi="Times New Roman"/>
          <w:i w:val="1"/>
          <w:iCs w:val="1"/>
          <w:sz w:val="24"/>
          <w:szCs w:val="24"/>
          <w:rtl w:val="0"/>
        </w:rPr>
        <w:t xml:space="preserve">Sociological Forum</w:t>
      </w:r>
      <w:r w:rsidDel="00000000" w:rsidR="00000000" w:rsidRPr="00000000">
        <w:rPr>
          <w:rFonts w:ascii="Times New Roman" w:cs="Times New Roman" w:eastAsia="Times New Roman" w:hAnsi="Times New Roman"/>
          <w:sz w:val="24"/>
          <w:szCs w:val="24"/>
          <w:rtl w:val="0"/>
        </w:rPr>
        <w:t xml:space="preserve">. doi:</w:t>
      </w:r>
      <w:hyperlink r:id="rId22">
        <w:r w:rsidDel="00000000" w:rsidR="00000000" w:rsidRPr="00000000">
          <w:rPr>
            <w:rFonts w:ascii="Times New Roman" w:cs="Times New Roman" w:eastAsia="Times New Roman" w:hAnsi="Times New Roman"/>
            <w:color w:val="1155cc"/>
            <w:sz w:val="24"/>
            <w:szCs w:val="24"/>
            <w:u w:val="single"/>
            <w:rtl w:val="0"/>
          </w:rPr>
          <w:t xml:space="preserve">https://doi.org/10.1111/socf.70030</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0">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Jeong, M., Shin, H.H., Lee, M. and Lee, J. (2022). Assessing brand performance consistency from consumer-generated media: the US hotel industry. </w:t>
      </w:r>
      <w:r w:rsidDel="00000000" w:rsidR="00000000" w:rsidRPr="00000000">
        <w:rPr>
          <w:rFonts w:ascii="Times New Roman" w:cs="Times New Roman" w:eastAsia="Times New Roman" w:hAnsi="Times New Roman"/>
          <w:i w:val="1"/>
          <w:iCs w:val="1"/>
          <w:sz w:val="24"/>
          <w:szCs w:val="24"/>
          <w:rtl w:val="0"/>
        </w:rPr>
        <w:t xml:space="preserve">International Journal of Contemporary Hospitality Management</w:t>
      </w:r>
      <w:r w:rsidDel="00000000" w:rsidR="00000000" w:rsidRPr="00000000">
        <w:rPr>
          <w:rFonts w:ascii="Times New Roman" w:cs="Times New Roman" w:eastAsia="Times New Roman" w:hAnsi="Times New Roman"/>
          <w:sz w:val="24"/>
          <w:szCs w:val="24"/>
          <w:rtl w:val="0"/>
        </w:rPr>
        <w:t xml:space="preserve">, 35(6). doi:</w:t>
      </w:r>
      <w:hyperlink r:id="rId23">
        <w:r w:rsidDel="00000000" w:rsidR="00000000" w:rsidRPr="00000000">
          <w:rPr>
            <w:rFonts w:ascii="Times New Roman" w:cs="Times New Roman" w:eastAsia="Times New Roman" w:hAnsi="Times New Roman"/>
            <w:color w:val="1155cc"/>
            <w:sz w:val="24"/>
            <w:szCs w:val="24"/>
            <w:u w:val="single"/>
            <w:rtl w:val="0"/>
          </w:rPr>
          <w:t xml:space="preserve">https://doi.org/10.1108/ijchm-12-2021-1516</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1">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Kandpal, V., Jaswal, A., Ernesto and Agarwal, N. (2024). Corporate Social Responsibility (C.S.R.) and E.S.G. Reporting: Redefining Business in the Twenty-First Century. </w:t>
      </w:r>
      <w:r w:rsidDel="00000000" w:rsidR="00000000" w:rsidRPr="00000000">
        <w:rPr>
          <w:rFonts w:ascii="Times New Roman" w:cs="Times New Roman" w:eastAsia="Times New Roman" w:hAnsi="Times New Roman"/>
          <w:i w:val="1"/>
          <w:iCs w:val="1"/>
          <w:sz w:val="24"/>
          <w:szCs w:val="24"/>
          <w:rtl w:val="0"/>
        </w:rPr>
        <w:t xml:space="preserve">Sustainable Energy Transition</w:t>
      </w:r>
      <w:r w:rsidDel="00000000" w:rsidR="00000000" w:rsidRPr="00000000">
        <w:rPr>
          <w:rFonts w:ascii="Times New Roman" w:cs="Times New Roman" w:eastAsia="Times New Roman" w:hAnsi="Times New Roman"/>
          <w:sz w:val="24"/>
          <w:szCs w:val="24"/>
          <w:rtl w:val="0"/>
        </w:rPr>
        <w:t xml:space="preserve">, pp.239–272. doi:</w:t>
      </w:r>
      <w:hyperlink r:id="rId24">
        <w:r w:rsidDel="00000000" w:rsidR="00000000" w:rsidRPr="00000000">
          <w:rPr>
            <w:rFonts w:ascii="Times New Roman" w:cs="Times New Roman" w:eastAsia="Times New Roman" w:hAnsi="Times New Roman"/>
            <w:color w:val="1155cc"/>
            <w:sz w:val="24"/>
            <w:szCs w:val="24"/>
            <w:u w:val="single"/>
            <w:rtl w:val="0"/>
          </w:rPr>
          <w:t xml:space="preserve">https://doi.org/10.1007/978-3-031-52943-6_8</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2">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Keelson, S.A., Cúg, J., Amoah, J., Petráková, Z., Addo, J.O. and Jibril, A.B. (2024). The Influence of Market Competition on SMEs’ Performance in Emerging Economies: Does Process Innovation Moderate the Relationship? </w:t>
      </w:r>
      <w:r w:rsidDel="00000000" w:rsidR="00000000" w:rsidRPr="00000000">
        <w:rPr>
          <w:rFonts w:ascii="Times New Roman" w:cs="Times New Roman" w:eastAsia="Times New Roman" w:hAnsi="Times New Roman"/>
          <w:i w:val="1"/>
          <w:iCs w:val="1"/>
          <w:sz w:val="24"/>
          <w:szCs w:val="24"/>
          <w:rtl w:val="0"/>
        </w:rPr>
        <w:t xml:space="preserve">Economies</w:t>
      </w:r>
      <w:r w:rsidDel="00000000" w:rsidR="00000000" w:rsidRPr="00000000">
        <w:rPr>
          <w:rFonts w:ascii="Times New Roman" w:cs="Times New Roman" w:eastAsia="Times New Roman" w:hAnsi="Times New Roman"/>
          <w:sz w:val="24"/>
          <w:szCs w:val="24"/>
          <w:rtl w:val="0"/>
        </w:rPr>
        <w:t xml:space="preserve">, [online] 12(11), p.282. doi:</w:t>
      </w:r>
      <w:hyperlink r:id="rId25">
        <w:r w:rsidDel="00000000" w:rsidR="00000000" w:rsidRPr="00000000">
          <w:rPr>
            <w:rFonts w:ascii="Times New Roman" w:cs="Times New Roman" w:eastAsia="Times New Roman" w:hAnsi="Times New Roman"/>
            <w:color w:val="1155cc"/>
            <w:sz w:val="24"/>
            <w:szCs w:val="24"/>
            <w:u w:val="single"/>
            <w:rtl w:val="0"/>
          </w:rPr>
          <w:t xml:space="preserve">https://doi.org/10.3390/economies12110282</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3">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Khalili, Y., Yasemi, S., Abdi, M., Masoud Ghasemi Ertian, Mohammadi, M. and Bagheri, M. (2025). A Review of Integrated Carbon Capture and Hydrogen Storage: AI-Driven Optimization for Efficiency and Scalability. </w:t>
      </w:r>
      <w:r w:rsidDel="00000000" w:rsidR="00000000" w:rsidRPr="00000000">
        <w:rPr>
          <w:rFonts w:ascii="Times New Roman" w:cs="Times New Roman" w:eastAsia="Times New Roman" w:hAnsi="Times New Roman"/>
          <w:i w:val="1"/>
          <w:iCs w:val="1"/>
          <w:sz w:val="24"/>
          <w:szCs w:val="24"/>
          <w:rtl w:val="0"/>
        </w:rPr>
        <w:t xml:space="preserve">Sustainability</w:t>
      </w:r>
      <w:r w:rsidDel="00000000" w:rsidR="00000000" w:rsidRPr="00000000">
        <w:rPr>
          <w:rFonts w:ascii="Times New Roman" w:cs="Times New Roman" w:eastAsia="Times New Roman" w:hAnsi="Times New Roman"/>
          <w:sz w:val="24"/>
          <w:szCs w:val="24"/>
          <w:rtl w:val="0"/>
        </w:rPr>
        <w:t xml:space="preserve">, [online] 17(13), pp.5754–5754. doi:</w:t>
      </w:r>
      <w:hyperlink r:id="rId26">
        <w:r w:rsidDel="00000000" w:rsidR="00000000" w:rsidRPr="00000000">
          <w:rPr>
            <w:rFonts w:ascii="Times New Roman" w:cs="Times New Roman" w:eastAsia="Times New Roman" w:hAnsi="Times New Roman"/>
            <w:color w:val="1155cc"/>
            <w:sz w:val="24"/>
            <w:szCs w:val="24"/>
            <w:u w:val="single"/>
            <w:rtl w:val="0"/>
          </w:rPr>
          <w:t xml:space="preserve">https://doi.org/10.3390/su17135754</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4">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Kissi, F.O. (2025). Innovation Culture in Ghana: Local Agency, Actor-Networks, and the Social Shaping of Motor Vehicles. </w:t>
      </w:r>
      <w:r w:rsidDel="00000000" w:rsidR="00000000" w:rsidRPr="00000000">
        <w:rPr>
          <w:rFonts w:ascii="Times New Roman" w:cs="Times New Roman" w:eastAsia="Times New Roman" w:hAnsi="Times New Roman"/>
          <w:i w:val="1"/>
          <w:iCs w:val="1"/>
          <w:sz w:val="24"/>
          <w:szCs w:val="24"/>
          <w:rtl w:val="0"/>
        </w:rPr>
        <w:t xml:space="preserve">Minerva</w:t>
      </w:r>
      <w:r w:rsidDel="00000000" w:rsidR="00000000" w:rsidRPr="00000000">
        <w:rPr>
          <w:rFonts w:ascii="Times New Roman" w:cs="Times New Roman" w:eastAsia="Times New Roman" w:hAnsi="Times New Roman"/>
          <w:sz w:val="24"/>
          <w:szCs w:val="24"/>
          <w:rtl w:val="0"/>
        </w:rPr>
        <w:t xml:space="preserve">. doi:</w:t>
      </w:r>
      <w:hyperlink r:id="rId27">
        <w:r w:rsidDel="00000000" w:rsidR="00000000" w:rsidRPr="00000000">
          <w:rPr>
            <w:rFonts w:ascii="Times New Roman" w:cs="Times New Roman" w:eastAsia="Times New Roman" w:hAnsi="Times New Roman"/>
            <w:color w:val="1155cc"/>
            <w:sz w:val="24"/>
            <w:szCs w:val="24"/>
            <w:u w:val="single"/>
            <w:rtl w:val="0"/>
          </w:rPr>
          <w:t xml:space="preserve">https://doi.org/10.1007/s11024-025-09609-8</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5">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Koch, A.H. (2020). Strategic responses of MNCs in emerging markets: addressing institutional voids associated with informal institutions. </w:t>
      </w:r>
      <w:r w:rsidDel="00000000" w:rsidR="00000000" w:rsidRPr="00000000">
        <w:rPr>
          <w:rFonts w:ascii="Times New Roman" w:cs="Times New Roman" w:eastAsia="Times New Roman" w:hAnsi="Times New Roman"/>
          <w:i w:val="1"/>
          <w:iCs w:val="1"/>
          <w:sz w:val="24"/>
          <w:szCs w:val="24"/>
          <w:rtl w:val="0"/>
        </w:rPr>
        <w:t xml:space="preserve">critical perspectives on international business</w:t>
      </w:r>
      <w:r w:rsidDel="00000000" w:rsidR="00000000" w:rsidRPr="00000000">
        <w:rPr>
          <w:rFonts w:ascii="Times New Roman" w:cs="Times New Roman" w:eastAsia="Times New Roman" w:hAnsi="Times New Roman"/>
          <w:sz w:val="24"/>
          <w:szCs w:val="24"/>
          <w:rtl w:val="0"/>
        </w:rPr>
        <w:t xml:space="preserve">, ahead-of-print(ahead-of-print). doi:</w:t>
      </w:r>
      <w:hyperlink r:id="rId28">
        <w:r w:rsidDel="00000000" w:rsidR="00000000" w:rsidRPr="00000000">
          <w:rPr>
            <w:rFonts w:ascii="Times New Roman" w:cs="Times New Roman" w:eastAsia="Times New Roman" w:hAnsi="Times New Roman"/>
            <w:color w:val="1155cc"/>
            <w:sz w:val="24"/>
            <w:szCs w:val="24"/>
            <w:u w:val="single"/>
            <w:rtl w:val="0"/>
          </w:rPr>
          <w:t xml:space="preserve">https://doi.org/10.1108/cpoib-12-2019-0099</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6">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Koziel, A.M. and Shen, C.W. (2023). Psychographic and demographic segmentation and customer profiling in mobile fintech services. </w:t>
      </w:r>
      <w:r w:rsidDel="00000000" w:rsidR="00000000" w:rsidRPr="00000000">
        <w:rPr>
          <w:rFonts w:ascii="Times New Roman" w:cs="Times New Roman" w:eastAsia="Times New Roman" w:hAnsi="Times New Roman"/>
          <w:i w:val="1"/>
          <w:iCs w:val="1"/>
          <w:sz w:val="24"/>
          <w:szCs w:val="24"/>
          <w:rtl w:val="0"/>
        </w:rPr>
        <w:t xml:space="preserve">Kybernetes</w:t>
      </w:r>
      <w:r w:rsidDel="00000000" w:rsidR="00000000" w:rsidRPr="00000000">
        <w:rPr>
          <w:rFonts w:ascii="Times New Roman" w:cs="Times New Roman" w:eastAsia="Times New Roman" w:hAnsi="Times New Roman"/>
          <w:sz w:val="24"/>
          <w:szCs w:val="24"/>
          <w:rtl w:val="0"/>
        </w:rPr>
        <w:t xml:space="preserve">. doi:</w:t>
      </w:r>
      <w:hyperlink r:id="rId29">
        <w:r w:rsidDel="00000000" w:rsidR="00000000" w:rsidRPr="00000000">
          <w:rPr>
            <w:rFonts w:ascii="Times New Roman" w:cs="Times New Roman" w:eastAsia="Times New Roman" w:hAnsi="Times New Roman"/>
            <w:color w:val="1155cc"/>
            <w:sz w:val="24"/>
            <w:szCs w:val="24"/>
            <w:u w:val="single"/>
            <w:rtl w:val="0"/>
          </w:rPr>
          <w:t xml:space="preserve">https://doi.org/10.1108/k-07-2023-1251</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7">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Kumar, V. (2023). Digital Hotspots. </w:t>
      </w:r>
      <w:r w:rsidDel="00000000" w:rsidR="00000000" w:rsidRPr="00000000">
        <w:rPr>
          <w:rFonts w:ascii="Times New Roman" w:cs="Times New Roman" w:eastAsia="Times New Roman" w:hAnsi="Times New Roman"/>
          <w:i w:val="1"/>
          <w:iCs w:val="1"/>
          <w:sz w:val="24"/>
          <w:szCs w:val="24"/>
          <w:rtl w:val="0"/>
        </w:rPr>
        <w:t xml:space="preserve">Management for professionals</w:t>
      </w:r>
      <w:r w:rsidDel="00000000" w:rsidR="00000000" w:rsidRPr="00000000">
        <w:rPr>
          <w:rFonts w:ascii="Times New Roman" w:cs="Times New Roman" w:eastAsia="Times New Roman" w:hAnsi="Times New Roman"/>
          <w:sz w:val="24"/>
          <w:szCs w:val="24"/>
          <w:rtl w:val="0"/>
        </w:rPr>
        <w:t xml:space="preserve">, pp.689–795.</w:t>
      </w:r>
    </w:p>
    <w:p w:rsidR="00000000" w:rsidDel="00000000" w:rsidP="00000000" w:rsidRDefault="00000000" w:rsidRPr="00000000" w14:paraId="000000A8">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Kumar, V. (2024). The Nature and Scope of International Marketing Research. pp.3–46. doi:</w:t>
      </w:r>
      <w:hyperlink r:id="rId30">
        <w:r w:rsidDel="00000000" w:rsidR="00000000" w:rsidRPr="00000000">
          <w:rPr>
            <w:rFonts w:ascii="Times New Roman" w:cs="Times New Roman" w:eastAsia="Times New Roman" w:hAnsi="Times New Roman"/>
            <w:color w:val="1155cc"/>
            <w:sz w:val="24"/>
            <w:szCs w:val="24"/>
            <w:u w:val="single"/>
            <w:rtl w:val="0"/>
          </w:rPr>
          <w:t xml:space="preserve">https://doi.org/10.1007/978-3-031-54650-1_1</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9">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Liu, J., Huang, Z., Fan, M., Yang, J., Xiao, J. and Wang, Y. (2022). Future energy infrastructure, energy platform and energy storage. </w:t>
      </w:r>
      <w:r w:rsidDel="00000000" w:rsidR="00000000" w:rsidRPr="00000000">
        <w:rPr>
          <w:rFonts w:ascii="Times New Roman" w:cs="Times New Roman" w:eastAsia="Times New Roman" w:hAnsi="Times New Roman"/>
          <w:i w:val="1"/>
          <w:iCs w:val="1"/>
          <w:sz w:val="24"/>
          <w:szCs w:val="24"/>
          <w:rtl w:val="0"/>
        </w:rPr>
        <w:t xml:space="preserve">Nano Energy</w:t>
      </w:r>
      <w:r w:rsidDel="00000000" w:rsidR="00000000" w:rsidRPr="00000000">
        <w:rPr>
          <w:rFonts w:ascii="Times New Roman" w:cs="Times New Roman" w:eastAsia="Times New Roman" w:hAnsi="Times New Roman"/>
          <w:sz w:val="24"/>
          <w:szCs w:val="24"/>
          <w:rtl w:val="0"/>
        </w:rPr>
        <w:t xml:space="preserve">, 104, p.107915. doi:</w:t>
      </w:r>
      <w:hyperlink r:id="rId31">
        <w:r w:rsidDel="00000000" w:rsidR="00000000" w:rsidRPr="00000000">
          <w:rPr>
            <w:rFonts w:ascii="Times New Roman" w:cs="Times New Roman" w:eastAsia="Times New Roman" w:hAnsi="Times New Roman"/>
            <w:color w:val="1155cc"/>
            <w:sz w:val="24"/>
            <w:szCs w:val="24"/>
            <w:u w:val="single"/>
            <w:rtl w:val="0"/>
          </w:rPr>
          <w:t xml:space="preserve">https://doi.org/10.1016/j.nanoen.2022.107915</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A">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Liu, S. (2022). Unpacking platform business scaling in the digital age - WRAP: Warwick Research Archive Portal. </w:t>
      </w:r>
      <w:r w:rsidDel="00000000" w:rsidR="00000000" w:rsidRPr="00000000">
        <w:rPr>
          <w:rFonts w:ascii="Times New Roman" w:cs="Times New Roman" w:eastAsia="Times New Roman" w:hAnsi="Times New Roman"/>
          <w:i w:val="1"/>
          <w:iCs w:val="1"/>
          <w:sz w:val="24"/>
          <w:szCs w:val="24"/>
          <w:rtl w:val="0"/>
        </w:rPr>
        <w:t xml:space="preserve">Warwick.ac.uk</w:t>
      </w:r>
      <w:r w:rsidDel="00000000" w:rsidR="00000000" w:rsidRPr="00000000">
        <w:rPr>
          <w:rFonts w:ascii="Times New Roman" w:cs="Times New Roman" w:eastAsia="Times New Roman" w:hAnsi="Times New Roman"/>
          <w:sz w:val="24"/>
          <w:szCs w:val="24"/>
          <w:rtl w:val="0"/>
        </w:rPr>
        <w:t xml:space="preserve">. [online] doi:</w:t>
      </w:r>
      <w:hyperlink r:id="rId32">
        <w:r w:rsidDel="00000000" w:rsidR="00000000" w:rsidRPr="00000000">
          <w:rPr>
            <w:rFonts w:ascii="Times New Roman" w:cs="Times New Roman" w:eastAsia="Times New Roman" w:hAnsi="Times New Roman"/>
            <w:color w:val="1155cc"/>
            <w:sz w:val="24"/>
            <w:szCs w:val="24"/>
            <w:u w:val="single"/>
            <w:rtl w:val="0"/>
          </w:rPr>
          <w:t xml:space="preserve">https://wrap.warwick.ac.uk/id/eprint/164629/1/WRAP_Theses_Liu_2021.pdf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B">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Lucas, J. (2024). Strategy in Action: The Creation of the Codex. </w:t>
      </w:r>
      <w:r w:rsidDel="00000000" w:rsidR="00000000" w:rsidRPr="00000000">
        <w:rPr>
          <w:rFonts w:ascii="Times New Roman" w:cs="Times New Roman" w:eastAsia="Times New Roman" w:hAnsi="Times New Roman"/>
          <w:i w:val="1"/>
          <w:iCs w:val="1"/>
          <w:sz w:val="24"/>
          <w:szCs w:val="24"/>
          <w:rtl w:val="0"/>
        </w:rPr>
        <w:t xml:space="preserve">Undergraduate Honors Theses</w:t>
      </w:r>
      <w:r w:rsidDel="00000000" w:rsidR="00000000" w:rsidRPr="00000000">
        <w:rPr>
          <w:rFonts w:ascii="Times New Roman" w:cs="Times New Roman" w:eastAsia="Times New Roman" w:hAnsi="Times New Roman"/>
          <w:sz w:val="24"/>
          <w:szCs w:val="24"/>
          <w:rtl w:val="0"/>
        </w:rPr>
        <w:t xml:space="preserve">. [online] Available at: </w:t>
      </w:r>
      <w:hyperlink r:id="rId33">
        <w:r w:rsidDel="00000000" w:rsidR="00000000" w:rsidRPr="00000000">
          <w:rPr>
            <w:rFonts w:ascii="Times New Roman" w:cs="Times New Roman" w:eastAsia="Times New Roman" w:hAnsi="Times New Roman"/>
            <w:color w:val="1155cc"/>
            <w:sz w:val="24"/>
            <w:szCs w:val="24"/>
            <w:u w:val="single"/>
            <w:rtl w:val="0"/>
          </w:rPr>
          <w:t xml:space="preserve">https://scholarsarchive.byu.edu/studentpub_uht/393/</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C">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Luo, X., Rose and Azahan Awang (2025). The evolution of retail outlet distribution: a systematic review of spatial patterns, drivers, and implications for urban development and economic growth. </w:t>
      </w:r>
      <w:r w:rsidDel="00000000" w:rsidR="00000000" w:rsidRPr="00000000">
        <w:rPr>
          <w:rFonts w:ascii="Times New Roman" w:cs="Times New Roman" w:eastAsia="Times New Roman" w:hAnsi="Times New Roman"/>
          <w:i w:val="1"/>
          <w:iCs w:val="1"/>
          <w:sz w:val="24"/>
          <w:szCs w:val="24"/>
          <w:rtl w:val="0"/>
        </w:rPr>
        <w:t xml:space="preserve">Frontiers in Sustainable Cities</w:t>
      </w:r>
      <w:r w:rsidDel="00000000" w:rsidR="00000000" w:rsidRPr="00000000">
        <w:rPr>
          <w:rFonts w:ascii="Times New Roman" w:cs="Times New Roman" w:eastAsia="Times New Roman" w:hAnsi="Times New Roman"/>
          <w:sz w:val="24"/>
          <w:szCs w:val="24"/>
          <w:rtl w:val="0"/>
        </w:rPr>
        <w:t xml:space="preserve">, 7. doi:</w:t>
      </w:r>
      <w:hyperlink r:id="rId34">
        <w:r w:rsidDel="00000000" w:rsidR="00000000" w:rsidRPr="00000000">
          <w:rPr>
            <w:rFonts w:ascii="Times New Roman" w:cs="Times New Roman" w:eastAsia="Times New Roman" w:hAnsi="Times New Roman"/>
            <w:color w:val="1155cc"/>
            <w:sz w:val="24"/>
            <w:szCs w:val="24"/>
            <w:u w:val="single"/>
            <w:rtl w:val="0"/>
          </w:rPr>
          <w:t xml:space="preserve">https://doi.org/10.3389/frsc.2025.1628137</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D">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Mahandani, P.H.P. and Su, K. (2025). Shaping CSR in Indonesia: The Role of Customer Concentration. </w:t>
      </w:r>
      <w:r w:rsidDel="00000000" w:rsidR="00000000" w:rsidRPr="00000000">
        <w:rPr>
          <w:rFonts w:ascii="Times New Roman" w:cs="Times New Roman" w:eastAsia="Times New Roman" w:hAnsi="Times New Roman"/>
          <w:i w:val="1"/>
          <w:iCs w:val="1"/>
          <w:sz w:val="24"/>
          <w:szCs w:val="24"/>
          <w:rtl w:val="0"/>
        </w:rPr>
        <w:t xml:space="preserve">Sustainability</w:t>
      </w:r>
      <w:r w:rsidDel="00000000" w:rsidR="00000000" w:rsidRPr="00000000">
        <w:rPr>
          <w:rFonts w:ascii="Times New Roman" w:cs="Times New Roman" w:eastAsia="Times New Roman" w:hAnsi="Times New Roman"/>
          <w:sz w:val="24"/>
          <w:szCs w:val="24"/>
          <w:rtl w:val="0"/>
        </w:rPr>
        <w:t xml:space="preserve">, 17(19), p.8763. doi:</w:t>
      </w:r>
      <w:hyperlink r:id="rId35">
        <w:r w:rsidDel="00000000" w:rsidR="00000000" w:rsidRPr="00000000">
          <w:rPr>
            <w:rFonts w:ascii="Times New Roman" w:cs="Times New Roman" w:eastAsia="Times New Roman" w:hAnsi="Times New Roman"/>
            <w:color w:val="1155cc"/>
            <w:sz w:val="24"/>
            <w:szCs w:val="24"/>
            <w:u w:val="single"/>
            <w:rtl w:val="0"/>
          </w:rPr>
          <w:t xml:space="preserve">https://doi.org/10.3390/su17198763</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E">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Małecka, A. and Pfajfar, G. (2025). Conceptualizing consumer resistance in global consumer culture: framework and research agenda. </w:t>
      </w:r>
      <w:r w:rsidDel="00000000" w:rsidR="00000000" w:rsidRPr="00000000">
        <w:rPr>
          <w:rFonts w:ascii="Times New Roman" w:cs="Times New Roman" w:eastAsia="Times New Roman" w:hAnsi="Times New Roman"/>
          <w:i w:val="1"/>
          <w:iCs w:val="1"/>
          <w:sz w:val="24"/>
          <w:szCs w:val="24"/>
          <w:rtl w:val="0"/>
        </w:rPr>
        <w:t xml:space="preserve">International Marketing Review</w:t>
      </w:r>
      <w:r w:rsidDel="00000000" w:rsidR="00000000" w:rsidRPr="00000000">
        <w:rPr>
          <w:rFonts w:ascii="Times New Roman" w:cs="Times New Roman" w:eastAsia="Times New Roman" w:hAnsi="Times New Roman"/>
          <w:sz w:val="24"/>
          <w:szCs w:val="24"/>
          <w:rtl w:val="0"/>
        </w:rPr>
        <w:t xml:space="preserve">, [online] 42(7), pp.1–46. doi:</w:t>
      </w:r>
      <w:hyperlink r:id="rId36">
        <w:r w:rsidDel="00000000" w:rsidR="00000000" w:rsidRPr="00000000">
          <w:rPr>
            <w:rFonts w:ascii="Times New Roman" w:cs="Times New Roman" w:eastAsia="Times New Roman" w:hAnsi="Times New Roman"/>
            <w:color w:val="1155cc"/>
            <w:sz w:val="24"/>
            <w:szCs w:val="24"/>
            <w:u w:val="single"/>
            <w:rtl w:val="0"/>
          </w:rPr>
          <w:t xml:space="preserve">https://doi.org/10.1108/imr-03-2025-0143</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F">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Maylor, H., Geraldi, J., Budzier, A., Turner, N. and Johnson, M. (2023). Mind the gap: Towards performance measurement beyond a plan-execute logic. </w:t>
      </w:r>
      <w:r w:rsidDel="00000000" w:rsidR="00000000" w:rsidRPr="00000000">
        <w:rPr>
          <w:rFonts w:ascii="Times New Roman" w:cs="Times New Roman" w:eastAsia="Times New Roman" w:hAnsi="Times New Roman"/>
          <w:i w:val="1"/>
          <w:iCs w:val="1"/>
          <w:sz w:val="24"/>
          <w:szCs w:val="24"/>
          <w:rtl w:val="0"/>
        </w:rPr>
        <w:t xml:space="preserve">International Journal of Project Management</w:t>
      </w:r>
      <w:r w:rsidDel="00000000" w:rsidR="00000000" w:rsidRPr="00000000">
        <w:rPr>
          <w:rFonts w:ascii="Times New Roman" w:cs="Times New Roman" w:eastAsia="Times New Roman" w:hAnsi="Times New Roman"/>
          <w:sz w:val="24"/>
          <w:szCs w:val="24"/>
          <w:rtl w:val="0"/>
        </w:rPr>
        <w:t xml:space="preserve">, 41(4), p.102467. doi:</w:t>
      </w:r>
      <w:hyperlink r:id="rId37">
        <w:r w:rsidDel="00000000" w:rsidR="00000000" w:rsidRPr="00000000">
          <w:rPr>
            <w:rFonts w:ascii="Times New Roman" w:cs="Times New Roman" w:eastAsia="Times New Roman" w:hAnsi="Times New Roman"/>
            <w:color w:val="1155cc"/>
            <w:sz w:val="24"/>
            <w:szCs w:val="24"/>
            <w:u w:val="single"/>
            <w:rtl w:val="0"/>
          </w:rPr>
          <w:t xml:space="preserve">https://doi.org/10.1016/j.ijproman.2023.102467</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0">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Mohiuddin, A. (2023). Globalisation, Identity and Resistance. </w:t>
      </w:r>
      <w:r w:rsidDel="00000000" w:rsidR="00000000" w:rsidRPr="00000000">
        <w:rPr>
          <w:rFonts w:ascii="Times New Roman" w:cs="Times New Roman" w:eastAsia="Times New Roman" w:hAnsi="Times New Roman"/>
          <w:i w:val="1"/>
          <w:iCs w:val="1"/>
          <w:sz w:val="24"/>
          <w:szCs w:val="24"/>
          <w:rtl w:val="0"/>
        </w:rPr>
        <w:t xml:space="preserve">Globalisation, Identity and Resistance</w:t>
      </w:r>
      <w:r w:rsidDel="00000000" w:rsidR="00000000" w:rsidRPr="00000000">
        <w:rPr>
          <w:rFonts w:ascii="Times New Roman" w:cs="Times New Roman" w:eastAsia="Times New Roman" w:hAnsi="Times New Roman"/>
          <w:sz w:val="24"/>
          <w:szCs w:val="24"/>
          <w:rtl w:val="0"/>
        </w:rPr>
        <w:t xml:space="preserve">, pp.17–71. doi:</w:t>
      </w:r>
      <w:hyperlink r:id="rId38">
        <w:r w:rsidDel="00000000" w:rsidR="00000000" w:rsidRPr="00000000">
          <w:rPr>
            <w:rFonts w:ascii="Times New Roman" w:cs="Times New Roman" w:eastAsia="Times New Roman" w:hAnsi="Times New Roman"/>
            <w:color w:val="1155cc"/>
            <w:sz w:val="24"/>
            <w:szCs w:val="24"/>
            <w:u w:val="single"/>
            <w:rtl w:val="0"/>
          </w:rPr>
          <w:t xml:space="preserve">https://doi.org/10.1007/978-3-031-44825-6_2</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1">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 S., Torelli, C.J., Zhang, Y. (Allen) and Li, Y. (2025). Globalization Unveiled: Navigating the Impact of Firm and Consumer. </w:t>
      </w:r>
      <w:r w:rsidDel="00000000" w:rsidR="00000000" w:rsidRPr="00000000">
        <w:rPr>
          <w:rFonts w:ascii="Times New Roman" w:cs="Times New Roman" w:eastAsia="Times New Roman" w:hAnsi="Times New Roman"/>
          <w:i w:val="1"/>
          <w:iCs w:val="1"/>
          <w:sz w:val="24"/>
          <w:szCs w:val="24"/>
          <w:rtl w:val="0"/>
        </w:rPr>
        <w:t xml:space="preserve">Foundations and Trends® in Marketing</w:t>
      </w:r>
      <w:r w:rsidDel="00000000" w:rsidR="00000000" w:rsidRPr="00000000">
        <w:rPr>
          <w:rFonts w:ascii="Times New Roman" w:cs="Times New Roman" w:eastAsia="Times New Roman" w:hAnsi="Times New Roman"/>
          <w:sz w:val="24"/>
          <w:szCs w:val="24"/>
          <w:rtl w:val="0"/>
        </w:rPr>
        <w:t xml:space="preserve">, 19(2), pp.64–162. doi:</w:t>
      </w:r>
      <w:hyperlink r:id="rId39">
        <w:r w:rsidDel="00000000" w:rsidR="00000000" w:rsidRPr="00000000">
          <w:rPr>
            <w:rFonts w:ascii="Times New Roman" w:cs="Times New Roman" w:eastAsia="Times New Roman" w:hAnsi="Times New Roman"/>
            <w:color w:val="1155cc"/>
            <w:sz w:val="24"/>
            <w:szCs w:val="24"/>
            <w:u w:val="single"/>
            <w:rtl w:val="0"/>
          </w:rPr>
          <w:t xml:space="preserve">https://doi.org/10.1561/1700000081</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2">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Olivier Berthod (2022). Institutional Theory of Organizations. </w:t>
      </w:r>
      <w:r w:rsidDel="00000000" w:rsidR="00000000" w:rsidRPr="00000000">
        <w:rPr>
          <w:rFonts w:ascii="Times New Roman" w:cs="Times New Roman" w:eastAsia="Times New Roman" w:hAnsi="Times New Roman"/>
          <w:i w:val="1"/>
          <w:iCs w:val="1"/>
          <w:sz w:val="24"/>
          <w:szCs w:val="24"/>
          <w:rtl w:val="0"/>
        </w:rPr>
        <w:t xml:space="preserve">Springer eBooks</w:t>
      </w:r>
      <w:r w:rsidDel="00000000" w:rsidR="00000000" w:rsidRPr="00000000">
        <w:rPr>
          <w:rFonts w:ascii="Times New Roman" w:cs="Times New Roman" w:eastAsia="Times New Roman" w:hAnsi="Times New Roman"/>
          <w:sz w:val="24"/>
          <w:szCs w:val="24"/>
          <w:rtl w:val="0"/>
        </w:rPr>
        <w:t xml:space="preserve">, pp.6789–6793. doi:</w:t>
      </w:r>
      <w:hyperlink r:id="rId40">
        <w:r w:rsidDel="00000000" w:rsidR="00000000" w:rsidRPr="00000000">
          <w:rPr>
            <w:rFonts w:ascii="Times New Roman" w:cs="Times New Roman" w:eastAsia="Times New Roman" w:hAnsi="Times New Roman"/>
            <w:color w:val="1155cc"/>
            <w:sz w:val="24"/>
            <w:szCs w:val="24"/>
            <w:u w:val="single"/>
            <w:rtl w:val="0"/>
          </w:rPr>
          <w:t xml:space="preserve">https://doi.org/10.1007/978-3-030-66252-3_63</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3">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Ouyang, Y., Zhu, H., Zou, M. and Gao, Q. (2026). Corporate Social Responsibility with Chinese Characteristics: Institutional Embeddedness, Political Logic, and Comparative Theoretical Perspective. </w:t>
      </w:r>
      <w:r w:rsidDel="00000000" w:rsidR="00000000" w:rsidRPr="00000000">
        <w:rPr>
          <w:rFonts w:ascii="Times New Roman" w:cs="Times New Roman" w:eastAsia="Times New Roman" w:hAnsi="Times New Roman"/>
          <w:i w:val="1"/>
          <w:iCs w:val="1"/>
          <w:sz w:val="24"/>
          <w:szCs w:val="24"/>
          <w:rtl w:val="0"/>
        </w:rPr>
        <w:t xml:space="preserve">Societies</w:t>
      </w:r>
      <w:r w:rsidDel="00000000" w:rsidR="00000000" w:rsidRPr="00000000">
        <w:rPr>
          <w:rFonts w:ascii="Times New Roman" w:cs="Times New Roman" w:eastAsia="Times New Roman" w:hAnsi="Times New Roman"/>
          <w:sz w:val="24"/>
          <w:szCs w:val="24"/>
          <w:rtl w:val="0"/>
        </w:rPr>
        <w:t xml:space="preserve">, [online] 16(1), pp.19–19. doi:</w:t>
      </w:r>
      <w:hyperlink r:id="rId41">
        <w:r w:rsidDel="00000000" w:rsidR="00000000" w:rsidRPr="00000000">
          <w:rPr>
            <w:rFonts w:ascii="Times New Roman" w:cs="Times New Roman" w:eastAsia="Times New Roman" w:hAnsi="Times New Roman"/>
            <w:color w:val="1155cc"/>
            <w:sz w:val="24"/>
            <w:szCs w:val="24"/>
            <w:u w:val="single"/>
            <w:rtl w:val="0"/>
          </w:rPr>
          <w:t xml:space="preserve">https://doi.org/10.3390/soc16010019</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4">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Pacheco-Cubillos, D.B., Boria-Reverter, J. and Gil-Lafuente, J. (2024). Transitioning to Agile Organizational Structures: A Contingency Theory Approach in the Financial Sector. </w:t>
      </w:r>
      <w:r w:rsidDel="00000000" w:rsidR="00000000" w:rsidRPr="00000000">
        <w:rPr>
          <w:rFonts w:ascii="Times New Roman" w:cs="Times New Roman" w:eastAsia="Times New Roman" w:hAnsi="Times New Roman"/>
          <w:i w:val="1"/>
          <w:iCs w:val="1"/>
          <w:sz w:val="24"/>
          <w:szCs w:val="24"/>
          <w:rtl w:val="0"/>
        </w:rPr>
        <w:t xml:space="preserve">Systems</w:t>
      </w:r>
      <w:r w:rsidDel="00000000" w:rsidR="00000000" w:rsidRPr="00000000">
        <w:rPr>
          <w:rFonts w:ascii="Times New Roman" w:cs="Times New Roman" w:eastAsia="Times New Roman" w:hAnsi="Times New Roman"/>
          <w:sz w:val="24"/>
          <w:szCs w:val="24"/>
          <w:rtl w:val="0"/>
        </w:rPr>
        <w:t xml:space="preserve">, [online] 12(4), p.142. doi:</w:t>
      </w:r>
      <w:hyperlink r:id="rId42">
        <w:r w:rsidDel="00000000" w:rsidR="00000000" w:rsidRPr="00000000">
          <w:rPr>
            <w:rFonts w:ascii="Times New Roman" w:cs="Times New Roman" w:eastAsia="Times New Roman" w:hAnsi="Times New Roman"/>
            <w:color w:val="1155cc"/>
            <w:sz w:val="24"/>
            <w:szCs w:val="24"/>
            <w:u w:val="single"/>
            <w:rtl w:val="0"/>
          </w:rPr>
          <w:t xml:space="preserve">https://doi.org/10.3390/systems12040142</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5">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Qi, M., Abdullah, Z. and Rahman, A. (2024). Navigating the Digital Landscape: Evaluating the Impacts of Digital IMC on Building and Maintaining Destination Brand Equity. </w:t>
      </w:r>
      <w:r w:rsidDel="00000000" w:rsidR="00000000" w:rsidRPr="00000000">
        <w:rPr>
          <w:rFonts w:ascii="Times New Roman" w:cs="Times New Roman" w:eastAsia="Times New Roman" w:hAnsi="Times New Roman"/>
          <w:i w:val="1"/>
          <w:iCs w:val="1"/>
          <w:sz w:val="24"/>
          <w:szCs w:val="24"/>
          <w:rtl w:val="0"/>
        </w:rPr>
        <w:t xml:space="preserve">Sustainability</w:t>
      </w:r>
      <w:r w:rsidDel="00000000" w:rsidR="00000000" w:rsidRPr="00000000">
        <w:rPr>
          <w:rFonts w:ascii="Times New Roman" w:cs="Times New Roman" w:eastAsia="Times New Roman" w:hAnsi="Times New Roman"/>
          <w:sz w:val="24"/>
          <w:szCs w:val="24"/>
          <w:rtl w:val="0"/>
        </w:rPr>
        <w:t xml:space="preserve">, [online] 16(20), pp.8914–8914. doi:</w:t>
      </w:r>
      <w:hyperlink r:id="rId43">
        <w:r w:rsidDel="00000000" w:rsidR="00000000" w:rsidRPr="00000000">
          <w:rPr>
            <w:rFonts w:ascii="Times New Roman" w:cs="Times New Roman" w:eastAsia="Times New Roman" w:hAnsi="Times New Roman"/>
            <w:color w:val="1155cc"/>
            <w:sz w:val="24"/>
            <w:szCs w:val="24"/>
            <w:u w:val="single"/>
            <w:rtl w:val="0"/>
          </w:rPr>
          <w:t xml:space="preserve">https://doi.org/10.3390/su16208914</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6">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Raihan, A., Khan, R., Alam, M.M., Voumik, L.C., Ahmed, S. and Rahman, H. (2025). Energy-Economy-Environment Nexus Toward Sustainable Development: The Function of Globalization and Technological Innovation on Load Capacity Factor in Thailand. </w:t>
      </w:r>
      <w:r w:rsidDel="00000000" w:rsidR="00000000" w:rsidRPr="00000000">
        <w:rPr>
          <w:rFonts w:ascii="Times New Roman" w:cs="Times New Roman" w:eastAsia="Times New Roman" w:hAnsi="Times New Roman"/>
          <w:i w:val="1"/>
          <w:iCs w:val="1"/>
          <w:sz w:val="24"/>
          <w:szCs w:val="24"/>
          <w:rtl w:val="0"/>
        </w:rPr>
        <w:t xml:space="preserve">Environmental Processes</w:t>
      </w:r>
      <w:r w:rsidDel="00000000" w:rsidR="00000000" w:rsidRPr="00000000">
        <w:rPr>
          <w:rFonts w:ascii="Times New Roman" w:cs="Times New Roman" w:eastAsia="Times New Roman" w:hAnsi="Times New Roman"/>
          <w:sz w:val="24"/>
          <w:szCs w:val="24"/>
          <w:rtl w:val="0"/>
        </w:rPr>
        <w:t xml:space="preserve">, 12(1). doi:</w:t>
      </w:r>
      <w:hyperlink r:id="rId44">
        <w:r w:rsidDel="00000000" w:rsidR="00000000" w:rsidRPr="00000000">
          <w:rPr>
            <w:rFonts w:ascii="Times New Roman" w:cs="Times New Roman" w:eastAsia="Times New Roman" w:hAnsi="Times New Roman"/>
            <w:color w:val="1155cc"/>
            <w:sz w:val="24"/>
            <w:szCs w:val="24"/>
            <w:u w:val="single"/>
            <w:rtl w:val="0"/>
          </w:rPr>
          <w:t xml:space="preserve">https://doi.org/10.1007/s40710-024-00742-2</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7">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Rao, Y., Fang, M., Liu, C. and Xu, X. (2023). Understanding the process of a new product category from birth to maturity in the restaurant market: a knowledge evolution perspective. </w:t>
      </w:r>
      <w:r w:rsidDel="00000000" w:rsidR="00000000" w:rsidRPr="00000000">
        <w:rPr>
          <w:rFonts w:ascii="Times New Roman" w:cs="Times New Roman" w:eastAsia="Times New Roman" w:hAnsi="Times New Roman"/>
          <w:i w:val="1"/>
          <w:iCs w:val="1"/>
          <w:sz w:val="24"/>
          <w:szCs w:val="24"/>
          <w:rtl w:val="0"/>
        </w:rPr>
        <w:t xml:space="preserve">International Journal of Contemporary Hospitality Management</w:t>
      </w:r>
      <w:r w:rsidDel="00000000" w:rsidR="00000000" w:rsidRPr="00000000">
        <w:rPr>
          <w:rFonts w:ascii="Times New Roman" w:cs="Times New Roman" w:eastAsia="Times New Roman" w:hAnsi="Times New Roman"/>
          <w:sz w:val="24"/>
          <w:szCs w:val="24"/>
          <w:rtl w:val="0"/>
        </w:rPr>
        <w:t xml:space="preserve">. doi:</w:t>
      </w:r>
      <w:hyperlink r:id="rId45">
        <w:r w:rsidDel="00000000" w:rsidR="00000000" w:rsidRPr="00000000">
          <w:rPr>
            <w:rFonts w:ascii="Times New Roman" w:cs="Times New Roman" w:eastAsia="Times New Roman" w:hAnsi="Times New Roman"/>
            <w:color w:val="1155cc"/>
            <w:sz w:val="24"/>
            <w:szCs w:val="24"/>
            <w:u w:val="single"/>
            <w:rtl w:val="0"/>
          </w:rPr>
          <w:t xml:space="preserve">https://doi.org/10.1108/ijchm-12-2022-1568</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8">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Rashkova, Y., Moi, L., Marku, E. and Cabiddu, F. (2023). Online integrated marketing communication strategies of international brands: standardization vs. adaptation approaches. </w:t>
      </w:r>
      <w:r w:rsidDel="00000000" w:rsidR="00000000" w:rsidRPr="00000000">
        <w:rPr>
          <w:rFonts w:ascii="Times New Roman" w:cs="Times New Roman" w:eastAsia="Times New Roman" w:hAnsi="Times New Roman"/>
          <w:i w:val="1"/>
          <w:iCs w:val="1"/>
          <w:sz w:val="24"/>
          <w:szCs w:val="24"/>
          <w:rtl w:val="0"/>
        </w:rPr>
        <w:t xml:space="preserve">Journal of Marketing Communications</w:t>
      </w:r>
      <w:r w:rsidDel="00000000" w:rsidR="00000000" w:rsidRPr="00000000">
        <w:rPr>
          <w:rFonts w:ascii="Times New Roman" w:cs="Times New Roman" w:eastAsia="Times New Roman" w:hAnsi="Times New Roman"/>
          <w:sz w:val="24"/>
          <w:szCs w:val="24"/>
          <w:rtl w:val="0"/>
        </w:rPr>
        <w:t xml:space="preserve">, 30(7), pp.1–24. </w:t>
      </w:r>
    </w:p>
    <w:p w:rsidR="00000000" w:rsidDel="00000000" w:rsidP="00000000" w:rsidRDefault="00000000" w:rsidRPr="00000000" w14:paraId="000000B9">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Roll, O. and Geerties, J.L. (2025). Unlocking value-based pricing: the moderating roles of pricing capabilities and contingency factors in B2B markets: an empirical approach. </w:t>
      </w:r>
      <w:r w:rsidDel="00000000" w:rsidR="00000000" w:rsidRPr="00000000">
        <w:rPr>
          <w:rFonts w:ascii="Times New Roman" w:cs="Times New Roman" w:eastAsia="Times New Roman" w:hAnsi="Times New Roman"/>
          <w:i w:val="1"/>
          <w:iCs w:val="1"/>
          <w:sz w:val="24"/>
          <w:szCs w:val="24"/>
          <w:rtl w:val="0"/>
        </w:rPr>
        <w:t xml:space="preserve">Journal of Revenue and Pricing Management</w:t>
      </w:r>
      <w:r w:rsidDel="00000000" w:rsidR="00000000" w:rsidRPr="00000000">
        <w:rPr>
          <w:rFonts w:ascii="Times New Roman" w:cs="Times New Roman" w:eastAsia="Times New Roman" w:hAnsi="Times New Roman"/>
          <w:sz w:val="24"/>
          <w:szCs w:val="24"/>
          <w:rtl w:val="0"/>
        </w:rPr>
        <w:t xml:space="preserve">. doi:</w:t>
      </w:r>
      <w:hyperlink r:id="rId46">
        <w:r w:rsidDel="00000000" w:rsidR="00000000" w:rsidRPr="00000000">
          <w:rPr>
            <w:rFonts w:ascii="Times New Roman" w:cs="Times New Roman" w:eastAsia="Times New Roman" w:hAnsi="Times New Roman"/>
            <w:color w:val="1155cc"/>
            <w:sz w:val="24"/>
            <w:szCs w:val="24"/>
            <w:u w:val="single"/>
            <w:rtl w:val="0"/>
          </w:rPr>
          <w:t xml:space="preserve">https://doi.org/10.1057/s41272-025-00530-z</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A">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Rong, K. (2022). Research agenda for the digital economy: An IBCDE framework. </w:t>
      </w:r>
      <w:r w:rsidDel="00000000" w:rsidR="00000000" w:rsidRPr="00000000">
        <w:rPr>
          <w:rFonts w:ascii="Times New Roman" w:cs="Times New Roman" w:eastAsia="Times New Roman" w:hAnsi="Times New Roman"/>
          <w:i w:val="1"/>
          <w:iCs w:val="1"/>
          <w:sz w:val="24"/>
          <w:szCs w:val="24"/>
          <w:rtl w:val="0"/>
        </w:rPr>
        <w:t xml:space="preserve">Journal of Digital Economy</w:t>
      </w:r>
      <w:r w:rsidDel="00000000" w:rsidR="00000000" w:rsidRPr="00000000">
        <w:rPr>
          <w:rFonts w:ascii="Times New Roman" w:cs="Times New Roman" w:eastAsia="Times New Roman" w:hAnsi="Times New Roman"/>
          <w:sz w:val="24"/>
          <w:szCs w:val="24"/>
          <w:rtl w:val="0"/>
        </w:rPr>
        <w:t xml:space="preserve">, 1(1). doi:</w:t>
      </w:r>
      <w:hyperlink r:id="rId47">
        <w:r w:rsidDel="00000000" w:rsidR="00000000" w:rsidRPr="00000000">
          <w:rPr>
            <w:rFonts w:ascii="Times New Roman" w:cs="Times New Roman" w:eastAsia="Times New Roman" w:hAnsi="Times New Roman"/>
            <w:color w:val="1155cc"/>
            <w:sz w:val="24"/>
            <w:szCs w:val="24"/>
            <w:u w:val="single"/>
            <w:rtl w:val="0"/>
          </w:rPr>
          <w:t xml:space="preserve">https://doi.org/10.1016/j.jdec.2022.08.004</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B">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Safeer, A.A., Zhou, Y., Abrar, M. and Luo, F. (2022). Consumer Perceptions of Brand Localness and Globalness in Emerging Markets: A Cross-Cultural Context. </w:t>
      </w:r>
      <w:r w:rsidDel="00000000" w:rsidR="00000000" w:rsidRPr="00000000">
        <w:rPr>
          <w:rFonts w:ascii="Times New Roman" w:cs="Times New Roman" w:eastAsia="Times New Roman" w:hAnsi="Times New Roman"/>
          <w:i w:val="1"/>
          <w:iCs w:val="1"/>
          <w:sz w:val="24"/>
          <w:szCs w:val="24"/>
          <w:rtl w:val="0"/>
        </w:rPr>
        <w:t xml:space="preserve">Frontiers in Psychology</w:t>
      </w:r>
      <w:r w:rsidDel="00000000" w:rsidR="00000000" w:rsidRPr="00000000">
        <w:rPr>
          <w:rFonts w:ascii="Times New Roman" w:cs="Times New Roman" w:eastAsia="Times New Roman" w:hAnsi="Times New Roman"/>
          <w:sz w:val="24"/>
          <w:szCs w:val="24"/>
          <w:rtl w:val="0"/>
        </w:rPr>
        <w:t xml:space="preserve">, [online] 13. doi:</w:t>
      </w:r>
      <w:hyperlink r:id="rId48">
        <w:r w:rsidDel="00000000" w:rsidR="00000000" w:rsidRPr="00000000">
          <w:rPr>
            <w:rFonts w:ascii="Times New Roman" w:cs="Times New Roman" w:eastAsia="Times New Roman" w:hAnsi="Times New Roman"/>
            <w:color w:val="1155cc"/>
            <w:sz w:val="24"/>
            <w:szCs w:val="24"/>
            <w:u w:val="single"/>
            <w:rtl w:val="0"/>
          </w:rPr>
          <w:t xml:space="preserve">https://doi.org/10.3389/fpsyg.2022.919020</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C">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 J., Gao, X. and Tan, J. (2023). Positioning for optimal distinctiveness: How firms manage competitive and institutional pressures under dynamic and complex environments. </w:t>
      </w:r>
      <w:r w:rsidDel="00000000" w:rsidR="00000000" w:rsidRPr="00000000">
        <w:rPr>
          <w:rFonts w:ascii="Times New Roman" w:cs="Times New Roman" w:eastAsia="Times New Roman" w:hAnsi="Times New Roman"/>
          <w:i w:val="1"/>
          <w:iCs w:val="1"/>
          <w:sz w:val="24"/>
          <w:szCs w:val="24"/>
          <w:rtl w:val="0"/>
        </w:rPr>
        <w:t xml:space="preserve">Strategic Management Journal</w:t>
      </w:r>
      <w:r w:rsidDel="00000000" w:rsidR="00000000" w:rsidRPr="00000000">
        <w:rPr>
          <w:rFonts w:ascii="Times New Roman" w:cs="Times New Roman" w:eastAsia="Times New Roman" w:hAnsi="Times New Roman"/>
          <w:sz w:val="24"/>
          <w:szCs w:val="24"/>
          <w:rtl w:val="0"/>
        </w:rPr>
        <w:t xml:space="preserve">, 45(2). doi:</w:t>
      </w:r>
      <w:hyperlink r:id="rId49">
        <w:r w:rsidDel="00000000" w:rsidR="00000000" w:rsidRPr="00000000">
          <w:rPr>
            <w:rFonts w:ascii="Times New Roman" w:cs="Times New Roman" w:eastAsia="Times New Roman" w:hAnsi="Times New Roman"/>
            <w:color w:val="1155cc"/>
            <w:sz w:val="24"/>
            <w:szCs w:val="24"/>
            <w:u w:val="single"/>
            <w:rtl w:val="0"/>
          </w:rPr>
          <w:t xml:space="preserve">https://doi.org/10.1002/smj.3549</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D">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 P., Doh, J.P., Rajwani, T., Werner, T. and Luo, X. (2023). The Management of Socio‐Political Issues and Environments: Toward a Research Agenda for Corporate Socio‐Political Engagement. </w:t>
      </w:r>
      <w:r w:rsidDel="00000000" w:rsidR="00000000" w:rsidRPr="00000000">
        <w:rPr>
          <w:rFonts w:ascii="Times New Roman" w:cs="Times New Roman" w:eastAsia="Times New Roman" w:hAnsi="Times New Roman"/>
          <w:i w:val="1"/>
          <w:iCs w:val="1"/>
          <w:sz w:val="24"/>
          <w:szCs w:val="24"/>
          <w:rtl w:val="0"/>
        </w:rPr>
        <w:t xml:space="preserve">Journal of Management Studies</w:t>
      </w:r>
      <w:r w:rsidDel="00000000" w:rsidR="00000000" w:rsidRPr="00000000">
        <w:rPr>
          <w:rFonts w:ascii="Times New Roman" w:cs="Times New Roman" w:eastAsia="Times New Roman" w:hAnsi="Times New Roman"/>
          <w:sz w:val="24"/>
          <w:szCs w:val="24"/>
          <w:rtl w:val="0"/>
        </w:rPr>
        <w:t xml:space="preserve">, 61(2). doi:</w:t>
      </w:r>
      <w:hyperlink r:id="rId50">
        <w:r w:rsidDel="00000000" w:rsidR="00000000" w:rsidRPr="00000000">
          <w:rPr>
            <w:rFonts w:ascii="Times New Roman" w:cs="Times New Roman" w:eastAsia="Times New Roman" w:hAnsi="Times New Roman"/>
            <w:color w:val="1155cc"/>
            <w:sz w:val="24"/>
            <w:szCs w:val="24"/>
            <w:u w:val="single"/>
            <w:rtl w:val="0"/>
          </w:rPr>
          <w:t xml:space="preserve">https://doi.org/10.1111/joms.13002</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E">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Wu, J., Yuan, F., Yu, L. and Yang, J. (2024). Examining sectoral differences and locational determinants of acquisition target selection at the sub-national scale: Evidences from China. </w:t>
      </w:r>
      <w:r w:rsidDel="00000000" w:rsidR="00000000" w:rsidRPr="00000000">
        <w:rPr>
          <w:rFonts w:ascii="Times New Roman" w:cs="Times New Roman" w:eastAsia="Times New Roman" w:hAnsi="Times New Roman"/>
          <w:i w:val="1"/>
          <w:iCs w:val="1"/>
          <w:sz w:val="24"/>
          <w:szCs w:val="24"/>
          <w:rtl w:val="0"/>
        </w:rPr>
        <w:t xml:space="preserve">Applied geography</w:t>
      </w:r>
      <w:r w:rsidDel="00000000" w:rsidR="00000000" w:rsidRPr="00000000">
        <w:rPr>
          <w:rFonts w:ascii="Times New Roman" w:cs="Times New Roman" w:eastAsia="Times New Roman" w:hAnsi="Times New Roman"/>
          <w:sz w:val="24"/>
          <w:szCs w:val="24"/>
          <w:rtl w:val="0"/>
        </w:rPr>
        <w:t xml:space="preserve">, 162, pp.103144–103144. doi:</w:t>
      </w:r>
      <w:hyperlink r:id="rId51">
        <w:r w:rsidDel="00000000" w:rsidR="00000000" w:rsidRPr="00000000">
          <w:rPr>
            <w:rFonts w:ascii="Times New Roman" w:cs="Times New Roman" w:eastAsia="Times New Roman" w:hAnsi="Times New Roman"/>
            <w:color w:val="1155cc"/>
            <w:sz w:val="24"/>
            <w:szCs w:val="24"/>
            <w:u w:val="single"/>
            <w:rtl w:val="0"/>
          </w:rPr>
          <w:t xml:space="preserve">https://doi.org/10.1016/j.apgeog.2023.103144</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F">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Xiao, S., Roh, T. and Park, B. (2025). Entrepreneurial Orientation, Environmental Dynamism, and Disruptive Sustainability in Emerging Markets: Evidence From MNE Subsidiaries in China. </w:t>
      </w:r>
      <w:r w:rsidDel="00000000" w:rsidR="00000000" w:rsidRPr="00000000">
        <w:rPr>
          <w:rFonts w:ascii="Times New Roman" w:cs="Times New Roman" w:eastAsia="Times New Roman" w:hAnsi="Times New Roman"/>
          <w:i w:val="1"/>
          <w:iCs w:val="1"/>
          <w:sz w:val="24"/>
          <w:szCs w:val="24"/>
          <w:rtl w:val="0"/>
        </w:rPr>
        <w:t xml:space="preserve">Business Strategy and the Environment</w:t>
      </w:r>
      <w:r w:rsidDel="00000000" w:rsidR="00000000" w:rsidRPr="00000000">
        <w:rPr>
          <w:rFonts w:ascii="Times New Roman" w:cs="Times New Roman" w:eastAsia="Times New Roman" w:hAnsi="Times New Roman"/>
          <w:sz w:val="24"/>
          <w:szCs w:val="24"/>
          <w:rtl w:val="0"/>
        </w:rPr>
        <w:t xml:space="preserve">. doi:</w:t>
      </w:r>
      <w:hyperlink r:id="rId52">
        <w:r w:rsidDel="00000000" w:rsidR="00000000" w:rsidRPr="00000000">
          <w:rPr>
            <w:rFonts w:ascii="Times New Roman" w:cs="Times New Roman" w:eastAsia="Times New Roman" w:hAnsi="Times New Roman"/>
            <w:color w:val="1155cc"/>
            <w:sz w:val="24"/>
            <w:szCs w:val="24"/>
            <w:u w:val="single"/>
            <w:rtl w:val="0"/>
          </w:rPr>
          <w:t xml:space="preserve">https://doi.org/10.1002/bse.70105</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0">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Yang, S. (2023). </w:t>
      </w:r>
      <w:r w:rsidDel="00000000" w:rsidR="00000000" w:rsidRPr="00000000">
        <w:rPr>
          <w:rFonts w:ascii="Times New Roman" w:cs="Times New Roman" w:eastAsia="Times New Roman" w:hAnsi="Times New Roman"/>
          <w:i w:val="1"/>
          <w:iCs w:val="1"/>
          <w:sz w:val="24"/>
          <w:szCs w:val="24"/>
          <w:rtl w:val="0"/>
        </w:rPr>
        <w:t xml:space="preserve">The exploration about the textual internet meme: a case study of KFC Crazy Thursday textual meme marketing activity in mainland China</w:t>
      </w:r>
      <w:r w:rsidDel="00000000" w:rsidR="00000000" w:rsidRPr="00000000">
        <w:rPr>
          <w:rFonts w:ascii="Times New Roman" w:cs="Times New Roman" w:eastAsia="Times New Roman" w:hAnsi="Times New Roman"/>
          <w:sz w:val="24"/>
          <w:szCs w:val="24"/>
          <w:rtl w:val="0"/>
        </w:rPr>
        <w:t xml:space="preserve">. [online] Lub.lu.se. Available at: </w:t>
      </w:r>
      <w:hyperlink r:id="rId53">
        <w:r w:rsidDel="00000000" w:rsidR="00000000" w:rsidRPr="00000000">
          <w:rPr>
            <w:rFonts w:ascii="Times New Roman" w:cs="Times New Roman" w:eastAsia="Times New Roman" w:hAnsi="Times New Roman"/>
            <w:color w:val="1155cc"/>
            <w:sz w:val="24"/>
            <w:szCs w:val="24"/>
            <w:u w:val="single"/>
            <w:rtl w:val="0"/>
          </w:rPr>
          <w:t xml:space="preserve">https://lup.lub.lu.se/student-papers/search/publication/9138591</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1">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Zhang, Y. (2024). The Impact of Sustainable Development Strategies on the Valuation of KFC. </w:t>
      </w:r>
      <w:r w:rsidDel="00000000" w:rsidR="00000000" w:rsidRPr="00000000">
        <w:rPr>
          <w:rFonts w:ascii="Times New Roman" w:cs="Times New Roman" w:eastAsia="Times New Roman" w:hAnsi="Times New Roman"/>
          <w:i w:val="1"/>
          <w:iCs w:val="1"/>
          <w:sz w:val="24"/>
          <w:szCs w:val="24"/>
          <w:rtl w:val="0"/>
        </w:rPr>
        <w:t xml:space="preserve">Advances in Economics, Management and Political Sciences</w:t>
      </w:r>
      <w:r w:rsidDel="00000000" w:rsidR="00000000" w:rsidRPr="00000000">
        <w:rPr>
          <w:rFonts w:ascii="Times New Roman" w:cs="Times New Roman" w:eastAsia="Times New Roman" w:hAnsi="Times New Roman"/>
          <w:sz w:val="24"/>
          <w:szCs w:val="24"/>
          <w:rtl w:val="0"/>
        </w:rPr>
        <w:t xml:space="preserve">, 99(1), pp.33–39. doi:</w:t>
      </w:r>
      <w:hyperlink r:id="rId54">
        <w:r w:rsidDel="00000000" w:rsidR="00000000" w:rsidRPr="00000000">
          <w:rPr>
            <w:rFonts w:ascii="Times New Roman" w:cs="Times New Roman" w:eastAsia="Times New Roman" w:hAnsi="Times New Roman"/>
            <w:color w:val="1155cc"/>
            <w:sz w:val="24"/>
            <w:szCs w:val="24"/>
            <w:u w:val="single"/>
            <w:rtl w:val="0"/>
          </w:rPr>
          <w:t xml:space="preserve">https://doi.org/10.54254/2754-1169/99/2024ox0175</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C4">
      <w:pPr>
        <w:pStyle w:val="Heading1"/>
        <w:spacing w:after="240" w:before="240" w:line="360" w:lineRule="auto"/>
        <w:jc w:val="both"/>
        <w:rPr>
          <w:rFonts w:ascii="Times New Roman" w:cs="Times New Roman" w:eastAsia="Times New Roman" w:hAnsi="Times New Roman"/>
          <w:b w:val="1"/>
          <w:bCs w:val="1"/>
          <w:sz w:val="32"/>
          <w:szCs w:val="32"/>
        </w:rPr>
      </w:pPr>
      <w:bookmarkStart w:colFirst="0" w:colLast="0" w:name="_mi0vfp61y162" w:id="35"/>
      <w:bookmarkEnd w:id="35"/>
      <w:r w:rsidDel="00000000" w:rsidR="00000000" w:rsidRPr="00000000">
        <w:rPr>
          <w:rFonts w:ascii="Times New Roman" w:cs="Times New Roman" w:eastAsia="Times New Roman" w:hAnsi="Times New Roman"/>
          <w:b w:val="1"/>
          <w:bCs w:val="1"/>
          <w:sz w:val="32"/>
          <w:szCs w:val="32"/>
          <w:rtl w:val="0"/>
        </w:rPr>
        <w:t xml:space="preserve">Appendices 1: Institutional and Cultural Determinants of Strategic Configuration – USA vs China</w:t>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Environmental Dimension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United States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China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Strategic Implication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Political–Legal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Stable rule-based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State-capitalist embedded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legitimacy building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Economic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Mature saturation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Growth + institutional voids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Tiered expansion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Cultural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Individualist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Collectivist + aspirational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Symbolic repositioning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Technological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Fragmented platforms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Super-app ecosystem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embeddedness</w:t>
            </w:r>
          </w:p>
        </w:tc>
      </w:tr>
    </w:tbl>
    <w:p w:rsidR="00000000" w:rsidDel="00000000" w:rsidP="00000000" w:rsidRDefault="00000000" w:rsidRPr="00000000" w14:paraId="000000D9">
      <w:pPr>
        <w:spacing w:after="240" w:before="24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DA">
      <w:pPr>
        <w:spacing w:line="360" w:lineRule="auto"/>
        <w:jc w:val="both"/>
        <w:rPr>
          <w:rFonts w:ascii="Times New Roman" w:cs="Times New Roman" w:eastAsia="Times New Roman" w:hAnsi="Times New Roman"/>
          <w:sz w:val="24"/>
          <w:szCs w:val="24"/>
        </w:rPr>
      </w:pPr>
      <w:r w:rsidDel="00000000" w:rsidR="00000000" w:rsidRPr="00000000">
        <w:rPr>
          <w:rtl w:val="0"/>
        </w:rPr>
      </w:r>
    </w:p>
    <w:sectPr>
      <w:headerReference r:id="rId55"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1007/978-3-030-66252-3_63" TargetMode="External"/><Relationship Id="rId42" Type="http://schemas.openxmlformats.org/officeDocument/2006/relationships/hyperlink" Target="https://doi.org/10.3390/systems12040142" TargetMode="External"/><Relationship Id="rId41" Type="http://schemas.openxmlformats.org/officeDocument/2006/relationships/hyperlink" Target="https://doi.org/10.3390/soc16010019" TargetMode="External"/><Relationship Id="rId44" Type="http://schemas.openxmlformats.org/officeDocument/2006/relationships/hyperlink" Target="https://doi.org/10.1007/s40710-024-00742-2" TargetMode="External"/><Relationship Id="rId43" Type="http://schemas.openxmlformats.org/officeDocument/2006/relationships/hyperlink" Target="https://doi.org/10.3390/su16208914" TargetMode="External"/><Relationship Id="rId46" Type="http://schemas.openxmlformats.org/officeDocument/2006/relationships/hyperlink" Target="https://doi.org/10.1057/s41272-025-00530-z" TargetMode="External"/><Relationship Id="rId45" Type="http://schemas.openxmlformats.org/officeDocument/2006/relationships/hyperlink" Target="https://doi.org/10.1108/ijchm-12-2022-156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08/jhti-07-2023-0490" TargetMode="External"/><Relationship Id="rId48" Type="http://schemas.openxmlformats.org/officeDocument/2006/relationships/hyperlink" Target="https://doi.org/10.3389/fpsyg.2022.919020" TargetMode="External"/><Relationship Id="rId47" Type="http://schemas.openxmlformats.org/officeDocument/2006/relationships/hyperlink" Target="https://doi.org/10.1016/j.jdec.2022.08.004" TargetMode="External"/><Relationship Id="rId49" Type="http://schemas.openxmlformats.org/officeDocument/2006/relationships/hyperlink" Target="https://doi.org/10.1002/smj.3549"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31" Type="http://schemas.openxmlformats.org/officeDocument/2006/relationships/hyperlink" Target="https://doi.org/10.1016/j.nanoen.2022.107915" TargetMode="External"/><Relationship Id="rId30" Type="http://schemas.openxmlformats.org/officeDocument/2006/relationships/hyperlink" Target="https://doi.org/10.1007/978-3-031-54650-1_1" TargetMode="External"/><Relationship Id="rId33" Type="http://schemas.openxmlformats.org/officeDocument/2006/relationships/hyperlink" Target="https://scholarsarchive.byu.edu/studentpub_uht/393/" TargetMode="External"/><Relationship Id="rId32" Type="http://schemas.openxmlformats.org/officeDocument/2006/relationships/hyperlink" Target="https://wrap.warwick.ac.uk/id/eprint/164629/1/WRAP_Theses_Liu_2021.pdf" TargetMode="External"/><Relationship Id="rId35" Type="http://schemas.openxmlformats.org/officeDocument/2006/relationships/hyperlink" Target="https://doi.org/10.3390/su17198763" TargetMode="External"/><Relationship Id="rId34" Type="http://schemas.openxmlformats.org/officeDocument/2006/relationships/hyperlink" Target="https://doi.org/10.3389/frsc.2025.1628137" TargetMode="External"/><Relationship Id="rId37" Type="http://schemas.openxmlformats.org/officeDocument/2006/relationships/hyperlink" Target="https://doi.org/10.1016/j.ijproman.2023.102467" TargetMode="External"/><Relationship Id="rId36" Type="http://schemas.openxmlformats.org/officeDocument/2006/relationships/hyperlink" Target="https://doi.org/10.1108/imr-03-2025-0143" TargetMode="External"/><Relationship Id="rId39" Type="http://schemas.openxmlformats.org/officeDocument/2006/relationships/hyperlink" Target="https://doi.org/10.1561/1700000081" TargetMode="External"/><Relationship Id="rId38" Type="http://schemas.openxmlformats.org/officeDocument/2006/relationships/hyperlink" Target="https://doi.org/10.1007/978-3-031-44825-6_2" TargetMode="External"/><Relationship Id="rId20" Type="http://schemas.openxmlformats.org/officeDocument/2006/relationships/hyperlink" Target="https://doi.org/10.1007/s10603-021-09500-5" TargetMode="External"/><Relationship Id="rId22" Type="http://schemas.openxmlformats.org/officeDocument/2006/relationships/hyperlink" Target="https://doi.org/10.1111/socf.70030" TargetMode="External"/><Relationship Id="rId21" Type="http://schemas.openxmlformats.org/officeDocument/2006/relationships/hyperlink" Target="https://doi.org/10.1080/15378020.2025.2573351" TargetMode="External"/><Relationship Id="rId24" Type="http://schemas.openxmlformats.org/officeDocument/2006/relationships/hyperlink" Target="https://doi.org/10.1007/978-3-031-52943-6_8" TargetMode="External"/><Relationship Id="rId23" Type="http://schemas.openxmlformats.org/officeDocument/2006/relationships/hyperlink" Target="https://doi.org/10.1108/ijchm-12-2021-1516" TargetMode="External"/><Relationship Id="rId26" Type="http://schemas.openxmlformats.org/officeDocument/2006/relationships/hyperlink" Target="https://doi.org/10.3390/su17135754" TargetMode="External"/><Relationship Id="rId25" Type="http://schemas.openxmlformats.org/officeDocument/2006/relationships/hyperlink" Target="https://doi.org/10.3390/economies12110282" TargetMode="External"/><Relationship Id="rId28" Type="http://schemas.openxmlformats.org/officeDocument/2006/relationships/hyperlink" Target="https://doi.org/10.1108/cpoib-12-2019-0099" TargetMode="External"/><Relationship Id="rId27" Type="http://schemas.openxmlformats.org/officeDocument/2006/relationships/hyperlink" Target="https://doi.org/10.1007/s11024-025-09609-8" TargetMode="External"/><Relationship Id="rId29" Type="http://schemas.openxmlformats.org/officeDocument/2006/relationships/hyperlink" Target="https://doi.org/10.1108/k-07-2023-1251" TargetMode="External"/><Relationship Id="rId51" Type="http://schemas.openxmlformats.org/officeDocument/2006/relationships/hyperlink" Target="https://doi.org/10.1016/j.apgeog.2023.103144" TargetMode="External"/><Relationship Id="rId50" Type="http://schemas.openxmlformats.org/officeDocument/2006/relationships/hyperlink" Target="https://doi.org/10.1111/joms.13002" TargetMode="External"/><Relationship Id="rId53" Type="http://schemas.openxmlformats.org/officeDocument/2006/relationships/hyperlink" Target="https://lup.lub.lu.se/student-papers/search/publication/9138591" TargetMode="External"/><Relationship Id="rId52" Type="http://schemas.openxmlformats.org/officeDocument/2006/relationships/hyperlink" Target="https://doi.org/10.1002/bse.70105" TargetMode="External"/><Relationship Id="rId11" Type="http://schemas.openxmlformats.org/officeDocument/2006/relationships/hyperlink" Target="https://doi.org/10.1080/09585192.2024.2320768" TargetMode="External"/><Relationship Id="rId55" Type="http://schemas.openxmlformats.org/officeDocument/2006/relationships/header" Target="header1.xml"/><Relationship Id="rId10" Type="http://schemas.openxmlformats.org/officeDocument/2006/relationships/hyperlink" Target="https://doi.org/10.61173/34z0mn26" TargetMode="External"/><Relationship Id="rId54" Type="http://schemas.openxmlformats.org/officeDocument/2006/relationships/hyperlink" Target="https://doi.org/10.54254/2754-1169/99/2024ox0175" TargetMode="External"/><Relationship Id="rId13" Type="http://schemas.openxmlformats.org/officeDocument/2006/relationships/hyperlink" Target="https://doi.org/10.15869/itobiad.1059484" TargetMode="External"/><Relationship Id="rId12" Type="http://schemas.openxmlformats.org/officeDocument/2006/relationships/hyperlink" Target="https://doi.org/10.1177/1069031x221143095" TargetMode="External"/><Relationship Id="rId15" Type="http://schemas.openxmlformats.org/officeDocument/2006/relationships/hyperlink" Target="https://doi.org/10.1111/ijmr.12402" TargetMode="External"/><Relationship Id="rId14" Type="http://schemas.openxmlformats.org/officeDocument/2006/relationships/hyperlink" Target="https://doi.org/10.1007/978-3-658-45395-4_6" TargetMode="External"/><Relationship Id="rId17" Type="http://schemas.openxmlformats.org/officeDocument/2006/relationships/hyperlink" Target="https://doi.org/10.2139/ssrn.5876342" TargetMode="External"/><Relationship Id="rId16" Type="http://schemas.openxmlformats.org/officeDocument/2006/relationships/hyperlink" Target="https://www.theseus.fi/handle/10024/752996" TargetMode="External"/><Relationship Id="rId19" Type="http://schemas.openxmlformats.org/officeDocument/2006/relationships/hyperlink" Target="https://doi.org/10.1016/j.cities.2025.106197" TargetMode="External"/><Relationship Id="rId18" Type="http://schemas.openxmlformats.org/officeDocument/2006/relationships/hyperlink" Target="https://doi.org/97862976781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