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Factors Affecting Second Language Learning</w:t>
      </w:r>
    </w:p>
    <w:p>
      <w:pPr>
        <w:spacing w:line="360" w:lineRule="auto"/>
        <w:jc w:val="cente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Xueting Xiong</w:t>
      </w:r>
    </w:p>
    <w:p>
      <w:pPr>
        <w:numPr>
          <w:ilvl w:val="0"/>
          <w:numId w:val="1"/>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Introduction</w:t>
      </w:r>
    </w:p>
    <w:p>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There is a general consensus among teachers and researchers dedicated to language teaching and studying about the complex process of learning the second language. Second language learners are also often perplexed and frustrated by the fact that their language fluency and proficiency can never be attained to the level as they previously expected even though they have poured sufficient time and energy into learning it. In order to help teachers improve their effectiveness and efficiency of teaching the second language and dispel learners’ perplexities to some extent, a wide range of studies both theoretically and empirically have been conducted to delve into factors affecting second language learning. It has been generally postulated that six main factors can be further researched based on more empirical evidences to account for the effect of second language learning. Specifically, intelligence,aptitude,personality,motivation and attitudes, learners’ beliefs and preferences as well as age constitute those six main factors (M. Ligntbrown&amp;Spada, 2000). In this essay, the overview and evaluation of those factors will be presented. Moreover, motivation and attitudes will be elaborated with the support of recent studies, which can give both teachers and learners new insights into second language learning.</w:t>
      </w:r>
    </w:p>
    <w:p>
      <w:pPr>
        <w:numPr>
          <w:ilvl w:val="0"/>
          <w:numId w:val="2"/>
        </w:numPr>
        <w:spacing w:line="360" w:lineRule="auto"/>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rPr>
        <w:t>Overview of Six Main Factors Affecting Second Language Learning</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Intelligence is usually associated with the success of second language learning, which is often assessed by a diversity of intelligence(‘IQ’)tests and a range of approaches. This can be typically exemplified by a famous study with Canadian students engaged in the French immersion program, showing that intelligence played a crucial role in the language skills of reading,grammar and vocabulary rather than oral productive skills (Genesee,1976,quoted in M. Ligntbrown&amp;Spada, 2000). Therefore, it can be indicated from those studies that language analysis and rule learning are much more correlated with intelligence, while communicative competence is not.</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Aptitude is another similar element linked to second language learning, but it is prominently featured by quick learning. Modern Language Aptitude Test(MLAT) and Pimsleur Language Aptitude Battery(PLAB) are two most widely used aptitude tests to predict whether the efficiency of second language learning can be attained in a classroom setting. Various kinds of abilities are involved to be tested, including  identification and memorization of new sounds, understanding of words’ particular function in sentences,selection of grammatical rules from language samples as well as memory for new words. (M. Ligntbrown&amp;Spada, 2000) A case in point of such studies is that some Canadian adult learners of French were recruited in an instructional program, who were assigned to different teaching settings based on the result of the aptitude test. It was reported that when students could be engaged in a congenial teaching environment, a high level of student and teacher satisfaction could be obtained. (Wesche,1981,quoted in M. Ligntbrown&amp;Spada, 2000) So it is obvious that those aptitude tests can help teachers plan and organise appropriate classroom activities to cater to the demand of different groups of students.</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 has often been proposed that personality probably exerts tremendous influence on second language learning, however, this effect can not be easily be demonstrated empirically. This is due to the fact that even different studies measuring a similar personality trait yield different results. For example, some studies have revealed that extroverted learners are not necessarily successful language learners and some learners who are proficient in second language learning do not always gain high scores on measures of extroversion. This can also be applicable to some other characteristics, such as self-esteem,empathy and dominance and so on. Despite the complexity and difficulty of examining the impact of personality on second language learning, it is undeniable that its influence can never be underestimated,particularly when it is integrated with other factors.( M. Ligntbrown&amp;Spada, 2000)</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Motivation and attitudes have been generally proved to have positive effects on second language learning(Gardner, 1985, quoted in M. Ligntbrown&amp;Spada, 2000).However, the causal relationship between motivation and second language learning cannot be elucidated precisely because of the complexity of motivation. This can be mainly defined by two factors involving learners’ communicative needs and their attitudes towards the second language community. If learners use second language learning for immediate or practical goals,such as passing exams, their motivation can be categorised as instrumental motivation. By contrast, if learners learn the second language with the purpose of long-term personal growth and cultural enrichment, their motivation belongs to integrative motivation.(Gardner&amp;Lambert,1972, quoted in M. Ligntbrown&amp;Spada, 2000) Moreover, social dynamics or power relationship between the languages is another factor affecting motivation as both children and adults are sensitive to this. More importantly, studies concerning motivation can provide teachers with practical pedagogical implication. It has been identified that certain pedagogical practices are beneficial to the increase of levels of motivation(Crookes and Schmidt,1991, quoted in M. Ligntbrown&amp;Spada, 2000). However, the way how pedagogy interacts with motivation in second language classrooms has not been investigated in a wide range of studies. So more corresponding compelling evidences are preferred to be presented in the future research .</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Learner preferences and beliefs belong to the internally cognitive factor.While learner preferences are related to individual learning styles,such as visual,aural and kinesthetic learners, learner beliefs refer to strong beliefs and opinions about how their instruction should be delivered,which are often held by older learners.However, little research has been done to investigate the interaction between a variety of styles and success in SLA and examine the effectiveness of learners’ assumptions that a particular type of instruction is the best suitable for them, which are often based on their previous learning experiences. Despite the lack of persuasive evidences, teachers can still develop teaching strategies and flexibility to approach those learners’ language learning with reference to their preferences and beliefs. (M. Ligntbrown &amp; Spada, 2000)</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Age is the final factor mentioned, which plays a pivotal role in second language learning. Although it is easier to be measured compared with some other factors, its influence on learners’ potential for success in SLA has triggered considerable controversy since there are numerous successful examples of achieving high levels of second language fluency and proficiency both among children and adults.The Critical Period Hypothesis, suggesting that there is a time in human development when the brain is predisposed for success in language learning and puberty is usually regarded as the ending period, has also been challenged in recent years from a diversity of perspectives. there are some influential studies confirming that younger learners take more advantages in developing native-like mastery of a second language, applying not only to accent, but also to other aspects,such as grammar.(Johnson&amp;Newport, 1989, quoted in M. Ligntbrown&amp;Spada, 2000) Nevertheless, some other studies have demonstrated that older learners are more efficient than younger learners at least in the early stages of SLA. Additionally, a huge number of anecdotes about older learners who could achieve high levels of fluency and proficiency in a second language can be noticed as well. It is then concluded that learners should take the learning objectives into account.If they desire to develop native-like mastery of the target language, it is preferable for them to be immersed in this language as early as possible.On the contrary, when they learn the second language for the sake of enhancing basic communicative competence particularly in a school setting, they can start later. (M. Ligntbrown&amp;Spada, 2000)</w:t>
      </w:r>
    </w:p>
    <w:p>
      <w:pPr>
        <w:spacing w:line="360" w:lineRule="auto"/>
        <w:ind w:firstLine="600" w:firstLineChars="25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In conclusion, all the above six main factors can exert significant influence on second language learning to some extent and they are inextricably entwined during this complex process. </w:t>
      </w:r>
    </w:p>
    <w:p>
      <w:pPr>
        <w:spacing w:line="360" w:lineRule="auto"/>
        <w:ind w:firstLine="600" w:firstLineChars="250"/>
        <w:rPr>
          <w:rFonts w:hint="default" w:ascii="Times New Roman Regular" w:hAnsi="Times New Roman Regular" w:cs="Times New Roman Regular"/>
          <w:sz w:val="24"/>
          <w:szCs w:val="24"/>
        </w:rPr>
      </w:pPr>
    </w:p>
    <w:p>
      <w:pPr>
        <w:numPr>
          <w:ilvl w:val="0"/>
          <w:numId w:val="3"/>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 Detailed Analysis of Motivation and Attitudes Based on Related SLA Theories and Studies</w:t>
      </w:r>
    </w:p>
    <w:p>
      <w:pPr>
        <w:numPr>
          <w:ilvl w:val="0"/>
          <w:numId w:val="0"/>
        </w:numPr>
        <w:spacing w:line="360" w:lineRule="auto"/>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Undeniably, motivation and attitudes constitute the key element affecting the dynamic and complex process of second language learning. It is noted that five classes of variable are highly evaluated:integrativeness, attitudes toward the learning situation,motivation,language anxiety and instrumental orientation, which have been identified on the basis of socio-educational model.This model claims that language aptitude and motivation play a facilitating role in second language acquisition, while language anxiety exerts a debilitating effect.(Gardner, 1985,2000) In addition, the Attitude Motivation Test Battery(AMTB), involving 11 scales, has been frequently used in related empirical studies to assess important variables of motivation and attitudes.(Gardner,1985)</w:t>
      </w:r>
    </w:p>
    <w:p>
      <w:pPr>
        <w:numPr>
          <w:ilvl w:val="0"/>
          <w:numId w:val="0"/>
        </w:numPr>
        <w:spacing w:line="360" w:lineRule="auto"/>
        <w:ind w:firstLine="600" w:firstLineChars="25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Gardner (2010) also postulates that integrative motivation,a multi-dimensional component, should be comprised of motivation,integrativeness,attitudes toward the learning situation and language anxiety which can be analysed affectively,cognitively and behaviourally. Furthermore, he also draws the conclusion that it “can be measured as the sum of Integrativeness plus Attitudes toward the Learning Situation plus Motivation minus Language Anxiety”(Gardner, 2012, p.218). In order to provide more compelling evidences, Gardner made use of this formula to mainly “assess the correlation of the integrative motivation score with grades in English in two samples of students in Poland ”(Gardner, 2012, p.219) and the result showed a strong degree of association.</w:t>
      </w:r>
    </w:p>
    <w:p>
      <w:pPr>
        <w:numPr>
          <w:ilvl w:val="0"/>
          <w:numId w:val="0"/>
        </w:numPr>
        <w:spacing w:line="360" w:lineRule="auto"/>
        <w:ind w:firstLine="480"/>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rPr>
        <w:t xml:space="preserve"> In recent studies, greater emphasis has been placed on teacher’s contribution to the learning situation,which can play an essential role in shaping students’ attitudes toward this. This has resulted in a wide range of suggestions and strategies proposed by researchers, which have been exemplified in some typical studies (Dornyei,2001). Dornyei(2005) underlines the importance of sufficient motivation, without which even the most intelligent and competent students cannot attain their goals in the long run, and neither are appropriate curricula and excellent teaching enough to guarantee their accomplishment.Since students’ motivation is correlated with their attitudes toward the learning situation, teachers’ conceptions concerning student motivation and their motivating practices can contribute tremendously to students’ attitudes and motivation.Although very few studies have been conducted to directly examine the desired effect of those strategies on students’ motivation, a recent exploratory study demonstrates that “a teacher who has a highly empathetic relationship with her students,based on good communication and knowledge of their background and personal interests, can, sometimes,make decisions for her students that are often well received and autonomously performed by them”(</w:t>
      </w:r>
      <w:r>
        <w:rPr>
          <w:rFonts w:hint="default" w:ascii="Times New Roman" w:hAnsi="Times New Roman" w:cs="Times New Roman"/>
          <w:b w:val="0"/>
          <w:bCs w:val="0"/>
          <w:sz w:val="24"/>
          <w:szCs w:val="24"/>
        </w:rPr>
        <w:t xml:space="preserve">Munoz &amp; Ramirez, 2015, </w:t>
      </w:r>
      <w:r>
        <w:rPr>
          <w:rFonts w:hint="default" w:ascii="Times New Roman" w:hAnsi="Times New Roman" w:cs="Times New Roman"/>
          <w:b w:val="0"/>
          <w:bCs w:val="0"/>
          <w:sz w:val="24"/>
          <w:szCs w:val="24"/>
        </w:rPr>
        <w:t>p.213).</w:t>
      </w:r>
      <w:r>
        <w:rPr>
          <w:rFonts w:hint="default" w:ascii="Times New Roman" w:hAnsi="Times New Roman" w:cs="Times New Roman"/>
          <w:b w:val="0"/>
          <w:bCs w:val="0"/>
          <w:sz w:val="24"/>
          <w:szCs w:val="24"/>
        </w:rPr>
        <w:t xml:space="preserve"> Meanwhile,</w:t>
      </w:r>
      <w:r>
        <w:rPr>
          <w:rFonts w:hint="default" w:ascii="Times New Roman" w:hAnsi="Times New Roman" w:cs="Times New Roman"/>
          <w:b w:val="0"/>
          <w:bCs w:val="0"/>
          <w:sz w:val="24"/>
          <w:szCs w:val="24"/>
        </w:rPr>
        <w:t xml:space="preserve"> clarity of instruction and positive feedback have also been observed to promote students’ communicative competence.</w:t>
      </w:r>
      <w:r>
        <w:rPr>
          <w:rFonts w:hint="default" w:ascii="Times New Roman" w:hAnsi="Times New Roman" w:cs="Times New Roman"/>
          <w:b w:val="0"/>
          <w:bCs w:val="0"/>
          <w:sz w:val="24"/>
          <w:szCs w:val="24"/>
        </w:rPr>
        <w:t xml:space="preserve"> Moreover, the multimedia wed-based intervention of incentive strategies has also been explored to see its impact on the motivation of second language learning with four factors,including cognition,emotion,social environment and learners’ characteristics involved. And the positive effect has been found in this study.(Meng et al., 2020)</w:t>
      </w:r>
    </w:p>
    <w:p>
      <w:pPr>
        <w:numPr>
          <w:ilvl w:val="0"/>
          <w:numId w:val="0"/>
        </w:numPr>
        <w:spacing w:line="360" w:lineRule="auto"/>
        <w:ind w:firstLine="667" w:firstLineChars="278"/>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As a college English teacher with 10 years’ teaching experience, I take intense interest in this domain since I firmly believe that teachers’ teaching beliefs and strategies </w:t>
      </w:r>
      <w:r>
        <w:rPr>
          <w:rFonts w:hint="default" w:ascii="Times New Roman" w:hAnsi="Times New Roman" w:cs="Times New Roman"/>
          <w:b w:val="0"/>
          <w:bCs w:val="0"/>
          <w:sz w:val="24"/>
          <w:szCs w:val="24"/>
        </w:rPr>
        <w:t>are integral</w:t>
      </w:r>
      <w:r>
        <w:rPr>
          <w:rFonts w:hint="default" w:ascii="Times New Roman" w:hAnsi="Times New Roman" w:cs="Times New Roman"/>
          <w:b w:val="0"/>
          <w:bCs w:val="0"/>
          <w:sz w:val="24"/>
          <w:szCs w:val="24"/>
        </w:rPr>
        <w:t xml:space="preserve"> in </w:t>
      </w:r>
      <w:r>
        <w:rPr>
          <w:rFonts w:hint="default" w:ascii="Times New Roman" w:hAnsi="Times New Roman" w:cs="Times New Roman"/>
          <w:b w:val="0"/>
          <w:bCs w:val="0"/>
          <w:sz w:val="24"/>
          <w:szCs w:val="24"/>
        </w:rPr>
        <w:t xml:space="preserve">shaping </w:t>
      </w:r>
      <w:r>
        <w:rPr>
          <w:rFonts w:hint="default" w:ascii="Times New Roman" w:hAnsi="Times New Roman" w:cs="Times New Roman"/>
          <w:b w:val="0"/>
          <w:bCs w:val="0"/>
          <w:sz w:val="24"/>
          <w:szCs w:val="24"/>
        </w:rPr>
        <w:t xml:space="preserve">students’ attitudes toward the learning situation,especially when students are at the early stage of learning the second language. </w:t>
      </w:r>
      <w:r>
        <w:rPr>
          <w:rFonts w:hint="default" w:ascii="Times New Roman" w:hAnsi="Times New Roman" w:cs="Times New Roman"/>
          <w:b w:val="0"/>
          <w:bCs w:val="0"/>
          <w:sz w:val="24"/>
          <w:szCs w:val="24"/>
        </w:rPr>
        <w:t>With the burgeoning demand of blended learning and teaching, instructors should take full advantage of virtual network learning and the complementary merits of traditional classroom learning to stimulate students’ learning motivation. Therefore, feasible teaching strategies concluded from previous studies can serve as guidelines to develop innovative teaching.</w:t>
      </w:r>
    </w:p>
    <w:p>
      <w:pPr>
        <w:numPr>
          <w:ilvl w:val="0"/>
          <w:numId w:val="3"/>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Conclusion</w:t>
      </w:r>
    </w:p>
    <w:p>
      <w:pPr>
        <w:numPr>
          <w:numId w:val="0"/>
        </w:numPr>
        <w:spacing w:line="360" w:lineRule="auto"/>
        <w:rPr>
          <w:rFonts w:hint="default" w:ascii="Times New Roman" w:hAnsi="Times New Roman" w:cs="Times New Roman"/>
          <w:b w:val="0"/>
          <w:bCs w:val="0"/>
          <w:sz w:val="24"/>
          <w:szCs w:val="24"/>
        </w:rPr>
      </w:pPr>
      <w:r>
        <w:rPr>
          <w:rFonts w:hint="default" w:ascii="Times New Roman Bold" w:hAnsi="Times New Roman Bold" w:cs="Times New Roman Bold"/>
          <w:b/>
          <w:bCs/>
          <w:sz w:val="24"/>
          <w:szCs w:val="24"/>
        </w:rPr>
        <w:t xml:space="preserve">      </w:t>
      </w:r>
      <w:r>
        <w:rPr>
          <w:rFonts w:hint="default" w:ascii="Times New Roman" w:hAnsi="Times New Roman" w:cs="Times New Roman"/>
          <w:b w:val="0"/>
          <w:bCs w:val="0"/>
          <w:sz w:val="24"/>
          <w:szCs w:val="24"/>
        </w:rPr>
        <w:t xml:space="preserve">It can be concluded from the above analysis that there are six main factors playing pivotal roles in second language learning,which is a complex process cognitively,emotionally and socially. Among those six factors, intelligence,aptitude,personality and age are more correlated with innate factors which are of tremendous difficulties to be changed .By contrast, learners’ preferences and beliefs, together with motivation and attitudes are more likely to vary with the influence of social environment. And motivation and attitudes have consistently been prevalent among the studies of second language learning,which has also been elaborated in this essay with the support of SLA theories and studies. </w:t>
      </w:r>
    </w:p>
    <w:p>
      <w:pPr>
        <w:numPr>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     </w:t>
      </w:r>
    </w:p>
    <w:p>
      <w:pPr>
        <w:numPr>
          <w:ilvl w:val="0"/>
          <w:numId w:val="0"/>
        </w:num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rPr>
          <w:rFonts w:hint="default" w:ascii="Times New Roman Regular" w:hAnsi="Times New Roman Regular" w:cs="Times New Roman Regular"/>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Bibliography</w:t>
      </w:r>
    </w:p>
    <w:p>
      <w:pPr>
        <w:numPr>
          <w:ilvl w:val="0"/>
          <w:numId w:val="0"/>
        </w:num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Dornyei, Z. 2001. </w:t>
      </w:r>
      <w:r>
        <w:rPr>
          <w:rFonts w:hint="default" w:ascii="Times New Roman Italic" w:hAnsi="Times New Roman Italic" w:cs="Times New Roman Italic"/>
          <w:b w:val="0"/>
          <w:bCs w:val="0"/>
          <w:i/>
          <w:iCs/>
          <w:sz w:val="24"/>
          <w:szCs w:val="24"/>
        </w:rPr>
        <w:t>Teaching an researching motivation.</w:t>
      </w:r>
      <w:r>
        <w:rPr>
          <w:rFonts w:hint="default" w:ascii="Times New Roman" w:hAnsi="Times New Roman" w:cs="Times New Roman"/>
          <w:b w:val="0"/>
          <w:bCs w:val="0"/>
          <w:sz w:val="24"/>
          <w:szCs w:val="24"/>
        </w:rPr>
        <w:t xml:space="preserve"> Essex: Longman.</w:t>
      </w:r>
    </w:p>
    <w:p>
      <w:pPr>
        <w:numPr>
          <w:ilvl w:val="0"/>
          <w:numId w:val="0"/>
        </w:numPr>
        <w:spacing w:line="360" w:lineRule="auto"/>
        <w:rPr>
          <w:rFonts w:hint="default" w:ascii="Times New Roman" w:hAnsi="Times New Roman" w:cs="Times New Roman"/>
          <w:b w:val="0"/>
          <w:bCs w:val="0"/>
          <w:sz w:val="24"/>
          <w:szCs w:val="24"/>
        </w:rPr>
      </w:pPr>
    </w:p>
    <w:p>
      <w:pPr>
        <w:numPr>
          <w:ilvl w:val="0"/>
          <w:numId w:val="0"/>
        </w:num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Dornyei, Z. 2005. </w:t>
      </w:r>
      <w:r>
        <w:rPr>
          <w:rFonts w:hint="default" w:ascii="Times New Roman Italic" w:hAnsi="Times New Roman Italic" w:cs="Times New Roman Italic"/>
          <w:b w:val="0"/>
          <w:bCs w:val="0"/>
          <w:i/>
          <w:iCs/>
          <w:sz w:val="24"/>
          <w:szCs w:val="24"/>
        </w:rPr>
        <w:t xml:space="preserve">The psychology of the language learner.Individual differences in second language acquisition. </w:t>
      </w:r>
      <w:r>
        <w:rPr>
          <w:rFonts w:hint="default" w:ascii="Times New Roman" w:hAnsi="Times New Roman" w:cs="Times New Roman"/>
          <w:b w:val="0"/>
          <w:bCs w:val="0"/>
          <w:sz w:val="24"/>
          <w:szCs w:val="24"/>
        </w:rPr>
        <w:t>Mahwah,NJ:Lawrence Erlbaum.</w:t>
      </w:r>
    </w:p>
    <w:p>
      <w:pPr>
        <w:numPr>
          <w:ilvl w:val="0"/>
          <w:numId w:val="0"/>
        </w:numPr>
        <w:spacing w:line="360" w:lineRule="auto"/>
        <w:rPr>
          <w:rFonts w:hint="default" w:ascii="Times New Roman" w:hAnsi="Times New Roman" w:cs="Times New Roman"/>
          <w:b w:val="0"/>
          <w:bCs w:val="0"/>
          <w:sz w:val="24"/>
          <w:szCs w:val="24"/>
        </w:rPr>
      </w:pPr>
      <w:bookmarkStart w:id="0" w:name="_GoBack"/>
      <w:bookmarkEnd w:id="0"/>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Gardner, R. C.</w:t>
      </w:r>
      <w:r>
        <w:rPr>
          <w:rFonts w:hint="default" w:ascii="Times New Roman" w:hAnsi="Times New Roman" w:cs="Times New Roman"/>
          <w:i w:val="0"/>
          <w:iCs w:val="0"/>
          <w:sz w:val="24"/>
          <w:szCs w:val="24"/>
        </w:rPr>
        <w:t xml:space="preserve"> 1985. </w:t>
      </w:r>
      <w:r>
        <w:rPr>
          <w:rFonts w:hint="default" w:ascii="Times New Roman Italic" w:hAnsi="Times New Roman Italic" w:cs="Times New Roman Italic"/>
          <w:i/>
          <w:iCs/>
          <w:sz w:val="24"/>
          <w:szCs w:val="24"/>
        </w:rPr>
        <w:t>Social psychology and second language learning:The role of attitudes and motivation.</w:t>
      </w:r>
      <w:r>
        <w:rPr>
          <w:rFonts w:hint="default" w:ascii="Times New Roman" w:hAnsi="Times New Roman" w:cs="Times New Roman"/>
          <w:i w:val="0"/>
          <w:iCs w:val="0"/>
          <w:sz w:val="24"/>
          <w:szCs w:val="24"/>
        </w:rPr>
        <w:t xml:space="preserve"> London:Arnold.</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Gardner, R. C.</w:t>
      </w:r>
      <w:r>
        <w:rPr>
          <w:rFonts w:hint="default" w:ascii="Times New Roman" w:hAnsi="Times New Roman" w:cs="Times New Roman"/>
          <w:i w:val="0"/>
          <w:iCs w:val="0"/>
          <w:sz w:val="24"/>
          <w:szCs w:val="24"/>
        </w:rPr>
        <w:t xml:space="preserve"> 2000. Correlation,causation,motivation and second language acquisition. </w:t>
      </w:r>
      <w:r>
        <w:rPr>
          <w:rFonts w:hint="default" w:ascii="Times New Roman Italic" w:hAnsi="Times New Roman Italic" w:cs="Times New Roman Italic"/>
          <w:i/>
          <w:iCs/>
          <w:sz w:val="24"/>
          <w:szCs w:val="24"/>
        </w:rPr>
        <w:t>Canadian Psychology</w:t>
      </w:r>
      <w:r>
        <w:rPr>
          <w:rFonts w:hint="default" w:ascii="Times New Roman" w:hAnsi="Times New Roman" w:cs="Times New Roman"/>
          <w:i w:val="0"/>
          <w:iCs w:val="0"/>
          <w:sz w:val="24"/>
          <w:szCs w:val="24"/>
        </w:rPr>
        <w:t>. [E-journal]. 41(1), pp. 10-24.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b w:val="0"/>
          <w:b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 xml:space="preserve">Gardner, R. C., </w:t>
      </w:r>
      <w:r>
        <w:rPr>
          <w:rFonts w:hint="default" w:ascii="Times New Roman" w:hAnsi="Times New Roman" w:cs="Times New Roman"/>
          <w:i w:val="0"/>
          <w:iCs w:val="0"/>
          <w:sz w:val="24"/>
          <w:szCs w:val="24"/>
        </w:rPr>
        <w:t xml:space="preserve">Masgoret, A.-M., Tennant J. &amp; Mihic L. </w:t>
      </w:r>
      <w:r>
        <w:rPr>
          <w:rFonts w:hint="default" w:ascii="Times New Roman Regular" w:hAnsi="Times New Roman Regular" w:cs="Times New Roman Regular"/>
          <w:sz w:val="24"/>
          <w:szCs w:val="24"/>
        </w:rPr>
        <w:t xml:space="preserve">2004. Integrative motivation: a year-long intermediate-level language course. </w:t>
      </w:r>
      <w:r>
        <w:rPr>
          <w:rFonts w:hint="default" w:ascii="Times New Roman Italic" w:hAnsi="Times New Roman Italic" w:cs="Times New Roman Italic"/>
          <w:i/>
          <w:iCs/>
          <w:sz w:val="24"/>
          <w:szCs w:val="24"/>
        </w:rPr>
        <w:t xml:space="preserve">Language Learning. </w:t>
      </w:r>
      <w:r>
        <w:rPr>
          <w:rFonts w:hint="default" w:ascii="Times New Roman" w:hAnsi="Times New Roman" w:cs="Times New Roman"/>
          <w:i w:val="0"/>
          <w:iCs w:val="0"/>
          <w:sz w:val="24"/>
          <w:szCs w:val="24"/>
        </w:rPr>
        <w:t xml:space="preserve">[E-journal]. 54(1), pp. 1-34. 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https://doi-org.ezproxy.uwtsd.ac.uk/10.1111/j.1467-9922.2004.00247.x.</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Gardner, R. C.</w:t>
      </w:r>
      <w:r>
        <w:rPr>
          <w:rFonts w:hint="default" w:ascii="Times New Roman" w:hAnsi="Times New Roman" w:cs="Times New Roman"/>
          <w:i w:val="0"/>
          <w:iCs w:val="0"/>
          <w:sz w:val="24"/>
          <w:szCs w:val="24"/>
        </w:rPr>
        <w:t xml:space="preserve"> 2010. </w:t>
      </w:r>
      <w:r>
        <w:rPr>
          <w:rFonts w:hint="default" w:ascii="Times New Roman Italic" w:hAnsi="Times New Roman Italic" w:cs="Times New Roman Italic"/>
          <w:i/>
          <w:iCs/>
          <w:sz w:val="24"/>
          <w:szCs w:val="24"/>
        </w:rPr>
        <w:t>Motivation and second language acquisition: The socio-educational model.</w:t>
      </w:r>
      <w:r>
        <w:rPr>
          <w:rFonts w:hint="default" w:ascii="Times New Roman" w:hAnsi="Times New Roman" w:cs="Times New Roman"/>
          <w:i w:val="0"/>
          <w:iCs w:val="0"/>
          <w:sz w:val="24"/>
          <w:szCs w:val="24"/>
        </w:rPr>
        <w:t xml:space="preserve"> New York: Peter Lang.</w:t>
      </w: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 xml:space="preserve">Gardner, R. C. 2012.Integrative motivation and global language(English) acquisition in Poland. </w:t>
      </w:r>
      <w:r>
        <w:rPr>
          <w:rFonts w:hint="default" w:ascii="Times New Roman Italic" w:hAnsi="Times New Roman Italic" w:cs="Times New Roman Italic"/>
          <w:i/>
          <w:iCs/>
          <w:sz w:val="24"/>
          <w:szCs w:val="24"/>
        </w:rPr>
        <w:t>Studies in Second Language Learning and Teaching.</w:t>
      </w:r>
      <w:r>
        <w:rPr>
          <w:rFonts w:hint="default" w:ascii="Times New Roman" w:hAnsi="Times New Roman" w:cs="Times New Roman"/>
          <w:i w:val="0"/>
          <w:iCs w:val="0"/>
          <w:sz w:val="24"/>
          <w:szCs w:val="24"/>
        </w:rPr>
        <w:t xml:space="preserve">[E-journal]. 2(2), pp. 215-226. 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"http://www.ssllt.amu.edu.pl."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http://www.ssllt.amu.edu.pl.</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Kormos, J.,Kiddle, T. &amp; Csizer, K. 2011. Systems of goals,attitudes,and self-related beliefs in second-language-learning motivation. </w:t>
      </w:r>
      <w:r>
        <w:rPr>
          <w:rFonts w:hint="default" w:ascii="Times New Roman Italic" w:hAnsi="Times New Roman Italic" w:cs="Times New Roman Italic"/>
          <w:i/>
          <w:iCs/>
          <w:sz w:val="24"/>
          <w:szCs w:val="24"/>
        </w:rPr>
        <w:t>Applied Linguistics.</w:t>
      </w:r>
      <w:r>
        <w:rPr>
          <w:rFonts w:hint="default" w:ascii="Times New Roman" w:hAnsi="Times New Roman" w:cs="Times New Roman"/>
          <w:i w:val="0"/>
          <w:iCs w:val="0"/>
          <w:sz w:val="24"/>
          <w:szCs w:val="24"/>
        </w:rPr>
        <w:t xml:space="preserve"> [E-journal]. 32(5), pp. 495-516. Available at: 10.1093/applin/amr019.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eastAsia"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Lightbown, P.M. &amp; Spada, N. 2000. Factors affecting second language learning. In: Candlin, C.N. &amp; Mercer, N. </w:t>
      </w:r>
      <w:r>
        <w:rPr>
          <w:rFonts w:hint="default" w:ascii="Times New Roman Italic" w:hAnsi="Times New Roman Italic" w:cs="Times New Roman Italic"/>
          <w:i/>
          <w:iCs/>
          <w:sz w:val="24"/>
          <w:szCs w:val="24"/>
        </w:rPr>
        <w:t>English Language Teaching in its Social Context,</w:t>
      </w:r>
      <w:r>
        <w:rPr>
          <w:rFonts w:hint="default" w:ascii="Times New Roman Regular" w:hAnsi="Times New Roman Regular" w:cs="Times New Roman Regular"/>
          <w:sz w:val="24"/>
          <w:szCs w:val="24"/>
        </w:rPr>
        <w:t xml:space="preserve"> London: Routledge. </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Masgoret, A.-M. &amp; </w:t>
      </w:r>
      <w:r>
        <w:rPr>
          <w:rFonts w:hint="default" w:ascii="Times New Roman Regular" w:hAnsi="Times New Roman Regular" w:cs="Times New Roman Regular"/>
          <w:sz w:val="24"/>
          <w:szCs w:val="24"/>
        </w:rPr>
        <w:t>Gardner, R. C</w:t>
      </w:r>
      <w:r>
        <w:rPr>
          <w:rFonts w:hint="default" w:ascii="Times New Roman" w:hAnsi="Times New Roman" w:cs="Times New Roman"/>
          <w:i w:val="0"/>
          <w:iCs w:val="0"/>
          <w:sz w:val="24"/>
          <w:szCs w:val="24"/>
        </w:rPr>
        <w:t xml:space="preserve">. 2003. Attitudes, Motivation, and Second Language Learning: A meta-analysis of studies conducted by Gardner and associates. </w:t>
      </w:r>
      <w:r>
        <w:rPr>
          <w:rFonts w:hint="default" w:ascii="Times New Roman Italic" w:hAnsi="Times New Roman Italic" w:cs="Times New Roman Italic"/>
          <w:i/>
          <w:iCs/>
          <w:sz w:val="24"/>
          <w:szCs w:val="24"/>
        </w:rPr>
        <w:t xml:space="preserve">Language Learning. </w:t>
      </w:r>
      <w:r>
        <w:rPr>
          <w:rFonts w:hint="default" w:ascii="Times New Roman" w:hAnsi="Times New Roman" w:cs="Times New Roman"/>
          <w:i w:val="0"/>
          <w:iCs w:val="0"/>
          <w:sz w:val="24"/>
          <w:szCs w:val="24"/>
        </w:rPr>
        <w:t xml:space="preserve">[E-journal]. 53(S1), pp. 167-210. 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"https://doi-org.ezproxy.uwtsd.ac.uk/10.1111/1467-9922.00227."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https://doi-org.ezproxy.uwtsd.ac.uk/10.1111/1467-9922.00227.</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Munoz, A. &amp; Ramirez, M. 2015. Teachers’ conceptions of motivation and motivating practices in second-language learning:A self-determination theory perspective. </w:t>
      </w:r>
      <w:r>
        <w:rPr>
          <w:rFonts w:hint="default" w:ascii="Times New Roman Italic" w:hAnsi="Times New Roman Italic" w:cs="Times New Roman Italic"/>
          <w:i/>
          <w:iCs/>
          <w:sz w:val="24"/>
          <w:szCs w:val="24"/>
        </w:rPr>
        <w:t>Theory and Research in Education.</w:t>
      </w:r>
      <w:r>
        <w:rPr>
          <w:rFonts w:hint="default" w:ascii="Times New Roman" w:hAnsi="Times New Roman" w:cs="Times New Roman"/>
          <w:i w:val="0"/>
          <w:iCs w:val="0"/>
          <w:sz w:val="24"/>
          <w:szCs w:val="24"/>
        </w:rPr>
        <w:t>[E-journal]. 13(2), pp. 198-220. Available at:10.1177/1477878515593885.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Meng, D., meng, C. &amp; Macleod, M. 2020. Multimedia wed-based intervention and implementation of motivational factors in incentive strategies on learning motivation. </w:t>
      </w:r>
      <w:r>
        <w:rPr>
          <w:rFonts w:hint="default" w:ascii="Times New Roman Italic" w:hAnsi="Times New Roman Italic" w:cs="Times New Roman Italic"/>
          <w:i/>
          <w:iCs/>
          <w:sz w:val="24"/>
          <w:szCs w:val="24"/>
        </w:rPr>
        <w:t>Multimedia Tools and Applications.</w:t>
      </w:r>
      <w:r>
        <w:rPr>
          <w:rFonts w:hint="default" w:ascii="Times New Roman" w:hAnsi="Times New Roman" w:cs="Times New Roman"/>
          <w:i w:val="0"/>
          <w:iCs w:val="0"/>
          <w:sz w:val="24"/>
          <w:szCs w:val="24"/>
        </w:rPr>
        <w:t xml:space="preserve">[E-journal]. </w:t>
      </w:r>
      <w:r>
        <w:rPr>
          <w:rFonts w:hint="default" w:ascii="Times New Roman" w:hAnsi="Times New Roman" w:cs="Times New Roman"/>
          <w:i w:val="0"/>
          <w:iCs w:val="0"/>
          <w:sz w:val="24"/>
          <w:szCs w:val="24"/>
        </w:rPr>
        <w:t xml:space="preserve">79, pp. 10915-10933.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"https://doi-org.ezproxy.uwtsd.ac.uk/10.1111/1467-9922.00227."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w:t>
      </w:r>
      <w:r>
        <w:rPr>
          <w:rStyle w:val="3"/>
          <w:rFonts w:hint="default" w:ascii="Times New Roman" w:hAnsi="Times New Roman" w:cs="Times New Roman"/>
          <w:i w:val="0"/>
          <w:iCs w:val="0"/>
          <w:sz w:val="24"/>
          <w:szCs w:val="24"/>
        </w:rPr>
        <w:t>.</w:t>
      </w:r>
      <w:r>
        <w:rPr>
          <w:rStyle w:val="3"/>
          <w:rFonts w:hint="default" w:ascii="Times New Roman" w:hAnsi="Times New Roman" w:cs="Times New Roman"/>
          <w:i w:val="0"/>
          <w:iCs w:val="0"/>
          <w:sz w:val="24"/>
          <w:szCs w:val="24"/>
        </w:rPr>
        <w:t>org</w:t>
      </w:r>
      <w:r>
        <w:rPr>
          <w:rStyle w:val="3"/>
          <w:rFonts w:hint="default" w:ascii="Times New Roman" w:hAnsi="Times New Roman" w:cs="Times New Roman"/>
          <w:i w:val="0"/>
          <w:iCs w:val="0"/>
          <w:sz w:val="24"/>
          <w:szCs w:val="24"/>
        </w:rPr>
        <w:t>/10.1007/s11042-019-07972-9</w:t>
      </w:r>
      <w:r>
        <w:rPr>
          <w:rStyle w:val="3"/>
          <w:rFonts w:hint="default" w:ascii="Times New Roman" w:hAnsi="Times New Roman" w:cs="Times New Roman"/>
          <w:i w:val="0"/>
          <w:iCs w:val="0"/>
          <w:sz w:val="24"/>
          <w:szCs w:val="24"/>
        </w:rPr>
        <w:t>.</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February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Regular" w:hAnsi="Times New Roman Regular" w:cs="Times New Roman Regula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AEFPCL+TimesNewRoman">
    <w:altName w:val="苹方-简"/>
    <w:panose1 w:val="00000000000000000000"/>
    <w:charset w:val="00"/>
    <w:family w:val="roman"/>
    <w:pitch w:val="default"/>
    <w:sig w:usb0="00000000" w:usb1="00000000" w:usb2="00000010" w:usb3="00000000" w:csb0="00040000" w:csb1="00000000"/>
  </w:font>
  <w:font w:name="PMingLiU">
    <w:altName w:val="宋体-繁"/>
    <w:panose1 w:val="02020500000000000000"/>
    <w:charset w:val="00"/>
    <w:family w:val="roman"/>
    <w:pitch w:val="default"/>
    <w:sig w:usb0="00000000" w:usb1="00000000" w:usb2="00000016" w:usb3="00000000" w:csb0="00100001" w:csb1="00000000"/>
  </w:font>
  <w:font w:name="Comic Sans MS">
    <w:panose1 w:val="030F0902030302020204"/>
    <w:charset w:val="00"/>
    <w:family w:val="script"/>
    <w:pitch w:val="default"/>
    <w:sig w:usb0="00000287" w:usb1="00000000" w:usb2="00000000" w:usb3="00000000" w:csb0="2000009F" w:csb1="00000000"/>
  </w:font>
  <w:font w:name="Cheltenham-Book">
    <w:altName w:val="苹方-简"/>
    <w:panose1 w:val="00000000000000000000"/>
    <w:charset w:val="00"/>
    <w:family w:val="roman"/>
    <w:pitch w:val="default"/>
    <w:sig w:usb0="00000000" w:usb1="00000000" w:usb2="00000000" w:usb3="00000000" w:csb0="00000001" w:csb1="00000000"/>
  </w:font>
  <w:font w:name="宋体-繁">
    <w:panose1 w:val="02010600040101010101"/>
    <w:charset w:val="86"/>
    <w:family w:val="auto"/>
    <w:pitch w:val="default"/>
    <w:sig w:usb0="00000287" w:usb1="080F0000" w:usb2="00000000" w:usb3="00000000" w:csb0="0004009F" w:csb1="DFD70000"/>
  </w:font>
  <w:font w:name="Comic Sans MS Regular">
    <w:panose1 w:val="030F0902030302020204"/>
    <w:charset w:val="00"/>
    <w:family w:val="auto"/>
    <w:pitch w:val="default"/>
    <w:sig w:usb0="00000287" w:usb1="00000000" w:usb2="00000000" w:usb3="00000000" w:csb0="2000009F" w:csb1="00000000"/>
  </w:font>
  <w:font w:name="Times New Roman Regular">
    <w:panose1 w:val="020205030504050903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6E840"/>
    <w:multiLevelType w:val="singleLevel"/>
    <w:tmpl w:val="6046E840"/>
    <w:lvl w:ilvl="0" w:tentative="0">
      <w:start w:val="3"/>
      <w:numFmt w:val="decimal"/>
      <w:suff w:val="nothing"/>
      <w:lvlText w:val="%1."/>
      <w:lvlJc w:val="left"/>
    </w:lvl>
  </w:abstractNum>
  <w:abstractNum w:abstractNumId="1">
    <w:nsid w:val="6049CFB0"/>
    <w:multiLevelType w:val="singleLevel"/>
    <w:tmpl w:val="6049CFB0"/>
    <w:lvl w:ilvl="0" w:tentative="0">
      <w:start w:val="2"/>
      <w:numFmt w:val="decimal"/>
      <w:suff w:val="space"/>
      <w:lvlText w:val="%1."/>
      <w:lvlJc w:val="left"/>
    </w:lvl>
  </w:abstractNum>
  <w:abstractNum w:abstractNumId="2">
    <w:nsid w:val="604C2C0A"/>
    <w:multiLevelType w:val="singleLevel"/>
    <w:tmpl w:val="604C2C0A"/>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DC409"/>
    <w:rsid w:val="2B7DC409"/>
    <w:rsid w:val="2EFDE6B3"/>
    <w:rsid w:val="33E7DB89"/>
    <w:rsid w:val="36BFE795"/>
    <w:rsid w:val="3BDF6048"/>
    <w:rsid w:val="53E7D517"/>
    <w:rsid w:val="63FE646C"/>
    <w:rsid w:val="7B6B4DEA"/>
    <w:rsid w:val="7D598D85"/>
    <w:rsid w:val="7F6758EE"/>
    <w:rsid w:val="BDBEDD4F"/>
    <w:rsid w:val="BE4FDBD9"/>
    <w:rsid w:val="CD78046A"/>
    <w:rsid w:val="D7DB776A"/>
    <w:rsid w:val="F37EF905"/>
    <w:rsid w:val="FC1BAF91"/>
    <w:rsid w:val="FFFF9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Office_2.6.1.4274_F1E327BC-269C-435d-A152-05C5408002CA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2020-10-02T18:44:00Z</dcterms:created>
  <dc:creator>wangyuwen</dc:creator>
  <cp:lastModifiedBy>wangyuwen</cp:lastModifiedBy>
  <dcterms:modified xsi:type="dcterms:W3CDTF">2021-03-18T10:44:51Z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2052-2.6.1.4274</vt:lpwstr>
  </property>
</Properties>
</file>